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626F" w14:textId="76D8F925" w:rsidR="009B45C0" w:rsidRDefault="009B45C0" w:rsidP="00D935C2">
      <w:pPr>
        <w:spacing w:after="0" w:line="360" w:lineRule="auto"/>
        <w:ind w:firstLine="709"/>
        <w:jc w:val="both"/>
        <w:rPr>
          <w:rFonts w:ascii="Times New Roman" w:hAnsi="Times New Roman" w:cs="Times New Roman"/>
          <w:b/>
          <w:bCs/>
          <w:sz w:val="28"/>
          <w:szCs w:val="28"/>
        </w:rPr>
      </w:pPr>
      <w:r w:rsidRPr="00D935C2">
        <w:rPr>
          <w:rFonts w:ascii="Times New Roman" w:hAnsi="Times New Roman" w:cs="Times New Roman"/>
          <w:b/>
          <w:bCs/>
          <w:sz w:val="28"/>
          <w:szCs w:val="28"/>
        </w:rPr>
        <w:t xml:space="preserve">РОЗДІЛ </w:t>
      </w:r>
      <w:r w:rsidR="00751348" w:rsidRPr="00751348">
        <w:rPr>
          <w:rFonts w:ascii="Times New Roman" w:hAnsi="Times New Roman" w:cs="Times New Roman"/>
          <w:b/>
          <w:bCs/>
          <w:sz w:val="28"/>
          <w:szCs w:val="28"/>
        </w:rPr>
        <w:t>1. ТЕОРЕТИЧНІ ЗАСАДИ УПРАВЛІННЯ ФІНАНСОВОЮ СТІЙКІСТЮ ТА ВІДТВОРЕННЯМ КАПІТАЛУ</w:t>
      </w:r>
    </w:p>
    <w:p w14:paraId="01F04BE7" w14:textId="77777777" w:rsidR="00C36B03" w:rsidRDefault="00C36B03" w:rsidP="00D935C2">
      <w:pPr>
        <w:spacing w:after="0" w:line="360" w:lineRule="auto"/>
        <w:ind w:firstLine="709"/>
        <w:jc w:val="both"/>
        <w:rPr>
          <w:rFonts w:ascii="Times New Roman" w:hAnsi="Times New Roman" w:cs="Times New Roman"/>
          <w:b/>
          <w:bCs/>
          <w:sz w:val="28"/>
          <w:szCs w:val="28"/>
        </w:rPr>
      </w:pPr>
    </w:p>
    <w:p w14:paraId="62CF6AB3" w14:textId="14815027" w:rsidR="00C36B03" w:rsidRDefault="00C36B03" w:rsidP="00D935C2">
      <w:pPr>
        <w:spacing w:after="0" w:line="360" w:lineRule="auto"/>
        <w:ind w:firstLine="709"/>
        <w:jc w:val="both"/>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 xml:space="preserve">1.1. </w:t>
      </w:r>
      <w:r w:rsidRPr="00C36B03">
        <w:rPr>
          <w:rFonts w:ascii="Times New Roman" w:eastAsia="Times New Roman" w:hAnsi="Times New Roman" w:cs="Times New Roman"/>
          <w:b/>
          <w:kern w:val="36"/>
          <w:sz w:val="28"/>
          <w:szCs w:val="28"/>
        </w:rPr>
        <w:t>Економічна сутність та  роль капіталу в забезпеченні фінансової стійкості агропромислових підприємств</w:t>
      </w:r>
    </w:p>
    <w:p w14:paraId="6B270AA0" w14:textId="77777777" w:rsidR="00C36B03" w:rsidRDefault="00C36B03" w:rsidP="00D935C2">
      <w:pPr>
        <w:spacing w:after="0" w:line="360" w:lineRule="auto"/>
        <w:ind w:firstLine="709"/>
        <w:jc w:val="both"/>
        <w:rPr>
          <w:rFonts w:ascii="Times New Roman" w:hAnsi="Times New Roman" w:cs="Times New Roman"/>
          <w:b/>
          <w:sz w:val="28"/>
          <w:szCs w:val="28"/>
        </w:rPr>
      </w:pPr>
    </w:p>
    <w:p w14:paraId="3453B735" w14:textId="77777777" w:rsidR="00CB3942" w:rsidRPr="00CB3942" w:rsidRDefault="00CB3942" w:rsidP="00CB3942">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У сучасній архітектурі фінансового менеджменту категорія «капітал» виступає не просто базовим елементом структури балансу, а ключовим детермінантом життєздатності суб’єкта господарювання. Особливої специфіки це поняття набуває в аграрному секторі, де капіталомісткість виробництва тісно переплітається з природно-кліматичною залежністю, тривалим операційним циклом та високою ринковою турбулентністю.</w:t>
      </w:r>
    </w:p>
    <w:p w14:paraId="0AA84CD7" w14:textId="4ACE2F69" w:rsidR="00CB3942" w:rsidRPr="00CB3942" w:rsidRDefault="00CB3942" w:rsidP="00CB3942">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 xml:space="preserve">З позицій фундаментальної економічної теорії, капітал динамічний пул фінансових ресурсів, авансованих у активи з метою генерування доданої вартості та </w:t>
      </w:r>
      <w:r w:rsidRPr="00B251B9">
        <w:rPr>
          <w:rFonts w:ascii="Times New Roman" w:hAnsi="Times New Roman" w:cs="Times New Roman"/>
          <w:bCs/>
          <w:sz w:val="28"/>
          <w:szCs w:val="28"/>
        </w:rPr>
        <w:t>забезпечення стратегічного розвитку [1]. Проте в контексті безпеки бізнесу</w:t>
      </w:r>
      <w:r w:rsidRPr="00CB3942">
        <w:rPr>
          <w:rFonts w:ascii="Times New Roman" w:hAnsi="Times New Roman" w:cs="Times New Roman"/>
          <w:bCs/>
          <w:sz w:val="28"/>
          <w:szCs w:val="28"/>
        </w:rPr>
        <w:t xml:space="preserve"> капітал виконує критичну амортизаційну (захисну) функцію, трансформуючись у головний буфер проти ендогенних та екзогенних ризиків.</w:t>
      </w:r>
    </w:p>
    <w:p w14:paraId="75988CC0" w14:textId="3F0B143F" w:rsidR="00CB3942" w:rsidRPr="005B38FE" w:rsidRDefault="00CB3942" w:rsidP="00CB3942">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Фінансова стійкість агропромислового підприємства є похідною від архітектури його капіталу. Вона відображає такий стан фінансових ресурсів, за якого підприємство здатне стабільно розвиватися, зберігаючи платоспроможність та кредитоспроможність</w:t>
      </w:r>
      <w:r w:rsidR="005B38FE">
        <w:rPr>
          <w:rFonts w:ascii="Times New Roman" w:hAnsi="Times New Roman" w:cs="Times New Roman"/>
          <w:bCs/>
          <w:sz w:val="28"/>
          <w:szCs w:val="28"/>
        </w:rPr>
        <w:t>.</w:t>
      </w:r>
    </w:p>
    <w:p w14:paraId="785C87E0" w14:textId="7F0D4B39" w:rsidR="00CB3942" w:rsidRPr="00CB3942" w:rsidRDefault="00CB3942" w:rsidP="00CB3942">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Економічну взаємодію між структурою капіталу та фінансовою стійкістю можна формалізувати через систему фундаментальних балансових пропорцій. Матеріальною основою стійкості є наявність власного оборотного капіталу (</w:t>
      </w:r>
      <w:proofErr w:type="spellStart"/>
      <w:r w:rsidRPr="00CB3942">
        <w:rPr>
          <w:rFonts w:ascii="Times New Roman" w:hAnsi="Times New Roman" w:cs="Times New Roman"/>
          <w:bCs/>
          <w:sz w:val="28"/>
          <w:szCs w:val="28"/>
        </w:rPr>
        <w:t>W</w:t>
      </w:r>
      <w:r w:rsidRPr="00CB3942">
        <w:rPr>
          <w:rFonts w:ascii="Times New Roman" w:hAnsi="Times New Roman" w:cs="Times New Roman"/>
          <w:bCs/>
          <w:sz w:val="28"/>
          <w:szCs w:val="28"/>
          <w:vertAlign w:val="subscript"/>
        </w:rPr>
        <w:t>c</w:t>
      </w:r>
      <w:proofErr w:type="spellEnd"/>
      <w:r w:rsidRPr="00CB3942">
        <w:rPr>
          <w:rFonts w:ascii="Times New Roman" w:hAnsi="Times New Roman" w:cs="Times New Roman"/>
          <w:bCs/>
          <w:sz w:val="28"/>
          <w:szCs w:val="28"/>
        </w:rPr>
        <w:t xml:space="preserve">), який розраховується як різниця між власним капіталом (E) разом із </w:t>
      </w:r>
      <w:r w:rsidRPr="00B251B9">
        <w:rPr>
          <w:rFonts w:ascii="Times New Roman" w:hAnsi="Times New Roman" w:cs="Times New Roman"/>
          <w:bCs/>
          <w:sz w:val="28"/>
          <w:szCs w:val="28"/>
        </w:rPr>
        <w:t>зобов'язаннями (</w:t>
      </w:r>
      <w:proofErr w:type="spellStart"/>
      <w:r w:rsidRPr="00B251B9">
        <w:rPr>
          <w:rFonts w:ascii="Times New Roman" w:hAnsi="Times New Roman" w:cs="Times New Roman"/>
          <w:bCs/>
          <w:sz w:val="28"/>
          <w:szCs w:val="28"/>
        </w:rPr>
        <w:t>L</w:t>
      </w:r>
      <w:r w:rsidRPr="00B251B9">
        <w:rPr>
          <w:rFonts w:ascii="Times New Roman" w:hAnsi="Times New Roman" w:cs="Times New Roman"/>
          <w:bCs/>
          <w:sz w:val="28"/>
          <w:szCs w:val="28"/>
          <w:vertAlign w:val="subscript"/>
        </w:rPr>
        <w:t>t</w:t>
      </w:r>
      <w:proofErr w:type="spellEnd"/>
      <w:r w:rsidRPr="00B251B9">
        <w:rPr>
          <w:rFonts w:ascii="Times New Roman" w:hAnsi="Times New Roman" w:cs="Times New Roman"/>
          <w:bCs/>
          <w:sz w:val="28"/>
          <w:szCs w:val="28"/>
        </w:rPr>
        <w:t>) та необоротними активами (</w:t>
      </w:r>
      <w:proofErr w:type="spellStart"/>
      <w:r w:rsidRPr="00B251B9">
        <w:rPr>
          <w:rFonts w:ascii="Times New Roman" w:hAnsi="Times New Roman" w:cs="Times New Roman"/>
          <w:bCs/>
          <w:sz w:val="28"/>
          <w:szCs w:val="28"/>
        </w:rPr>
        <w:t>A</w:t>
      </w:r>
      <w:r w:rsidRPr="00B251B9">
        <w:rPr>
          <w:rFonts w:ascii="Times New Roman" w:hAnsi="Times New Roman" w:cs="Times New Roman"/>
          <w:bCs/>
          <w:sz w:val="28"/>
          <w:szCs w:val="28"/>
          <w:vertAlign w:val="subscript"/>
        </w:rPr>
        <w:t>n</w:t>
      </w:r>
      <w:proofErr w:type="spellEnd"/>
      <w:r w:rsidRPr="00B251B9">
        <w:rPr>
          <w:rFonts w:ascii="Times New Roman" w:hAnsi="Times New Roman" w:cs="Times New Roman"/>
          <w:bCs/>
          <w:sz w:val="28"/>
          <w:szCs w:val="28"/>
        </w:rPr>
        <w:t>)</w:t>
      </w:r>
      <w:r w:rsidR="00AF7C75" w:rsidRPr="00B251B9">
        <w:rPr>
          <w:rFonts w:ascii="Times New Roman" w:hAnsi="Times New Roman" w:cs="Times New Roman"/>
          <w:bCs/>
          <w:sz w:val="28"/>
          <w:szCs w:val="28"/>
        </w:rPr>
        <w:t xml:space="preserve"> [</w:t>
      </w:r>
      <w:r w:rsidR="00B251B9" w:rsidRPr="00B251B9">
        <w:rPr>
          <w:rFonts w:ascii="Times New Roman" w:hAnsi="Times New Roman" w:cs="Times New Roman"/>
          <w:bCs/>
          <w:sz w:val="28"/>
          <w:szCs w:val="28"/>
        </w:rPr>
        <w:t>16</w:t>
      </w:r>
      <w:r w:rsidR="00AF7C75" w:rsidRPr="00B251B9">
        <w:rPr>
          <w:rFonts w:ascii="Times New Roman" w:hAnsi="Times New Roman" w:cs="Times New Roman"/>
          <w:bCs/>
          <w:sz w:val="28"/>
          <w:szCs w:val="28"/>
        </w:rPr>
        <w:t>, 3</w:t>
      </w:r>
      <w:r w:rsidR="00B251B9" w:rsidRPr="00B251B9">
        <w:rPr>
          <w:rFonts w:ascii="Times New Roman" w:hAnsi="Times New Roman" w:cs="Times New Roman"/>
          <w:bCs/>
          <w:sz w:val="28"/>
          <w:szCs w:val="28"/>
        </w:rPr>
        <w:t>7</w:t>
      </w:r>
      <w:r w:rsidR="00AF7C75" w:rsidRPr="00B251B9">
        <w:rPr>
          <w:rFonts w:ascii="Times New Roman" w:hAnsi="Times New Roman" w:cs="Times New Roman"/>
          <w:bCs/>
          <w:sz w:val="28"/>
          <w:szCs w:val="28"/>
        </w:rPr>
        <w:t>]</w:t>
      </w:r>
      <w:r w:rsidRPr="00B251B9">
        <w:rPr>
          <w:rFonts w:ascii="Times New Roman" w:hAnsi="Times New Roman" w:cs="Times New Roman"/>
          <w:bCs/>
          <w:sz w:val="28"/>
          <w:szCs w:val="28"/>
        </w:rPr>
        <w:t>:</w:t>
      </w:r>
    </w:p>
    <w:p w14:paraId="10D58C65" w14:textId="7EAFE95E" w:rsidR="00CB3942" w:rsidRPr="00CB3942" w:rsidRDefault="00CB3942" w:rsidP="00CB3942">
      <w:pPr>
        <w:spacing w:after="0" w:line="360" w:lineRule="auto"/>
        <w:ind w:firstLine="709"/>
        <w:jc w:val="right"/>
        <w:rPr>
          <w:rFonts w:ascii="Times New Roman" w:hAnsi="Times New Roman" w:cs="Times New Roman"/>
          <w:bCs/>
          <w:sz w:val="28"/>
          <w:szCs w:val="28"/>
        </w:rPr>
      </w:pPr>
      <w:proofErr w:type="spellStart"/>
      <w:r w:rsidRPr="00CB3942">
        <w:rPr>
          <w:rFonts w:ascii="Times New Roman" w:hAnsi="Times New Roman" w:cs="Times New Roman"/>
          <w:bCs/>
          <w:sz w:val="28"/>
          <w:szCs w:val="28"/>
        </w:rPr>
        <w:t>W</w:t>
      </w:r>
      <w:r w:rsidRPr="00CB3942">
        <w:rPr>
          <w:rFonts w:ascii="Times New Roman" w:hAnsi="Times New Roman" w:cs="Times New Roman"/>
          <w:bCs/>
          <w:sz w:val="28"/>
          <w:szCs w:val="28"/>
          <w:vertAlign w:val="subscript"/>
        </w:rPr>
        <w:t>c</w:t>
      </w:r>
      <w:proofErr w:type="spellEnd"/>
      <w:r w:rsidRPr="00CB3942">
        <w:rPr>
          <w:rFonts w:ascii="Times New Roman" w:hAnsi="Times New Roman" w:cs="Times New Roman"/>
          <w:bCs/>
          <w:sz w:val="28"/>
          <w:szCs w:val="28"/>
        </w:rPr>
        <w:t xml:space="preserve"> = (E + </w:t>
      </w:r>
      <w:proofErr w:type="spellStart"/>
      <w:r w:rsidRPr="00CB3942">
        <w:rPr>
          <w:rFonts w:ascii="Times New Roman" w:hAnsi="Times New Roman" w:cs="Times New Roman"/>
          <w:bCs/>
          <w:sz w:val="28"/>
          <w:szCs w:val="28"/>
        </w:rPr>
        <w:t>L</w:t>
      </w:r>
      <w:r w:rsidRPr="00CB3942">
        <w:rPr>
          <w:rFonts w:ascii="Times New Roman" w:hAnsi="Times New Roman" w:cs="Times New Roman"/>
          <w:bCs/>
          <w:sz w:val="28"/>
          <w:szCs w:val="28"/>
          <w:vertAlign w:val="subscript"/>
        </w:rPr>
        <w:t>t</w:t>
      </w:r>
      <w:proofErr w:type="spellEnd"/>
      <w:r w:rsidRPr="00CB3942">
        <w:rPr>
          <w:rFonts w:ascii="Times New Roman" w:hAnsi="Times New Roman" w:cs="Times New Roman"/>
          <w:bCs/>
          <w:sz w:val="28"/>
          <w:szCs w:val="28"/>
        </w:rPr>
        <w:t xml:space="preserve">) - </w:t>
      </w:r>
      <w:proofErr w:type="spellStart"/>
      <w:r w:rsidRPr="00CB3942">
        <w:rPr>
          <w:rFonts w:ascii="Times New Roman" w:hAnsi="Times New Roman" w:cs="Times New Roman"/>
          <w:bCs/>
          <w:sz w:val="28"/>
          <w:szCs w:val="28"/>
        </w:rPr>
        <w:t>A</w:t>
      </w:r>
      <w:r w:rsidRPr="00CB3942">
        <w:rPr>
          <w:rFonts w:ascii="Times New Roman" w:hAnsi="Times New Roman" w:cs="Times New Roman"/>
          <w:bCs/>
          <w:sz w:val="28"/>
          <w:szCs w:val="28"/>
          <w:vertAlign w:val="subscript"/>
        </w:rPr>
        <w:t>n</w:t>
      </w:r>
      <w:proofErr w:type="spellEnd"/>
      <w:r>
        <w:rPr>
          <w:rFonts w:ascii="Times New Roman" w:hAnsi="Times New Roman" w:cs="Times New Roman"/>
          <w:bCs/>
          <w:sz w:val="28"/>
          <w:szCs w:val="28"/>
          <w:vertAlign w:val="subscript"/>
        </w:rPr>
        <w:t xml:space="preserve">                                                                               </w:t>
      </w:r>
      <w:r w:rsidRPr="00CB3942">
        <w:rPr>
          <w:rFonts w:ascii="Times New Roman" w:hAnsi="Times New Roman" w:cs="Times New Roman"/>
          <w:bCs/>
          <w:sz w:val="28"/>
          <w:szCs w:val="28"/>
        </w:rPr>
        <w:t>(1.1)</w:t>
      </w:r>
    </w:p>
    <w:p w14:paraId="6B77C772" w14:textId="0A3BC0C1" w:rsidR="00CB3942" w:rsidRPr="00CB3942" w:rsidRDefault="00CB3942" w:rsidP="00CB3942">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 xml:space="preserve">Для агропромислових підприємств значення </w:t>
      </w:r>
      <w:proofErr w:type="spellStart"/>
      <w:r w:rsidRPr="00CB3942">
        <w:rPr>
          <w:rFonts w:ascii="Times New Roman" w:hAnsi="Times New Roman" w:cs="Times New Roman"/>
          <w:bCs/>
          <w:sz w:val="28"/>
          <w:szCs w:val="28"/>
        </w:rPr>
        <w:t>W</w:t>
      </w:r>
      <w:r w:rsidRPr="00CB3942">
        <w:rPr>
          <w:rFonts w:ascii="Times New Roman" w:hAnsi="Times New Roman" w:cs="Times New Roman"/>
          <w:bCs/>
          <w:sz w:val="28"/>
          <w:szCs w:val="28"/>
          <w:vertAlign w:val="subscript"/>
        </w:rPr>
        <w:t>c</w:t>
      </w:r>
      <w:proofErr w:type="spellEnd"/>
      <w:r w:rsidRPr="00CB3942">
        <w:rPr>
          <w:rFonts w:ascii="Times New Roman" w:hAnsi="Times New Roman" w:cs="Times New Roman"/>
          <w:bCs/>
          <w:sz w:val="28"/>
          <w:szCs w:val="28"/>
        </w:rPr>
        <w:t xml:space="preserve"> є критичним: специфіка виробництва вимагає значних одночасних вкладень у біологічні активи, </w:t>
      </w:r>
      <w:r w:rsidRPr="00CB3942">
        <w:rPr>
          <w:rFonts w:ascii="Times New Roman" w:hAnsi="Times New Roman" w:cs="Times New Roman"/>
          <w:bCs/>
          <w:sz w:val="28"/>
          <w:szCs w:val="28"/>
        </w:rPr>
        <w:lastRenderedPageBreak/>
        <w:t>мінеральні добрива, паливно-мастильні матеріали та засоби захисту рослин задовго до отримання першої виручки від реалізації врожаю.</w:t>
      </w:r>
    </w:p>
    <w:p w14:paraId="6D2B4890" w14:textId="77777777" w:rsidR="00CB3942" w:rsidRPr="00CB3942" w:rsidRDefault="00CB3942" w:rsidP="00CB3942">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У межах наукового дискурсу сформовано два альтернативні підходи до трактування ролі капіталу в забезпеченні фінансової стійкості аграріїв:</w:t>
      </w:r>
    </w:p>
    <w:p w14:paraId="308BA8BC" w14:textId="657AB22B" w:rsidR="00CB3942" w:rsidRPr="00C8376A" w:rsidRDefault="00CB3942" w:rsidP="00AF7C75">
      <w:pPr>
        <w:numPr>
          <w:ilvl w:val="0"/>
          <w:numId w:val="4"/>
        </w:numPr>
        <w:tabs>
          <w:tab w:val="clear" w:pos="720"/>
          <w:tab w:val="num" w:pos="360"/>
        </w:tabs>
        <w:spacing w:after="0" w:line="360" w:lineRule="auto"/>
        <w:ind w:left="0" w:firstLine="851"/>
        <w:jc w:val="both"/>
        <w:rPr>
          <w:rFonts w:ascii="Times New Roman" w:hAnsi="Times New Roman" w:cs="Times New Roman"/>
          <w:bCs/>
          <w:sz w:val="28"/>
          <w:szCs w:val="28"/>
        </w:rPr>
      </w:pPr>
      <w:r w:rsidRPr="00CB3942">
        <w:rPr>
          <w:rFonts w:ascii="Times New Roman" w:hAnsi="Times New Roman" w:cs="Times New Roman"/>
          <w:bCs/>
          <w:sz w:val="28"/>
          <w:szCs w:val="28"/>
        </w:rPr>
        <w:t xml:space="preserve">Традиційний (статичний) підхід. Акцентує увагу на мінімізації залученого капіталу. Автори цієї концепції стверджують, що фінансова стійкість </w:t>
      </w:r>
      <w:r w:rsidRPr="00C8376A">
        <w:rPr>
          <w:rFonts w:ascii="Times New Roman" w:hAnsi="Times New Roman" w:cs="Times New Roman"/>
          <w:bCs/>
          <w:sz w:val="28"/>
          <w:szCs w:val="28"/>
        </w:rPr>
        <w:t xml:space="preserve">досягається за максимальної автономії (коефіцієнт автономії </w:t>
      </w:r>
      <w:proofErr w:type="spellStart"/>
      <w:r w:rsidRPr="00C8376A">
        <w:rPr>
          <w:rFonts w:ascii="Times New Roman" w:hAnsi="Times New Roman" w:cs="Times New Roman"/>
          <w:bCs/>
          <w:sz w:val="28"/>
          <w:szCs w:val="28"/>
        </w:rPr>
        <w:t>K</w:t>
      </w:r>
      <w:r w:rsidRPr="00C8376A">
        <w:rPr>
          <w:rFonts w:ascii="Times New Roman" w:hAnsi="Times New Roman" w:cs="Times New Roman"/>
          <w:bCs/>
          <w:sz w:val="28"/>
          <w:szCs w:val="28"/>
          <w:vertAlign w:val="subscript"/>
        </w:rPr>
        <w:t>a</w:t>
      </w:r>
      <w:proofErr w:type="spellEnd"/>
      <w:r w:rsidRPr="00C8376A">
        <w:rPr>
          <w:rFonts w:ascii="Times New Roman" w:hAnsi="Times New Roman" w:cs="Times New Roman"/>
          <w:bCs/>
          <w:sz w:val="28"/>
          <w:szCs w:val="28"/>
        </w:rPr>
        <w:t xml:space="preserve"> </w:t>
      </w:r>
      <w:r w:rsidR="00C8376A" w:rsidRPr="00C8376A">
        <w:rPr>
          <w:rFonts w:ascii="Times New Roman" w:hAnsi="Times New Roman" w:cs="Times New Roman"/>
          <w:bCs/>
          <w:sz w:val="28"/>
          <w:szCs w:val="28"/>
        </w:rPr>
        <w:t>≥</w:t>
      </w:r>
      <w:r w:rsidRPr="00C8376A">
        <w:rPr>
          <w:rFonts w:ascii="Times New Roman" w:hAnsi="Times New Roman" w:cs="Times New Roman"/>
          <w:bCs/>
          <w:sz w:val="28"/>
          <w:szCs w:val="28"/>
        </w:rPr>
        <w:t xml:space="preserve"> 0,5). За умов високої </w:t>
      </w:r>
      <w:proofErr w:type="spellStart"/>
      <w:r w:rsidRPr="00C8376A">
        <w:rPr>
          <w:rFonts w:ascii="Times New Roman" w:hAnsi="Times New Roman" w:cs="Times New Roman"/>
          <w:bCs/>
          <w:sz w:val="28"/>
          <w:szCs w:val="28"/>
        </w:rPr>
        <w:t>волатильності</w:t>
      </w:r>
      <w:proofErr w:type="spellEnd"/>
      <w:r w:rsidRPr="00C8376A">
        <w:rPr>
          <w:rFonts w:ascii="Times New Roman" w:hAnsi="Times New Roman" w:cs="Times New Roman"/>
          <w:bCs/>
          <w:sz w:val="28"/>
          <w:szCs w:val="28"/>
        </w:rPr>
        <w:t xml:space="preserve"> ринку надмірна залежність від зовнішніх запозичень веде до втрати фінансового контролю [</w:t>
      </w:r>
      <w:r w:rsidR="00B251B9">
        <w:rPr>
          <w:rFonts w:ascii="Times New Roman" w:hAnsi="Times New Roman" w:cs="Times New Roman"/>
          <w:bCs/>
          <w:sz w:val="28"/>
          <w:szCs w:val="28"/>
        </w:rPr>
        <w:t>41</w:t>
      </w:r>
      <w:r w:rsidRPr="00C8376A">
        <w:rPr>
          <w:rFonts w:ascii="Times New Roman" w:hAnsi="Times New Roman" w:cs="Times New Roman"/>
          <w:bCs/>
          <w:sz w:val="28"/>
          <w:szCs w:val="28"/>
        </w:rPr>
        <w:t>].</w:t>
      </w:r>
    </w:p>
    <w:p w14:paraId="78D507D7" w14:textId="42454CC5" w:rsidR="00CB3942" w:rsidRPr="00CB3942" w:rsidRDefault="00CB3942" w:rsidP="00AF7C75">
      <w:pPr>
        <w:numPr>
          <w:ilvl w:val="0"/>
          <w:numId w:val="4"/>
        </w:numPr>
        <w:tabs>
          <w:tab w:val="clear" w:pos="720"/>
          <w:tab w:val="num" w:pos="360"/>
        </w:tabs>
        <w:spacing w:after="0" w:line="360" w:lineRule="auto"/>
        <w:ind w:left="0" w:firstLine="851"/>
        <w:jc w:val="both"/>
        <w:rPr>
          <w:rFonts w:ascii="Times New Roman" w:hAnsi="Times New Roman" w:cs="Times New Roman"/>
          <w:bCs/>
          <w:sz w:val="28"/>
          <w:szCs w:val="28"/>
        </w:rPr>
      </w:pPr>
      <w:r w:rsidRPr="00CB3942">
        <w:rPr>
          <w:rFonts w:ascii="Times New Roman" w:hAnsi="Times New Roman" w:cs="Times New Roman"/>
          <w:bCs/>
          <w:sz w:val="28"/>
          <w:szCs w:val="28"/>
        </w:rPr>
        <w:t>Модерний (динамічний) підхід. Розглядає капітал через призму оптимізації його вартості (WACC) та ефекту фінансового левериджу (EFL). Прихильники цього підходу доводять, що в умовах касових розривів суто за рахунок власного капіталу агропідприємство не здатне забезпечити розширене відтворення, тому залучення кредитів та лізингу є стимулятором стійкості, якщо рентабельність активів (ROA) перевищує ціну позикового капіталу [</w:t>
      </w:r>
      <w:r w:rsidR="00B251B9">
        <w:rPr>
          <w:rFonts w:ascii="Times New Roman" w:hAnsi="Times New Roman" w:cs="Times New Roman"/>
          <w:bCs/>
          <w:sz w:val="28"/>
          <w:szCs w:val="28"/>
        </w:rPr>
        <w:t>37</w:t>
      </w:r>
      <w:r w:rsidRPr="00CB3942">
        <w:rPr>
          <w:rFonts w:ascii="Times New Roman" w:hAnsi="Times New Roman" w:cs="Times New Roman"/>
          <w:bCs/>
          <w:sz w:val="28"/>
          <w:szCs w:val="28"/>
        </w:rPr>
        <w:t>].</w:t>
      </w:r>
    </w:p>
    <w:p w14:paraId="72895434" w14:textId="3C0BD034" w:rsidR="00AF7C75" w:rsidRDefault="00CB3942" w:rsidP="00AF7C75">
      <w:pPr>
        <w:spacing w:after="0" w:line="360" w:lineRule="auto"/>
        <w:ind w:firstLine="709"/>
        <w:jc w:val="both"/>
        <w:rPr>
          <w:rFonts w:ascii="Times New Roman" w:hAnsi="Times New Roman" w:cs="Times New Roman"/>
          <w:bCs/>
          <w:sz w:val="28"/>
          <w:szCs w:val="28"/>
        </w:rPr>
      </w:pPr>
      <w:r w:rsidRPr="00CB3942">
        <w:rPr>
          <w:rFonts w:ascii="Times New Roman" w:hAnsi="Times New Roman" w:cs="Times New Roman"/>
          <w:bCs/>
          <w:sz w:val="28"/>
          <w:szCs w:val="28"/>
        </w:rPr>
        <w:t>Оцінюючи роль капіталу за матеріалами статистичної звітності (2022</w:t>
      </w:r>
      <w:r>
        <w:rPr>
          <w:rFonts w:ascii="Times New Roman" w:hAnsi="Times New Roman" w:cs="Times New Roman"/>
          <w:bCs/>
          <w:sz w:val="28"/>
          <w:szCs w:val="28"/>
        </w:rPr>
        <w:t>-</w:t>
      </w:r>
      <w:r w:rsidRPr="00CB3942">
        <w:rPr>
          <w:rFonts w:ascii="Times New Roman" w:hAnsi="Times New Roman" w:cs="Times New Roman"/>
          <w:bCs/>
          <w:sz w:val="28"/>
          <w:szCs w:val="28"/>
        </w:rPr>
        <w:t>2025 рр.), помітна чітка закономірність: підприємства з деформованою структурою капіталу (де частка короткострокових зобов'язань перевищувала 70%) першими опинилися на межі банкрутства під час логістичного колапсу. Натомість компанії з диверсифікованими джерелами фінансування продемонстрували вищу адаптивність.</w:t>
      </w:r>
    </w:p>
    <w:p w14:paraId="1F2EB04F" w14:textId="2C3F3688" w:rsidR="00C8376A" w:rsidRPr="00AF7C75" w:rsidRDefault="00C8376A" w:rsidP="00AF7C75">
      <w:pPr>
        <w:spacing w:after="0" w:line="360" w:lineRule="auto"/>
        <w:ind w:firstLine="709"/>
        <w:jc w:val="both"/>
        <w:rPr>
          <w:rFonts w:ascii="Times New Roman" w:hAnsi="Times New Roman" w:cs="Times New Roman"/>
          <w:bCs/>
          <w:sz w:val="28"/>
          <w:szCs w:val="28"/>
        </w:rPr>
      </w:pPr>
      <w:r w:rsidRPr="00C8376A">
        <w:rPr>
          <w:rFonts w:ascii="Times New Roman" w:hAnsi="Times New Roman" w:cs="Times New Roman"/>
          <w:bCs/>
          <w:sz w:val="28"/>
          <w:szCs w:val="28"/>
        </w:rPr>
        <w:t xml:space="preserve">Глибока </w:t>
      </w:r>
      <w:proofErr w:type="spellStart"/>
      <w:r w:rsidRPr="00C8376A">
        <w:rPr>
          <w:rFonts w:ascii="Times New Roman" w:hAnsi="Times New Roman" w:cs="Times New Roman"/>
          <w:bCs/>
          <w:sz w:val="28"/>
          <w:szCs w:val="28"/>
        </w:rPr>
        <w:t>волатильність</w:t>
      </w:r>
      <w:proofErr w:type="spellEnd"/>
      <w:r w:rsidRPr="00C8376A">
        <w:rPr>
          <w:rFonts w:ascii="Times New Roman" w:hAnsi="Times New Roman" w:cs="Times New Roman"/>
          <w:bCs/>
          <w:sz w:val="28"/>
          <w:szCs w:val="28"/>
        </w:rPr>
        <w:t xml:space="preserve"> логістичних витрат та затяжна цінова криза на внутрішньому ринку зерна призвели до різкого зростання питомої ваги фінансово неспроможних підприємств. Динаміку розшарування агробізнесу за </w:t>
      </w:r>
      <w:r w:rsidRPr="00AF7C75">
        <w:rPr>
          <w:rFonts w:ascii="Times New Roman" w:hAnsi="Times New Roman" w:cs="Times New Roman"/>
          <w:bCs/>
          <w:sz w:val="28"/>
          <w:szCs w:val="28"/>
        </w:rPr>
        <w:t>рівнем загрози банкрутства наведено в таблиці 1.</w:t>
      </w:r>
      <w:r w:rsidR="000F3DA9" w:rsidRPr="00AF7C75">
        <w:rPr>
          <w:rFonts w:ascii="Times New Roman" w:hAnsi="Times New Roman" w:cs="Times New Roman"/>
          <w:bCs/>
          <w:sz w:val="28"/>
          <w:szCs w:val="28"/>
        </w:rPr>
        <w:t>1</w:t>
      </w:r>
      <w:r w:rsidRPr="00AF7C75">
        <w:rPr>
          <w:rFonts w:ascii="Times New Roman" w:hAnsi="Times New Roman" w:cs="Times New Roman"/>
          <w:bCs/>
          <w:sz w:val="28"/>
          <w:szCs w:val="28"/>
        </w:rPr>
        <w:t>. В основу розрахунків</w:t>
      </w:r>
      <w:r w:rsidRPr="00C8376A">
        <w:rPr>
          <w:rFonts w:ascii="Times New Roman" w:hAnsi="Times New Roman" w:cs="Times New Roman"/>
          <w:bCs/>
          <w:sz w:val="28"/>
          <w:szCs w:val="28"/>
        </w:rPr>
        <w:t xml:space="preserve"> покладено методологію інтегрального оцінювання ризику та офіційні критерії </w:t>
      </w:r>
      <w:r w:rsidRPr="00B251B9">
        <w:rPr>
          <w:rFonts w:ascii="Times New Roman" w:hAnsi="Times New Roman" w:cs="Times New Roman"/>
          <w:bCs/>
          <w:sz w:val="28"/>
          <w:szCs w:val="28"/>
        </w:rPr>
        <w:t xml:space="preserve">фінансової неспроможності (згідно з Методичними рекомендаціями </w:t>
      </w:r>
      <w:r w:rsidR="00AF7C75" w:rsidRPr="00CB3942">
        <w:rPr>
          <w:rFonts w:ascii="Times New Roman" w:hAnsi="Times New Roman" w:cs="Times New Roman"/>
          <w:bCs/>
          <w:sz w:val="28"/>
          <w:szCs w:val="28"/>
        </w:rPr>
        <w:t>[</w:t>
      </w:r>
      <w:r w:rsidR="00B251B9">
        <w:rPr>
          <w:rFonts w:ascii="Times New Roman" w:hAnsi="Times New Roman" w:cs="Times New Roman"/>
          <w:bCs/>
          <w:sz w:val="28"/>
          <w:szCs w:val="28"/>
        </w:rPr>
        <w:t>33</w:t>
      </w:r>
      <w:r w:rsidR="00AF7C75" w:rsidRPr="00CB3942">
        <w:rPr>
          <w:rFonts w:ascii="Times New Roman" w:hAnsi="Times New Roman" w:cs="Times New Roman"/>
          <w:bCs/>
          <w:sz w:val="28"/>
          <w:szCs w:val="28"/>
        </w:rPr>
        <w:t>]</w:t>
      </w:r>
      <w:r w:rsidRPr="00AF7C75">
        <w:rPr>
          <w:rFonts w:ascii="Times New Roman" w:hAnsi="Times New Roman" w:cs="Times New Roman"/>
          <w:bCs/>
          <w:sz w:val="28"/>
          <w:szCs w:val="28"/>
        </w:rPr>
        <w:t xml:space="preserve">). У таблиці виокремлено не просто збиткові компанії, а категорію підприємств </w:t>
      </w:r>
      <w:r w:rsidRPr="00AF7C75">
        <w:rPr>
          <w:rFonts w:ascii="Times New Roman" w:hAnsi="Times New Roman" w:cs="Times New Roman"/>
          <w:sz w:val="28"/>
          <w:szCs w:val="28"/>
        </w:rPr>
        <w:t>на межі банкрутства</w:t>
      </w:r>
      <w:r w:rsidRPr="00AF7C75">
        <w:rPr>
          <w:rFonts w:ascii="Times New Roman" w:hAnsi="Times New Roman" w:cs="Times New Roman"/>
          <w:bCs/>
          <w:sz w:val="28"/>
          <w:szCs w:val="28"/>
        </w:rPr>
        <w:t xml:space="preserve"> — тих, у яких власний капітал став від'ємним через накопичені збитки (явище «технічного банкрутства» або «кризи капіталу»).</w:t>
      </w:r>
    </w:p>
    <w:p w14:paraId="4E7DDBDD" w14:textId="59264745" w:rsidR="00C8376A" w:rsidRPr="00C8376A" w:rsidRDefault="00C8376A" w:rsidP="00C8376A">
      <w:pPr>
        <w:spacing w:after="0" w:line="360" w:lineRule="auto"/>
        <w:ind w:firstLine="709"/>
        <w:jc w:val="right"/>
        <w:rPr>
          <w:rFonts w:ascii="Times New Roman" w:hAnsi="Times New Roman" w:cs="Times New Roman"/>
          <w:sz w:val="28"/>
          <w:szCs w:val="28"/>
        </w:rPr>
      </w:pPr>
      <w:r w:rsidRPr="00AF7C75">
        <w:rPr>
          <w:rFonts w:ascii="Times New Roman" w:hAnsi="Times New Roman" w:cs="Times New Roman"/>
          <w:sz w:val="28"/>
          <w:szCs w:val="28"/>
        </w:rPr>
        <w:lastRenderedPageBreak/>
        <w:t>Таблиця 1.</w:t>
      </w:r>
      <w:r w:rsidR="000F3DA9" w:rsidRPr="00AF7C75">
        <w:rPr>
          <w:rFonts w:ascii="Times New Roman" w:hAnsi="Times New Roman" w:cs="Times New Roman"/>
          <w:sz w:val="28"/>
          <w:szCs w:val="28"/>
        </w:rPr>
        <w:t>1</w:t>
      </w:r>
    </w:p>
    <w:p w14:paraId="712F9F5B" w14:textId="0A5D06BD" w:rsidR="00C8376A" w:rsidRPr="00C8376A" w:rsidRDefault="00C8376A" w:rsidP="00C8376A">
      <w:pPr>
        <w:spacing w:after="0" w:line="360" w:lineRule="auto"/>
        <w:ind w:firstLine="709"/>
        <w:jc w:val="center"/>
        <w:rPr>
          <w:rFonts w:ascii="Times New Roman" w:hAnsi="Times New Roman" w:cs="Times New Roman"/>
          <w:sz w:val="28"/>
          <w:szCs w:val="28"/>
        </w:rPr>
      </w:pPr>
      <w:r w:rsidRPr="00C8376A">
        <w:rPr>
          <w:rFonts w:ascii="Times New Roman" w:hAnsi="Times New Roman" w:cs="Times New Roman"/>
          <w:sz w:val="28"/>
          <w:szCs w:val="28"/>
        </w:rPr>
        <w:t xml:space="preserve">Динаміка кількості збиткових та фінансово неспроможних підприємств аграрного сектору України </w:t>
      </w:r>
      <w:r w:rsidR="00B251B9" w:rsidRPr="00CB3942">
        <w:rPr>
          <w:rFonts w:ascii="Times New Roman" w:hAnsi="Times New Roman" w:cs="Times New Roman"/>
          <w:bCs/>
          <w:sz w:val="28"/>
          <w:szCs w:val="28"/>
        </w:rPr>
        <w:t>[</w:t>
      </w:r>
      <w:r w:rsidR="00B251B9">
        <w:rPr>
          <w:rFonts w:ascii="Times New Roman" w:hAnsi="Times New Roman" w:cs="Times New Roman"/>
          <w:bCs/>
          <w:sz w:val="28"/>
          <w:szCs w:val="28"/>
        </w:rPr>
        <w:t>26</w:t>
      </w:r>
      <w:r w:rsidR="00B251B9" w:rsidRPr="00CB3942">
        <w:rPr>
          <w:rFonts w:ascii="Times New Roman" w:hAnsi="Times New Roman" w:cs="Times New Roman"/>
          <w:bCs/>
          <w:sz w:val="28"/>
          <w:szCs w:val="28"/>
        </w:rPr>
        <w:t>]</w:t>
      </w:r>
    </w:p>
    <w:tbl>
      <w:tblPr>
        <w:tblStyle w:val="af0"/>
        <w:tblW w:w="0" w:type="auto"/>
        <w:tblLook w:val="04A0" w:firstRow="1" w:lastRow="0" w:firstColumn="1" w:lastColumn="0" w:noHBand="0" w:noVBand="1"/>
      </w:tblPr>
      <w:tblGrid>
        <w:gridCol w:w="3424"/>
        <w:gridCol w:w="1256"/>
        <w:gridCol w:w="961"/>
        <w:gridCol w:w="1126"/>
        <w:gridCol w:w="961"/>
        <w:gridCol w:w="1899"/>
      </w:tblGrid>
      <w:tr w:rsidR="00C8376A" w:rsidRPr="0045639C" w14:paraId="211B6F3C" w14:textId="77777777" w:rsidTr="0045639C">
        <w:tc>
          <w:tcPr>
            <w:tcW w:w="0" w:type="auto"/>
            <w:hideMark/>
          </w:tcPr>
          <w:p w14:paraId="4B014DD5" w14:textId="77777777" w:rsidR="00C8376A"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Групи підприємств за рівнем фінансової деструкції</w:t>
            </w:r>
          </w:p>
        </w:tc>
        <w:tc>
          <w:tcPr>
            <w:tcW w:w="0" w:type="auto"/>
            <w:hideMark/>
          </w:tcPr>
          <w:p w14:paraId="6AFDE3FE" w14:textId="0112491D" w:rsidR="0045639C"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2022</w:t>
            </w:r>
          </w:p>
          <w:p w14:paraId="0C13D440" w14:textId="744A8C86" w:rsidR="00C8376A"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рік</w:t>
            </w:r>
          </w:p>
        </w:tc>
        <w:tc>
          <w:tcPr>
            <w:tcW w:w="0" w:type="auto"/>
            <w:hideMark/>
          </w:tcPr>
          <w:p w14:paraId="6FC255FE" w14:textId="77777777" w:rsidR="00C8376A"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2023 рік</w:t>
            </w:r>
          </w:p>
        </w:tc>
        <w:tc>
          <w:tcPr>
            <w:tcW w:w="0" w:type="auto"/>
            <w:hideMark/>
          </w:tcPr>
          <w:p w14:paraId="2A9CE6E7" w14:textId="358B9B21" w:rsidR="0045639C"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2024</w:t>
            </w:r>
          </w:p>
          <w:p w14:paraId="0D69DAB3" w14:textId="47CB174D" w:rsidR="00C8376A"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рік</w:t>
            </w:r>
          </w:p>
        </w:tc>
        <w:tc>
          <w:tcPr>
            <w:tcW w:w="0" w:type="auto"/>
            <w:hideMark/>
          </w:tcPr>
          <w:p w14:paraId="30F7CE62" w14:textId="5549B54B" w:rsidR="00C8376A"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2025 рік</w:t>
            </w:r>
          </w:p>
        </w:tc>
        <w:tc>
          <w:tcPr>
            <w:tcW w:w="0" w:type="auto"/>
            <w:hideMark/>
          </w:tcPr>
          <w:p w14:paraId="2DB558C6" w14:textId="77777777" w:rsidR="00C8376A" w:rsidRPr="0045639C" w:rsidRDefault="00C8376A" w:rsidP="0045639C">
            <w:pPr>
              <w:jc w:val="center"/>
              <w:rPr>
                <w:rFonts w:ascii="Times New Roman" w:hAnsi="Times New Roman" w:cs="Times New Roman"/>
                <w:sz w:val="24"/>
                <w:szCs w:val="24"/>
              </w:rPr>
            </w:pPr>
            <w:r w:rsidRPr="0045639C">
              <w:rPr>
                <w:rFonts w:ascii="Times New Roman" w:hAnsi="Times New Roman" w:cs="Times New Roman"/>
                <w:sz w:val="24"/>
                <w:szCs w:val="24"/>
              </w:rPr>
              <w:t>Абсолютна зміна (2025 до 2022), +/-</w:t>
            </w:r>
          </w:p>
        </w:tc>
      </w:tr>
      <w:tr w:rsidR="00C8376A" w:rsidRPr="00C8376A" w14:paraId="1AA03E7D" w14:textId="77777777" w:rsidTr="0045639C">
        <w:tc>
          <w:tcPr>
            <w:tcW w:w="0" w:type="auto"/>
            <w:hideMark/>
          </w:tcPr>
          <w:p w14:paraId="34871954"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
                <w:bCs/>
                <w:sz w:val="24"/>
                <w:szCs w:val="24"/>
              </w:rPr>
              <w:t>Загальна кількість досліджуваних агропідприємств, од.</w:t>
            </w:r>
          </w:p>
        </w:tc>
        <w:tc>
          <w:tcPr>
            <w:tcW w:w="0" w:type="auto"/>
            <w:hideMark/>
          </w:tcPr>
          <w:p w14:paraId="3DE37EC3"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7412</w:t>
            </w:r>
          </w:p>
        </w:tc>
        <w:tc>
          <w:tcPr>
            <w:tcW w:w="0" w:type="auto"/>
            <w:hideMark/>
          </w:tcPr>
          <w:p w14:paraId="5B82D11C"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7150</w:t>
            </w:r>
          </w:p>
        </w:tc>
        <w:tc>
          <w:tcPr>
            <w:tcW w:w="0" w:type="auto"/>
            <w:hideMark/>
          </w:tcPr>
          <w:p w14:paraId="449D09F2"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6890</w:t>
            </w:r>
          </w:p>
        </w:tc>
        <w:tc>
          <w:tcPr>
            <w:tcW w:w="0" w:type="auto"/>
            <w:hideMark/>
          </w:tcPr>
          <w:p w14:paraId="57935C88"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6920</w:t>
            </w:r>
          </w:p>
        </w:tc>
        <w:tc>
          <w:tcPr>
            <w:tcW w:w="0" w:type="auto"/>
            <w:hideMark/>
          </w:tcPr>
          <w:p w14:paraId="4B51C285"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-492</w:t>
            </w:r>
          </w:p>
        </w:tc>
      </w:tr>
      <w:tr w:rsidR="00C8376A" w:rsidRPr="00C8376A" w14:paraId="1B7FD975" w14:textId="77777777" w:rsidTr="0045639C">
        <w:tc>
          <w:tcPr>
            <w:tcW w:w="0" w:type="auto"/>
            <w:hideMark/>
          </w:tcPr>
          <w:p w14:paraId="1089F08B"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
                <w:bCs/>
                <w:sz w:val="24"/>
                <w:szCs w:val="24"/>
              </w:rPr>
              <w:t>1. Збиткові підприємства (за чистим збитком ф. № 2):</w:t>
            </w:r>
          </w:p>
        </w:tc>
        <w:tc>
          <w:tcPr>
            <w:tcW w:w="0" w:type="auto"/>
            <w:hideMark/>
          </w:tcPr>
          <w:p w14:paraId="16DDC1A4"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545A6C72"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2BFF3046"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77EBC59E"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2B093696" w14:textId="77777777" w:rsidR="00C8376A" w:rsidRPr="0045639C" w:rsidRDefault="00C8376A" w:rsidP="00C8376A">
            <w:pPr>
              <w:jc w:val="center"/>
              <w:rPr>
                <w:rFonts w:ascii="Times New Roman" w:hAnsi="Times New Roman" w:cs="Times New Roman"/>
                <w:bCs/>
                <w:sz w:val="24"/>
                <w:szCs w:val="24"/>
              </w:rPr>
            </w:pPr>
          </w:p>
        </w:tc>
      </w:tr>
      <w:tr w:rsidR="00C8376A" w:rsidRPr="00C8376A" w14:paraId="066306E9" w14:textId="77777777" w:rsidTr="0045639C">
        <w:tc>
          <w:tcPr>
            <w:tcW w:w="0" w:type="auto"/>
            <w:hideMark/>
          </w:tcPr>
          <w:p w14:paraId="12C6237D"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Cs/>
                <w:sz w:val="24"/>
                <w:szCs w:val="24"/>
              </w:rPr>
              <w:t>— кількість, од.</w:t>
            </w:r>
          </w:p>
        </w:tc>
        <w:tc>
          <w:tcPr>
            <w:tcW w:w="0" w:type="auto"/>
            <w:hideMark/>
          </w:tcPr>
          <w:p w14:paraId="564C3EE9"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1956</w:t>
            </w:r>
          </w:p>
        </w:tc>
        <w:tc>
          <w:tcPr>
            <w:tcW w:w="0" w:type="auto"/>
            <w:hideMark/>
          </w:tcPr>
          <w:p w14:paraId="46165BF1"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2724</w:t>
            </w:r>
          </w:p>
        </w:tc>
        <w:tc>
          <w:tcPr>
            <w:tcW w:w="0" w:type="auto"/>
            <w:hideMark/>
          </w:tcPr>
          <w:p w14:paraId="62D20A96"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3045</w:t>
            </w:r>
          </w:p>
        </w:tc>
        <w:tc>
          <w:tcPr>
            <w:tcW w:w="0" w:type="auto"/>
            <w:hideMark/>
          </w:tcPr>
          <w:p w14:paraId="2EECF4C2"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2062</w:t>
            </w:r>
          </w:p>
        </w:tc>
        <w:tc>
          <w:tcPr>
            <w:tcW w:w="0" w:type="auto"/>
            <w:hideMark/>
          </w:tcPr>
          <w:p w14:paraId="53768F44"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+106</w:t>
            </w:r>
          </w:p>
        </w:tc>
      </w:tr>
      <w:tr w:rsidR="00C8376A" w:rsidRPr="00C8376A" w14:paraId="1B744E59" w14:textId="77777777" w:rsidTr="0045639C">
        <w:tc>
          <w:tcPr>
            <w:tcW w:w="0" w:type="auto"/>
            <w:hideMark/>
          </w:tcPr>
          <w:p w14:paraId="200CDF01"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Cs/>
                <w:sz w:val="24"/>
                <w:szCs w:val="24"/>
              </w:rPr>
              <w:t>— питома вага в загальній кількості, %</w:t>
            </w:r>
          </w:p>
        </w:tc>
        <w:tc>
          <w:tcPr>
            <w:tcW w:w="0" w:type="auto"/>
            <w:hideMark/>
          </w:tcPr>
          <w:p w14:paraId="28D3F258"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26,4</w:t>
            </w:r>
          </w:p>
        </w:tc>
        <w:tc>
          <w:tcPr>
            <w:tcW w:w="0" w:type="auto"/>
            <w:hideMark/>
          </w:tcPr>
          <w:p w14:paraId="6604F0A9"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38,1</w:t>
            </w:r>
          </w:p>
        </w:tc>
        <w:tc>
          <w:tcPr>
            <w:tcW w:w="0" w:type="auto"/>
            <w:hideMark/>
          </w:tcPr>
          <w:p w14:paraId="6691634D"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44,2</w:t>
            </w:r>
          </w:p>
        </w:tc>
        <w:tc>
          <w:tcPr>
            <w:tcW w:w="0" w:type="auto"/>
            <w:hideMark/>
          </w:tcPr>
          <w:p w14:paraId="729B6DFE"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29,8</w:t>
            </w:r>
          </w:p>
        </w:tc>
        <w:tc>
          <w:tcPr>
            <w:tcW w:w="0" w:type="auto"/>
            <w:hideMark/>
          </w:tcPr>
          <w:p w14:paraId="4FD78E20"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 xml:space="preserve">+3,4 </w:t>
            </w:r>
            <w:proofErr w:type="spellStart"/>
            <w:r w:rsidRPr="0045639C">
              <w:rPr>
                <w:rFonts w:ascii="Times New Roman" w:hAnsi="Times New Roman" w:cs="Times New Roman"/>
                <w:bCs/>
                <w:sz w:val="24"/>
                <w:szCs w:val="24"/>
              </w:rPr>
              <w:t>в.п</w:t>
            </w:r>
            <w:proofErr w:type="spellEnd"/>
            <w:r w:rsidRPr="0045639C">
              <w:rPr>
                <w:rFonts w:ascii="Times New Roman" w:hAnsi="Times New Roman" w:cs="Times New Roman"/>
                <w:bCs/>
                <w:sz w:val="24"/>
                <w:szCs w:val="24"/>
              </w:rPr>
              <w:t>.</w:t>
            </w:r>
          </w:p>
        </w:tc>
      </w:tr>
      <w:tr w:rsidR="00C8376A" w:rsidRPr="00C8376A" w14:paraId="26C0FFCB" w14:textId="77777777" w:rsidTr="0045639C">
        <w:tc>
          <w:tcPr>
            <w:tcW w:w="0" w:type="auto"/>
            <w:hideMark/>
          </w:tcPr>
          <w:p w14:paraId="57EE7550"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Cs/>
                <w:sz w:val="24"/>
                <w:szCs w:val="24"/>
              </w:rPr>
              <w:t>— сума чистого збитку, млрд грн</w:t>
            </w:r>
          </w:p>
        </w:tc>
        <w:tc>
          <w:tcPr>
            <w:tcW w:w="0" w:type="auto"/>
            <w:hideMark/>
          </w:tcPr>
          <w:p w14:paraId="721754C0"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28,4</w:t>
            </w:r>
          </w:p>
        </w:tc>
        <w:tc>
          <w:tcPr>
            <w:tcW w:w="0" w:type="auto"/>
            <w:hideMark/>
          </w:tcPr>
          <w:p w14:paraId="041B5007"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41,2</w:t>
            </w:r>
          </w:p>
        </w:tc>
        <w:tc>
          <w:tcPr>
            <w:tcW w:w="0" w:type="auto"/>
            <w:hideMark/>
          </w:tcPr>
          <w:p w14:paraId="26D9BCD7"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56,8</w:t>
            </w:r>
          </w:p>
        </w:tc>
        <w:tc>
          <w:tcPr>
            <w:tcW w:w="0" w:type="auto"/>
            <w:hideMark/>
          </w:tcPr>
          <w:p w14:paraId="0A2E4299"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32,1</w:t>
            </w:r>
          </w:p>
        </w:tc>
        <w:tc>
          <w:tcPr>
            <w:tcW w:w="0" w:type="auto"/>
            <w:hideMark/>
          </w:tcPr>
          <w:p w14:paraId="2BBDADCB"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+3,7</w:t>
            </w:r>
          </w:p>
        </w:tc>
      </w:tr>
      <w:tr w:rsidR="00C8376A" w:rsidRPr="00C8376A" w14:paraId="6F0D65D0" w14:textId="77777777" w:rsidTr="0045639C">
        <w:tc>
          <w:tcPr>
            <w:tcW w:w="0" w:type="auto"/>
            <w:hideMark/>
          </w:tcPr>
          <w:p w14:paraId="5521C751"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
                <w:bCs/>
                <w:sz w:val="24"/>
                <w:szCs w:val="24"/>
              </w:rPr>
              <w:t>2. Підприємства на межі банкрутства (критичний стан):</w:t>
            </w:r>
          </w:p>
        </w:tc>
        <w:tc>
          <w:tcPr>
            <w:tcW w:w="0" w:type="auto"/>
            <w:hideMark/>
          </w:tcPr>
          <w:p w14:paraId="0BE84D97"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69F54131"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00D2DC81"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34620353" w14:textId="77777777" w:rsidR="00C8376A" w:rsidRPr="0045639C" w:rsidRDefault="00C8376A" w:rsidP="00C8376A">
            <w:pPr>
              <w:jc w:val="center"/>
              <w:rPr>
                <w:rFonts w:ascii="Times New Roman" w:hAnsi="Times New Roman" w:cs="Times New Roman"/>
                <w:bCs/>
                <w:sz w:val="24"/>
                <w:szCs w:val="24"/>
              </w:rPr>
            </w:pPr>
          </w:p>
        </w:tc>
        <w:tc>
          <w:tcPr>
            <w:tcW w:w="0" w:type="auto"/>
            <w:hideMark/>
          </w:tcPr>
          <w:p w14:paraId="2F26656A" w14:textId="77777777" w:rsidR="00C8376A" w:rsidRPr="0045639C" w:rsidRDefault="00C8376A" w:rsidP="00C8376A">
            <w:pPr>
              <w:jc w:val="center"/>
              <w:rPr>
                <w:rFonts w:ascii="Times New Roman" w:hAnsi="Times New Roman" w:cs="Times New Roman"/>
                <w:bCs/>
                <w:sz w:val="24"/>
                <w:szCs w:val="24"/>
              </w:rPr>
            </w:pPr>
          </w:p>
        </w:tc>
      </w:tr>
      <w:tr w:rsidR="00C8376A" w:rsidRPr="00C8376A" w14:paraId="7EC182F5" w14:textId="77777777" w:rsidTr="0045639C">
        <w:tc>
          <w:tcPr>
            <w:tcW w:w="0" w:type="auto"/>
            <w:hideMark/>
          </w:tcPr>
          <w:p w14:paraId="7007DE00"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Cs/>
                <w:sz w:val="24"/>
                <w:szCs w:val="24"/>
              </w:rPr>
              <w:t>— кількість, од.</w:t>
            </w:r>
          </w:p>
        </w:tc>
        <w:tc>
          <w:tcPr>
            <w:tcW w:w="0" w:type="auto"/>
            <w:hideMark/>
          </w:tcPr>
          <w:p w14:paraId="78DC8AC7"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311</w:t>
            </w:r>
          </w:p>
        </w:tc>
        <w:tc>
          <w:tcPr>
            <w:tcW w:w="0" w:type="auto"/>
            <w:hideMark/>
          </w:tcPr>
          <w:p w14:paraId="3FC4D9F9"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586</w:t>
            </w:r>
          </w:p>
        </w:tc>
        <w:tc>
          <w:tcPr>
            <w:tcW w:w="0" w:type="auto"/>
            <w:hideMark/>
          </w:tcPr>
          <w:p w14:paraId="7DEAEBA9"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847</w:t>
            </w:r>
          </w:p>
        </w:tc>
        <w:tc>
          <w:tcPr>
            <w:tcW w:w="0" w:type="auto"/>
            <w:hideMark/>
          </w:tcPr>
          <w:p w14:paraId="385FBA2A"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615</w:t>
            </w:r>
          </w:p>
        </w:tc>
        <w:tc>
          <w:tcPr>
            <w:tcW w:w="0" w:type="auto"/>
            <w:hideMark/>
          </w:tcPr>
          <w:p w14:paraId="4B75BC31"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+304</w:t>
            </w:r>
          </w:p>
        </w:tc>
      </w:tr>
      <w:tr w:rsidR="00C8376A" w:rsidRPr="00C8376A" w14:paraId="25545062" w14:textId="77777777" w:rsidTr="0045639C">
        <w:tc>
          <w:tcPr>
            <w:tcW w:w="0" w:type="auto"/>
            <w:hideMark/>
          </w:tcPr>
          <w:p w14:paraId="60C9E511"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Cs/>
                <w:sz w:val="24"/>
                <w:szCs w:val="24"/>
              </w:rPr>
              <w:t>— питома вага в загальній кількості, %</w:t>
            </w:r>
          </w:p>
        </w:tc>
        <w:tc>
          <w:tcPr>
            <w:tcW w:w="0" w:type="auto"/>
            <w:hideMark/>
          </w:tcPr>
          <w:p w14:paraId="3C65A4F4"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4,2</w:t>
            </w:r>
          </w:p>
        </w:tc>
        <w:tc>
          <w:tcPr>
            <w:tcW w:w="0" w:type="auto"/>
            <w:hideMark/>
          </w:tcPr>
          <w:p w14:paraId="2275EE13"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8,2</w:t>
            </w:r>
          </w:p>
        </w:tc>
        <w:tc>
          <w:tcPr>
            <w:tcW w:w="0" w:type="auto"/>
            <w:hideMark/>
          </w:tcPr>
          <w:p w14:paraId="213B02AE"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12,3</w:t>
            </w:r>
          </w:p>
        </w:tc>
        <w:tc>
          <w:tcPr>
            <w:tcW w:w="0" w:type="auto"/>
            <w:hideMark/>
          </w:tcPr>
          <w:p w14:paraId="6FE29464"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8,9</w:t>
            </w:r>
          </w:p>
        </w:tc>
        <w:tc>
          <w:tcPr>
            <w:tcW w:w="0" w:type="auto"/>
            <w:hideMark/>
          </w:tcPr>
          <w:p w14:paraId="6263AF98"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 xml:space="preserve">+4,7 </w:t>
            </w:r>
            <w:proofErr w:type="spellStart"/>
            <w:r w:rsidRPr="0045639C">
              <w:rPr>
                <w:rFonts w:ascii="Times New Roman" w:hAnsi="Times New Roman" w:cs="Times New Roman"/>
                <w:bCs/>
                <w:sz w:val="24"/>
                <w:szCs w:val="24"/>
              </w:rPr>
              <w:t>в.п</w:t>
            </w:r>
            <w:proofErr w:type="spellEnd"/>
            <w:r w:rsidRPr="0045639C">
              <w:rPr>
                <w:rFonts w:ascii="Times New Roman" w:hAnsi="Times New Roman" w:cs="Times New Roman"/>
                <w:bCs/>
                <w:sz w:val="24"/>
                <w:szCs w:val="24"/>
              </w:rPr>
              <w:t>.</w:t>
            </w:r>
          </w:p>
        </w:tc>
      </w:tr>
      <w:tr w:rsidR="00C8376A" w:rsidRPr="00C8376A" w14:paraId="298E6892" w14:textId="77777777" w:rsidTr="0045639C">
        <w:tc>
          <w:tcPr>
            <w:tcW w:w="0" w:type="auto"/>
            <w:hideMark/>
          </w:tcPr>
          <w:p w14:paraId="2E9C843D"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Cs/>
                <w:sz w:val="24"/>
                <w:szCs w:val="24"/>
              </w:rPr>
              <w:t>— обсяг від'ємного власного капіталу, млрд грн</w:t>
            </w:r>
          </w:p>
        </w:tc>
        <w:tc>
          <w:tcPr>
            <w:tcW w:w="0" w:type="auto"/>
            <w:hideMark/>
          </w:tcPr>
          <w:p w14:paraId="4589DA52"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8,2</w:t>
            </w:r>
          </w:p>
        </w:tc>
        <w:tc>
          <w:tcPr>
            <w:tcW w:w="0" w:type="auto"/>
            <w:hideMark/>
          </w:tcPr>
          <w:p w14:paraId="5489648A"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14,5</w:t>
            </w:r>
          </w:p>
        </w:tc>
        <w:tc>
          <w:tcPr>
            <w:tcW w:w="0" w:type="auto"/>
            <w:hideMark/>
          </w:tcPr>
          <w:p w14:paraId="35E2D96D"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22,1</w:t>
            </w:r>
          </w:p>
        </w:tc>
        <w:tc>
          <w:tcPr>
            <w:tcW w:w="0" w:type="auto"/>
            <w:hideMark/>
          </w:tcPr>
          <w:p w14:paraId="5ABBF586"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16,4</w:t>
            </w:r>
          </w:p>
        </w:tc>
        <w:tc>
          <w:tcPr>
            <w:tcW w:w="0" w:type="auto"/>
            <w:hideMark/>
          </w:tcPr>
          <w:p w14:paraId="77C70818"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+8,2</w:t>
            </w:r>
          </w:p>
        </w:tc>
      </w:tr>
      <w:tr w:rsidR="00C8376A" w:rsidRPr="00C8376A" w14:paraId="1B3F4729" w14:textId="77777777" w:rsidTr="0045639C">
        <w:tc>
          <w:tcPr>
            <w:tcW w:w="0" w:type="auto"/>
            <w:hideMark/>
          </w:tcPr>
          <w:p w14:paraId="574E7996" w14:textId="77777777" w:rsidR="00C8376A" w:rsidRPr="0045639C" w:rsidRDefault="00C8376A" w:rsidP="00C8376A">
            <w:pPr>
              <w:jc w:val="both"/>
              <w:rPr>
                <w:rFonts w:ascii="Times New Roman" w:hAnsi="Times New Roman" w:cs="Times New Roman"/>
                <w:bCs/>
                <w:sz w:val="24"/>
                <w:szCs w:val="24"/>
              </w:rPr>
            </w:pPr>
            <w:r w:rsidRPr="0045639C">
              <w:rPr>
                <w:rFonts w:ascii="Times New Roman" w:hAnsi="Times New Roman" w:cs="Times New Roman"/>
                <w:b/>
                <w:bCs/>
                <w:sz w:val="24"/>
                <w:szCs w:val="24"/>
              </w:rPr>
              <w:t>3. Показник фінансового ризику (Z-рахунок Альтмана для АПК, середній)</w:t>
            </w:r>
          </w:p>
        </w:tc>
        <w:tc>
          <w:tcPr>
            <w:tcW w:w="0" w:type="auto"/>
            <w:hideMark/>
          </w:tcPr>
          <w:p w14:paraId="789B5372"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2,85 (безпека)</w:t>
            </w:r>
          </w:p>
        </w:tc>
        <w:tc>
          <w:tcPr>
            <w:tcW w:w="0" w:type="auto"/>
            <w:hideMark/>
          </w:tcPr>
          <w:p w14:paraId="79DD2217"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2,10 (сіра зона)</w:t>
            </w:r>
          </w:p>
        </w:tc>
        <w:tc>
          <w:tcPr>
            <w:tcW w:w="0" w:type="auto"/>
            <w:hideMark/>
          </w:tcPr>
          <w:p w14:paraId="4CD72E06" w14:textId="77777777" w:rsidR="0045639C"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 xml:space="preserve">1,65 </w:t>
            </w:r>
          </w:p>
          <w:p w14:paraId="3371B8ED" w14:textId="682E21E5"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(зона ризику)</w:t>
            </w:r>
          </w:p>
        </w:tc>
        <w:tc>
          <w:tcPr>
            <w:tcW w:w="0" w:type="auto"/>
            <w:hideMark/>
          </w:tcPr>
          <w:p w14:paraId="2CD03D95"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2,34 (сіра зона)</w:t>
            </w:r>
          </w:p>
        </w:tc>
        <w:tc>
          <w:tcPr>
            <w:tcW w:w="0" w:type="auto"/>
            <w:hideMark/>
          </w:tcPr>
          <w:p w14:paraId="4BD73CAB" w14:textId="77777777" w:rsidR="00C8376A" w:rsidRPr="0045639C" w:rsidRDefault="00C8376A" w:rsidP="00C8376A">
            <w:pPr>
              <w:jc w:val="center"/>
              <w:rPr>
                <w:rFonts w:ascii="Times New Roman" w:hAnsi="Times New Roman" w:cs="Times New Roman"/>
                <w:bCs/>
                <w:sz w:val="24"/>
                <w:szCs w:val="24"/>
              </w:rPr>
            </w:pPr>
            <w:r w:rsidRPr="0045639C">
              <w:rPr>
                <w:rFonts w:ascii="Times New Roman" w:hAnsi="Times New Roman" w:cs="Times New Roman"/>
                <w:bCs/>
                <w:sz w:val="24"/>
                <w:szCs w:val="24"/>
              </w:rPr>
              <w:t>-0,51</w:t>
            </w:r>
          </w:p>
        </w:tc>
      </w:tr>
    </w:tbl>
    <w:p w14:paraId="7F49FA68" w14:textId="77777777" w:rsidR="0045639C" w:rsidRDefault="0045639C" w:rsidP="00C8376A">
      <w:pPr>
        <w:spacing w:after="0" w:line="360" w:lineRule="auto"/>
        <w:ind w:firstLine="709"/>
        <w:jc w:val="both"/>
        <w:rPr>
          <w:rFonts w:ascii="Times New Roman" w:hAnsi="Times New Roman" w:cs="Times New Roman"/>
          <w:bCs/>
          <w:i/>
          <w:iCs/>
          <w:sz w:val="28"/>
          <w:szCs w:val="28"/>
        </w:rPr>
      </w:pPr>
    </w:p>
    <w:p w14:paraId="07EFDC71" w14:textId="76DC6612" w:rsidR="00C8376A" w:rsidRPr="00C8376A" w:rsidRDefault="00C8376A" w:rsidP="00C8376A">
      <w:pPr>
        <w:spacing w:after="0" w:line="360" w:lineRule="auto"/>
        <w:ind w:firstLine="709"/>
        <w:jc w:val="both"/>
        <w:rPr>
          <w:rFonts w:ascii="Times New Roman" w:hAnsi="Times New Roman" w:cs="Times New Roman"/>
          <w:bCs/>
          <w:sz w:val="28"/>
          <w:szCs w:val="28"/>
        </w:rPr>
      </w:pPr>
      <w:r w:rsidRPr="00C8376A">
        <w:rPr>
          <w:rFonts w:ascii="Times New Roman" w:hAnsi="Times New Roman" w:cs="Times New Roman"/>
          <w:bCs/>
          <w:sz w:val="28"/>
          <w:szCs w:val="28"/>
        </w:rPr>
        <w:t>Період 2022</w:t>
      </w:r>
      <w:r w:rsidR="0045639C">
        <w:rPr>
          <w:rFonts w:ascii="Times New Roman" w:hAnsi="Times New Roman" w:cs="Times New Roman"/>
          <w:bCs/>
          <w:sz w:val="28"/>
          <w:szCs w:val="28"/>
        </w:rPr>
        <w:t>-</w:t>
      </w:r>
      <w:r w:rsidRPr="00C8376A">
        <w:rPr>
          <w:rFonts w:ascii="Times New Roman" w:hAnsi="Times New Roman" w:cs="Times New Roman"/>
          <w:bCs/>
          <w:sz w:val="28"/>
          <w:szCs w:val="28"/>
        </w:rPr>
        <w:t xml:space="preserve">2024 років характеризувався лавиноподібним ефектом: якщо у 2022 році збитковим було кожне четверте підприємство, то на піку кризи у 2024 році — </w:t>
      </w:r>
      <w:r w:rsidRPr="0045639C">
        <w:rPr>
          <w:rFonts w:ascii="Times New Roman" w:hAnsi="Times New Roman" w:cs="Times New Roman"/>
          <w:sz w:val="28"/>
          <w:szCs w:val="28"/>
        </w:rPr>
        <w:t>майже кожне друге (44,2%).</w:t>
      </w:r>
      <w:r w:rsidRPr="00C8376A">
        <w:rPr>
          <w:rFonts w:ascii="Times New Roman" w:hAnsi="Times New Roman" w:cs="Times New Roman"/>
          <w:bCs/>
          <w:sz w:val="28"/>
          <w:szCs w:val="28"/>
        </w:rPr>
        <w:t xml:space="preserve"> Загальна сума збитків досягла астрономічних 56,8 млрд грн. Це було зумовлено тим, що експортна ціна тонни пшениці чи кукурудзи на франко-елеваторі часто була нижчою за її повну собівартість через дорогу внутрішню логістику до портів ЄС.</w:t>
      </w:r>
    </w:p>
    <w:p w14:paraId="4FF2BFBD" w14:textId="355938DB" w:rsidR="00C8376A" w:rsidRDefault="00C8376A" w:rsidP="00C8376A">
      <w:pPr>
        <w:spacing w:after="0" w:line="360" w:lineRule="auto"/>
        <w:ind w:firstLine="709"/>
        <w:jc w:val="both"/>
        <w:rPr>
          <w:rFonts w:ascii="Times New Roman" w:hAnsi="Times New Roman" w:cs="Times New Roman"/>
          <w:bCs/>
          <w:sz w:val="28"/>
          <w:szCs w:val="28"/>
        </w:rPr>
      </w:pPr>
      <w:r w:rsidRPr="00C8376A">
        <w:rPr>
          <w:rFonts w:ascii="Times New Roman" w:hAnsi="Times New Roman" w:cs="Times New Roman"/>
          <w:bCs/>
          <w:sz w:val="28"/>
          <w:szCs w:val="28"/>
        </w:rPr>
        <w:t xml:space="preserve">Найбільш тривожним фактом є динаміка групи «на межі банкрутства». Їхня частка зросла майже втричі — з 4,2% до 12,3% у 2024 році. Економічна сутність цього стану полягає в тому, що накопичені чисті збитки повністю «з'їли» статутний та резервний капітал компаній. Такі підприємства функціонували виключно за рахунок товарних кредитів та простроченої кредиторської заборгованості, що є класичною ознакою </w:t>
      </w:r>
      <w:r w:rsidRPr="0045639C">
        <w:rPr>
          <w:rFonts w:ascii="Times New Roman" w:hAnsi="Times New Roman" w:cs="Times New Roman"/>
          <w:sz w:val="28"/>
          <w:szCs w:val="28"/>
        </w:rPr>
        <w:t>структурного банкрутства.</w:t>
      </w:r>
      <w:r w:rsidR="0045639C">
        <w:rPr>
          <w:rFonts w:ascii="Times New Roman" w:hAnsi="Times New Roman" w:cs="Times New Roman"/>
          <w:sz w:val="28"/>
          <w:szCs w:val="28"/>
        </w:rPr>
        <w:t xml:space="preserve"> </w:t>
      </w:r>
      <w:r w:rsidR="0045639C">
        <w:rPr>
          <w:rFonts w:ascii="Times New Roman" w:hAnsi="Times New Roman" w:cs="Times New Roman"/>
          <w:bCs/>
          <w:sz w:val="28"/>
          <w:szCs w:val="28"/>
        </w:rPr>
        <w:t>З</w:t>
      </w:r>
      <w:r w:rsidR="0045639C" w:rsidRPr="00C8376A">
        <w:rPr>
          <w:rFonts w:ascii="Times New Roman" w:hAnsi="Times New Roman" w:cs="Times New Roman"/>
          <w:bCs/>
          <w:sz w:val="28"/>
          <w:szCs w:val="28"/>
        </w:rPr>
        <w:t xml:space="preserve">ахисна </w:t>
      </w:r>
      <w:r w:rsidR="0045639C" w:rsidRPr="00C8376A">
        <w:rPr>
          <w:rFonts w:ascii="Times New Roman" w:hAnsi="Times New Roman" w:cs="Times New Roman"/>
          <w:bCs/>
          <w:sz w:val="28"/>
          <w:szCs w:val="28"/>
        </w:rPr>
        <w:lastRenderedPageBreak/>
        <w:t>функція капіталу у 12,3% підприємств у 2024 році повністю нівелювалася, що й призвело їх до межі ліквідації.</w:t>
      </w:r>
    </w:p>
    <w:p w14:paraId="0C8EBEB1" w14:textId="27833CAB" w:rsidR="00CB3942" w:rsidRPr="00CB3942" w:rsidRDefault="00C8376A" w:rsidP="00751348">
      <w:pPr>
        <w:spacing w:after="0" w:line="360" w:lineRule="auto"/>
        <w:ind w:firstLine="709"/>
        <w:jc w:val="both"/>
        <w:rPr>
          <w:rFonts w:ascii="Times New Roman" w:hAnsi="Times New Roman" w:cs="Times New Roman"/>
          <w:bCs/>
          <w:sz w:val="28"/>
          <w:szCs w:val="28"/>
        </w:rPr>
      </w:pPr>
      <w:r w:rsidRPr="00C8376A">
        <w:rPr>
          <w:rFonts w:ascii="Times New Roman" w:hAnsi="Times New Roman" w:cs="Times New Roman"/>
          <w:bCs/>
          <w:sz w:val="28"/>
          <w:szCs w:val="28"/>
        </w:rPr>
        <w:t>Статистика 2025 року демонструє чітку лінію розмежування в секторі. Відновлення морського експорту врятувало середні та великі підприємства: питома вага збиткових компаній впала до 29,8%. Однак для 8,9% підприємств (615 од.), які перебувають на межі банкрутства, криза набула хронічного характеру — вони не мають власного капіталу для відновлення технічного парку чи купівлі посівного матеріалу</w:t>
      </w:r>
      <w:r w:rsidR="005B38FE">
        <w:rPr>
          <w:rFonts w:ascii="Times New Roman" w:hAnsi="Times New Roman" w:cs="Times New Roman"/>
          <w:bCs/>
          <w:sz w:val="28"/>
          <w:szCs w:val="28"/>
        </w:rPr>
        <w:t>.</w:t>
      </w:r>
      <w:r w:rsidR="00751348">
        <w:rPr>
          <w:rFonts w:ascii="Times New Roman" w:hAnsi="Times New Roman" w:cs="Times New Roman"/>
          <w:bCs/>
          <w:sz w:val="28"/>
          <w:szCs w:val="28"/>
        </w:rPr>
        <w:t xml:space="preserve"> </w:t>
      </w:r>
      <w:r w:rsidR="00CB3942" w:rsidRPr="00CB3942">
        <w:rPr>
          <w:rFonts w:ascii="Times New Roman" w:hAnsi="Times New Roman" w:cs="Times New Roman"/>
          <w:bCs/>
          <w:sz w:val="28"/>
          <w:szCs w:val="28"/>
        </w:rPr>
        <w:t>Функціональну роль капіталу в забезпеченні стабільності АПК структуровано у табл</w:t>
      </w:r>
      <w:r w:rsidR="005B38FE">
        <w:rPr>
          <w:rFonts w:ascii="Times New Roman" w:hAnsi="Times New Roman" w:cs="Times New Roman"/>
          <w:bCs/>
          <w:sz w:val="28"/>
          <w:szCs w:val="28"/>
        </w:rPr>
        <w:t>.</w:t>
      </w:r>
      <w:r w:rsidR="00CB3942" w:rsidRPr="00CB3942">
        <w:rPr>
          <w:rFonts w:ascii="Times New Roman" w:hAnsi="Times New Roman" w:cs="Times New Roman"/>
          <w:bCs/>
          <w:sz w:val="28"/>
          <w:szCs w:val="28"/>
        </w:rPr>
        <w:t xml:space="preserve"> 1.</w:t>
      </w:r>
      <w:r w:rsidR="0045639C">
        <w:rPr>
          <w:rFonts w:ascii="Times New Roman" w:hAnsi="Times New Roman" w:cs="Times New Roman"/>
          <w:bCs/>
          <w:sz w:val="28"/>
          <w:szCs w:val="28"/>
        </w:rPr>
        <w:t>2</w:t>
      </w:r>
      <w:r w:rsidR="00CB3942" w:rsidRPr="00CB3942">
        <w:rPr>
          <w:rFonts w:ascii="Times New Roman" w:hAnsi="Times New Roman" w:cs="Times New Roman"/>
          <w:bCs/>
          <w:sz w:val="28"/>
          <w:szCs w:val="28"/>
        </w:rPr>
        <w:t>.</w:t>
      </w:r>
    </w:p>
    <w:p w14:paraId="7D62CD36" w14:textId="77777777" w:rsidR="0045639C" w:rsidRDefault="00CB3942" w:rsidP="0045639C">
      <w:pPr>
        <w:spacing w:after="0" w:line="360" w:lineRule="auto"/>
        <w:ind w:firstLine="709"/>
        <w:jc w:val="right"/>
        <w:rPr>
          <w:rFonts w:ascii="Times New Roman" w:hAnsi="Times New Roman" w:cs="Times New Roman"/>
          <w:bCs/>
          <w:sz w:val="28"/>
          <w:szCs w:val="28"/>
        </w:rPr>
      </w:pPr>
      <w:r w:rsidRPr="00CB3942">
        <w:rPr>
          <w:rFonts w:ascii="Times New Roman" w:hAnsi="Times New Roman" w:cs="Times New Roman"/>
          <w:bCs/>
          <w:sz w:val="28"/>
          <w:szCs w:val="28"/>
        </w:rPr>
        <w:t>Таблиця 1.</w:t>
      </w:r>
      <w:r w:rsidR="0045639C">
        <w:rPr>
          <w:rFonts w:ascii="Times New Roman" w:hAnsi="Times New Roman" w:cs="Times New Roman"/>
          <w:bCs/>
          <w:sz w:val="28"/>
          <w:szCs w:val="28"/>
        </w:rPr>
        <w:t>2</w:t>
      </w:r>
      <w:r w:rsidRPr="00CB3942">
        <w:rPr>
          <w:rFonts w:ascii="Times New Roman" w:hAnsi="Times New Roman" w:cs="Times New Roman"/>
          <w:bCs/>
          <w:sz w:val="28"/>
          <w:szCs w:val="28"/>
        </w:rPr>
        <w:t xml:space="preserve"> </w:t>
      </w:r>
    </w:p>
    <w:p w14:paraId="5B3648FE" w14:textId="05A2E7DA" w:rsidR="00CB3942" w:rsidRPr="00CB3942" w:rsidRDefault="00CB3942" w:rsidP="0045639C">
      <w:pPr>
        <w:spacing w:after="0" w:line="360" w:lineRule="auto"/>
        <w:ind w:firstLine="709"/>
        <w:jc w:val="center"/>
        <w:rPr>
          <w:rFonts w:ascii="Times New Roman" w:hAnsi="Times New Roman" w:cs="Times New Roman"/>
          <w:sz w:val="28"/>
          <w:szCs w:val="28"/>
        </w:rPr>
      </w:pPr>
      <w:r w:rsidRPr="00CB3942">
        <w:rPr>
          <w:rFonts w:ascii="Times New Roman" w:hAnsi="Times New Roman" w:cs="Times New Roman"/>
          <w:bCs/>
          <w:sz w:val="28"/>
          <w:szCs w:val="28"/>
        </w:rPr>
        <w:t>Функціональна матриця капіталу в системі забезпечення</w:t>
      </w:r>
      <w:r w:rsidRPr="00CB3942">
        <w:rPr>
          <w:rFonts w:ascii="Times New Roman" w:hAnsi="Times New Roman" w:cs="Times New Roman"/>
          <w:b/>
          <w:bCs/>
          <w:sz w:val="28"/>
          <w:szCs w:val="28"/>
        </w:rPr>
        <w:t xml:space="preserve"> </w:t>
      </w:r>
      <w:r w:rsidRPr="00CB3942">
        <w:rPr>
          <w:rFonts w:ascii="Times New Roman" w:hAnsi="Times New Roman" w:cs="Times New Roman"/>
          <w:sz w:val="28"/>
          <w:szCs w:val="28"/>
        </w:rPr>
        <w:t>фінансової стійкості підприємства</w:t>
      </w:r>
      <w:r w:rsidR="00B251B9">
        <w:rPr>
          <w:rFonts w:ascii="Times New Roman" w:hAnsi="Times New Roman" w:cs="Times New Roman"/>
          <w:sz w:val="28"/>
          <w:szCs w:val="28"/>
        </w:rPr>
        <w:t xml:space="preserve"> </w:t>
      </w:r>
      <w:r w:rsidR="00B251B9" w:rsidRPr="00CB3942">
        <w:rPr>
          <w:rFonts w:ascii="Times New Roman" w:hAnsi="Times New Roman" w:cs="Times New Roman"/>
          <w:bCs/>
          <w:sz w:val="28"/>
          <w:szCs w:val="28"/>
        </w:rPr>
        <w:t>[</w:t>
      </w:r>
      <w:r w:rsidR="00B251B9">
        <w:rPr>
          <w:rFonts w:ascii="Times New Roman" w:hAnsi="Times New Roman" w:cs="Times New Roman"/>
          <w:bCs/>
          <w:sz w:val="28"/>
          <w:szCs w:val="28"/>
        </w:rPr>
        <w:t>40</w:t>
      </w:r>
      <w:r w:rsidR="00B251B9" w:rsidRPr="00CB3942">
        <w:rPr>
          <w:rFonts w:ascii="Times New Roman" w:hAnsi="Times New Roman" w:cs="Times New Roman"/>
          <w:bCs/>
          <w:sz w:val="28"/>
          <w:szCs w:val="28"/>
        </w:rPr>
        <w:t>]</w:t>
      </w:r>
    </w:p>
    <w:tbl>
      <w:tblPr>
        <w:tblStyle w:val="af0"/>
        <w:tblW w:w="0" w:type="auto"/>
        <w:tblLook w:val="04A0" w:firstRow="1" w:lastRow="0" w:firstColumn="1" w:lastColumn="0" w:noHBand="0" w:noVBand="1"/>
      </w:tblPr>
      <w:tblGrid>
        <w:gridCol w:w="2406"/>
        <w:gridCol w:w="4062"/>
        <w:gridCol w:w="3159"/>
      </w:tblGrid>
      <w:tr w:rsidR="00CB3942" w:rsidRPr="00CB3942" w14:paraId="1EEEEBA0" w14:textId="77777777" w:rsidTr="0045639C">
        <w:tc>
          <w:tcPr>
            <w:tcW w:w="0" w:type="auto"/>
            <w:hideMark/>
          </w:tcPr>
          <w:p w14:paraId="4C9B170F" w14:textId="77777777" w:rsidR="00CB3942" w:rsidRPr="0045639C" w:rsidRDefault="00CB3942" w:rsidP="0045639C">
            <w:pPr>
              <w:jc w:val="center"/>
              <w:rPr>
                <w:rFonts w:ascii="Times New Roman" w:hAnsi="Times New Roman" w:cs="Times New Roman"/>
                <w:sz w:val="28"/>
                <w:szCs w:val="28"/>
              </w:rPr>
            </w:pPr>
            <w:r w:rsidRPr="0045639C">
              <w:rPr>
                <w:rFonts w:ascii="Times New Roman" w:hAnsi="Times New Roman" w:cs="Times New Roman"/>
                <w:sz w:val="28"/>
                <w:szCs w:val="28"/>
              </w:rPr>
              <w:t>Функція капіталу</w:t>
            </w:r>
          </w:p>
        </w:tc>
        <w:tc>
          <w:tcPr>
            <w:tcW w:w="0" w:type="auto"/>
            <w:hideMark/>
          </w:tcPr>
          <w:p w14:paraId="74D06BAB" w14:textId="77777777" w:rsidR="00CB3942" w:rsidRPr="0045639C" w:rsidRDefault="00CB3942" w:rsidP="0045639C">
            <w:pPr>
              <w:jc w:val="center"/>
              <w:rPr>
                <w:rFonts w:ascii="Times New Roman" w:hAnsi="Times New Roman" w:cs="Times New Roman"/>
                <w:sz w:val="28"/>
                <w:szCs w:val="28"/>
              </w:rPr>
            </w:pPr>
            <w:r w:rsidRPr="0045639C">
              <w:rPr>
                <w:rFonts w:ascii="Times New Roman" w:hAnsi="Times New Roman" w:cs="Times New Roman"/>
                <w:sz w:val="28"/>
                <w:szCs w:val="28"/>
              </w:rPr>
              <w:t>Економічний зміст у межах АПК</w:t>
            </w:r>
          </w:p>
        </w:tc>
        <w:tc>
          <w:tcPr>
            <w:tcW w:w="0" w:type="auto"/>
            <w:hideMark/>
          </w:tcPr>
          <w:p w14:paraId="4ED70572" w14:textId="77777777" w:rsidR="0045639C" w:rsidRDefault="00CB3942" w:rsidP="0045639C">
            <w:pPr>
              <w:jc w:val="center"/>
              <w:rPr>
                <w:rFonts w:ascii="Times New Roman" w:hAnsi="Times New Roman" w:cs="Times New Roman"/>
                <w:sz w:val="28"/>
                <w:szCs w:val="28"/>
              </w:rPr>
            </w:pPr>
            <w:r w:rsidRPr="0045639C">
              <w:rPr>
                <w:rFonts w:ascii="Times New Roman" w:hAnsi="Times New Roman" w:cs="Times New Roman"/>
                <w:sz w:val="28"/>
                <w:szCs w:val="28"/>
              </w:rPr>
              <w:t xml:space="preserve">Індикатор прояву </w:t>
            </w:r>
          </w:p>
          <w:p w14:paraId="7ABF7B6D" w14:textId="5AA3894C" w:rsidR="00CB3942" w:rsidRPr="0045639C" w:rsidRDefault="00CB3942" w:rsidP="0045639C">
            <w:pPr>
              <w:jc w:val="center"/>
              <w:rPr>
                <w:rFonts w:ascii="Times New Roman" w:hAnsi="Times New Roman" w:cs="Times New Roman"/>
                <w:sz w:val="28"/>
                <w:szCs w:val="28"/>
              </w:rPr>
            </w:pPr>
            <w:r w:rsidRPr="0045639C">
              <w:rPr>
                <w:rFonts w:ascii="Times New Roman" w:hAnsi="Times New Roman" w:cs="Times New Roman"/>
                <w:sz w:val="28"/>
                <w:szCs w:val="28"/>
              </w:rPr>
              <w:t>(за ф. №1 та ф. №2)</w:t>
            </w:r>
          </w:p>
        </w:tc>
      </w:tr>
      <w:tr w:rsidR="00CB3942" w:rsidRPr="00CB3942" w14:paraId="14B7595C" w14:textId="77777777" w:rsidTr="0045639C">
        <w:tc>
          <w:tcPr>
            <w:tcW w:w="0" w:type="auto"/>
            <w:hideMark/>
          </w:tcPr>
          <w:p w14:paraId="4ED229AC"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Захисна (амортизаційна)</w:t>
            </w:r>
          </w:p>
        </w:tc>
        <w:tc>
          <w:tcPr>
            <w:tcW w:w="0" w:type="auto"/>
            <w:hideMark/>
          </w:tcPr>
          <w:p w14:paraId="6F958F70"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Поглинання раптових збитків від форс-мажорів (втрата врожаю, руйнування інфраструктури) без зупинки операційного циклу.</w:t>
            </w:r>
          </w:p>
        </w:tc>
        <w:tc>
          <w:tcPr>
            <w:tcW w:w="0" w:type="auto"/>
            <w:hideMark/>
          </w:tcPr>
          <w:p w14:paraId="57ACA15D"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Зростання резервного капіталу, достатній рівень нерозподіленого прибутку.</w:t>
            </w:r>
          </w:p>
        </w:tc>
      </w:tr>
      <w:tr w:rsidR="00CB3942" w:rsidRPr="00CB3942" w14:paraId="6471A9B8" w14:textId="77777777" w:rsidTr="0045639C">
        <w:tc>
          <w:tcPr>
            <w:tcW w:w="0" w:type="auto"/>
            <w:hideMark/>
          </w:tcPr>
          <w:p w14:paraId="58EBD977"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Забезпечувальна (операційна)</w:t>
            </w:r>
          </w:p>
        </w:tc>
        <w:tc>
          <w:tcPr>
            <w:tcW w:w="0" w:type="auto"/>
            <w:hideMark/>
          </w:tcPr>
          <w:p w14:paraId="6B02892A"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Фінансування формування оборотних засобів під час тривалого виробничого лагу (посівна – збирання).</w:t>
            </w:r>
          </w:p>
        </w:tc>
        <w:tc>
          <w:tcPr>
            <w:tcW w:w="0" w:type="auto"/>
            <w:hideMark/>
          </w:tcPr>
          <w:p w14:paraId="5B54EF6A"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Оптимальне співвідношення між чистим оборотним капіталом та виробничими запасами.</w:t>
            </w:r>
          </w:p>
        </w:tc>
      </w:tr>
      <w:tr w:rsidR="00CB3942" w:rsidRPr="00CB3942" w14:paraId="5E82271D" w14:textId="77777777" w:rsidTr="0045639C">
        <w:tc>
          <w:tcPr>
            <w:tcW w:w="0" w:type="auto"/>
            <w:hideMark/>
          </w:tcPr>
          <w:p w14:paraId="7788ED7A"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Репутаційна (інвестиційна)</w:t>
            </w:r>
          </w:p>
        </w:tc>
        <w:tc>
          <w:tcPr>
            <w:tcW w:w="0" w:type="auto"/>
            <w:hideMark/>
          </w:tcPr>
          <w:p w14:paraId="5B0B6844"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Визначення рівня довіри з боку банківських установ та постачальників (надання товарних кредитів, добрив під виплату).</w:t>
            </w:r>
          </w:p>
        </w:tc>
        <w:tc>
          <w:tcPr>
            <w:tcW w:w="0" w:type="auto"/>
            <w:hideMark/>
          </w:tcPr>
          <w:p w14:paraId="5FABD7C9" w14:textId="4741EBCB"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Коефіцієнт фінансової залежності, плече фінансового важеля (ЗК/ВК).</w:t>
            </w:r>
          </w:p>
        </w:tc>
      </w:tr>
      <w:tr w:rsidR="00CB3942" w:rsidRPr="00CB3942" w14:paraId="4F7C3F23" w14:textId="77777777" w:rsidTr="0045639C">
        <w:tc>
          <w:tcPr>
            <w:tcW w:w="0" w:type="auto"/>
            <w:hideMark/>
          </w:tcPr>
          <w:p w14:paraId="42236F5B"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Стратегічна (</w:t>
            </w:r>
            <w:proofErr w:type="spellStart"/>
            <w:r w:rsidRPr="0045639C">
              <w:rPr>
                <w:rFonts w:ascii="Times New Roman" w:hAnsi="Times New Roman" w:cs="Times New Roman"/>
                <w:sz w:val="28"/>
                <w:szCs w:val="28"/>
              </w:rPr>
              <w:t>модернізаційна</w:t>
            </w:r>
            <w:proofErr w:type="spellEnd"/>
            <w:r w:rsidRPr="0045639C">
              <w:rPr>
                <w:rFonts w:ascii="Times New Roman" w:hAnsi="Times New Roman" w:cs="Times New Roman"/>
                <w:sz w:val="28"/>
                <w:szCs w:val="28"/>
              </w:rPr>
              <w:t>)</w:t>
            </w:r>
          </w:p>
        </w:tc>
        <w:tc>
          <w:tcPr>
            <w:tcW w:w="0" w:type="auto"/>
            <w:hideMark/>
          </w:tcPr>
          <w:p w14:paraId="6473DE82" w14:textId="251B4E63"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Можливість здійснювати капітальні інвестиції у переробку, елеваторне господарство та енергонезалежність.</w:t>
            </w:r>
          </w:p>
        </w:tc>
        <w:tc>
          <w:tcPr>
            <w:tcW w:w="0" w:type="auto"/>
            <w:hideMark/>
          </w:tcPr>
          <w:p w14:paraId="4C2C0302" w14:textId="77777777" w:rsidR="00CB3942" w:rsidRPr="0045639C" w:rsidRDefault="00CB3942" w:rsidP="0045639C">
            <w:pPr>
              <w:jc w:val="both"/>
              <w:rPr>
                <w:rFonts w:ascii="Times New Roman" w:hAnsi="Times New Roman" w:cs="Times New Roman"/>
                <w:sz w:val="28"/>
                <w:szCs w:val="28"/>
              </w:rPr>
            </w:pPr>
            <w:r w:rsidRPr="0045639C">
              <w:rPr>
                <w:rFonts w:ascii="Times New Roman" w:hAnsi="Times New Roman" w:cs="Times New Roman"/>
                <w:sz w:val="28"/>
                <w:szCs w:val="28"/>
              </w:rPr>
              <w:t>Частка власного капіталу, спрямована у довгострокові біологічні та необоротні активи.</w:t>
            </w:r>
          </w:p>
        </w:tc>
      </w:tr>
    </w:tbl>
    <w:p w14:paraId="6E1520C4" w14:textId="77777777" w:rsidR="00AF7C75" w:rsidRDefault="00AF7C75" w:rsidP="00CB3942">
      <w:pPr>
        <w:spacing w:after="0" w:line="360" w:lineRule="auto"/>
        <w:ind w:firstLine="709"/>
        <w:jc w:val="both"/>
        <w:rPr>
          <w:rFonts w:ascii="Times New Roman" w:hAnsi="Times New Roman" w:cs="Times New Roman"/>
          <w:bCs/>
          <w:sz w:val="28"/>
          <w:szCs w:val="28"/>
        </w:rPr>
      </w:pPr>
    </w:p>
    <w:p w14:paraId="6C8F12A1" w14:textId="6989FF54" w:rsidR="00CB3942" w:rsidRPr="0045639C" w:rsidRDefault="00CB3942" w:rsidP="00CB3942">
      <w:pPr>
        <w:spacing w:after="0" w:line="360" w:lineRule="auto"/>
        <w:ind w:firstLine="709"/>
        <w:jc w:val="both"/>
        <w:rPr>
          <w:rFonts w:ascii="Times New Roman" w:hAnsi="Times New Roman" w:cs="Times New Roman"/>
          <w:bCs/>
          <w:sz w:val="28"/>
          <w:szCs w:val="28"/>
        </w:rPr>
      </w:pPr>
      <w:r w:rsidRPr="0045639C">
        <w:rPr>
          <w:rFonts w:ascii="Times New Roman" w:hAnsi="Times New Roman" w:cs="Times New Roman"/>
          <w:bCs/>
          <w:sz w:val="28"/>
          <w:szCs w:val="28"/>
        </w:rPr>
        <w:t>Специфіка капіталу в агробізнесі полягає також у його «</w:t>
      </w:r>
      <w:proofErr w:type="spellStart"/>
      <w:r w:rsidRPr="0045639C">
        <w:rPr>
          <w:rFonts w:ascii="Times New Roman" w:hAnsi="Times New Roman" w:cs="Times New Roman"/>
          <w:bCs/>
          <w:sz w:val="28"/>
          <w:szCs w:val="28"/>
        </w:rPr>
        <w:t>імобілізації</w:t>
      </w:r>
      <w:proofErr w:type="spellEnd"/>
      <w:r w:rsidRPr="0045639C">
        <w:rPr>
          <w:rFonts w:ascii="Times New Roman" w:hAnsi="Times New Roman" w:cs="Times New Roman"/>
          <w:bCs/>
          <w:sz w:val="28"/>
          <w:szCs w:val="28"/>
        </w:rPr>
        <w:t xml:space="preserve">» — значна частина активів представлена землею (правами оренди), багаторічними </w:t>
      </w:r>
      <w:r w:rsidRPr="0045639C">
        <w:rPr>
          <w:rFonts w:ascii="Times New Roman" w:hAnsi="Times New Roman" w:cs="Times New Roman"/>
          <w:bCs/>
          <w:sz w:val="28"/>
          <w:szCs w:val="28"/>
        </w:rPr>
        <w:lastRenderedPageBreak/>
        <w:t>насадженнями та продуктивною худобою. Це активи з низькою абсолютною ліквідністю. Відтак, навіть за високої загальної вартості капіталу, підприємство може відчувати гострий дефіцит грошових коштів (ліквідного капіталу).</w:t>
      </w:r>
    </w:p>
    <w:p w14:paraId="47CAA06D" w14:textId="6D2718C4" w:rsidR="00CB3942" w:rsidRDefault="005B38FE" w:rsidP="00CB394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w:t>
      </w:r>
      <w:r w:rsidR="00CB3942" w:rsidRPr="0045639C">
        <w:rPr>
          <w:rFonts w:ascii="Times New Roman" w:hAnsi="Times New Roman" w:cs="Times New Roman"/>
          <w:bCs/>
          <w:sz w:val="28"/>
          <w:szCs w:val="28"/>
        </w:rPr>
        <w:t xml:space="preserve">кономічна сутність капіталу в контексті фінансової стійкості полягає у забезпеченні динамічного балансу між захисною та </w:t>
      </w:r>
      <w:proofErr w:type="spellStart"/>
      <w:r w:rsidR="00CB3942" w:rsidRPr="0045639C">
        <w:rPr>
          <w:rFonts w:ascii="Times New Roman" w:hAnsi="Times New Roman" w:cs="Times New Roman"/>
          <w:bCs/>
          <w:sz w:val="28"/>
          <w:szCs w:val="28"/>
        </w:rPr>
        <w:t>капіталотворчою</w:t>
      </w:r>
      <w:proofErr w:type="spellEnd"/>
      <w:r w:rsidR="00CB3942" w:rsidRPr="0045639C">
        <w:rPr>
          <w:rFonts w:ascii="Times New Roman" w:hAnsi="Times New Roman" w:cs="Times New Roman"/>
          <w:bCs/>
          <w:sz w:val="28"/>
          <w:szCs w:val="28"/>
        </w:rPr>
        <w:t xml:space="preserve"> функціями. Капітал агропідприємства виступає одночасно і генератором прибутку, і внутрішнім гарантом фінансової безпеки, спроможним нівелювати макроекономічні коливання та трансформаційні ризики галузі.</w:t>
      </w:r>
    </w:p>
    <w:p w14:paraId="533E4BAE" w14:textId="3E92997B"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 xml:space="preserve">Емпіричний аналіз фінансової звітності </w:t>
      </w:r>
      <w:r>
        <w:rPr>
          <w:rFonts w:ascii="Times New Roman" w:hAnsi="Times New Roman" w:cs="Times New Roman"/>
          <w:bCs/>
          <w:sz w:val="28"/>
          <w:szCs w:val="28"/>
        </w:rPr>
        <w:t>агропідприємств</w:t>
      </w:r>
      <w:r w:rsidRPr="005C175A">
        <w:rPr>
          <w:rFonts w:ascii="Times New Roman" w:hAnsi="Times New Roman" w:cs="Times New Roman"/>
          <w:bCs/>
          <w:sz w:val="28"/>
          <w:szCs w:val="28"/>
        </w:rPr>
        <w:t xml:space="preserve"> дозволяє виділити три ключові моделі поведінки капіталу в умовах кризи: модель капітальної стійкості (адаптації), модель </w:t>
      </w:r>
      <w:proofErr w:type="spellStart"/>
      <w:r w:rsidRPr="005C175A">
        <w:rPr>
          <w:rFonts w:ascii="Times New Roman" w:hAnsi="Times New Roman" w:cs="Times New Roman"/>
          <w:bCs/>
          <w:sz w:val="28"/>
          <w:szCs w:val="28"/>
        </w:rPr>
        <w:t>логістично</w:t>
      </w:r>
      <w:proofErr w:type="spellEnd"/>
      <w:r w:rsidRPr="005C175A">
        <w:rPr>
          <w:rFonts w:ascii="Times New Roman" w:hAnsi="Times New Roman" w:cs="Times New Roman"/>
          <w:bCs/>
          <w:sz w:val="28"/>
          <w:szCs w:val="28"/>
        </w:rPr>
        <w:t>-кризового вимивання капіталу та модель глибокої деструкції (на межі банкрутства)</w:t>
      </w:r>
      <w:r w:rsidR="00B251B9">
        <w:rPr>
          <w:rFonts w:ascii="Times New Roman" w:hAnsi="Times New Roman" w:cs="Times New Roman"/>
          <w:bCs/>
          <w:sz w:val="28"/>
          <w:szCs w:val="28"/>
        </w:rPr>
        <w:t xml:space="preserve"> </w:t>
      </w:r>
      <w:r w:rsidR="00B251B9" w:rsidRPr="00CB3942">
        <w:rPr>
          <w:rFonts w:ascii="Times New Roman" w:hAnsi="Times New Roman" w:cs="Times New Roman"/>
          <w:bCs/>
          <w:sz w:val="28"/>
          <w:szCs w:val="28"/>
        </w:rPr>
        <w:t>[</w:t>
      </w:r>
      <w:r w:rsidR="00B251B9">
        <w:rPr>
          <w:rFonts w:ascii="Times New Roman" w:hAnsi="Times New Roman" w:cs="Times New Roman"/>
          <w:bCs/>
          <w:sz w:val="28"/>
          <w:szCs w:val="28"/>
        </w:rPr>
        <w:t>26</w:t>
      </w:r>
      <w:r w:rsidR="00B251B9" w:rsidRPr="00CB3942">
        <w:rPr>
          <w:rFonts w:ascii="Times New Roman" w:hAnsi="Times New Roman" w:cs="Times New Roman"/>
          <w:bCs/>
          <w:sz w:val="28"/>
          <w:szCs w:val="28"/>
        </w:rPr>
        <w:t>]</w:t>
      </w:r>
      <w:r w:rsidRPr="005C175A">
        <w:rPr>
          <w:rFonts w:ascii="Times New Roman" w:hAnsi="Times New Roman" w:cs="Times New Roman"/>
          <w:bCs/>
          <w:sz w:val="28"/>
          <w:szCs w:val="28"/>
        </w:rPr>
        <w:t>.</w:t>
      </w:r>
    </w:p>
    <w:p w14:paraId="401CEE4A" w14:textId="51585D55"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 xml:space="preserve">1. Модель капітальної стійкості та диверсифікації (Приклади: </w:t>
      </w:r>
      <w:proofErr w:type="spellStart"/>
      <w:r w:rsidRPr="005C175A">
        <w:rPr>
          <w:rFonts w:ascii="Times New Roman" w:hAnsi="Times New Roman" w:cs="Times New Roman"/>
          <w:bCs/>
          <w:sz w:val="28"/>
          <w:szCs w:val="28"/>
        </w:rPr>
        <w:t>Агрохолдинг</w:t>
      </w:r>
      <w:proofErr w:type="spellEnd"/>
      <w:r w:rsidRPr="005C175A">
        <w:rPr>
          <w:rFonts w:ascii="Times New Roman" w:hAnsi="Times New Roman" w:cs="Times New Roman"/>
          <w:bCs/>
          <w:sz w:val="28"/>
          <w:szCs w:val="28"/>
        </w:rPr>
        <w:t xml:space="preserve"> «МХП», </w:t>
      </w:r>
      <w:proofErr w:type="spellStart"/>
      <w:r w:rsidRPr="005C175A">
        <w:rPr>
          <w:rFonts w:ascii="Times New Roman" w:hAnsi="Times New Roman" w:cs="Times New Roman"/>
          <w:bCs/>
          <w:sz w:val="28"/>
          <w:szCs w:val="28"/>
        </w:rPr>
        <w:t>Ерідон</w:t>
      </w:r>
      <w:proofErr w:type="spellEnd"/>
      <w:r w:rsidRPr="005C175A">
        <w:rPr>
          <w:rFonts w:ascii="Times New Roman" w:hAnsi="Times New Roman" w:cs="Times New Roman"/>
          <w:bCs/>
          <w:sz w:val="28"/>
          <w:szCs w:val="28"/>
        </w:rPr>
        <w:t>, ТОВ «</w:t>
      </w:r>
      <w:proofErr w:type="spellStart"/>
      <w:r w:rsidRPr="005C175A">
        <w:rPr>
          <w:rFonts w:ascii="Times New Roman" w:hAnsi="Times New Roman" w:cs="Times New Roman"/>
          <w:bCs/>
          <w:sz w:val="28"/>
          <w:szCs w:val="28"/>
        </w:rPr>
        <w:t>Агропродсервіс</w:t>
      </w:r>
      <w:proofErr w:type="spellEnd"/>
      <w:r w:rsidRPr="005C175A">
        <w:rPr>
          <w:rFonts w:ascii="Times New Roman" w:hAnsi="Times New Roman" w:cs="Times New Roman"/>
          <w:bCs/>
          <w:sz w:val="28"/>
          <w:szCs w:val="28"/>
        </w:rPr>
        <w:t>»)</w:t>
      </w:r>
      <w:r>
        <w:rPr>
          <w:rFonts w:ascii="Times New Roman" w:hAnsi="Times New Roman" w:cs="Times New Roman"/>
          <w:bCs/>
          <w:sz w:val="28"/>
          <w:szCs w:val="28"/>
        </w:rPr>
        <w:t xml:space="preserve">. </w:t>
      </w:r>
      <w:r w:rsidRPr="005C175A">
        <w:rPr>
          <w:rFonts w:ascii="Times New Roman" w:hAnsi="Times New Roman" w:cs="Times New Roman"/>
          <w:bCs/>
          <w:sz w:val="28"/>
          <w:szCs w:val="28"/>
        </w:rPr>
        <w:t xml:space="preserve">Підприємства цієї групи продемонстрували найвищу життєздатність захисної функції капіталу завдяки розвитку власної переробки та географічній диверсифікації </w:t>
      </w:r>
      <w:proofErr w:type="spellStart"/>
      <w:r w:rsidRPr="005C175A">
        <w:rPr>
          <w:rFonts w:ascii="Times New Roman" w:hAnsi="Times New Roman" w:cs="Times New Roman"/>
          <w:bCs/>
          <w:sz w:val="28"/>
          <w:szCs w:val="28"/>
        </w:rPr>
        <w:t>активової</w:t>
      </w:r>
      <w:proofErr w:type="spellEnd"/>
      <w:r w:rsidRPr="005C175A">
        <w:rPr>
          <w:rFonts w:ascii="Times New Roman" w:hAnsi="Times New Roman" w:cs="Times New Roman"/>
          <w:bCs/>
          <w:sz w:val="28"/>
          <w:szCs w:val="28"/>
        </w:rPr>
        <w:t xml:space="preserve"> бази.</w:t>
      </w:r>
    </w:p>
    <w:p w14:paraId="30EE64A0" w14:textId="300FF36A"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ПрАТ «МХП» (Миронівський хлібопродукт)</w:t>
      </w:r>
      <w:r>
        <w:rPr>
          <w:rFonts w:ascii="Times New Roman" w:hAnsi="Times New Roman" w:cs="Times New Roman"/>
          <w:bCs/>
          <w:sz w:val="28"/>
          <w:szCs w:val="28"/>
        </w:rPr>
        <w:t xml:space="preserve"> п</w:t>
      </w:r>
      <w:r w:rsidRPr="005C175A">
        <w:rPr>
          <w:rFonts w:ascii="Times New Roman" w:hAnsi="Times New Roman" w:cs="Times New Roman"/>
          <w:bCs/>
          <w:sz w:val="28"/>
          <w:szCs w:val="28"/>
        </w:rPr>
        <w:t>опри воєнні втрати (зокрема, руйнування розподільчого центру в Київській області у 2022 році), компанія зберегла фінансову стійкість. Маючи вертикальну інтеграцію (вирощування зерна</w:t>
      </w:r>
      <w:r>
        <w:rPr>
          <w:rFonts w:ascii="Times New Roman" w:hAnsi="Times New Roman" w:cs="Times New Roman"/>
          <w:bCs/>
          <w:sz w:val="28"/>
          <w:szCs w:val="28"/>
        </w:rPr>
        <w:t xml:space="preserve">, </w:t>
      </w:r>
      <w:r w:rsidRPr="005C175A">
        <w:rPr>
          <w:rFonts w:ascii="Times New Roman" w:hAnsi="Times New Roman" w:cs="Times New Roman"/>
          <w:bCs/>
          <w:sz w:val="28"/>
          <w:szCs w:val="28"/>
        </w:rPr>
        <w:t>переробка на комбікорм</w:t>
      </w:r>
      <w:r>
        <w:rPr>
          <w:rFonts w:ascii="Times New Roman" w:hAnsi="Times New Roman" w:cs="Times New Roman"/>
          <w:bCs/>
          <w:sz w:val="28"/>
          <w:szCs w:val="28"/>
        </w:rPr>
        <w:t xml:space="preserve">, </w:t>
      </w:r>
      <w:r w:rsidRPr="005C175A">
        <w:rPr>
          <w:rFonts w:ascii="Times New Roman" w:hAnsi="Times New Roman" w:cs="Times New Roman"/>
          <w:bCs/>
          <w:sz w:val="28"/>
          <w:szCs w:val="28"/>
        </w:rPr>
        <w:t>птахівництво), МХП експортував продукцію з доданою вартістю (м'ясо птиці), яка є менш чутливою до вартості фрахту, ніж сировинне зерно. Це дозволило утримати коефіцієнт автономії в межах безпечної зони (</w:t>
      </w:r>
      <w:proofErr w:type="spellStart"/>
      <w:r w:rsidRPr="005C175A">
        <w:rPr>
          <w:rFonts w:ascii="Times New Roman" w:hAnsi="Times New Roman" w:cs="Times New Roman"/>
          <w:bCs/>
          <w:sz w:val="28"/>
          <w:szCs w:val="28"/>
        </w:rPr>
        <w:t>K</w:t>
      </w:r>
      <w:r w:rsidRPr="005C175A">
        <w:rPr>
          <w:rFonts w:ascii="Times New Roman" w:hAnsi="Times New Roman" w:cs="Times New Roman"/>
          <w:bCs/>
          <w:sz w:val="28"/>
          <w:szCs w:val="28"/>
          <w:vertAlign w:val="subscript"/>
        </w:rPr>
        <w:t>a</w:t>
      </w:r>
      <w:proofErr w:type="spellEnd"/>
      <w:r w:rsidRPr="005C175A">
        <w:rPr>
          <w:rFonts w:ascii="Times New Roman" w:hAnsi="Times New Roman" w:cs="Times New Roman"/>
          <w:bCs/>
          <w:sz w:val="28"/>
          <w:szCs w:val="28"/>
        </w:rPr>
        <w:t xml:space="preserve"> &gt; 0,5).</w:t>
      </w:r>
    </w:p>
    <w:p w14:paraId="44971C80" w14:textId="750153E7"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ТОВ «</w:t>
      </w:r>
      <w:proofErr w:type="spellStart"/>
      <w:r w:rsidRPr="005C175A">
        <w:rPr>
          <w:rFonts w:ascii="Times New Roman" w:hAnsi="Times New Roman" w:cs="Times New Roman"/>
          <w:bCs/>
          <w:sz w:val="28"/>
          <w:szCs w:val="28"/>
        </w:rPr>
        <w:t>Агропродсервіс</w:t>
      </w:r>
      <w:proofErr w:type="spellEnd"/>
      <w:r w:rsidRPr="005C175A">
        <w:rPr>
          <w:rFonts w:ascii="Times New Roman" w:hAnsi="Times New Roman" w:cs="Times New Roman"/>
          <w:bCs/>
          <w:sz w:val="28"/>
          <w:szCs w:val="28"/>
        </w:rPr>
        <w:t>» (Тернопільська обл.)</w:t>
      </w:r>
      <w:r>
        <w:rPr>
          <w:rFonts w:ascii="Times New Roman" w:hAnsi="Times New Roman" w:cs="Times New Roman"/>
          <w:bCs/>
          <w:sz w:val="28"/>
          <w:szCs w:val="28"/>
        </w:rPr>
        <w:t xml:space="preserve"> я</w:t>
      </w:r>
      <w:r w:rsidRPr="005C175A">
        <w:rPr>
          <w:rFonts w:ascii="Times New Roman" w:hAnsi="Times New Roman" w:cs="Times New Roman"/>
          <w:bCs/>
          <w:sz w:val="28"/>
          <w:szCs w:val="28"/>
        </w:rPr>
        <w:t>скравий представник Західного кластера. Завдяки близькості до кордону та наявності потужних тваринницьких комплексів і насіннєвого заводу, підприємство уникнуло довготривалих касових розривів. Власний оборотний капітал (</w:t>
      </w:r>
      <w:proofErr w:type="spellStart"/>
      <w:r w:rsidRPr="005C175A">
        <w:rPr>
          <w:rFonts w:ascii="Times New Roman" w:hAnsi="Times New Roman" w:cs="Times New Roman"/>
          <w:bCs/>
          <w:sz w:val="28"/>
          <w:szCs w:val="28"/>
        </w:rPr>
        <w:t>W</w:t>
      </w:r>
      <w:r w:rsidRPr="005C175A">
        <w:rPr>
          <w:rFonts w:ascii="Times New Roman" w:hAnsi="Times New Roman" w:cs="Times New Roman"/>
          <w:bCs/>
          <w:sz w:val="28"/>
          <w:szCs w:val="28"/>
          <w:vertAlign w:val="subscript"/>
        </w:rPr>
        <w:t>c</w:t>
      </w:r>
      <w:proofErr w:type="spellEnd"/>
      <w:r w:rsidRPr="005C175A">
        <w:rPr>
          <w:rFonts w:ascii="Times New Roman" w:hAnsi="Times New Roman" w:cs="Times New Roman"/>
          <w:bCs/>
          <w:sz w:val="28"/>
          <w:szCs w:val="28"/>
        </w:rPr>
        <w:t>) залишався позитивним, що дозволило компанії не перевантажувати баланс дорогими короткостроковими кредитами.</w:t>
      </w:r>
    </w:p>
    <w:p w14:paraId="742D3430" w14:textId="6374936B"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lastRenderedPageBreak/>
        <w:t xml:space="preserve">2. Модель </w:t>
      </w:r>
      <w:proofErr w:type="spellStart"/>
      <w:r w:rsidRPr="005C175A">
        <w:rPr>
          <w:rFonts w:ascii="Times New Roman" w:hAnsi="Times New Roman" w:cs="Times New Roman"/>
          <w:bCs/>
          <w:sz w:val="28"/>
          <w:szCs w:val="28"/>
        </w:rPr>
        <w:t>логістично</w:t>
      </w:r>
      <w:proofErr w:type="spellEnd"/>
      <w:r w:rsidRPr="005C175A">
        <w:rPr>
          <w:rFonts w:ascii="Times New Roman" w:hAnsi="Times New Roman" w:cs="Times New Roman"/>
          <w:bCs/>
          <w:sz w:val="28"/>
          <w:szCs w:val="28"/>
        </w:rPr>
        <w:t>-кризового вимивання капіталу (</w:t>
      </w:r>
      <w:proofErr w:type="spellStart"/>
      <w:r w:rsidRPr="005C175A">
        <w:rPr>
          <w:rFonts w:ascii="Times New Roman" w:hAnsi="Times New Roman" w:cs="Times New Roman"/>
          <w:bCs/>
          <w:sz w:val="28"/>
          <w:szCs w:val="28"/>
        </w:rPr>
        <w:t>Агрохолдинг</w:t>
      </w:r>
      <w:proofErr w:type="spellEnd"/>
      <w:r w:rsidRPr="005C175A">
        <w:rPr>
          <w:rFonts w:ascii="Times New Roman" w:hAnsi="Times New Roman" w:cs="Times New Roman"/>
          <w:bCs/>
          <w:sz w:val="28"/>
          <w:szCs w:val="28"/>
        </w:rPr>
        <w:t xml:space="preserve"> «Кернел», Група «</w:t>
      </w:r>
      <w:proofErr w:type="spellStart"/>
      <w:r w:rsidRPr="005C175A">
        <w:rPr>
          <w:rFonts w:ascii="Times New Roman" w:hAnsi="Times New Roman" w:cs="Times New Roman"/>
          <w:bCs/>
          <w:sz w:val="28"/>
          <w:szCs w:val="28"/>
        </w:rPr>
        <w:t>Агротон</w:t>
      </w:r>
      <w:proofErr w:type="spellEnd"/>
      <w:r w:rsidRPr="005C175A">
        <w:rPr>
          <w:rFonts w:ascii="Times New Roman" w:hAnsi="Times New Roman" w:cs="Times New Roman"/>
          <w:bCs/>
          <w:sz w:val="28"/>
          <w:szCs w:val="28"/>
        </w:rPr>
        <w:t>»)</w:t>
      </w:r>
      <w:r>
        <w:rPr>
          <w:rFonts w:ascii="Times New Roman" w:hAnsi="Times New Roman" w:cs="Times New Roman"/>
          <w:bCs/>
          <w:sz w:val="28"/>
          <w:szCs w:val="28"/>
        </w:rPr>
        <w:t>.</w:t>
      </w:r>
    </w:p>
    <w:p w14:paraId="0537FF8A" w14:textId="123DBCEC"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Ця група компаній найбільше постраждала від блокування чорноморських портів у 2022</w:t>
      </w:r>
      <w:r>
        <w:rPr>
          <w:rFonts w:ascii="Times New Roman" w:hAnsi="Times New Roman" w:cs="Times New Roman"/>
          <w:bCs/>
          <w:sz w:val="28"/>
          <w:szCs w:val="28"/>
        </w:rPr>
        <w:t>-</w:t>
      </w:r>
      <w:r w:rsidRPr="005C175A">
        <w:rPr>
          <w:rFonts w:ascii="Times New Roman" w:hAnsi="Times New Roman" w:cs="Times New Roman"/>
          <w:bCs/>
          <w:sz w:val="28"/>
          <w:szCs w:val="28"/>
        </w:rPr>
        <w:t>2024 роках, що призвело до тимчасової деформації структури їхнього капіталу.</w:t>
      </w:r>
    </w:p>
    <w:p w14:paraId="50530C67" w14:textId="026AFE20"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w:t>
      </w:r>
      <w:proofErr w:type="spellStart"/>
      <w:r w:rsidRPr="005C175A">
        <w:rPr>
          <w:rFonts w:ascii="Times New Roman" w:hAnsi="Times New Roman" w:cs="Times New Roman"/>
          <w:bCs/>
          <w:sz w:val="28"/>
          <w:szCs w:val="28"/>
        </w:rPr>
        <w:t>Kernel</w:t>
      </w:r>
      <w:proofErr w:type="spellEnd"/>
      <w:r w:rsidRPr="005C175A">
        <w:rPr>
          <w:rFonts w:ascii="Times New Roman" w:hAnsi="Times New Roman" w:cs="Times New Roman"/>
          <w:bCs/>
          <w:sz w:val="28"/>
          <w:szCs w:val="28"/>
        </w:rPr>
        <w:t xml:space="preserve"> </w:t>
      </w:r>
      <w:proofErr w:type="spellStart"/>
      <w:r w:rsidRPr="005C175A">
        <w:rPr>
          <w:rFonts w:ascii="Times New Roman" w:hAnsi="Times New Roman" w:cs="Times New Roman"/>
          <w:bCs/>
          <w:sz w:val="28"/>
          <w:szCs w:val="28"/>
        </w:rPr>
        <w:t>Holding</w:t>
      </w:r>
      <w:proofErr w:type="spellEnd"/>
      <w:r w:rsidRPr="005C175A">
        <w:rPr>
          <w:rFonts w:ascii="Times New Roman" w:hAnsi="Times New Roman" w:cs="Times New Roman"/>
          <w:bCs/>
          <w:sz w:val="28"/>
          <w:szCs w:val="28"/>
        </w:rPr>
        <w:t xml:space="preserve"> S.A.»</w:t>
      </w:r>
      <w:r>
        <w:rPr>
          <w:rFonts w:ascii="Times New Roman" w:hAnsi="Times New Roman" w:cs="Times New Roman"/>
          <w:bCs/>
          <w:sz w:val="28"/>
          <w:szCs w:val="28"/>
        </w:rPr>
        <w:t xml:space="preserve"> б</w:t>
      </w:r>
      <w:r w:rsidRPr="005C175A">
        <w:rPr>
          <w:rFonts w:ascii="Times New Roman" w:hAnsi="Times New Roman" w:cs="Times New Roman"/>
          <w:bCs/>
          <w:sz w:val="28"/>
          <w:szCs w:val="28"/>
        </w:rPr>
        <w:t>удучи найбільшим експортером соняшникової олії та зерна, компанія у 2023</w:t>
      </w:r>
      <w:r>
        <w:rPr>
          <w:rFonts w:ascii="Times New Roman" w:hAnsi="Times New Roman" w:cs="Times New Roman"/>
          <w:bCs/>
          <w:sz w:val="28"/>
          <w:szCs w:val="28"/>
        </w:rPr>
        <w:t>-</w:t>
      </w:r>
      <w:r w:rsidRPr="005C175A">
        <w:rPr>
          <w:rFonts w:ascii="Times New Roman" w:hAnsi="Times New Roman" w:cs="Times New Roman"/>
          <w:bCs/>
          <w:sz w:val="28"/>
          <w:szCs w:val="28"/>
        </w:rPr>
        <w:t>2024 роках зіткнулася з колосальним зростанням на альтернативну логістику (інвестиції в річкові порти на Дунаї, закупівля власних залізничних вагонів та зерновозів). Це призвело до тимчасової іммобілізації оборотного капіталу. Плече фінансового важеля компанії суттєво зросло через необхідність залучення синдикованих кредитів для підтримки ліквідності, проте вже наприкінці 2025 року, завдяки відкриттю Українського морського коридору, «Кернел» продемонстрував стрімке відновлення показників ROE.</w:t>
      </w:r>
    </w:p>
    <w:p w14:paraId="1D0F98E5" w14:textId="29B5BCDE"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3. Модель глибокої деструкції та загрози банкрутства (</w:t>
      </w:r>
      <w:proofErr w:type="spellStart"/>
      <w:r w:rsidRPr="005C175A">
        <w:rPr>
          <w:rFonts w:ascii="Times New Roman" w:hAnsi="Times New Roman" w:cs="Times New Roman"/>
          <w:bCs/>
          <w:sz w:val="28"/>
          <w:szCs w:val="28"/>
        </w:rPr>
        <w:t>Агрохолдинг</w:t>
      </w:r>
      <w:proofErr w:type="spellEnd"/>
      <w:r w:rsidRPr="005C175A">
        <w:rPr>
          <w:rFonts w:ascii="Times New Roman" w:hAnsi="Times New Roman" w:cs="Times New Roman"/>
          <w:bCs/>
          <w:sz w:val="28"/>
          <w:szCs w:val="28"/>
        </w:rPr>
        <w:t xml:space="preserve"> «</w:t>
      </w:r>
      <w:proofErr w:type="spellStart"/>
      <w:r w:rsidRPr="005C175A">
        <w:rPr>
          <w:rFonts w:ascii="Times New Roman" w:hAnsi="Times New Roman" w:cs="Times New Roman"/>
          <w:bCs/>
          <w:sz w:val="28"/>
          <w:szCs w:val="28"/>
        </w:rPr>
        <w:t>HarvEast</w:t>
      </w:r>
      <w:proofErr w:type="spellEnd"/>
      <w:r w:rsidRPr="005C175A">
        <w:rPr>
          <w:rFonts w:ascii="Times New Roman" w:hAnsi="Times New Roman" w:cs="Times New Roman"/>
          <w:bCs/>
          <w:sz w:val="28"/>
          <w:szCs w:val="28"/>
        </w:rPr>
        <w:t xml:space="preserve">», СТОВ «Інгулець», ПрАТ «Агрофірма </w:t>
      </w:r>
      <w:r>
        <w:rPr>
          <w:rFonts w:ascii="Times New Roman" w:hAnsi="Times New Roman" w:cs="Times New Roman"/>
          <w:bCs/>
          <w:sz w:val="28"/>
          <w:szCs w:val="28"/>
        </w:rPr>
        <w:t>«</w:t>
      </w:r>
      <w:r w:rsidRPr="005C175A">
        <w:rPr>
          <w:rFonts w:ascii="Times New Roman" w:hAnsi="Times New Roman" w:cs="Times New Roman"/>
          <w:bCs/>
          <w:sz w:val="28"/>
          <w:szCs w:val="28"/>
        </w:rPr>
        <w:t>Авангард»)</w:t>
      </w:r>
      <w:r>
        <w:rPr>
          <w:rFonts w:ascii="Times New Roman" w:hAnsi="Times New Roman" w:cs="Times New Roman"/>
          <w:bCs/>
          <w:sz w:val="28"/>
          <w:szCs w:val="28"/>
        </w:rPr>
        <w:t>.</w:t>
      </w:r>
    </w:p>
    <w:p w14:paraId="7A695BFC" w14:textId="57D9864C" w:rsidR="005C175A" w:rsidRPr="005C175A" w:rsidRDefault="005C175A" w:rsidP="005C175A">
      <w:pPr>
        <w:spacing w:after="0" w:line="360" w:lineRule="auto"/>
        <w:ind w:firstLine="708"/>
        <w:jc w:val="both"/>
        <w:rPr>
          <w:rFonts w:ascii="Times New Roman" w:hAnsi="Times New Roman" w:cs="Times New Roman"/>
          <w:bCs/>
          <w:sz w:val="28"/>
          <w:szCs w:val="28"/>
        </w:rPr>
      </w:pPr>
      <w:r w:rsidRPr="005C175A">
        <w:rPr>
          <w:rFonts w:ascii="Times New Roman" w:hAnsi="Times New Roman" w:cs="Times New Roman"/>
          <w:bCs/>
          <w:sz w:val="28"/>
          <w:szCs w:val="28"/>
        </w:rPr>
        <w:t>Підприємства, чиї виробничі потужності та земельні масиви безпосередньо опинилися в зоні бойових дій, окупації або зазнали катастрофічних руйнувань, що призвело до втрати власного капіталу</w:t>
      </w:r>
      <w:r>
        <w:rPr>
          <w:rFonts w:ascii="Times New Roman" w:hAnsi="Times New Roman" w:cs="Times New Roman"/>
          <w:bCs/>
          <w:sz w:val="28"/>
          <w:szCs w:val="28"/>
        </w:rPr>
        <w:t>:</w:t>
      </w:r>
    </w:p>
    <w:p w14:paraId="36FAC7BC" w14:textId="1A87D30C" w:rsidR="005C175A" w:rsidRPr="005C175A" w:rsidRDefault="005C175A" w:rsidP="005C175A">
      <w:pPr>
        <w:numPr>
          <w:ilvl w:val="0"/>
          <w:numId w:val="9"/>
        </w:numPr>
        <w:spacing w:after="0" w:line="360" w:lineRule="auto"/>
        <w:ind w:left="0" w:firstLine="709"/>
        <w:jc w:val="both"/>
        <w:rPr>
          <w:rFonts w:ascii="Times New Roman" w:hAnsi="Times New Roman" w:cs="Times New Roman"/>
          <w:bCs/>
          <w:sz w:val="28"/>
          <w:szCs w:val="28"/>
        </w:rPr>
      </w:pPr>
      <w:proofErr w:type="spellStart"/>
      <w:r w:rsidRPr="005C175A">
        <w:rPr>
          <w:rFonts w:ascii="Times New Roman" w:hAnsi="Times New Roman" w:cs="Times New Roman"/>
          <w:bCs/>
          <w:sz w:val="28"/>
          <w:szCs w:val="28"/>
        </w:rPr>
        <w:t>Агрохолдинг</w:t>
      </w:r>
      <w:proofErr w:type="spellEnd"/>
      <w:r w:rsidRPr="005C175A">
        <w:rPr>
          <w:rFonts w:ascii="Times New Roman" w:hAnsi="Times New Roman" w:cs="Times New Roman"/>
          <w:bCs/>
          <w:sz w:val="28"/>
          <w:szCs w:val="28"/>
        </w:rPr>
        <w:t xml:space="preserve"> «</w:t>
      </w:r>
      <w:proofErr w:type="spellStart"/>
      <w:r w:rsidRPr="005C175A">
        <w:rPr>
          <w:rFonts w:ascii="Times New Roman" w:hAnsi="Times New Roman" w:cs="Times New Roman"/>
          <w:bCs/>
          <w:sz w:val="28"/>
          <w:szCs w:val="28"/>
        </w:rPr>
        <w:t>HarvEast</w:t>
      </w:r>
      <w:proofErr w:type="spellEnd"/>
      <w:r w:rsidRPr="005C175A">
        <w:rPr>
          <w:rFonts w:ascii="Times New Roman" w:hAnsi="Times New Roman" w:cs="Times New Roman"/>
          <w:bCs/>
          <w:sz w:val="28"/>
          <w:szCs w:val="28"/>
        </w:rPr>
        <w:t>»</w:t>
      </w:r>
      <w:r>
        <w:rPr>
          <w:rFonts w:ascii="Times New Roman" w:hAnsi="Times New Roman" w:cs="Times New Roman"/>
          <w:bCs/>
          <w:sz w:val="28"/>
          <w:szCs w:val="28"/>
        </w:rPr>
        <w:t xml:space="preserve"> д</w:t>
      </w:r>
      <w:r w:rsidRPr="005C175A">
        <w:rPr>
          <w:rFonts w:ascii="Times New Roman" w:hAnsi="Times New Roman" w:cs="Times New Roman"/>
          <w:bCs/>
          <w:sz w:val="28"/>
          <w:szCs w:val="28"/>
        </w:rPr>
        <w:t xml:space="preserve">о 2022 року компанія володіла величезними активами в Донецькій області. Внаслідок повномасштабного вторгнення значна частина земель холдингу опинилася в окупації, а майно було знищене або розграбоване. Компанія втратила майже 70% свого земельного банку. Накопичені збитки призвели до того, що чистий прибуток перейшов у хронічне від'ємне значення, деформувавши пасив балансу. Холдинг фактично пройшов процедуру технічного банкрутства щодо донецьких активів і змушений був </w:t>
      </w:r>
      <w:proofErr w:type="spellStart"/>
      <w:r w:rsidRPr="005C175A">
        <w:rPr>
          <w:rFonts w:ascii="Times New Roman" w:hAnsi="Times New Roman" w:cs="Times New Roman"/>
          <w:bCs/>
          <w:sz w:val="28"/>
          <w:szCs w:val="28"/>
        </w:rPr>
        <w:t>релокувати</w:t>
      </w:r>
      <w:proofErr w:type="spellEnd"/>
      <w:r w:rsidRPr="005C175A">
        <w:rPr>
          <w:rFonts w:ascii="Times New Roman" w:hAnsi="Times New Roman" w:cs="Times New Roman"/>
          <w:bCs/>
          <w:sz w:val="28"/>
          <w:szCs w:val="28"/>
        </w:rPr>
        <w:t xml:space="preserve"> залишки капіталу, створюючи нові підприємства в Київській та Житомирській областях з нуля.</w:t>
      </w:r>
    </w:p>
    <w:p w14:paraId="4DCD546F" w14:textId="41241187" w:rsidR="005C175A" w:rsidRPr="005C175A" w:rsidRDefault="005C175A" w:rsidP="005C175A">
      <w:pPr>
        <w:numPr>
          <w:ilvl w:val="0"/>
          <w:numId w:val="9"/>
        </w:numPr>
        <w:spacing w:after="0" w:line="360" w:lineRule="auto"/>
        <w:ind w:left="0" w:firstLine="567"/>
        <w:jc w:val="both"/>
        <w:rPr>
          <w:rFonts w:ascii="Times New Roman" w:hAnsi="Times New Roman" w:cs="Times New Roman"/>
          <w:bCs/>
          <w:sz w:val="28"/>
          <w:szCs w:val="28"/>
        </w:rPr>
      </w:pPr>
      <w:r w:rsidRPr="005C175A">
        <w:rPr>
          <w:rFonts w:ascii="Times New Roman" w:hAnsi="Times New Roman" w:cs="Times New Roman"/>
          <w:bCs/>
          <w:sz w:val="28"/>
          <w:szCs w:val="28"/>
        </w:rPr>
        <w:t xml:space="preserve">СТОВ «Інгулець» (Херсонська область) опинилося в епіцентрі катастрофи, пов'язаної з руйнуванням Каховської ГЕС у 2023 році. Втрата систем зрошення призвела до повної деградації операційного циклу. Згідно з формою № 50-сг, </w:t>
      </w:r>
      <w:r w:rsidRPr="005C175A">
        <w:rPr>
          <w:rFonts w:ascii="Times New Roman" w:hAnsi="Times New Roman" w:cs="Times New Roman"/>
          <w:bCs/>
          <w:sz w:val="28"/>
          <w:szCs w:val="28"/>
        </w:rPr>
        <w:lastRenderedPageBreak/>
        <w:t>рентабельність діяльності компанії у 2023</w:t>
      </w:r>
      <w:r>
        <w:rPr>
          <w:rFonts w:ascii="Times New Roman" w:hAnsi="Times New Roman" w:cs="Times New Roman"/>
          <w:bCs/>
          <w:sz w:val="28"/>
          <w:szCs w:val="28"/>
        </w:rPr>
        <w:t>-</w:t>
      </w:r>
      <w:r w:rsidRPr="005C175A">
        <w:rPr>
          <w:rFonts w:ascii="Times New Roman" w:hAnsi="Times New Roman" w:cs="Times New Roman"/>
          <w:bCs/>
          <w:sz w:val="28"/>
          <w:szCs w:val="28"/>
        </w:rPr>
        <w:t>2024 роках впала нижче -50%. Через неможливість обслуговувати борги перед постачальниками насіння та добрив, підприємство увійшло до групи «на межі банкрутства» (Z-рахунок Альтмана &lt; 1,1).</w:t>
      </w:r>
    </w:p>
    <w:p w14:paraId="2D274B8C" w14:textId="41AF58FE" w:rsidR="005C175A" w:rsidRPr="005C175A" w:rsidRDefault="005C175A" w:rsidP="005C175A">
      <w:pPr>
        <w:spacing w:after="0" w:line="360" w:lineRule="auto"/>
        <w:ind w:firstLine="709"/>
        <w:jc w:val="both"/>
        <w:rPr>
          <w:rFonts w:ascii="Times New Roman" w:hAnsi="Times New Roman" w:cs="Times New Roman"/>
          <w:sz w:val="28"/>
          <w:szCs w:val="28"/>
        </w:rPr>
      </w:pPr>
      <w:r w:rsidRPr="005C175A">
        <w:rPr>
          <w:rFonts w:ascii="Times New Roman" w:hAnsi="Times New Roman" w:cs="Times New Roman"/>
          <w:bCs/>
          <w:sz w:val="28"/>
          <w:szCs w:val="28"/>
        </w:rPr>
        <w:t>Наведені практичні приклади доводять, що фінансова стійкість агропідприємств у 2022</w:t>
      </w:r>
      <w:r w:rsidR="00AF7C75">
        <w:rPr>
          <w:rFonts w:ascii="Times New Roman" w:hAnsi="Times New Roman" w:cs="Times New Roman"/>
          <w:bCs/>
          <w:sz w:val="28"/>
          <w:szCs w:val="28"/>
        </w:rPr>
        <w:t>-</w:t>
      </w:r>
      <w:r w:rsidRPr="005C175A">
        <w:rPr>
          <w:rFonts w:ascii="Times New Roman" w:hAnsi="Times New Roman" w:cs="Times New Roman"/>
          <w:bCs/>
          <w:sz w:val="28"/>
          <w:szCs w:val="28"/>
        </w:rPr>
        <w:t xml:space="preserve">2026 роках визначалася двома ключовими факторами: </w:t>
      </w:r>
      <w:r w:rsidRPr="005C175A">
        <w:rPr>
          <w:rFonts w:ascii="Times New Roman" w:hAnsi="Times New Roman" w:cs="Times New Roman"/>
          <w:sz w:val="28"/>
          <w:szCs w:val="28"/>
        </w:rPr>
        <w:t>географічним розташуванням (ризик фізичного знищення чи блокування капіталу) та рівнем диверсифікації (наявність власної переробки).</w:t>
      </w:r>
    </w:p>
    <w:p w14:paraId="5789F234" w14:textId="72B205F1" w:rsidR="005C175A" w:rsidRDefault="005C175A" w:rsidP="005C175A">
      <w:pPr>
        <w:spacing w:after="0" w:line="360" w:lineRule="auto"/>
        <w:ind w:firstLine="709"/>
        <w:jc w:val="both"/>
        <w:rPr>
          <w:rFonts w:ascii="Times New Roman" w:hAnsi="Times New Roman" w:cs="Times New Roman"/>
          <w:bCs/>
          <w:sz w:val="28"/>
          <w:szCs w:val="28"/>
        </w:rPr>
      </w:pPr>
      <w:r w:rsidRPr="005C175A">
        <w:rPr>
          <w:rFonts w:ascii="Times New Roman" w:hAnsi="Times New Roman" w:cs="Times New Roman"/>
          <w:bCs/>
          <w:sz w:val="28"/>
          <w:szCs w:val="28"/>
        </w:rPr>
        <w:t xml:space="preserve">Для компаній сировинного типу (як «Кернел») </w:t>
      </w:r>
      <w:proofErr w:type="spellStart"/>
      <w:r w:rsidRPr="005C175A">
        <w:rPr>
          <w:rFonts w:ascii="Times New Roman" w:hAnsi="Times New Roman" w:cs="Times New Roman"/>
          <w:bCs/>
          <w:sz w:val="28"/>
          <w:szCs w:val="28"/>
        </w:rPr>
        <w:t>волатильність</w:t>
      </w:r>
      <w:proofErr w:type="spellEnd"/>
      <w:r w:rsidRPr="005C175A">
        <w:rPr>
          <w:rFonts w:ascii="Times New Roman" w:hAnsi="Times New Roman" w:cs="Times New Roman"/>
          <w:bCs/>
          <w:sz w:val="28"/>
          <w:szCs w:val="28"/>
        </w:rPr>
        <w:t xml:space="preserve"> логістики викликала глибокі, але контрольовані зсуви у структурі капіталу, тоді як для підприємств із прифронтових зон (як «</w:t>
      </w:r>
      <w:proofErr w:type="spellStart"/>
      <w:r w:rsidRPr="005C175A">
        <w:rPr>
          <w:rFonts w:ascii="Times New Roman" w:hAnsi="Times New Roman" w:cs="Times New Roman"/>
          <w:bCs/>
          <w:sz w:val="28"/>
          <w:szCs w:val="28"/>
        </w:rPr>
        <w:t>HarvEast</w:t>
      </w:r>
      <w:proofErr w:type="spellEnd"/>
      <w:r w:rsidRPr="005C175A">
        <w:rPr>
          <w:rFonts w:ascii="Times New Roman" w:hAnsi="Times New Roman" w:cs="Times New Roman"/>
          <w:bCs/>
          <w:sz w:val="28"/>
          <w:szCs w:val="28"/>
        </w:rPr>
        <w:t xml:space="preserve">» або «Інгулець») екзогенні шоки виявилися руйнівними, повністю нівелювавши захисну функцію власного </w:t>
      </w:r>
      <w:r w:rsidRPr="00975C66">
        <w:rPr>
          <w:rFonts w:ascii="Times New Roman" w:hAnsi="Times New Roman" w:cs="Times New Roman"/>
          <w:bCs/>
          <w:sz w:val="28"/>
          <w:szCs w:val="28"/>
        </w:rPr>
        <w:t>капіталу</w:t>
      </w:r>
      <w:r w:rsidR="00975C66" w:rsidRPr="00975C66">
        <w:rPr>
          <w:rFonts w:ascii="Times New Roman" w:hAnsi="Times New Roman" w:cs="Times New Roman"/>
          <w:bCs/>
          <w:sz w:val="28"/>
          <w:szCs w:val="28"/>
        </w:rPr>
        <w:t xml:space="preserve"> (рис. 1.2)</w:t>
      </w:r>
      <w:r w:rsidRPr="00975C66">
        <w:rPr>
          <w:rFonts w:ascii="Times New Roman" w:hAnsi="Times New Roman" w:cs="Times New Roman"/>
          <w:bCs/>
          <w:sz w:val="28"/>
          <w:szCs w:val="28"/>
        </w:rPr>
        <w:t>.</w:t>
      </w:r>
    </w:p>
    <w:p w14:paraId="081D5DE1" w14:textId="70D4CAB2" w:rsidR="005C175A" w:rsidRDefault="000F3DA9" w:rsidP="005C175A">
      <w:pPr>
        <w:spacing w:after="0" w:line="360" w:lineRule="auto"/>
        <w:ind w:firstLine="709"/>
        <w:jc w:val="both"/>
        <w:rPr>
          <w:rFonts w:ascii="Times New Roman" w:hAnsi="Times New Roman" w:cs="Times New Roman"/>
          <w:bCs/>
          <w:sz w:val="28"/>
          <w:szCs w:val="28"/>
        </w:rPr>
      </w:pPr>
      <w:r w:rsidRPr="000F3DA9">
        <w:rPr>
          <w:rFonts w:ascii="Times New Roman" w:hAnsi="Times New Roman" w:cs="Times New Roman"/>
          <w:bCs/>
          <w:sz w:val="28"/>
          <w:szCs w:val="28"/>
        </w:rPr>
        <w:t>Для систематизації емпіричних даних розроблено функціональну матрицю (табл. 1.3), яка пов'язує практичні кейси провідних суб'єктів господарювання АПК із теоретичними моделями стійкості</w:t>
      </w:r>
      <w:r w:rsidR="00311892">
        <w:rPr>
          <w:rFonts w:ascii="Times New Roman" w:hAnsi="Times New Roman" w:cs="Times New Roman"/>
          <w:bCs/>
          <w:sz w:val="28"/>
          <w:szCs w:val="28"/>
        </w:rPr>
        <w:t>.</w:t>
      </w:r>
    </w:p>
    <w:p w14:paraId="3933F679" w14:textId="71F65050" w:rsidR="00311892" w:rsidRPr="005C175A" w:rsidRDefault="00311892" w:rsidP="00311892">
      <w:pPr>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t>Таблиця 1.3</w:t>
      </w:r>
    </w:p>
    <w:p w14:paraId="6910992B" w14:textId="7FEC57D5" w:rsidR="005C175A" w:rsidRDefault="00311892" w:rsidP="00311892">
      <w:pPr>
        <w:spacing w:after="0" w:line="360" w:lineRule="auto"/>
        <w:ind w:firstLine="709"/>
        <w:jc w:val="center"/>
        <w:rPr>
          <w:rFonts w:ascii="Times New Roman" w:hAnsi="Times New Roman" w:cs="Times New Roman"/>
          <w:bCs/>
          <w:sz w:val="28"/>
          <w:szCs w:val="28"/>
        </w:rPr>
      </w:pPr>
      <w:r w:rsidRPr="00311892">
        <w:rPr>
          <w:rFonts w:ascii="Times New Roman" w:hAnsi="Times New Roman" w:cs="Times New Roman"/>
          <w:bCs/>
          <w:sz w:val="28"/>
          <w:szCs w:val="28"/>
        </w:rPr>
        <w:t xml:space="preserve">Матриця фінансового стану та моделей трансформації капіталу агропідприємств України </w:t>
      </w:r>
      <w:r>
        <w:rPr>
          <w:rFonts w:ascii="Times New Roman" w:hAnsi="Times New Roman" w:cs="Times New Roman"/>
          <w:bCs/>
          <w:sz w:val="28"/>
          <w:szCs w:val="28"/>
        </w:rPr>
        <w:t xml:space="preserve">за </w:t>
      </w:r>
      <w:r w:rsidRPr="00311892">
        <w:rPr>
          <w:rFonts w:ascii="Times New Roman" w:hAnsi="Times New Roman" w:cs="Times New Roman"/>
          <w:bCs/>
          <w:sz w:val="28"/>
          <w:szCs w:val="28"/>
        </w:rPr>
        <w:t>2022</w:t>
      </w:r>
      <w:r>
        <w:rPr>
          <w:rFonts w:ascii="Times New Roman" w:hAnsi="Times New Roman" w:cs="Times New Roman"/>
          <w:bCs/>
          <w:sz w:val="28"/>
          <w:szCs w:val="28"/>
        </w:rPr>
        <w:t>-</w:t>
      </w:r>
      <w:r w:rsidRPr="00311892">
        <w:rPr>
          <w:rFonts w:ascii="Times New Roman" w:hAnsi="Times New Roman" w:cs="Times New Roman"/>
          <w:bCs/>
          <w:sz w:val="28"/>
          <w:szCs w:val="28"/>
        </w:rPr>
        <w:t>2025 рр.</w:t>
      </w:r>
      <w:r w:rsidR="00B251B9">
        <w:rPr>
          <w:rFonts w:ascii="Times New Roman" w:hAnsi="Times New Roman" w:cs="Times New Roman"/>
          <w:bCs/>
          <w:sz w:val="28"/>
          <w:szCs w:val="28"/>
        </w:rPr>
        <w:t xml:space="preserve"> </w:t>
      </w:r>
      <w:r w:rsidR="00B251B9" w:rsidRPr="00CB3942">
        <w:rPr>
          <w:rFonts w:ascii="Times New Roman" w:hAnsi="Times New Roman" w:cs="Times New Roman"/>
          <w:bCs/>
          <w:sz w:val="28"/>
          <w:szCs w:val="28"/>
        </w:rPr>
        <w:t>[</w:t>
      </w:r>
      <w:r w:rsidR="00B251B9">
        <w:rPr>
          <w:rFonts w:ascii="Times New Roman" w:hAnsi="Times New Roman" w:cs="Times New Roman"/>
          <w:bCs/>
          <w:sz w:val="28"/>
          <w:szCs w:val="28"/>
        </w:rPr>
        <w:t>2, 16, 26</w:t>
      </w:r>
      <w:r w:rsidR="00B251B9" w:rsidRPr="00CB3942">
        <w:rPr>
          <w:rFonts w:ascii="Times New Roman" w:hAnsi="Times New Roman" w:cs="Times New Roman"/>
          <w:bCs/>
          <w:sz w:val="28"/>
          <w:szCs w:val="28"/>
        </w:rPr>
        <w:t>]</w:t>
      </w:r>
    </w:p>
    <w:tbl>
      <w:tblPr>
        <w:tblStyle w:val="af0"/>
        <w:tblW w:w="0" w:type="auto"/>
        <w:tblLook w:val="04A0" w:firstRow="1" w:lastRow="0" w:firstColumn="1" w:lastColumn="0" w:noHBand="0" w:noVBand="1"/>
      </w:tblPr>
      <w:tblGrid>
        <w:gridCol w:w="1920"/>
        <w:gridCol w:w="2391"/>
        <w:gridCol w:w="1508"/>
        <w:gridCol w:w="1274"/>
        <w:gridCol w:w="2534"/>
      </w:tblGrid>
      <w:tr w:rsidR="00311892" w:rsidRPr="00311892" w14:paraId="7F69F54B" w14:textId="77777777" w:rsidTr="00454EE9">
        <w:tc>
          <w:tcPr>
            <w:tcW w:w="0" w:type="auto"/>
            <w:hideMark/>
          </w:tcPr>
          <w:p w14:paraId="2170482C"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Назва підприємства / холдингу</w:t>
            </w:r>
          </w:p>
        </w:tc>
        <w:tc>
          <w:tcPr>
            <w:tcW w:w="2426" w:type="dxa"/>
            <w:hideMark/>
          </w:tcPr>
          <w:p w14:paraId="2C3D16EC"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Реалізована модель управління капіталом</w:t>
            </w:r>
          </w:p>
        </w:tc>
        <w:tc>
          <w:tcPr>
            <w:tcW w:w="1417" w:type="dxa"/>
            <w:hideMark/>
          </w:tcPr>
          <w:p w14:paraId="3EA525FD" w14:textId="0CF52F2E" w:rsidR="00311892" w:rsidRPr="00311892" w:rsidRDefault="00311892" w:rsidP="00311892">
            <w:pPr>
              <w:jc w:val="center"/>
              <w:rPr>
                <w:rFonts w:ascii="Times New Roman" w:hAnsi="Times New Roman" w:cs="Times New Roman"/>
              </w:rPr>
            </w:pPr>
            <w:r w:rsidRPr="00311892">
              <w:rPr>
                <w:rFonts w:ascii="Times New Roman" w:hAnsi="Times New Roman" w:cs="Times New Roman"/>
              </w:rPr>
              <w:t xml:space="preserve">Стан коефіцієнта автономії </w:t>
            </w:r>
          </w:p>
        </w:tc>
        <w:tc>
          <w:tcPr>
            <w:tcW w:w="1276" w:type="dxa"/>
            <w:hideMark/>
          </w:tcPr>
          <w:p w14:paraId="60AF34F9" w14:textId="06D3E1BD" w:rsidR="00311892" w:rsidRPr="00311892" w:rsidRDefault="00311892" w:rsidP="00311892">
            <w:pPr>
              <w:jc w:val="center"/>
              <w:rPr>
                <w:rFonts w:ascii="Times New Roman" w:hAnsi="Times New Roman" w:cs="Times New Roman"/>
              </w:rPr>
            </w:pPr>
            <w:r w:rsidRPr="00311892">
              <w:rPr>
                <w:rFonts w:ascii="Times New Roman" w:hAnsi="Times New Roman" w:cs="Times New Roman"/>
              </w:rPr>
              <w:t xml:space="preserve">Динаміка ROE </w:t>
            </w:r>
          </w:p>
        </w:tc>
        <w:tc>
          <w:tcPr>
            <w:tcW w:w="2544" w:type="dxa"/>
            <w:hideMark/>
          </w:tcPr>
          <w:p w14:paraId="3C901B09"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Стратегічний наслідок для фінансової стійкості</w:t>
            </w:r>
          </w:p>
        </w:tc>
      </w:tr>
      <w:tr w:rsidR="00311892" w:rsidRPr="00311892" w14:paraId="609B68A6" w14:textId="77777777" w:rsidTr="00454EE9">
        <w:tc>
          <w:tcPr>
            <w:tcW w:w="0" w:type="auto"/>
            <w:hideMark/>
          </w:tcPr>
          <w:p w14:paraId="1EF433F6"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ПрАТ «МХП»</w:t>
            </w:r>
          </w:p>
        </w:tc>
        <w:tc>
          <w:tcPr>
            <w:tcW w:w="2426" w:type="dxa"/>
            <w:hideMark/>
          </w:tcPr>
          <w:p w14:paraId="3F0FD95A" w14:textId="12D0AFDF" w:rsidR="00311892" w:rsidRPr="00311892" w:rsidRDefault="00311892" w:rsidP="00311892">
            <w:pPr>
              <w:rPr>
                <w:rFonts w:ascii="Times New Roman" w:hAnsi="Times New Roman" w:cs="Times New Roman"/>
              </w:rPr>
            </w:pPr>
            <w:r w:rsidRPr="00311892">
              <w:rPr>
                <w:rFonts w:ascii="Times New Roman" w:hAnsi="Times New Roman" w:cs="Times New Roman"/>
              </w:rPr>
              <w:t>Модель капітальної стійкості:</w:t>
            </w:r>
          </w:p>
          <w:p w14:paraId="5E121834"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Вертикальна інтеграція, ставка на експорт готової продукції (птиця) з високою доданою вартістю.</w:t>
            </w:r>
          </w:p>
        </w:tc>
        <w:tc>
          <w:tcPr>
            <w:tcW w:w="1417" w:type="dxa"/>
            <w:hideMark/>
          </w:tcPr>
          <w:p w14:paraId="773759CE"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Стабільний</w:t>
            </w:r>
          </w:p>
          <w:p w14:paraId="217D28A7"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598D4909" w14:textId="422D4CB8" w:rsidR="00311892" w:rsidRPr="00311892" w:rsidRDefault="00311892" w:rsidP="00311892">
            <w:pPr>
              <w:jc w:val="center"/>
              <w:rPr>
                <w:rFonts w:ascii="Times New Roman" w:hAnsi="Times New Roman" w:cs="Times New Roman"/>
              </w:rPr>
            </w:pPr>
            <w:r w:rsidRPr="00311892">
              <w:rPr>
                <w:rFonts w:ascii="Times New Roman" w:hAnsi="Times New Roman" w:cs="Times New Roman"/>
              </w:rPr>
              <w:t>(0,52 – 0,56)</w:t>
            </w:r>
          </w:p>
        </w:tc>
        <w:tc>
          <w:tcPr>
            <w:tcW w:w="1276" w:type="dxa"/>
            <w:hideMark/>
          </w:tcPr>
          <w:p w14:paraId="1C37CB38"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Позитивна</w:t>
            </w:r>
          </w:p>
          <w:p w14:paraId="237BDADE"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618840FA" w14:textId="713BBAA1" w:rsidR="00311892" w:rsidRPr="00311892" w:rsidRDefault="00311892" w:rsidP="00311892">
            <w:pPr>
              <w:jc w:val="center"/>
              <w:rPr>
                <w:rFonts w:ascii="Times New Roman" w:hAnsi="Times New Roman" w:cs="Times New Roman"/>
              </w:rPr>
            </w:pPr>
            <w:r w:rsidRPr="00311892">
              <w:rPr>
                <w:rFonts w:ascii="Times New Roman" w:hAnsi="Times New Roman" w:cs="Times New Roman"/>
              </w:rPr>
              <w:t>(+6,5% \ +11,2%)</w:t>
            </w:r>
          </w:p>
        </w:tc>
        <w:tc>
          <w:tcPr>
            <w:tcW w:w="2544" w:type="dxa"/>
            <w:hideMark/>
          </w:tcPr>
          <w:p w14:paraId="433197DA"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Висока стійкість. Органічний захист від логістичного дисконту на сировинних ринках.</w:t>
            </w:r>
          </w:p>
        </w:tc>
      </w:tr>
      <w:tr w:rsidR="00311892" w:rsidRPr="00311892" w14:paraId="6B5EF60A" w14:textId="77777777" w:rsidTr="00454EE9">
        <w:tc>
          <w:tcPr>
            <w:tcW w:w="0" w:type="auto"/>
            <w:hideMark/>
          </w:tcPr>
          <w:p w14:paraId="450A9C12" w14:textId="77777777" w:rsidR="00311892" w:rsidRPr="00311892" w:rsidRDefault="00311892" w:rsidP="00454EE9">
            <w:pPr>
              <w:rPr>
                <w:rFonts w:ascii="Times New Roman" w:hAnsi="Times New Roman" w:cs="Times New Roman"/>
              </w:rPr>
            </w:pPr>
            <w:r w:rsidRPr="00311892">
              <w:rPr>
                <w:rFonts w:ascii="Times New Roman" w:hAnsi="Times New Roman" w:cs="Times New Roman"/>
              </w:rPr>
              <w:t>ТОВ «</w:t>
            </w:r>
            <w:proofErr w:type="spellStart"/>
            <w:r w:rsidRPr="00311892">
              <w:rPr>
                <w:rFonts w:ascii="Times New Roman" w:hAnsi="Times New Roman" w:cs="Times New Roman"/>
              </w:rPr>
              <w:t>Агропродсервіс</w:t>
            </w:r>
            <w:proofErr w:type="spellEnd"/>
            <w:r w:rsidRPr="00311892">
              <w:rPr>
                <w:rFonts w:ascii="Times New Roman" w:hAnsi="Times New Roman" w:cs="Times New Roman"/>
              </w:rPr>
              <w:t>»</w:t>
            </w:r>
          </w:p>
        </w:tc>
        <w:tc>
          <w:tcPr>
            <w:tcW w:w="2426" w:type="dxa"/>
            <w:hideMark/>
          </w:tcPr>
          <w:p w14:paraId="2AF02B18"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Модель географічної адаптації:</w:t>
            </w:r>
          </w:p>
          <w:p w14:paraId="7CC88793" w14:textId="6B3BEA36" w:rsidR="00311892" w:rsidRPr="00311892" w:rsidRDefault="00311892" w:rsidP="00311892">
            <w:pPr>
              <w:rPr>
                <w:rFonts w:ascii="Times New Roman" w:hAnsi="Times New Roman" w:cs="Times New Roman"/>
              </w:rPr>
            </w:pPr>
            <w:r w:rsidRPr="00311892">
              <w:rPr>
                <w:rFonts w:ascii="Times New Roman" w:hAnsi="Times New Roman" w:cs="Times New Roman"/>
              </w:rPr>
              <w:t>Коротке логістичне плече до ЄС, розвинуте тваринництво, низька залежність від морських портів.</w:t>
            </w:r>
          </w:p>
        </w:tc>
        <w:tc>
          <w:tcPr>
            <w:tcW w:w="1417" w:type="dxa"/>
            <w:hideMark/>
          </w:tcPr>
          <w:p w14:paraId="34060AE3"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Оптимальний</w:t>
            </w:r>
          </w:p>
          <w:p w14:paraId="66DC834D"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3F48687F" w14:textId="77777777" w:rsidR="00454EE9" w:rsidRDefault="00454EE9" w:rsidP="00311892">
            <w:pPr>
              <w:jc w:val="center"/>
              <w:rPr>
                <w:rFonts w:ascii="Times New Roman" w:hAnsi="Times New Roman" w:cs="Times New Roman"/>
              </w:rPr>
            </w:pPr>
          </w:p>
          <w:p w14:paraId="6D393437" w14:textId="77777777" w:rsidR="00454EE9" w:rsidRDefault="00454EE9" w:rsidP="00311892">
            <w:pPr>
              <w:jc w:val="center"/>
              <w:rPr>
                <w:rFonts w:ascii="Times New Roman" w:hAnsi="Times New Roman" w:cs="Times New Roman"/>
              </w:rPr>
            </w:pPr>
          </w:p>
          <w:p w14:paraId="34A5FCD6" w14:textId="57DDA614" w:rsidR="00311892" w:rsidRPr="00311892" w:rsidRDefault="00311892" w:rsidP="00454EE9">
            <w:pPr>
              <w:jc w:val="center"/>
              <w:rPr>
                <w:rFonts w:ascii="Times New Roman" w:hAnsi="Times New Roman" w:cs="Times New Roman"/>
              </w:rPr>
            </w:pPr>
            <w:r w:rsidRPr="00311892">
              <w:rPr>
                <w:rFonts w:ascii="Times New Roman" w:hAnsi="Times New Roman" w:cs="Times New Roman"/>
              </w:rPr>
              <w:t>(0,60 – 0,65)</w:t>
            </w:r>
          </w:p>
        </w:tc>
        <w:tc>
          <w:tcPr>
            <w:tcW w:w="1276" w:type="dxa"/>
            <w:hideMark/>
          </w:tcPr>
          <w:p w14:paraId="5EE16BBE"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Стабільна</w:t>
            </w:r>
          </w:p>
          <w:p w14:paraId="08EF353D"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5FDA9303" w14:textId="77777777" w:rsidR="00454EE9" w:rsidRDefault="00454EE9" w:rsidP="00311892">
            <w:pPr>
              <w:jc w:val="center"/>
              <w:rPr>
                <w:rFonts w:ascii="Times New Roman" w:hAnsi="Times New Roman" w:cs="Times New Roman"/>
              </w:rPr>
            </w:pPr>
          </w:p>
          <w:p w14:paraId="39D2BC35" w14:textId="77777777" w:rsidR="00454EE9" w:rsidRDefault="00454EE9" w:rsidP="00311892">
            <w:pPr>
              <w:jc w:val="center"/>
              <w:rPr>
                <w:rFonts w:ascii="Times New Roman" w:hAnsi="Times New Roman" w:cs="Times New Roman"/>
              </w:rPr>
            </w:pPr>
          </w:p>
          <w:p w14:paraId="5BDA1723" w14:textId="5F46CA7B" w:rsidR="00311892" w:rsidRPr="00311892" w:rsidRDefault="00311892" w:rsidP="00311892">
            <w:pPr>
              <w:jc w:val="center"/>
              <w:rPr>
                <w:rFonts w:ascii="Times New Roman" w:hAnsi="Times New Roman" w:cs="Times New Roman"/>
              </w:rPr>
            </w:pPr>
            <w:r w:rsidRPr="00311892">
              <w:rPr>
                <w:rFonts w:ascii="Times New Roman" w:hAnsi="Times New Roman" w:cs="Times New Roman"/>
              </w:rPr>
              <w:t>(+5,0% \+8,5%)</w:t>
            </w:r>
          </w:p>
        </w:tc>
        <w:tc>
          <w:tcPr>
            <w:tcW w:w="2544" w:type="dxa"/>
            <w:hideMark/>
          </w:tcPr>
          <w:p w14:paraId="58B67979" w14:textId="1B5A0BE1" w:rsidR="00311892" w:rsidRPr="00311892" w:rsidRDefault="00311892" w:rsidP="00311892">
            <w:pPr>
              <w:rPr>
                <w:rFonts w:ascii="Times New Roman" w:hAnsi="Times New Roman" w:cs="Times New Roman"/>
              </w:rPr>
            </w:pPr>
            <w:r w:rsidRPr="00311892">
              <w:rPr>
                <w:rFonts w:ascii="Times New Roman" w:hAnsi="Times New Roman" w:cs="Times New Roman"/>
              </w:rPr>
              <w:t xml:space="preserve">Збереження самофінансування. Позитивне значення власного оборотного капіталу </w:t>
            </w:r>
          </w:p>
        </w:tc>
      </w:tr>
      <w:tr w:rsidR="00311892" w:rsidRPr="00311892" w14:paraId="3B73C10B" w14:textId="77777777" w:rsidTr="00454EE9">
        <w:tc>
          <w:tcPr>
            <w:tcW w:w="0" w:type="auto"/>
            <w:hideMark/>
          </w:tcPr>
          <w:p w14:paraId="3511CABB" w14:textId="77777777" w:rsidR="00311892" w:rsidRPr="00311892" w:rsidRDefault="00311892" w:rsidP="00454EE9">
            <w:pPr>
              <w:rPr>
                <w:rFonts w:ascii="Times New Roman" w:hAnsi="Times New Roman" w:cs="Times New Roman"/>
              </w:rPr>
            </w:pPr>
            <w:r w:rsidRPr="00311892">
              <w:rPr>
                <w:rFonts w:ascii="Times New Roman" w:hAnsi="Times New Roman" w:cs="Times New Roman"/>
              </w:rPr>
              <w:t>«</w:t>
            </w:r>
            <w:proofErr w:type="spellStart"/>
            <w:r w:rsidRPr="00311892">
              <w:rPr>
                <w:rFonts w:ascii="Times New Roman" w:hAnsi="Times New Roman" w:cs="Times New Roman"/>
              </w:rPr>
              <w:t>Kernel</w:t>
            </w:r>
            <w:proofErr w:type="spellEnd"/>
            <w:r w:rsidRPr="00311892">
              <w:rPr>
                <w:rFonts w:ascii="Times New Roman" w:hAnsi="Times New Roman" w:cs="Times New Roman"/>
              </w:rPr>
              <w:t xml:space="preserve"> </w:t>
            </w:r>
            <w:proofErr w:type="spellStart"/>
            <w:r w:rsidRPr="00311892">
              <w:rPr>
                <w:rFonts w:ascii="Times New Roman" w:hAnsi="Times New Roman" w:cs="Times New Roman"/>
              </w:rPr>
              <w:t>Holding</w:t>
            </w:r>
            <w:proofErr w:type="spellEnd"/>
            <w:r w:rsidRPr="00311892">
              <w:rPr>
                <w:rFonts w:ascii="Times New Roman" w:hAnsi="Times New Roman" w:cs="Times New Roman"/>
              </w:rPr>
              <w:t xml:space="preserve"> S.A.»</w:t>
            </w:r>
          </w:p>
        </w:tc>
        <w:tc>
          <w:tcPr>
            <w:tcW w:w="2426" w:type="dxa"/>
            <w:hideMark/>
          </w:tcPr>
          <w:p w14:paraId="0A293DC8" w14:textId="06EF3B31" w:rsidR="00311892" w:rsidRPr="00311892" w:rsidRDefault="00311892" w:rsidP="00311892">
            <w:pPr>
              <w:rPr>
                <w:rFonts w:ascii="Times New Roman" w:hAnsi="Times New Roman" w:cs="Times New Roman"/>
              </w:rPr>
            </w:pPr>
            <w:r w:rsidRPr="00311892">
              <w:rPr>
                <w:rFonts w:ascii="Times New Roman" w:hAnsi="Times New Roman" w:cs="Times New Roman"/>
              </w:rPr>
              <w:t>Модель тимчасового вимивання капіталу</w:t>
            </w:r>
            <w:r w:rsidR="00454EE9">
              <w:rPr>
                <w:rFonts w:ascii="Times New Roman" w:hAnsi="Times New Roman" w:cs="Times New Roman"/>
              </w:rPr>
              <w:t>:</w:t>
            </w:r>
          </w:p>
          <w:p w14:paraId="3FB4FD51" w14:textId="12A551B3" w:rsidR="00311892" w:rsidRPr="00311892" w:rsidRDefault="00311892" w:rsidP="00311892">
            <w:pPr>
              <w:rPr>
                <w:rFonts w:ascii="Times New Roman" w:hAnsi="Times New Roman" w:cs="Times New Roman"/>
              </w:rPr>
            </w:pPr>
            <w:r w:rsidRPr="00311892">
              <w:rPr>
                <w:rFonts w:ascii="Times New Roman" w:hAnsi="Times New Roman" w:cs="Times New Roman"/>
              </w:rPr>
              <w:lastRenderedPageBreak/>
              <w:t>Іммобілізація ліквідних коштів у розбудову альтернативної логістики (Дунай, вагони) у 2023–2024 рр.</w:t>
            </w:r>
          </w:p>
        </w:tc>
        <w:tc>
          <w:tcPr>
            <w:tcW w:w="1417" w:type="dxa"/>
            <w:hideMark/>
          </w:tcPr>
          <w:p w14:paraId="1D66D6FB" w14:textId="77777777" w:rsidR="00311892" w:rsidRPr="00311892" w:rsidRDefault="00311892" w:rsidP="00311892">
            <w:pPr>
              <w:jc w:val="center"/>
              <w:rPr>
                <w:rFonts w:ascii="Times New Roman" w:hAnsi="Times New Roman" w:cs="Times New Roman"/>
              </w:rPr>
            </w:pPr>
            <w:proofErr w:type="spellStart"/>
            <w:r w:rsidRPr="00311892">
              <w:rPr>
                <w:rFonts w:ascii="Times New Roman" w:hAnsi="Times New Roman" w:cs="Times New Roman"/>
              </w:rPr>
              <w:lastRenderedPageBreak/>
              <w:t>Волатильний</w:t>
            </w:r>
            <w:proofErr w:type="spellEnd"/>
          </w:p>
          <w:p w14:paraId="15EC7DE3" w14:textId="4F5C185B" w:rsidR="00454EE9" w:rsidRDefault="00311892" w:rsidP="00454EE9">
            <w:pPr>
              <w:jc w:val="center"/>
              <w:rPr>
                <w:rFonts w:ascii="Times New Roman" w:hAnsi="Times New Roman" w:cs="Times New Roman"/>
              </w:rPr>
            </w:pPr>
            <w:r w:rsidRPr="00311892">
              <w:rPr>
                <w:rFonts w:ascii="Times New Roman" w:hAnsi="Times New Roman" w:cs="Times New Roman"/>
              </w:rPr>
              <w:lastRenderedPageBreak/>
              <w:br/>
            </w:r>
          </w:p>
          <w:p w14:paraId="243F2A92" w14:textId="4808D552"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(падіння до 0,42 з відновленням до 0,51)</w:t>
            </w:r>
          </w:p>
        </w:tc>
        <w:tc>
          <w:tcPr>
            <w:tcW w:w="1276" w:type="dxa"/>
            <w:hideMark/>
          </w:tcPr>
          <w:p w14:paraId="2650F191"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lastRenderedPageBreak/>
              <w:t xml:space="preserve">Спад у 2024 р. з </w:t>
            </w:r>
            <w:r w:rsidRPr="00311892">
              <w:rPr>
                <w:rFonts w:ascii="Times New Roman" w:hAnsi="Times New Roman" w:cs="Times New Roman"/>
              </w:rPr>
              <w:lastRenderedPageBreak/>
              <w:t>різким стрибком у 2025 р.</w:t>
            </w:r>
          </w:p>
        </w:tc>
        <w:tc>
          <w:tcPr>
            <w:tcW w:w="2544" w:type="dxa"/>
            <w:hideMark/>
          </w:tcPr>
          <w:p w14:paraId="0A5008F1"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lastRenderedPageBreak/>
              <w:t xml:space="preserve">Контрольований ризик. Тимчасове </w:t>
            </w:r>
            <w:r w:rsidRPr="00311892">
              <w:rPr>
                <w:rFonts w:ascii="Times New Roman" w:hAnsi="Times New Roman" w:cs="Times New Roman"/>
              </w:rPr>
              <w:lastRenderedPageBreak/>
              <w:t>перевантаження пасиву короткостроковим боргом; швидке відновлення після відкриття Одеських портів.</w:t>
            </w:r>
          </w:p>
        </w:tc>
      </w:tr>
      <w:tr w:rsidR="00311892" w:rsidRPr="00311892" w14:paraId="3D7CDFCF" w14:textId="77777777" w:rsidTr="00454EE9">
        <w:tc>
          <w:tcPr>
            <w:tcW w:w="0" w:type="auto"/>
            <w:hideMark/>
          </w:tcPr>
          <w:p w14:paraId="62C1A560" w14:textId="77777777" w:rsidR="00311892" w:rsidRPr="00311892" w:rsidRDefault="00311892" w:rsidP="00454EE9">
            <w:pPr>
              <w:rPr>
                <w:rFonts w:ascii="Times New Roman" w:hAnsi="Times New Roman" w:cs="Times New Roman"/>
              </w:rPr>
            </w:pPr>
            <w:proofErr w:type="spellStart"/>
            <w:r w:rsidRPr="00311892">
              <w:rPr>
                <w:rFonts w:ascii="Times New Roman" w:hAnsi="Times New Roman" w:cs="Times New Roman"/>
              </w:rPr>
              <w:lastRenderedPageBreak/>
              <w:t>Агрохолдинг</w:t>
            </w:r>
            <w:proofErr w:type="spellEnd"/>
            <w:r w:rsidRPr="00311892">
              <w:rPr>
                <w:rFonts w:ascii="Times New Roman" w:hAnsi="Times New Roman" w:cs="Times New Roman"/>
              </w:rPr>
              <w:t xml:space="preserve"> «</w:t>
            </w:r>
            <w:proofErr w:type="spellStart"/>
            <w:r w:rsidRPr="00311892">
              <w:rPr>
                <w:rFonts w:ascii="Times New Roman" w:hAnsi="Times New Roman" w:cs="Times New Roman"/>
              </w:rPr>
              <w:t>HarvEast</w:t>
            </w:r>
            <w:proofErr w:type="spellEnd"/>
            <w:r w:rsidRPr="00311892">
              <w:rPr>
                <w:rFonts w:ascii="Times New Roman" w:hAnsi="Times New Roman" w:cs="Times New Roman"/>
              </w:rPr>
              <w:t>»</w:t>
            </w:r>
          </w:p>
        </w:tc>
        <w:tc>
          <w:tcPr>
            <w:tcW w:w="2426" w:type="dxa"/>
            <w:hideMark/>
          </w:tcPr>
          <w:p w14:paraId="1DA7D66F"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 xml:space="preserve">Модель деструкції та </w:t>
            </w:r>
            <w:proofErr w:type="spellStart"/>
            <w:r w:rsidRPr="00311892">
              <w:rPr>
                <w:rFonts w:ascii="Times New Roman" w:hAnsi="Times New Roman" w:cs="Times New Roman"/>
              </w:rPr>
              <w:t>релокації</w:t>
            </w:r>
            <w:proofErr w:type="spellEnd"/>
            <w:r w:rsidRPr="00311892">
              <w:rPr>
                <w:rFonts w:ascii="Times New Roman" w:hAnsi="Times New Roman" w:cs="Times New Roman"/>
              </w:rPr>
              <w:t>:</w:t>
            </w:r>
          </w:p>
          <w:p w14:paraId="2FDF5B7A" w14:textId="5D68A596" w:rsidR="00311892" w:rsidRPr="00311892" w:rsidRDefault="00311892" w:rsidP="00311892">
            <w:pPr>
              <w:rPr>
                <w:rFonts w:ascii="Times New Roman" w:hAnsi="Times New Roman" w:cs="Times New Roman"/>
              </w:rPr>
            </w:pPr>
            <w:r w:rsidRPr="00311892">
              <w:rPr>
                <w:rFonts w:ascii="Times New Roman" w:hAnsi="Times New Roman" w:cs="Times New Roman"/>
              </w:rPr>
              <w:t>Фізична втрата понад 70% земельного банку через окупацію та мінування.</w:t>
            </w:r>
          </w:p>
        </w:tc>
        <w:tc>
          <w:tcPr>
            <w:tcW w:w="1417" w:type="dxa"/>
            <w:hideMark/>
          </w:tcPr>
          <w:p w14:paraId="26C51A75"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Критичний</w:t>
            </w:r>
          </w:p>
          <w:p w14:paraId="7294CAC0" w14:textId="1B1F43D0" w:rsidR="00311892" w:rsidRPr="00311892" w:rsidRDefault="00311892" w:rsidP="00311892">
            <w:pPr>
              <w:jc w:val="center"/>
              <w:rPr>
                <w:rFonts w:ascii="Times New Roman" w:hAnsi="Times New Roman" w:cs="Times New Roman"/>
              </w:rPr>
            </w:pPr>
          </w:p>
          <w:p w14:paraId="51331632" w14:textId="3C3CF1D8" w:rsidR="00311892" w:rsidRPr="00311892" w:rsidRDefault="00311892" w:rsidP="00311892">
            <w:pPr>
              <w:jc w:val="center"/>
              <w:rPr>
                <w:rFonts w:ascii="Times New Roman" w:hAnsi="Times New Roman" w:cs="Times New Roman"/>
              </w:rPr>
            </w:pPr>
            <w:r w:rsidRPr="00311892">
              <w:rPr>
                <w:rFonts w:ascii="Times New Roman" w:hAnsi="Times New Roman" w:cs="Times New Roman"/>
              </w:rPr>
              <w:t>(</w:t>
            </w:r>
            <w:proofErr w:type="spellStart"/>
            <w:r w:rsidRPr="00311892">
              <w:rPr>
                <w:rFonts w:ascii="Times New Roman" w:hAnsi="Times New Roman" w:cs="Times New Roman"/>
              </w:rPr>
              <w:t>K</w:t>
            </w:r>
            <w:r w:rsidRPr="00454EE9">
              <w:rPr>
                <w:rFonts w:ascii="Times New Roman" w:hAnsi="Times New Roman" w:cs="Times New Roman"/>
                <w:vertAlign w:val="subscript"/>
              </w:rPr>
              <w:t>a</w:t>
            </w:r>
            <w:proofErr w:type="spellEnd"/>
            <w:r w:rsidRPr="00311892">
              <w:rPr>
                <w:rFonts w:ascii="Times New Roman" w:hAnsi="Times New Roman" w:cs="Times New Roman"/>
              </w:rPr>
              <w:t xml:space="preserve"> </w:t>
            </w:r>
            <w:r w:rsidR="00454EE9" w:rsidRPr="00454EE9">
              <w:rPr>
                <w:rFonts w:ascii="Times New Roman" w:hAnsi="Times New Roman" w:cs="Times New Roman"/>
              </w:rPr>
              <w:t>≤</w:t>
            </w:r>
            <w:r w:rsidRPr="00311892">
              <w:rPr>
                <w:rFonts w:ascii="Times New Roman" w:hAnsi="Times New Roman" w:cs="Times New Roman"/>
              </w:rPr>
              <w:t>0 щодо донецьких активів)</w:t>
            </w:r>
          </w:p>
        </w:tc>
        <w:tc>
          <w:tcPr>
            <w:tcW w:w="1276" w:type="dxa"/>
            <w:hideMark/>
          </w:tcPr>
          <w:p w14:paraId="2FE74C1D"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Глибоко від'ємна</w:t>
            </w:r>
          </w:p>
          <w:p w14:paraId="575FC71B"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10663718"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(хронічні збитки)</w:t>
            </w:r>
          </w:p>
        </w:tc>
        <w:tc>
          <w:tcPr>
            <w:tcW w:w="2544" w:type="dxa"/>
            <w:hideMark/>
          </w:tcPr>
          <w:p w14:paraId="3C5C56DB"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Технічне банкрутство. Повна втрата капіталу на Сході. Вимушений перезапуск бізнесу з нуля у Житомирській та Київській областях.</w:t>
            </w:r>
          </w:p>
        </w:tc>
      </w:tr>
      <w:tr w:rsidR="00311892" w:rsidRPr="00311892" w14:paraId="26D69CB3" w14:textId="77777777" w:rsidTr="00454EE9">
        <w:tc>
          <w:tcPr>
            <w:tcW w:w="0" w:type="auto"/>
            <w:hideMark/>
          </w:tcPr>
          <w:p w14:paraId="7AA2D047" w14:textId="77777777" w:rsidR="00311892" w:rsidRPr="00311892" w:rsidRDefault="00311892" w:rsidP="00454EE9">
            <w:pPr>
              <w:rPr>
                <w:rFonts w:ascii="Times New Roman" w:hAnsi="Times New Roman" w:cs="Times New Roman"/>
              </w:rPr>
            </w:pPr>
            <w:r w:rsidRPr="00311892">
              <w:rPr>
                <w:rFonts w:ascii="Times New Roman" w:hAnsi="Times New Roman" w:cs="Times New Roman"/>
              </w:rPr>
              <w:t>СТОВ «Інгулець»</w:t>
            </w:r>
          </w:p>
        </w:tc>
        <w:tc>
          <w:tcPr>
            <w:tcW w:w="2426" w:type="dxa"/>
            <w:hideMark/>
          </w:tcPr>
          <w:p w14:paraId="20DF60B7"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Модель екологічно-безпекового шоку:</w:t>
            </w:r>
          </w:p>
          <w:p w14:paraId="49DFE64D" w14:textId="0134BE28" w:rsidR="00311892" w:rsidRPr="00311892" w:rsidRDefault="00311892" w:rsidP="00311892">
            <w:pPr>
              <w:rPr>
                <w:rFonts w:ascii="Times New Roman" w:hAnsi="Times New Roman" w:cs="Times New Roman"/>
              </w:rPr>
            </w:pPr>
            <w:r w:rsidRPr="00311892">
              <w:rPr>
                <w:rFonts w:ascii="Times New Roman" w:hAnsi="Times New Roman" w:cs="Times New Roman"/>
              </w:rPr>
              <w:t>Руйнування зрошувальних систем через підрив Каховської ГЕС, зупинка операційного циклу.</w:t>
            </w:r>
          </w:p>
        </w:tc>
        <w:tc>
          <w:tcPr>
            <w:tcW w:w="1417" w:type="dxa"/>
            <w:hideMark/>
          </w:tcPr>
          <w:p w14:paraId="2D92EFA4"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Низький</w:t>
            </w:r>
          </w:p>
          <w:p w14:paraId="79002DFB"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16F0FA5C" w14:textId="3874C460" w:rsidR="00311892" w:rsidRPr="00311892" w:rsidRDefault="00311892" w:rsidP="00311892">
            <w:pPr>
              <w:jc w:val="center"/>
              <w:rPr>
                <w:rFonts w:ascii="Times New Roman" w:hAnsi="Times New Roman" w:cs="Times New Roman"/>
              </w:rPr>
            </w:pPr>
            <w:r w:rsidRPr="00311892">
              <w:rPr>
                <w:rFonts w:ascii="Times New Roman" w:hAnsi="Times New Roman" w:cs="Times New Roman"/>
              </w:rPr>
              <w:t>(0,12 – 0,15)</w:t>
            </w:r>
          </w:p>
        </w:tc>
        <w:tc>
          <w:tcPr>
            <w:tcW w:w="1276" w:type="dxa"/>
            <w:hideMark/>
          </w:tcPr>
          <w:p w14:paraId="35C15EC9"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Від'ємна</w:t>
            </w:r>
          </w:p>
          <w:p w14:paraId="565E03CF" w14:textId="77777777" w:rsidR="00311892" w:rsidRPr="00311892" w:rsidRDefault="00311892" w:rsidP="00311892">
            <w:pPr>
              <w:jc w:val="center"/>
              <w:rPr>
                <w:rFonts w:ascii="Times New Roman" w:hAnsi="Times New Roman" w:cs="Times New Roman"/>
              </w:rPr>
            </w:pPr>
            <w:r w:rsidRPr="00311892">
              <w:rPr>
                <w:rFonts w:ascii="Times New Roman" w:hAnsi="Times New Roman" w:cs="Times New Roman"/>
              </w:rPr>
              <w:br/>
            </w:r>
          </w:p>
          <w:p w14:paraId="6FC4FE47" w14:textId="43902B17" w:rsidR="00311892" w:rsidRPr="00311892" w:rsidRDefault="00311892" w:rsidP="00311892">
            <w:pPr>
              <w:jc w:val="center"/>
              <w:rPr>
                <w:rFonts w:ascii="Times New Roman" w:hAnsi="Times New Roman" w:cs="Times New Roman"/>
              </w:rPr>
            </w:pPr>
            <w:r w:rsidRPr="00311892">
              <w:rPr>
                <w:rFonts w:ascii="Times New Roman" w:hAnsi="Times New Roman" w:cs="Times New Roman"/>
              </w:rPr>
              <w:t>(нижче -35%)</w:t>
            </w:r>
          </w:p>
        </w:tc>
        <w:tc>
          <w:tcPr>
            <w:tcW w:w="2544" w:type="dxa"/>
            <w:hideMark/>
          </w:tcPr>
          <w:p w14:paraId="735BE113" w14:textId="77777777" w:rsidR="00311892" w:rsidRPr="00311892" w:rsidRDefault="00311892" w:rsidP="00311892">
            <w:pPr>
              <w:rPr>
                <w:rFonts w:ascii="Times New Roman" w:hAnsi="Times New Roman" w:cs="Times New Roman"/>
              </w:rPr>
            </w:pPr>
            <w:r w:rsidRPr="00311892">
              <w:rPr>
                <w:rFonts w:ascii="Times New Roman" w:hAnsi="Times New Roman" w:cs="Times New Roman"/>
              </w:rPr>
              <w:t>Межа банкрутства. Хронічна неплатоспроможність. Фінансування діяльності відбувається виключно за рахунок простроченої кредиторської заборгованості.</w:t>
            </w:r>
          </w:p>
        </w:tc>
      </w:tr>
    </w:tbl>
    <w:p w14:paraId="05701076" w14:textId="77777777" w:rsidR="00311892" w:rsidRDefault="00311892" w:rsidP="00311892">
      <w:pPr>
        <w:spacing w:after="0" w:line="360" w:lineRule="auto"/>
        <w:ind w:firstLine="709"/>
        <w:jc w:val="center"/>
        <w:rPr>
          <w:rFonts w:ascii="Times New Roman" w:hAnsi="Times New Roman" w:cs="Times New Roman"/>
          <w:bCs/>
          <w:sz w:val="28"/>
          <w:szCs w:val="28"/>
        </w:rPr>
      </w:pPr>
    </w:p>
    <w:p w14:paraId="6D3E4311" w14:textId="48901EBE" w:rsidR="00311892" w:rsidRPr="0045639C" w:rsidRDefault="00454EE9" w:rsidP="00B378ED">
      <w:pPr>
        <w:spacing w:after="0" w:line="360" w:lineRule="auto"/>
        <w:ind w:firstLine="709"/>
        <w:jc w:val="both"/>
        <w:rPr>
          <w:rFonts w:ascii="Times New Roman" w:hAnsi="Times New Roman" w:cs="Times New Roman"/>
          <w:bCs/>
          <w:sz w:val="28"/>
          <w:szCs w:val="28"/>
        </w:rPr>
      </w:pPr>
      <w:r w:rsidRPr="00454EE9">
        <w:rPr>
          <w:rFonts w:ascii="Times New Roman" w:hAnsi="Times New Roman" w:cs="Times New Roman"/>
          <w:bCs/>
          <w:sz w:val="28"/>
          <w:szCs w:val="28"/>
        </w:rPr>
        <w:t xml:space="preserve">Дані таблиці </w:t>
      </w:r>
      <w:r>
        <w:rPr>
          <w:rFonts w:ascii="Times New Roman" w:hAnsi="Times New Roman" w:cs="Times New Roman"/>
          <w:bCs/>
          <w:sz w:val="28"/>
          <w:szCs w:val="28"/>
        </w:rPr>
        <w:t xml:space="preserve">1.3 </w:t>
      </w:r>
      <w:r w:rsidRPr="00454EE9">
        <w:rPr>
          <w:rFonts w:ascii="Times New Roman" w:hAnsi="Times New Roman" w:cs="Times New Roman"/>
          <w:bCs/>
          <w:sz w:val="28"/>
          <w:szCs w:val="28"/>
        </w:rPr>
        <w:t>дозволяють зробити важливий висновок</w:t>
      </w:r>
      <w:r>
        <w:rPr>
          <w:rFonts w:ascii="Times New Roman" w:hAnsi="Times New Roman" w:cs="Times New Roman"/>
          <w:bCs/>
          <w:sz w:val="28"/>
          <w:szCs w:val="28"/>
        </w:rPr>
        <w:t>, т</w:t>
      </w:r>
      <w:r w:rsidRPr="00454EE9">
        <w:rPr>
          <w:rFonts w:ascii="Times New Roman" w:hAnsi="Times New Roman" w:cs="Times New Roman"/>
          <w:bCs/>
          <w:sz w:val="28"/>
          <w:szCs w:val="28"/>
        </w:rPr>
        <w:t>рансформація капіталу в агросекторі під впливом екзогенних шоків не є однорідною. Емпіричний аналіз діяльності таких гігантів, як "МХП" та "Кернел", порівняно з регіональними підприємствами ("</w:t>
      </w:r>
      <w:proofErr w:type="spellStart"/>
      <w:r w:rsidRPr="00454EE9">
        <w:rPr>
          <w:rFonts w:ascii="Times New Roman" w:hAnsi="Times New Roman" w:cs="Times New Roman"/>
          <w:bCs/>
          <w:sz w:val="28"/>
          <w:szCs w:val="28"/>
        </w:rPr>
        <w:t>Агропродсервіс</w:t>
      </w:r>
      <w:proofErr w:type="spellEnd"/>
      <w:r w:rsidRPr="00454EE9">
        <w:rPr>
          <w:rFonts w:ascii="Times New Roman" w:hAnsi="Times New Roman" w:cs="Times New Roman"/>
          <w:bCs/>
          <w:sz w:val="28"/>
          <w:szCs w:val="28"/>
        </w:rPr>
        <w:t>", СТОВ "Інгулець"), доводить: масштаб бізнесу та географічна диверсифікація є ключовими важелями управління платоспроможністю, де вертикальна інтеграція виступає найефективнішим інструментом збереження рентабельності власного капіталу</w:t>
      </w:r>
      <w:r>
        <w:rPr>
          <w:rFonts w:ascii="Times New Roman" w:hAnsi="Times New Roman" w:cs="Times New Roman"/>
          <w:bCs/>
          <w:sz w:val="28"/>
          <w:szCs w:val="28"/>
        </w:rPr>
        <w:t>.</w:t>
      </w:r>
    </w:p>
    <w:p w14:paraId="06F95ABF" w14:textId="77777777" w:rsidR="00C36B03" w:rsidRPr="00C36B03" w:rsidRDefault="00C36B03" w:rsidP="00D935C2">
      <w:pPr>
        <w:spacing w:after="0" w:line="360" w:lineRule="auto"/>
        <w:ind w:firstLine="709"/>
        <w:jc w:val="both"/>
        <w:rPr>
          <w:rFonts w:ascii="Times New Roman" w:hAnsi="Times New Roman" w:cs="Times New Roman"/>
          <w:b/>
          <w:sz w:val="28"/>
          <w:szCs w:val="28"/>
        </w:rPr>
      </w:pPr>
    </w:p>
    <w:p w14:paraId="39D93DBD" w14:textId="238092F3" w:rsidR="00D935C2" w:rsidRDefault="00B378ED" w:rsidP="00D935C2">
      <w:pPr>
        <w:spacing w:after="0" w:line="360" w:lineRule="auto"/>
        <w:ind w:firstLine="709"/>
        <w:jc w:val="both"/>
        <w:rPr>
          <w:rFonts w:ascii="Times New Roman" w:eastAsia="Times New Roman" w:hAnsi="Times New Roman" w:cs="Times New Roman"/>
          <w:b/>
          <w:kern w:val="36"/>
          <w:sz w:val="28"/>
          <w:szCs w:val="28"/>
        </w:rPr>
      </w:pPr>
      <w:r w:rsidRPr="00B378ED">
        <w:rPr>
          <w:rFonts w:ascii="Times New Roman" w:eastAsia="Times New Roman" w:hAnsi="Times New Roman" w:cs="Times New Roman"/>
          <w:b/>
          <w:kern w:val="36"/>
          <w:sz w:val="28"/>
          <w:szCs w:val="28"/>
        </w:rPr>
        <w:t>1.2. Методичні підходи до фінансового забезпечення відтворення капіталу в умовах ризику</w:t>
      </w:r>
    </w:p>
    <w:p w14:paraId="6EC87DF1" w14:textId="77777777" w:rsidR="00B378ED" w:rsidRDefault="00B378ED" w:rsidP="00D935C2">
      <w:pPr>
        <w:spacing w:after="0" w:line="360" w:lineRule="auto"/>
        <w:ind w:firstLine="709"/>
        <w:jc w:val="both"/>
        <w:rPr>
          <w:rFonts w:ascii="Times New Roman" w:eastAsia="Times New Roman" w:hAnsi="Times New Roman" w:cs="Times New Roman"/>
          <w:b/>
          <w:kern w:val="36"/>
          <w:sz w:val="28"/>
          <w:szCs w:val="28"/>
        </w:rPr>
      </w:pPr>
    </w:p>
    <w:p w14:paraId="71501AEC" w14:textId="04C33BB5" w:rsidR="009C7449" w:rsidRPr="009C7449"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 xml:space="preserve">Ризикова архітектура агропромислового сектору, що формується під впливом воєнно-політичних загроз, логістичних деструкцій та цінової </w:t>
      </w:r>
      <w:proofErr w:type="spellStart"/>
      <w:r w:rsidRPr="009C7449">
        <w:rPr>
          <w:rFonts w:ascii="Times New Roman" w:eastAsia="Times New Roman" w:hAnsi="Times New Roman" w:cs="Times New Roman"/>
          <w:bCs/>
          <w:kern w:val="36"/>
          <w:sz w:val="28"/>
          <w:szCs w:val="28"/>
        </w:rPr>
        <w:t>волатильності</w:t>
      </w:r>
      <w:proofErr w:type="spellEnd"/>
      <w:r w:rsidRPr="009C7449">
        <w:rPr>
          <w:rFonts w:ascii="Times New Roman" w:eastAsia="Times New Roman" w:hAnsi="Times New Roman" w:cs="Times New Roman"/>
          <w:bCs/>
          <w:kern w:val="36"/>
          <w:sz w:val="28"/>
          <w:szCs w:val="28"/>
        </w:rPr>
        <w:t>, вимагає від фінансових менеджерів застосування диференційованих методичних підходів до формування ресурсного базису підприємства [</w:t>
      </w:r>
      <w:r w:rsidR="00B251B9">
        <w:rPr>
          <w:rFonts w:ascii="Times New Roman" w:eastAsia="Times New Roman" w:hAnsi="Times New Roman" w:cs="Times New Roman"/>
          <w:bCs/>
          <w:kern w:val="36"/>
          <w:sz w:val="28"/>
          <w:szCs w:val="28"/>
        </w:rPr>
        <w:t>4</w:t>
      </w:r>
      <w:r w:rsidRPr="009C7449">
        <w:rPr>
          <w:rFonts w:ascii="Times New Roman" w:eastAsia="Times New Roman" w:hAnsi="Times New Roman" w:cs="Times New Roman"/>
          <w:bCs/>
          <w:kern w:val="36"/>
          <w:sz w:val="28"/>
          <w:szCs w:val="28"/>
        </w:rPr>
        <w:t xml:space="preserve">]. У вітчизняній та закордонній фінансовій науці сформовано чотири базові парадигми щодо фінансового забезпечення відтворення капіталу, </w:t>
      </w:r>
      <w:r w:rsidRPr="009C7449">
        <w:rPr>
          <w:rFonts w:ascii="Times New Roman" w:eastAsia="Times New Roman" w:hAnsi="Times New Roman" w:cs="Times New Roman"/>
          <w:bCs/>
          <w:kern w:val="36"/>
          <w:sz w:val="28"/>
          <w:szCs w:val="28"/>
        </w:rPr>
        <w:lastRenderedPageBreak/>
        <w:t>кожна з яких відрізняється рівнем припустимого ризику, вартістю залучення ресурсів та швидкістю реалізації операційного циклу [</w:t>
      </w:r>
      <w:r w:rsidR="00B251B9">
        <w:rPr>
          <w:rFonts w:ascii="Times New Roman" w:eastAsia="Times New Roman" w:hAnsi="Times New Roman" w:cs="Times New Roman"/>
          <w:bCs/>
          <w:kern w:val="36"/>
          <w:sz w:val="28"/>
          <w:szCs w:val="28"/>
        </w:rPr>
        <w:t>37</w:t>
      </w:r>
      <w:r w:rsidRPr="009C7449">
        <w:rPr>
          <w:rFonts w:ascii="Times New Roman" w:eastAsia="Times New Roman" w:hAnsi="Times New Roman" w:cs="Times New Roman"/>
          <w:bCs/>
          <w:kern w:val="36"/>
          <w:sz w:val="28"/>
          <w:szCs w:val="28"/>
        </w:rPr>
        <w:t xml:space="preserve">; </w:t>
      </w:r>
      <w:r w:rsidR="00B251B9">
        <w:rPr>
          <w:rFonts w:ascii="Times New Roman" w:eastAsia="Times New Roman" w:hAnsi="Times New Roman" w:cs="Times New Roman"/>
          <w:bCs/>
          <w:kern w:val="36"/>
          <w:sz w:val="28"/>
          <w:szCs w:val="28"/>
        </w:rPr>
        <w:t>3</w:t>
      </w:r>
      <w:r w:rsidRPr="009C7449">
        <w:rPr>
          <w:rFonts w:ascii="Times New Roman" w:eastAsia="Times New Roman" w:hAnsi="Times New Roman" w:cs="Times New Roman"/>
          <w:bCs/>
          <w:kern w:val="36"/>
          <w:sz w:val="28"/>
          <w:szCs w:val="28"/>
        </w:rPr>
        <w:t>8].</w:t>
      </w:r>
    </w:p>
    <w:p w14:paraId="2925B5DD" w14:textId="2973F877" w:rsidR="009C7449" w:rsidRPr="009C7449"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 xml:space="preserve">Першим фундаментальним підходом є консервативний підхід, в основі якого лежить концепція повної фінансової автономії суб'єкта господарювання. Головним вектором відтворення капіталу за цієї стратегії є мобілізація виключно ендогенних джерел, що мінімізує зовнішню залежність та забезпечує високу стійкість підприємства до кредиторського тиску [1]. У межах цієї парадигми амортизаційні відрахування виступають найбільш стабільним, нецільовим та незалежним від ринкової кон’юнктури інструментом простого відтворення основних засобів, де застосування методів прискореної амортизації дозволяє </w:t>
      </w:r>
      <w:proofErr w:type="spellStart"/>
      <w:r w:rsidRPr="009C7449">
        <w:rPr>
          <w:rFonts w:ascii="Times New Roman" w:eastAsia="Times New Roman" w:hAnsi="Times New Roman" w:cs="Times New Roman"/>
          <w:bCs/>
          <w:kern w:val="36"/>
          <w:sz w:val="28"/>
          <w:szCs w:val="28"/>
        </w:rPr>
        <w:t>оперативно</w:t>
      </w:r>
      <w:proofErr w:type="spellEnd"/>
      <w:r w:rsidRPr="009C7449">
        <w:rPr>
          <w:rFonts w:ascii="Times New Roman" w:eastAsia="Times New Roman" w:hAnsi="Times New Roman" w:cs="Times New Roman"/>
          <w:bCs/>
          <w:kern w:val="36"/>
          <w:sz w:val="28"/>
          <w:szCs w:val="28"/>
        </w:rPr>
        <w:t xml:space="preserve"> акумулювати ресурси для реновації технічного парку до моменту настання інфляційного знецінення коштів [</w:t>
      </w:r>
      <w:r w:rsidR="00B251B9">
        <w:rPr>
          <w:rFonts w:ascii="Times New Roman" w:eastAsia="Times New Roman" w:hAnsi="Times New Roman" w:cs="Times New Roman"/>
          <w:bCs/>
          <w:kern w:val="36"/>
          <w:sz w:val="28"/>
          <w:szCs w:val="28"/>
        </w:rPr>
        <w:t>3</w:t>
      </w:r>
      <w:r w:rsidRPr="009C7449">
        <w:rPr>
          <w:rFonts w:ascii="Times New Roman" w:eastAsia="Times New Roman" w:hAnsi="Times New Roman" w:cs="Times New Roman"/>
          <w:bCs/>
          <w:kern w:val="36"/>
          <w:sz w:val="28"/>
          <w:szCs w:val="28"/>
        </w:rPr>
        <w:t>8]. Розширене відтворення за консервативного підходу забезпечується через механізм капіталізації чистого прибутку, який трансформується у нерозподілений прибуток з метою подальшого реінвестування [</w:t>
      </w:r>
      <w:r w:rsidR="00B251B9">
        <w:rPr>
          <w:rFonts w:ascii="Times New Roman" w:eastAsia="Times New Roman" w:hAnsi="Times New Roman" w:cs="Times New Roman"/>
          <w:bCs/>
          <w:kern w:val="36"/>
          <w:sz w:val="28"/>
          <w:szCs w:val="28"/>
        </w:rPr>
        <w:t>37</w:t>
      </w:r>
      <w:r w:rsidRPr="009C7449">
        <w:rPr>
          <w:rFonts w:ascii="Times New Roman" w:eastAsia="Times New Roman" w:hAnsi="Times New Roman" w:cs="Times New Roman"/>
          <w:bCs/>
          <w:kern w:val="36"/>
          <w:sz w:val="28"/>
          <w:szCs w:val="28"/>
        </w:rPr>
        <w:t>]. Водночас обмеженість цього підходу виявляється в періоди глибоких криз, коли суттєве зниження прибутковості галузі [</w:t>
      </w:r>
      <w:r w:rsidR="000606AF">
        <w:rPr>
          <w:rFonts w:ascii="Times New Roman" w:eastAsia="Times New Roman" w:hAnsi="Times New Roman" w:cs="Times New Roman"/>
          <w:bCs/>
          <w:kern w:val="36"/>
          <w:sz w:val="28"/>
          <w:szCs w:val="28"/>
        </w:rPr>
        <w:t>2</w:t>
      </w:r>
      <w:r w:rsidRPr="009C7449">
        <w:rPr>
          <w:rFonts w:ascii="Times New Roman" w:eastAsia="Times New Roman" w:hAnsi="Times New Roman" w:cs="Times New Roman"/>
          <w:bCs/>
          <w:kern w:val="36"/>
          <w:sz w:val="28"/>
          <w:szCs w:val="28"/>
        </w:rPr>
        <w:t>6]</w:t>
      </w:r>
      <w:r w:rsidR="00C02F7D">
        <w:rPr>
          <w:rFonts w:ascii="Times New Roman" w:eastAsia="Times New Roman" w:hAnsi="Times New Roman" w:cs="Times New Roman"/>
          <w:bCs/>
          <w:kern w:val="36"/>
          <w:sz w:val="28"/>
          <w:szCs w:val="28"/>
        </w:rPr>
        <w:t xml:space="preserve"> </w:t>
      </w:r>
      <w:r w:rsidRPr="009C7449">
        <w:rPr>
          <w:rFonts w:ascii="Times New Roman" w:eastAsia="Times New Roman" w:hAnsi="Times New Roman" w:cs="Times New Roman"/>
          <w:bCs/>
          <w:kern w:val="36"/>
          <w:sz w:val="28"/>
          <w:szCs w:val="28"/>
        </w:rPr>
        <w:t>робить внутрішні ресурси недостатніми для масштабної модернізації бізнесу.</w:t>
      </w:r>
    </w:p>
    <w:p w14:paraId="3889A20D" w14:textId="6EDA4DDF" w:rsidR="00C02F7D"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 xml:space="preserve">Альтернативою виступає агресивний підхід, орієнтований на максимальне прискорення темпів розширеного відтворення капіталу за рахунок активного залучення зовнішнього, переважно короткострокового, боргового фінансування з метою максимізації ефекту фінансового важеля [1; </w:t>
      </w:r>
      <w:r w:rsidR="000606AF">
        <w:rPr>
          <w:rFonts w:ascii="Times New Roman" w:eastAsia="Times New Roman" w:hAnsi="Times New Roman" w:cs="Times New Roman"/>
          <w:bCs/>
          <w:kern w:val="36"/>
          <w:sz w:val="28"/>
          <w:szCs w:val="28"/>
        </w:rPr>
        <w:t>39</w:t>
      </w:r>
      <w:r w:rsidRPr="009C7449">
        <w:rPr>
          <w:rFonts w:ascii="Times New Roman" w:eastAsia="Times New Roman" w:hAnsi="Times New Roman" w:cs="Times New Roman"/>
          <w:bCs/>
          <w:kern w:val="36"/>
          <w:sz w:val="28"/>
          <w:szCs w:val="28"/>
        </w:rPr>
        <w:t xml:space="preserve">]. </w:t>
      </w:r>
    </w:p>
    <w:p w14:paraId="7CE57CFA" w14:textId="51078F72" w:rsidR="00C02F7D"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Основними інструментами тут є короткострокове банківське кредитування, що використовується для оперативної ліквідації касових розривів, а також комерційне (товарне) кредитування та товарні розписки, які дозволяють отримувати матеріально-технічні ресурси під зобов'язання розрахунку майбутнім урожаєм [</w:t>
      </w:r>
      <w:r w:rsidR="000606AF">
        <w:rPr>
          <w:rFonts w:ascii="Times New Roman" w:eastAsia="Times New Roman" w:hAnsi="Times New Roman" w:cs="Times New Roman"/>
          <w:bCs/>
          <w:kern w:val="36"/>
          <w:sz w:val="28"/>
          <w:szCs w:val="28"/>
        </w:rPr>
        <w:t>18</w:t>
      </w:r>
      <w:r w:rsidRPr="009C7449">
        <w:rPr>
          <w:rFonts w:ascii="Times New Roman" w:eastAsia="Times New Roman" w:hAnsi="Times New Roman" w:cs="Times New Roman"/>
          <w:bCs/>
          <w:kern w:val="36"/>
          <w:sz w:val="28"/>
          <w:szCs w:val="28"/>
        </w:rPr>
        <w:t xml:space="preserve">]. </w:t>
      </w:r>
    </w:p>
    <w:p w14:paraId="26BEA8F1" w14:textId="5F13C458" w:rsidR="009C7449" w:rsidRPr="009C7449"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 xml:space="preserve">Головний ризик агресивної стратегії полягає у загрозі стрімкої втрати ліквідності у випадку форс-мажорних обставин або падіння ринкових цін, коли </w:t>
      </w:r>
      <w:r w:rsidRPr="009C7449">
        <w:rPr>
          <w:rFonts w:ascii="Times New Roman" w:eastAsia="Times New Roman" w:hAnsi="Times New Roman" w:cs="Times New Roman"/>
          <w:bCs/>
          <w:kern w:val="36"/>
          <w:sz w:val="28"/>
          <w:szCs w:val="28"/>
        </w:rPr>
        <w:lastRenderedPageBreak/>
        <w:t>високі фінансові витрати на обслуговування боргу можуть миттєво спровокувати стан технічного банкрутства [</w:t>
      </w:r>
      <w:r w:rsidR="000606AF">
        <w:rPr>
          <w:rFonts w:ascii="Times New Roman" w:eastAsia="Times New Roman" w:hAnsi="Times New Roman" w:cs="Times New Roman"/>
          <w:bCs/>
          <w:kern w:val="36"/>
          <w:sz w:val="28"/>
          <w:szCs w:val="28"/>
        </w:rPr>
        <w:t>14</w:t>
      </w:r>
      <w:r w:rsidRPr="009C7449">
        <w:rPr>
          <w:rFonts w:ascii="Times New Roman" w:eastAsia="Times New Roman" w:hAnsi="Times New Roman" w:cs="Times New Roman"/>
          <w:bCs/>
          <w:kern w:val="36"/>
          <w:sz w:val="28"/>
          <w:szCs w:val="28"/>
        </w:rPr>
        <w:t>].</w:t>
      </w:r>
    </w:p>
    <w:p w14:paraId="7B63EE3A" w14:textId="6C6F2126" w:rsidR="009C7449" w:rsidRPr="009C7449"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Збалансованим варіантом є адаптивний підхід, який базується на синергії ринкових інструментів та механізмів державної підтримки, спрямованих на мінімізацію середньозваженої вартості капіталу. Цей підхід передбачає активне використання пільгових кредитних ліній, зокрема державної програми «Доступні кредити 5-7-9%», у межах якої здійснюється субсидування відсоткової ставки за рахунок бюджетних коштів [</w:t>
      </w:r>
      <w:r w:rsidR="000606AF">
        <w:rPr>
          <w:rFonts w:ascii="Times New Roman" w:eastAsia="Times New Roman" w:hAnsi="Times New Roman" w:cs="Times New Roman"/>
          <w:bCs/>
          <w:kern w:val="36"/>
          <w:sz w:val="28"/>
          <w:szCs w:val="28"/>
        </w:rPr>
        <w:t>4</w:t>
      </w:r>
      <w:r w:rsidRPr="009C7449">
        <w:rPr>
          <w:rFonts w:ascii="Times New Roman" w:eastAsia="Times New Roman" w:hAnsi="Times New Roman" w:cs="Times New Roman"/>
          <w:bCs/>
          <w:kern w:val="36"/>
          <w:sz w:val="28"/>
          <w:szCs w:val="28"/>
        </w:rPr>
        <w:t xml:space="preserve">]. Розширення технічного базису за </w:t>
      </w:r>
      <w:proofErr w:type="spellStart"/>
      <w:r w:rsidRPr="009C7449">
        <w:rPr>
          <w:rFonts w:ascii="Times New Roman" w:eastAsia="Times New Roman" w:hAnsi="Times New Roman" w:cs="Times New Roman"/>
          <w:bCs/>
          <w:kern w:val="36"/>
          <w:sz w:val="28"/>
          <w:szCs w:val="28"/>
        </w:rPr>
        <w:t>адаптивноїльної</w:t>
      </w:r>
      <w:proofErr w:type="spellEnd"/>
      <w:r w:rsidRPr="009C7449">
        <w:rPr>
          <w:rFonts w:ascii="Times New Roman" w:eastAsia="Times New Roman" w:hAnsi="Times New Roman" w:cs="Times New Roman"/>
          <w:bCs/>
          <w:kern w:val="36"/>
          <w:sz w:val="28"/>
          <w:szCs w:val="28"/>
        </w:rPr>
        <w:t xml:space="preserve"> моделі спирається на інструменти фінансового та оперативного лізингу, а також на використання новітніх електронних аграрних розписок, які функціонують в Україні у форматі неемісійних цінних паперів згідно з оновленим законодавством [</w:t>
      </w:r>
      <w:r w:rsidR="000606AF">
        <w:rPr>
          <w:rFonts w:ascii="Times New Roman" w:eastAsia="Times New Roman" w:hAnsi="Times New Roman" w:cs="Times New Roman"/>
          <w:bCs/>
          <w:kern w:val="36"/>
          <w:sz w:val="28"/>
          <w:szCs w:val="28"/>
        </w:rPr>
        <w:t>10</w:t>
      </w:r>
      <w:r w:rsidRPr="009C7449">
        <w:rPr>
          <w:rFonts w:ascii="Times New Roman" w:eastAsia="Times New Roman" w:hAnsi="Times New Roman" w:cs="Times New Roman"/>
          <w:bCs/>
          <w:kern w:val="36"/>
          <w:sz w:val="28"/>
          <w:szCs w:val="28"/>
        </w:rPr>
        <w:t>], що значно спрощує залучення фінансових ресурсів під заставу майбутніх біологічних активів. У межах цього ж підходу для реалізації масштабних інфраструктурних проєктів в АПК застосовуються механізми державно-приватного партнерства, що дозволяють об'єднувати приватний капітал з державними ресурсами задля розподілу та зниження загального рівня ризиків [</w:t>
      </w:r>
      <w:r w:rsidR="000606AF">
        <w:rPr>
          <w:rFonts w:ascii="Times New Roman" w:eastAsia="Times New Roman" w:hAnsi="Times New Roman" w:cs="Times New Roman"/>
          <w:bCs/>
          <w:kern w:val="36"/>
          <w:sz w:val="28"/>
          <w:szCs w:val="28"/>
        </w:rPr>
        <w:t>18</w:t>
      </w:r>
      <w:r w:rsidRPr="009C7449">
        <w:rPr>
          <w:rFonts w:ascii="Times New Roman" w:eastAsia="Times New Roman" w:hAnsi="Times New Roman" w:cs="Times New Roman"/>
          <w:bCs/>
          <w:kern w:val="36"/>
          <w:sz w:val="28"/>
          <w:szCs w:val="28"/>
        </w:rPr>
        <w:t>].</w:t>
      </w:r>
    </w:p>
    <w:p w14:paraId="43B72E9E" w14:textId="407FC708" w:rsidR="009C7449" w:rsidRPr="009C7449"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 xml:space="preserve">Особливе місце посідає ризик-орієнтований підхід, який виступає обов'язковим захисним контуром для будь-якої з перелічених моделей відтворення капіталу через превентивне створення фінансових буферів та нейтралізацію ризиків за допомогою інструментів фінансового інжинірингу [1; </w:t>
      </w:r>
      <w:r w:rsidR="000606AF">
        <w:rPr>
          <w:rFonts w:ascii="Times New Roman" w:eastAsia="Times New Roman" w:hAnsi="Times New Roman" w:cs="Times New Roman"/>
          <w:bCs/>
          <w:kern w:val="36"/>
          <w:sz w:val="28"/>
          <w:szCs w:val="28"/>
        </w:rPr>
        <w:t>14</w:t>
      </w:r>
      <w:r w:rsidRPr="009C7449">
        <w:rPr>
          <w:rFonts w:ascii="Times New Roman" w:eastAsia="Times New Roman" w:hAnsi="Times New Roman" w:cs="Times New Roman"/>
          <w:bCs/>
          <w:kern w:val="36"/>
          <w:sz w:val="28"/>
          <w:szCs w:val="28"/>
        </w:rPr>
        <w:t xml:space="preserve">]. Внутрішній захист капіталу реалізується через формування страхових та резервних фондів підприємства за рахунок відрахувань від поточного прибутку, тоді як зовнішній захист передбачає залучення спеціалізованих полісів воєнного та класичного </w:t>
      </w:r>
      <w:proofErr w:type="spellStart"/>
      <w:r w:rsidRPr="009C7449">
        <w:rPr>
          <w:rFonts w:ascii="Times New Roman" w:eastAsia="Times New Roman" w:hAnsi="Times New Roman" w:cs="Times New Roman"/>
          <w:bCs/>
          <w:kern w:val="36"/>
          <w:sz w:val="28"/>
          <w:szCs w:val="28"/>
        </w:rPr>
        <w:t>агрострахування</w:t>
      </w:r>
      <w:proofErr w:type="spellEnd"/>
      <w:r w:rsidRPr="009C7449">
        <w:rPr>
          <w:rFonts w:ascii="Times New Roman" w:eastAsia="Times New Roman" w:hAnsi="Times New Roman" w:cs="Times New Roman"/>
          <w:bCs/>
          <w:kern w:val="36"/>
          <w:sz w:val="28"/>
          <w:szCs w:val="28"/>
        </w:rPr>
        <w:t xml:space="preserve"> [</w:t>
      </w:r>
      <w:r w:rsidR="000606AF">
        <w:rPr>
          <w:rFonts w:ascii="Times New Roman" w:eastAsia="Times New Roman" w:hAnsi="Times New Roman" w:cs="Times New Roman"/>
          <w:bCs/>
          <w:kern w:val="36"/>
          <w:sz w:val="28"/>
          <w:szCs w:val="28"/>
        </w:rPr>
        <w:t>4</w:t>
      </w:r>
      <w:r w:rsidRPr="009C7449">
        <w:rPr>
          <w:rFonts w:ascii="Times New Roman" w:eastAsia="Times New Roman" w:hAnsi="Times New Roman" w:cs="Times New Roman"/>
          <w:bCs/>
          <w:kern w:val="36"/>
          <w:sz w:val="28"/>
          <w:szCs w:val="28"/>
        </w:rPr>
        <w:t>]. Одночасно з цим у практику менеджменту інтегруються методи ринкового хеджування цінових ризиків за допомогою похідних фінансових інструментів, таких як форварди, ф’ючерси та опціони на товарних біржах, що дозволяє аграріям заздалегідь зафіксувати ціну реалізації майбутньої продукції [</w:t>
      </w:r>
      <w:r w:rsidR="000606AF">
        <w:rPr>
          <w:rFonts w:ascii="Times New Roman" w:eastAsia="Times New Roman" w:hAnsi="Times New Roman" w:cs="Times New Roman"/>
          <w:bCs/>
          <w:kern w:val="36"/>
          <w:sz w:val="28"/>
          <w:szCs w:val="28"/>
        </w:rPr>
        <w:t>39</w:t>
      </w:r>
      <w:r w:rsidRPr="009C7449">
        <w:rPr>
          <w:rFonts w:ascii="Times New Roman" w:eastAsia="Times New Roman" w:hAnsi="Times New Roman" w:cs="Times New Roman"/>
          <w:bCs/>
          <w:kern w:val="36"/>
          <w:sz w:val="28"/>
          <w:szCs w:val="28"/>
        </w:rPr>
        <w:t>]. Комплексну порівняльну характеристику зазначених методичних підходів наведено у таблиці 1.</w:t>
      </w:r>
      <w:r w:rsidR="00DF13DF">
        <w:rPr>
          <w:rFonts w:ascii="Times New Roman" w:eastAsia="Times New Roman" w:hAnsi="Times New Roman" w:cs="Times New Roman"/>
          <w:bCs/>
          <w:kern w:val="36"/>
          <w:sz w:val="28"/>
          <w:szCs w:val="28"/>
        </w:rPr>
        <w:t>4</w:t>
      </w:r>
      <w:r w:rsidRPr="009C7449">
        <w:rPr>
          <w:rFonts w:ascii="Times New Roman" w:eastAsia="Times New Roman" w:hAnsi="Times New Roman" w:cs="Times New Roman"/>
          <w:bCs/>
          <w:kern w:val="36"/>
          <w:sz w:val="28"/>
          <w:szCs w:val="28"/>
        </w:rPr>
        <w:t>.</w:t>
      </w:r>
    </w:p>
    <w:p w14:paraId="79311827" w14:textId="003B36CA" w:rsidR="009C7449" w:rsidRDefault="009C7449" w:rsidP="009C7449">
      <w:pPr>
        <w:spacing w:after="0" w:line="360" w:lineRule="auto"/>
        <w:ind w:firstLine="709"/>
        <w:jc w:val="right"/>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lastRenderedPageBreak/>
        <w:t>Таблиця 1.</w:t>
      </w:r>
      <w:r w:rsidR="00DF13DF">
        <w:rPr>
          <w:rFonts w:ascii="Times New Roman" w:eastAsia="Times New Roman" w:hAnsi="Times New Roman" w:cs="Times New Roman"/>
          <w:bCs/>
          <w:kern w:val="36"/>
          <w:sz w:val="28"/>
          <w:szCs w:val="28"/>
        </w:rPr>
        <w:t>4</w:t>
      </w:r>
    </w:p>
    <w:p w14:paraId="65842D80" w14:textId="0E804F1E" w:rsidR="009C7449" w:rsidRPr="00EE19AF" w:rsidRDefault="009C7449" w:rsidP="009C7449">
      <w:pPr>
        <w:spacing w:after="0" w:line="360" w:lineRule="auto"/>
        <w:ind w:firstLine="709"/>
        <w:jc w:val="center"/>
        <w:rPr>
          <w:rFonts w:ascii="Times New Roman" w:eastAsia="Times New Roman" w:hAnsi="Times New Roman" w:cs="Times New Roman"/>
          <w:bCs/>
          <w:kern w:val="36"/>
          <w:sz w:val="28"/>
          <w:szCs w:val="28"/>
          <w:lang w:val="ru-RU"/>
        </w:rPr>
      </w:pPr>
      <w:r w:rsidRPr="009C7449">
        <w:rPr>
          <w:rFonts w:ascii="Times New Roman" w:eastAsia="Times New Roman" w:hAnsi="Times New Roman" w:cs="Times New Roman"/>
          <w:bCs/>
          <w:kern w:val="36"/>
          <w:sz w:val="28"/>
          <w:szCs w:val="28"/>
        </w:rPr>
        <w:t>Комплексна характеристика методичних підходів до фінансового забезпечення відтворення капіталу в АПК</w:t>
      </w:r>
      <w:r w:rsidR="00EE19AF">
        <w:rPr>
          <w:rFonts w:ascii="Times New Roman" w:eastAsia="Times New Roman" w:hAnsi="Times New Roman" w:cs="Times New Roman"/>
          <w:bCs/>
          <w:kern w:val="36"/>
          <w:sz w:val="28"/>
          <w:szCs w:val="28"/>
        </w:rPr>
        <w:t xml:space="preserve"> </w:t>
      </w:r>
      <w:r w:rsidR="00EE19AF" w:rsidRPr="00EE19AF">
        <w:rPr>
          <w:rFonts w:ascii="Times New Roman" w:eastAsia="Times New Roman" w:hAnsi="Times New Roman" w:cs="Times New Roman"/>
          <w:bCs/>
          <w:kern w:val="36"/>
          <w:sz w:val="28"/>
          <w:szCs w:val="28"/>
          <w:lang w:val="ru-RU"/>
        </w:rPr>
        <w:t>[</w:t>
      </w:r>
      <w:r w:rsidR="000606AF">
        <w:rPr>
          <w:rFonts w:ascii="Times New Roman" w:eastAsia="Times New Roman" w:hAnsi="Times New Roman" w:cs="Times New Roman"/>
          <w:bCs/>
          <w:kern w:val="36"/>
          <w:sz w:val="28"/>
          <w:szCs w:val="28"/>
          <w:lang w:val="ru-RU"/>
        </w:rPr>
        <w:t>4</w:t>
      </w:r>
      <w:r w:rsidR="00EE19AF">
        <w:rPr>
          <w:rFonts w:ascii="Times New Roman" w:eastAsia="Times New Roman" w:hAnsi="Times New Roman" w:cs="Times New Roman"/>
          <w:bCs/>
          <w:kern w:val="36"/>
          <w:sz w:val="28"/>
          <w:szCs w:val="28"/>
          <w:lang w:val="ru-RU"/>
        </w:rPr>
        <w:t xml:space="preserve">, </w:t>
      </w:r>
      <w:r w:rsidR="000606AF">
        <w:rPr>
          <w:rFonts w:ascii="Times New Roman" w:eastAsia="Times New Roman" w:hAnsi="Times New Roman" w:cs="Times New Roman"/>
          <w:bCs/>
          <w:kern w:val="36"/>
          <w:sz w:val="28"/>
          <w:szCs w:val="28"/>
          <w:lang w:val="ru-RU"/>
        </w:rPr>
        <w:t>10</w:t>
      </w:r>
      <w:r w:rsidR="00EE19AF">
        <w:rPr>
          <w:rFonts w:ascii="Times New Roman" w:eastAsia="Times New Roman" w:hAnsi="Times New Roman" w:cs="Times New Roman"/>
          <w:bCs/>
          <w:kern w:val="36"/>
          <w:sz w:val="28"/>
          <w:szCs w:val="28"/>
          <w:lang w:val="ru-RU"/>
        </w:rPr>
        <w:t xml:space="preserve">, </w:t>
      </w:r>
      <w:r w:rsidR="000606AF">
        <w:rPr>
          <w:rFonts w:ascii="Times New Roman" w:eastAsia="Times New Roman" w:hAnsi="Times New Roman" w:cs="Times New Roman"/>
          <w:bCs/>
          <w:kern w:val="36"/>
          <w:sz w:val="28"/>
          <w:szCs w:val="28"/>
          <w:lang w:val="ru-RU"/>
        </w:rPr>
        <w:t>14</w:t>
      </w:r>
      <w:r w:rsidR="00EE19AF">
        <w:rPr>
          <w:rFonts w:ascii="Times New Roman" w:eastAsia="Times New Roman" w:hAnsi="Times New Roman" w:cs="Times New Roman"/>
          <w:bCs/>
          <w:kern w:val="36"/>
          <w:sz w:val="28"/>
          <w:szCs w:val="28"/>
          <w:lang w:val="ru-RU"/>
        </w:rPr>
        <w:t xml:space="preserve">, </w:t>
      </w:r>
      <w:r w:rsidR="000606AF">
        <w:rPr>
          <w:rFonts w:ascii="Times New Roman" w:eastAsia="Times New Roman" w:hAnsi="Times New Roman" w:cs="Times New Roman"/>
          <w:bCs/>
          <w:kern w:val="36"/>
          <w:sz w:val="28"/>
          <w:szCs w:val="28"/>
          <w:lang w:val="ru-RU"/>
        </w:rPr>
        <w:t>1</w:t>
      </w:r>
      <w:r w:rsidR="00EE19AF" w:rsidRPr="00EE19AF">
        <w:rPr>
          <w:rFonts w:ascii="Times New Roman" w:eastAsia="Times New Roman" w:hAnsi="Times New Roman" w:cs="Times New Roman"/>
          <w:bCs/>
          <w:kern w:val="36"/>
          <w:sz w:val="28"/>
          <w:szCs w:val="28"/>
          <w:lang w:val="ru-RU"/>
        </w:rPr>
        <w:t>8]</w:t>
      </w:r>
    </w:p>
    <w:tbl>
      <w:tblPr>
        <w:tblStyle w:val="af0"/>
        <w:tblW w:w="0" w:type="auto"/>
        <w:tblLook w:val="04A0" w:firstRow="1" w:lastRow="0" w:firstColumn="1" w:lastColumn="0" w:noHBand="0" w:noVBand="1"/>
      </w:tblPr>
      <w:tblGrid>
        <w:gridCol w:w="1751"/>
        <w:gridCol w:w="1947"/>
        <w:gridCol w:w="1980"/>
        <w:gridCol w:w="2077"/>
        <w:gridCol w:w="1872"/>
      </w:tblGrid>
      <w:tr w:rsidR="009C7449" w:rsidRPr="009C7449" w14:paraId="7D29F2C3" w14:textId="77777777" w:rsidTr="009C7449">
        <w:tc>
          <w:tcPr>
            <w:tcW w:w="0" w:type="auto"/>
            <w:hideMark/>
          </w:tcPr>
          <w:p w14:paraId="1AD279FE" w14:textId="77777777" w:rsidR="009C7449" w:rsidRPr="00EE19AF" w:rsidRDefault="009C7449" w:rsidP="00EE19AF">
            <w:pPr>
              <w:jc w:val="center"/>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Критерії порівняння</w:t>
            </w:r>
          </w:p>
        </w:tc>
        <w:tc>
          <w:tcPr>
            <w:tcW w:w="0" w:type="auto"/>
            <w:hideMark/>
          </w:tcPr>
          <w:p w14:paraId="179ECDBB" w14:textId="77777777" w:rsidR="009C7449" w:rsidRPr="00EE19AF" w:rsidRDefault="009C7449" w:rsidP="00EE19AF">
            <w:pPr>
              <w:jc w:val="center"/>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Консервативний підхід</w:t>
            </w:r>
          </w:p>
        </w:tc>
        <w:tc>
          <w:tcPr>
            <w:tcW w:w="0" w:type="auto"/>
            <w:hideMark/>
          </w:tcPr>
          <w:p w14:paraId="42474B36" w14:textId="77777777" w:rsidR="009C7449" w:rsidRPr="00EE19AF" w:rsidRDefault="009C7449" w:rsidP="00EE19AF">
            <w:pPr>
              <w:jc w:val="center"/>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Агресивний підхід</w:t>
            </w:r>
          </w:p>
        </w:tc>
        <w:tc>
          <w:tcPr>
            <w:tcW w:w="0" w:type="auto"/>
            <w:hideMark/>
          </w:tcPr>
          <w:p w14:paraId="441D2D02" w14:textId="77777777" w:rsidR="009C7449" w:rsidRPr="00EE19AF" w:rsidRDefault="009C7449" w:rsidP="00EE19AF">
            <w:pPr>
              <w:jc w:val="center"/>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Адаптивний підхід</w:t>
            </w:r>
          </w:p>
        </w:tc>
        <w:tc>
          <w:tcPr>
            <w:tcW w:w="0" w:type="auto"/>
            <w:hideMark/>
          </w:tcPr>
          <w:p w14:paraId="2E549020" w14:textId="77777777" w:rsidR="009C7449" w:rsidRPr="00EE19AF" w:rsidRDefault="009C7449" w:rsidP="00EE19AF">
            <w:pPr>
              <w:jc w:val="center"/>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Ризик-орієнтований підхід</w:t>
            </w:r>
          </w:p>
        </w:tc>
      </w:tr>
      <w:tr w:rsidR="009C7449" w:rsidRPr="009C7449" w14:paraId="158939EB" w14:textId="77777777" w:rsidTr="009C7449">
        <w:tc>
          <w:tcPr>
            <w:tcW w:w="0" w:type="auto"/>
            <w:hideMark/>
          </w:tcPr>
          <w:p w14:paraId="4D532C8F"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Джерела фінансування</w:t>
            </w:r>
          </w:p>
        </w:tc>
        <w:tc>
          <w:tcPr>
            <w:tcW w:w="0" w:type="auto"/>
            <w:hideMark/>
          </w:tcPr>
          <w:p w14:paraId="0AE13E66" w14:textId="6729D31F"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 xml:space="preserve">Власний капітал, амортизаційний фонд, реінвестований прибуток </w:t>
            </w:r>
          </w:p>
        </w:tc>
        <w:tc>
          <w:tcPr>
            <w:tcW w:w="0" w:type="auto"/>
            <w:hideMark/>
          </w:tcPr>
          <w:p w14:paraId="7E23775D" w14:textId="43321E6C"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 xml:space="preserve">Короткострокові кредити, товарні розписки, комерційні позики </w:t>
            </w:r>
          </w:p>
        </w:tc>
        <w:tc>
          <w:tcPr>
            <w:tcW w:w="0" w:type="auto"/>
            <w:hideMark/>
          </w:tcPr>
          <w:p w14:paraId="31A72059" w14:textId="30D5385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 xml:space="preserve">Пільгові кредити («5-7-9%»), лізинг, електронні аграрні розписки, ДПП </w:t>
            </w:r>
          </w:p>
        </w:tc>
        <w:tc>
          <w:tcPr>
            <w:tcW w:w="0" w:type="auto"/>
            <w:hideMark/>
          </w:tcPr>
          <w:p w14:paraId="7390D005" w14:textId="52897F1C"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 xml:space="preserve">Страхові відшкодування, резервні фонди, деривативи (ф'ючерси, опціони) </w:t>
            </w:r>
          </w:p>
        </w:tc>
      </w:tr>
      <w:tr w:rsidR="009C7449" w:rsidRPr="009C7449" w14:paraId="10EF7B2C" w14:textId="77777777" w:rsidTr="009C7449">
        <w:tc>
          <w:tcPr>
            <w:tcW w:w="0" w:type="auto"/>
            <w:hideMark/>
          </w:tcPr>
          <w:p w14:paraId="4C7FA7A4"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Рівень фінансового ризику</w:t>
            </w:r>
          </w:p>
        </w:tc>
        <w:tc>
          <w:tcPr>
            <w:tcW w:w="0" w:type="auto"/>
            <w:hideMark/>
          </w:tcPr>
          <w:p w14:paraId="584F0C0E"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Мінімальний (загроза втрати ліквідності відсутня).</w:t>
            </w:r>
          </w:p>
        </w:tc>
        <w:tc>
          <w:tcPr>
            <w:tcW w:w="0" w:type="auto"/>
            <w:hideMark/>
          </w:tcPr>
          <w:p w14:paraId="6B8E47E1"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Максимальний (висока ймовірність технічного банкрутства).</w:t>
            </w:r>
          </w:p>
        </w:tc>
        <w:tc>
          <w:tcPr>
            <w:tcW w:w="0" w:type="auto"/>
            <w:hideMark/>
          </w:tcPr>
          <w:p w14:paraId="4C6877ED"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Помірний / контрольований за рахунок підтримки держави.</w:t>
            </w:r>
          </w:p>
        </w:tc>
        <w:tc>
          <w:tcPr>
            <w:tcW w:w="0" w:type="auto"/>
            <w:hideMark/>
          </w:tcPr>
          <w:p w14:paraId="5ECD9C3B"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Низький (спрямований на абсорбцію зовнішніх шоків).</w:t>
            </w:r>
          </w:p>
        </w:tc>
      </w:tr>
      <w:tr w:rsidR="009C7449" w:rsidRPr="009C7449" w14:paraId="61B74186" w14:textId="77777777" w:rsidTr="009C7449">
        <w:tc>
          <w:tcPr>
            <w:tcW w:w="0" w:type="auto"/>
            <w:hideMark/>
          </w:tcPr>
          <w:p w14:paraId="4E550480" w14:textId="77777777" w:rsidR="009C7449" w:rsidRPr="00EE19AF" w:rsidRDefault="009C7449" w:rsidP="00EE19AF">
            <w:pPr>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Вплив на темпи відтворення</w:t>
            </w:r>
          </w:p>
        </w:tc>
        <w:tc>
          <w:tcPr>
            <w:tcW w:w="0" w:type="auto"/>
            <w:hideMark/>
          </w:tcPr>
          <w:p w14:paraId="2E9A8136"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Сповільнені (обмежені внутрішньою прибутковістю).</w:t>
            </w:r>
          </w:p>
        </w:tc>
        <w:tc>
          <w:tcPr>
            <w:tcW w:w="0" w:type="auto"/>
            <w:hideMark/>
          </w:tcPr>
          <w:p w14:paraId="785BBEDE"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Прискорені (максимальна мобільність капіталу).</w:t>
            </w:r>
          </w:p>
        </w:tc>
        <w:tc>
          <w:tcPr>
            <w:tcW w:w="0" w:type="auto"/>
            <w:hideMark/>
          </w:tcPr>
          <w:p w14:paraId="72B64B13"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Оптимальні (збалансоване розширене відтворення).</w:t>
            </w:r>
          </w:p>
        </w:tc>
        <w:tc>
          <w:tcPr>
            <w:tcW w:w="0" w:type="auto"/>
            <w:hideMark/>
          </w:tcPr>
          <w:p w14:paraId="566AFEA1"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Стабілізуючий (забезпечує безперервність простого відтворення).</w:t>
            </w:r>
          </w:p>
        </w:tc>
      </w:tr>
      <w:tr w:rsidR="009C7449" w:rsidRPr="009C7449" w14:paraId="27EC92EC" w14:textId="77777777" w:rsidTr="009C7449">
        <w:tc>
          <w:tcPr>
            <w:tcW w:w="0" w:type="auto"/>
            <w:hideMark/>
          </w:tcPr>
          <w:p w14:paraId="4E59A61E" w14:textId="77777777"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Рекомендовані умови застосування</w:t>
            </w:r>
          </w:p>
        </w:tc>
        <w:tc>
          <w:tcPr>
            <w:tcW w:w="0" w:type="auto"/>
            <w:hideMark/>
          </w:tcPr>
          <w:p w14:paraId="6046B113" w14:textId="6B1EB410"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Глибока криза, відсутність доступу до зовнішніх</w:t>
            </w:r>
            <w:r w:rsidR="00EE19AF">
              <w:rPr>
                <w:rFonts w:ascii="Times New Roman" w:eastAsia="Times New Roman" w:hAnsi="Times New Roman" w:cs="Times New Roman"/>
                <w:bCs/>
                <w:kern w:val="36"/>
                <w:sz w:val="24"/>
                <w:szCs w:val="24"/>
              </w:rPr>
              <w:t xml:space="preserve"> </w:t>
            </w:r>
            <w:r w:rsidRPr="00EE19AF">
              <w:rPr>
                <w:rFonts w:ascii="Times New Roman" w:eastAsia="Times New Roman" w:hAnsi="Times New Roman" w:cs="Times New Roman"/>
                <w:bCs/>
                <w:kern w:val="36"/>
                <w:sz w:val="24"/>
                <w:szCs w:val="24"/>
              </w:rPr>
              <w:t>ринків капіталу [</w:t>
            </w:r>
          </w:p>
        </w:tc>
        <w:tc>
          <w:tcPr>
            <w:tcW w:w="0" w:type="auto"/>
            <w:hideMark/>
          </w:tcPr>
          <w:p w14:paraId="1304207D" w14:textId="5BBA99B3"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 xml:space="preserve">Стабільне зростання ринку, висока оборотність активів </w:t>
            </w:r>
          </w:p>
        </w:tc>
        <w:tc>
          <w:tcPr>
            <w:tcW w:w="0" w:type="auto"/>
            <w:hideMark/>
          </w:tcPr>
          <w:p w14:paraId="205F152F" w14:textId="7520086D"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Трансформаційна економіка, наявність діючих державних програм.</w:t>
            </w:r>
          </w:p>
        </w:tc>
        <w:tc>
          <w:tcPr>
            <w:tcW w:w="0" w:type="auto"/>
            <w:hideMark/>
          </w:tcPr>
          <w:p w14:paraId="7ABC6145" w14:textId="17E44E3E" w:rsidR="009C7449" w:rsidRPr="00EE19AF" w:rsidRDefault="009C7449" w:rsidP="009C7449">
            <w:pPr>
              <w:jc w:val="both"/>
              <w:rPr>
                <w:rFonts w:ascii="Times New Roman" w:eastAsia="Times New Roman" w:hAnsi="Times New Roman" w:cs="Times New Roman"/>
                <w:bCs/>
                <w:kern w:val="36"/>
                <w:sz w:val="24"/>
                <w:szCs w:val="24"/>
              </w:rPr>
            </w:pPr>
            <w:r w:rsidRPr="00EE19AF">
              <w:rPr>
                <w:rFonts w:ascii="Times New Roman" w:eastAsia="Times New Roman" w:hAnsi="Times New Roman" w:cs="Times New Roman"/>
                <w:bCs/>
                <w:kern w:val="36"/>
                <w:sz w:val="24"/>
                <w:szCs w:val="24"/>
              </w:rPr>
              <w:t xml:space="preserve">Перманентні безпекові загрози, висока </w:t>
            </w:r>
            <w:proofErr w:type="spellStart"/>
            <w:r w:rsidRPr="00EE19AF">
              <w:rPr>
                <w:rFonts w:ascii="Times New Roman" w:eastAsia="Times New Roman" w:hAnsi="Times New Roman" w:cs="Times New Roman"/>
                <w:bCs/>
                <w:kern w:val="36"/>
                <w:sz w:val="24"/>
                <w:szCs w:val="24"/>
              </w:rPr>
              <w:t>волатильність</w:t>
            </w:r>
            <w:proofErr w:type="spellEnd"/>
            <w:r w:rsidRPr="00EE19AF">
              <w:rPr>
                <w:rFonts w:ascii="Times New Roman" w:eastAsia="Times New Roman" w:hAnsi="Times New Roman" w:cs="Times New Roman"/>
                <w:bCs/>
                <w:kern w:val="36"/>
                <w:sz w:val="24"/>
                <w:szCs w:val="24"/>
              </w:rPr>
              <w:t xml:space="preserve"> цін.</w:t>
            </w:r>
          </w:p>
        </w:tc>
      </w:tr>
    </w:tbl>
    <w:p w14:paraId="5F4D0527" w14:textId="77777777" w:rsidR="00B92069" w:rsidRDefault="00B92069" w:rsidP="009C7449">
      <w:pPr>
        <w:spacing w:after="0" w:line="360" w:lineRule="auto"/>
        <w:ind w:firstLine="709"/>
        <w:jc w:val="both"/>
        <w:rPr>
          <w:rFonts w:ascii="Times New Roman" w:eastAsia="Times New Roman" w:hAnsi="Times New Roman" w:cs="Times New Roman"/>
          <w:bCs/>
          <w:kern w:val="36"/>
          <w:sz w:val="28"/>
          <w:szCs w:val="28"/>
        </w:rPr>
      </w:pPr>
    </w:p>
    <w:p w14:paraId="0F9655E4" w14:textId="395520ED" w:rsidR="009C7449" w:rsidRPr="009C7449" w:rsidRDefault="009C7449" w:rsidP="009C7449">
      <w:pPr>
        <w:spacing w:after="0" w:line="360" w:lineRule="auto"/>
        <w:ind w:firstLine="709"/>
        <w:jc w:val="both"/>
        <w:rPr>
          <w:rFonts w:ascii="Times New Roman" w:eastAsia="Times New Roman" w:hAnsi="Times New Roman" w:cs="Times New Roman"/>
          <w:bCs/>
          <w:kern w:val="36"/>
          <w:sz w:val="28"/>
          <w:szCs w:val="28"/>
        </w:rPr>
      </w:pPr>
      <w:r w:rsidRPr="009C7449">
        <w:rPr>
          <w:rFonts w:ascii="Times New Roman" w:eastAsia="Times New Roman" w:hAnsi="Times New Roman" w:cs="Times New Roman"/>
          <w:bCs/>
          <w:kern w:val="36"/>
          <w:sz w:val="28"/>
          <w:szCs w:val="28"/>
        </w:rPr>
        <w:t xml:space="preserve">З урахуванням результатів порівняльного аналізу стає очевидним, що в сучасних реаліях функціонування агропромислового комплексу України ізольоване використання лише одного з підходів є стратегічно неефективним. Найбільш раціональним методичним рішенням для забезпечення довгострокової фінансової стійкості є інтегрально-адаптивна модель, яка дозволяє </w:t>
      </w:r>
      <w:proofErr w:type="spellStart"/>
      <w:r w:rsidRPr="009C7449">
        <w:rPr>
          <w:rFonts w:ascii="Times New Roman" w:eastAsia="Times New Roman" w:hAnsi="Times New Roman" w:cs="Times New Roman"/>
          <w:bCs/>
          <w:kern w:val="36"/>
          <w:sz w:val="28"/>
          <w:szCs w:val="28"/>
        </w:rPr>
        <w:t>гнучко</w:t>
      </w:r>
      <w:proofErr w:type="spellEnd"/>
      <w:r w:rsidRPr="009C7449">
        <w:rPr>
          <w:rFonts w:ascii="Times New Roman" w:eastAsia="Times New Roman" w:hAnsi="Times New Roman" w:cs="Times New Roman"/>
          <w:bCs/>
          <w:kern w:val="36"/>
          <w:sz w:val="28"/>
          <w:szCs w:val="28"/>
        </w:rPr>
        <w:t xml:space="preserve"> поєднувати інструменти адаптивного підходу, зокрема пільговий лізинг та субсидоване кредитування, з обов’язковим транскордонним хеджуванням ринкових ризиків та формуванням диверсифікованих внутрішніх резервних фондів підприємства [</w:t>
      </w:r>
      <w:r w:rsidR="00BA3FF1">
        <w:rPr>
          <w:rFonts w:ascii="Times New Roman" w:eastAsia="Times New Roman" w:hAnsi="Times New Roman" w:cs="Times New Roman"/>
          <w:bCs/>
          <w:kern w:val="36"/>
          <w:sz w:val="28"/>
          <w:szCs w:val="28"/>
        </w:rPr>
        <w:t>39</w:t>
      </w:r>
      <w:r w:rsidRPr="009C7449">
        <w:rPr>
          <w:rFonts w:ascii="Times New Roman" w:eastAsia="Times New Roman" w:hAnsi="Times New Roman" w:cs="Times New Roman"/>
          <w:bCs/>
          <w:kern w:val="36"/>
          <w:sz w:val="28"/>
          <w:szCs w:val="28"/>
        </w:rPr>
        <w:t>].</w:t>
      </w:r>
    </w:p>
    <w:p w14:paraId="52F9F50E" w14:textId="77777777"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 xml:space="preserve">Для глибокої деталізації кожного методичного підходу та надання матеріалу максимального академічного рівня, розіб’ємо узагальнені дані на чотири окремі самостійні аналітичні таблиці. Це дозволить детально </w:t>
      </w:r>
      <w:r w:rsidRPr="00DF13DF">
        <w:rPr>
          <w:rFonts w:ascii="Times New Roman" w:eastAsia="Times New Roman" w:hAnsi="Times New Roman" w:cs="Times New Roman"/>
          <w:bCs/>
          <w:kern w:val="36"/>
          <w:sz w:val="28"/>
          <w:szCs w:val="28"/>
        </w:rPr>
        <w:lastRenderedPageBreak/>
        <w:t>специфікувати фінансові інструменти, алгоритми їх дії, нормативно-правове регулювання, вплив на структуру балансу, а також відобразити конкретні літературні джерела для кожного підходу окремо.</w:t>
      </w:r>
    </w:p>
    <w:p w14:paraId="139D25AC" w14:textId="49753FE1" w:rsidR="00B23D3B" w:rsidRPr="00DF13DF" w:rsidRDefault="00B23D3B" w:rsidP="00B23D3B">
      <w:pPr>
        <w:spacing w:after="0" w:line="360" w:lineRule="auto"/>
        <w:ind w:firstLine="709"/>
        <w:jc w:val="both"/>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1. Консервативний підхід (</w:t>
      </w:r>
      <w:r w:rsidR="00DF13DF" w:rsidRPr="00DF13DF">
        <w:rPr>
          <w:rFonts w:ascii="Times New Roman" w:eastAsia="Times New Roman" w:hAnsi="Times New Roman" w:cs="Times New Roman"/>
          <w:kern w:val="36"/>
          <w:sz w:val="28"/>
          <w:szCs w:val="28"/>
        </w:rPr>
        <w:t>с</w:t>
      </w:r>
      <w:r w:rsidRPr="00DF13DF">
        <w:rPr>
          <w:rFonts w:ascii="Times New Roman" w:eastAsia="Times New Roman" w:hAnsi="Times New Roman" w:cs="Times New Roman"/>
          <w:kern w:val="36"/>
          <w:sz w:val="28"/>
          <w:szCs w:val="28"/>
        </w:rPr>
        <w:t>тратегія ендогенного самофінансування)</w:t>
      </w:r>
    </w:p>
    <w:p w14:paraId="0EBAE26C" w14:textId="77777777" w:rsidR="00B23D3B" w:rsidRPr="00DF13DF" w:rsidRDefault="00B23D3B" w:rsidP="00B23D3B">
      <w:pPr>
        <w:spacing w:after="0" w:line="360" w:lineRule="auto"/>
        <w:ind w:firstLine="709"/>
        <w:jc w:val="both"/>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В основі консервативного підходу лежить концепція повної фінансової автономії суб'єкта господарювання. Головним вектором відтворення капіталу за цієї стратегії є мобілізація виключно внутрішніх джерел, що мінімізує зовнішню залежність та забезпечує імунітет підприємства до кредиторського тиску чи раптових змін банківської кон'юнктури [1].</w:t>
      </w:r>
    </w:p>
    <w:p w14:paraId="764F7836" w14:textId="77777777" w:rsidR="00DF13DF" w:rsidRPr="00DF13DF" w:rsidRDefault="00B23D3B" w:rsidP="00DF13DF">
      <w:pPr>
        <w:spacing w:after="0" w:line="360" w:lineRule="auto"/>
        <w:ind w:firstLine="709"/>
        <w:jc w:val="right"/>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Таблиця 1.</w:t>
      </w:r>
      <w:r w:rsidR="00DF13DF" w:rsidRPr="00DF13DF">
        <w:rPr>
          <w:rFonts w:ascii="Times New Roman" w:eastAsia="Times New Roman" w:hAnsi="Times New Roman" w:cs="Times New Roman"/>
          <w:kern w:val="36"/>
          <w:sz w:val="28"/>
          <w:szCs w:val="28"/>
        </w:rPr>
        <w:t>5</w:t>
      </w:r>
      <w:r w:rsidRPr="00DF13DF">
        <w:rPr>
          <w:rFonts w:ascii="Times New Roman" w:eastAsia="Times New Roman" w:hAnsi="Times New Roman" w:cs="Times New Roman"/>
          <w:kern w:val="36"/>
          <w:sz w:val="28"/>
          <w:szCs w:val="28"/>
        </w:rPr>
        <w:t xml:space="preserve"> </w:t>
      </w:r>
    </w:p>
    <w:p w14:paraId="328CFFC9" w14:textId="61C39FA2" w:rsidR="00B23D3B" w:rsidRPr="00E60D58" w:rsidRDefault="00B23D3B" w:rsidP="00DF13DF">
      <w:pPr>
        <w:spacing w:after="0" w:line="360" w:lineRule="auto"/>
        <w:ind w:firstLine="709"/>
        <w:jc w:val="center"/>
        <w:rPr>
          <w:rFonts w:ascii="Times New Roman" w:eastAsia="Times New Roman" w:hAnsi="Times New Roman" w:cs="Times New Roman"/>
          <w:kern w:val="36"/>
          <w:sz w:val="28"/>
          <w:szCs w:val="28"/>
        </w:rPr>
      </w:pPr>
      <w:r w:rsidRPr="00E60D58">
        <w:rPr>
          <w:rFonts w:ascii="Times New Roman" w:eastAsia="Times New Roman" w:hAnsi="Times New Roman" w:cs="Times New Roman"/>
          <w:kern w:val="36"/>
          <w:sz w:val="28"/>
          <w:szCs w:val="28"/>
        </w:rPr>
        <w:t>Деталізована структура інструментів консервативного підходу до відтворення капіталу</w:t>
      </w:r>
    </w:p>
    <w:tbl>
      <w:tblPr>
        <w:tblStyle w:val="af0"/>
        <w:tblW w:w="0" w:type="auto"/>
        <w:tblLook w:val="04A0" w:firstRow="1" w:lastRow="0" w:firstColumn="1" w:lastColumn="0" w:noHBand="0" w:noVBand="1"/>
      </w:tblPr>
      <w:tblGrid>
        <w:gridCol w:w="1746"/>
        <w:gridCol w:w="1746"/>
        <w:gridCol w:w="1574"/>
        <w:gridCol w:w="1543"/>
        <w:gridCol w:w="1728"/>
        <w:gridCol w:w="1290"/>
      </w:tblGrid>
      <w:tr w:rsidR="00B23D3B" w:rsidRPr="00E60D58" w14:paraId="07FFC430" w14:textId="77777777" w:rsidTr="00DF13DF">
        <w:tc>
          <w:tcPr>
            <w:tcW w:w="0" w:type="auto"/>
            <w:hideMark/>
          </w:tcPr>
          <w:p w14:paraId="663D7E7C" w14:textId="77777777" w:rsidR="00B23D3B" w:rsidRPr="00E60D58" w:rsidRDefault="00B23D3B" w:rsidP="00DF13DF">
            <w:pPr>
              <w:jc w:val="center"/>
              <w:rPr>
                <w:rFonts w:ascii="Times New Roman" w:eastAsia="Times New Roman" w:hAnsi="Times New Roman" w:cs="Times New Roman"/>
                <w:kern w:val="36"/>
              </w:rPr>
            </w:pPr>
            <w:r w:rsidRPr="00E60D58">
              <w:rPr>
                <w:rFonts w:ascii="Times New Roman" w:eastAsia="Times New Roman" w:hAnsi="Times New Roman" w:cs="Times New Roman"/>
                <w:kern w:val="36"/>
              </w:rPr>
              <w:t>Базові фінансові інструменти</w:t>
            </w:r>
          </w:p>
        </w:tc>
        <w:tc>
          <w:tcPr>
            <w:tcW w:w="0" w:type="auto"/>
            <w:hideMark/>
          </w:tcPr>
          <w:p w14:paraId="602A4B4A" w14:textId="77777777" w:rsidR="00B23D3B" w:rsidRPr="00E60D58" w:rsidRDefault="00B23D3B" w:rsidP="00DF13DF">
            <w:pPr>
              <w:jc w:val="center"/>
              <w:rPr>
                <w:rFonts w:ascii="Times New Roman" w:eastAsia="Times New Roman" w:hAnsi="Times New Roman" w:cs="Times New Roman"/>
                <w:kern w:val="36"/>
              </w:rPr>
            </w:pPr>
            <w:r w:rsidRPr="00E60D58">
              <w:rPr>
                <w:rFonts w:ascii="Times New Roman" w:eastAsia="Times New Roman" w:hAnsi="Times New Roman" w:cs="Times New Roman"/>
                <w:kern w:val="36"/>
              </w:rPr>
              <w:t>Функціональний алгоритм дії в умовах ризику</w:t>
            </w:r>
          </w:p>
        </w:tc>
        <w:tc>
          <w:tcPr>
            <w:tcW w:w="0" w:type="auto"/>
            <w:hideMark/>
          </w:tcPr>
          <w:p w14:paraId="51973378" w14:textId="77777777" w:rsidR="00B23D3B" w:rsidRPr="00E60D58" w:rsidRDefault="00B23D3B" w:rsidP="00DF13DF">
            <w:pPr>
              <w:jc w:val="center"/>
              <w:rPr>
                <w:rFonts w:ascii="Times New Roman" w:eastAsia="Times New Roman" w:hAnsi="Times New Roman" w:cs="Times New Roman"/>
                <w:kern w:val="36"/>
              </w:rPr>
            </w:pPr>
            <w:r w:rsidRPr="00E60D58">
              <w:rPr>
                <w:rFonts w:ascii="Times New Roman" w:eastAsia="Times New Roman" w:hAnsi="Times New Roman" w:cs="Times New Roman"/>
                <w:kern w:val="36"/>
              </w:rPr>
              <w:t>Переваги для фінансової стійкості</w:t>
            </w:r>
          </w:p>
        </w:tc>
        <w:tc>
          <w:tcPr>
            <w:tcW w:w="0" w:type="auto"/>
            <w:hideMark/>
          </w:tcPr>
          <w:p w14:paraId="309E576A" w14:textId="77777777" w:rsidR="00B23D3B" w:rsidRPr="00E60D58" w:rsidRDefault="00B23D3B" w:rsidP="00DF13DF">
            <w:pPr>
              <w:jc w:val="center"/>
              <w:rPr>
                <w:rFonts w:ascii="Times New Roman" w:eastAsia="Times New Roman" w:hAnsi="Times New Roman" w:cs="Times New Roman"/>
                <w:kern w:val="36"/>
              </w:rPr>
            </w:pPr>
            <w:r w:rsidRPr="00E60D58">
              <w:rPr>
                <w:rFonts w:ascii="Times New Roman" w:eastAsia="Times New Roman" w:hAnsi="Times New Roman" w:cs="Times New Roman"/>
                <w:kern w:val="36"/>
              </w:rPr>
              <w:t>Недоліки та обмеження методу</w:t>
            </w:r>
          </w:p>
        </w:tc>
        <w:tc>
          <w:tcPr>
            <w:tcW w:w="0" w:type="auto"/>
            <w:hideMark/>
          </w:tcPr>
          <w:p w14:paraId="458C48A9" w14:textId="77777777" w:rsidR="00B23D3B" w:rsidRPr="00E60D58" w:rsidRDefault="00B23D3B" w:rsidP="00DF13DF">
            <w:pPr>
              <w:jc w:val="center"/>
              <w:rPr>
                <w:rFonts w:ascii="Times New Roman" w:eastAsia="Times New Roman" w:hAnsi="Times New Roman" w:cs="Times New Roman"/>
                <w:kern w:val="36"/>
              </w:rPr>
            </w:pPr>
            <w:r w:rsidRPr="00E60D58">
              <w:rPr>
                <w:rFonts w:ascii="Times New Roman" w:eastAsia="Times New Roman" w:hAnsi="Times New Roman" w:cs="Times New Roman"/>
                <w:kern w:val="36"/>
              </w:rPr>
              <w:t>Відображення в обліку та звітності</w:t>
            </w:r>
          </w:p>
        </w:tc>
        <w:tc>
          <w:tcPr>
            <w:tcW w:w="0" w:type="auto"/>
            <w:hideMark/>
          </w:tcPr>
          <w:p w14:paraId="31CC5C5A" w14:textId="61BD2A9B" w:rsidR="00B23D3B" w:rsidRPr="00E60D58" w:rsidRDefault="00DF13DF" w:rsidP="00DF13DF">
            <w:pPr>
              <w:jc w:val="center"/>
              <w:rPr>
                <w:rFonts w:ascii="Times New Roman" w:eastAsia="Times New Roman" w:hAnsi="Times New Roman" w:cs="Times New Roman"/>
                <w:kern w:val="36"/>
              </w:rPr>
            </w:pPr>
            <w:r w:rsidRPr="00E60D58">
              <w:rPr>
                <w:rFonts w:ascii="Times New Roman" w:eastAsia="Times New Roman" w:hAnsi="Times New Roman" w:cs="Times New Roman"/>
                <w:kern w:val="36"/>
              </w:rPr>
              <w:t>Літературні</w:t>
            </w:r>
            <w:r w:rsidR="00B23D3B" w:rsidRPr="00E60D58">
              <w:rPr>
                <w:rFonts w:ascii="Times New Roman" w:eastAsia="Times New Roman" w:hAnsi="Times New Roman" w:cs="Times New Roman"/>
                <w:kern w:val="36"/>
              </w:rPr>
              <w:t xml:space="preserve"> джерела</w:t>
            </w:r>
          </w:p>
        </w:tc>
      </w:tr>
      <w:tr w:rsidR="00B23D3B" w:rsidRPr="00E60D58" w14:paraId="1E6D1D53" w14:textId="77777777" w:rsidTr="00DF13DF">
        <w:tc>
          <w:tcPr>
            <w:tcW w:w="0" w:type="auto"/>
            <w:hideMark/>
          </w:tcPr>
          <w:p w14:paraId="7A161098" w14:textId="77777777" w:rsidR="00B23D3B" w:rsidRPr="00E60D58" w:rsidRDefault="00B23D3B" w:rsidP="00DF13DF">
            <w:pPr>
              <w:rPr>
                <w:rFonts w:ascii="Times New Roman" w:eastAsia="Times New Roman" w:hAnsi="Times New Roman" w:cs="Times New Roman"/>
                <w:kern w:val="36"/>
              </w:rPr>
            </w:pPr>
            <w:r w:rsidRPr="00E60D58">
              <w:rPr>
                <w:rFonts w:ascii="Times New Roman" w:eastAsia="Times New Roman" w:hAnsi="Times New Roman" w:cs="Times New Roman"/>
                <w:kern w:val="36"/>
              </w:rPr>
              <w:t>Амортизаційний фонд (прискорена амортизація)</w:t>
            </w:r>
          </w:p>
        </w:tc>
        <w:tc>
          <w:tcPr>
            <w:tcW w:w="0" w:type="auto"/>
            <w:hideMark/>
          </w:tcPr>
          <w:p w14:paraId="3B878909" w14:textId="7777777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Акумуляція коштів через включення зносу ОЗ до собівартості. Захищає капітал від інфляційного знецінення.</w:t>
            </w:r>
          </w:p>
        </w:tc>
        <w:tc>
          <w:tcPr>
            <w:tcW w:w="0" w:type="auto"/>
            <w:hideMark/>
          </w:tcPr>
          <w:p w14:paraId="21D519A0" w14:textId="77777777" w:rsidR="00DF13DF"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 xml:space="preserve">Повністю незалежне, нецільове джерело фінансування; </w:t>
            </w:r>
          </w:p>
          <w:p w14:paraId="59A0F4CF" w14:textId="4B6FF9F5"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знижує базу оподаткування прибутку.</w:t>
            </w:r>
          </w:p>
        </w:tc>
        <w:tc>
          <w:tcPr>
            <w:tcW w:w="0" w:type="auto"/>
            <w:hideMark/>
          </w:tcPr>
          <w:p w14:paraId="0EDCA18A" w14:textId="7777777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Обмежене фізичним обсягом наявних необоротних активів; не забезпечує розширеного відтворення.</w:t>
            </w:r>
          </w:p>
        </w:tc>
        <w:tc>
          <w:tcPr>
            <w:tcW w:w="0" w:type="auto"/>
            <w:hideMark/>
          </w:tcPr>
          <w:p w14:paraId="412DD3AB" w14:textId="1211AEEA"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Ф. №1 (Резерв зносу), Ф. №2 (</w:t>
            </w:r>
            <w:r w:rsidR="00DF13DF" w:rsidRPr="00E60D58">
              <w:rPr>
                <w:rFonts w:ascii="Times New Roman" w:eastAsia="Times New Roman" w:hAnsi="Times New Roman" w:cs="Times New Roman"/>
                <w:kern w:val="36"/>
              </w:rPr>
              <w:t>е</w:t>
            </w:r>
            <w:r w:rsidRPr="00E60D58">
              <w:rPr>
                <w:rFonts w:ascii="Times New Roman" w:eastAsia="Times New Roman" w:hAnsi="Times New Roman" w:cs="Times New Roman"/>
                <w:kern w:val="36"/>
              </w:rPr>
              <w:t>лементи операційних витрат).</w:t>
            </w:r>
          </w:p>
        </w:tc>
        <w:tc>
          <w:tcPr>
            <w:tcW w:w="0" w:type="auto"/>
            <w:hideMark/>
          </w:tcPr>
          <w:p w14:paraId="161E2B3A" w14:textId="3098C65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П. Стецюк [</w:t>
            </w:r>
            <w:r w:rsidR="00BA3FF1" w:rsidRPr="00E60D58">
              <w:rPr>
                <w:rFonts w:ascii="Times New Roman" w:eastAsia="Times New Roman" w:hAnsi="Times New Roman" w:cs="Times New Roman"/>
                <w:kern w:val="36"/>
              </w:rPr>
              <w:t>3</w:t>
            </w:r>
            <w:r w:rsidRPr="00E60D58">
              <w:rPr>
                <w:rFonts w:ascii="Times New Roman" w:eastAsia="Times New Roman" w:hAnsi="Times New Roman" w:cs="Times New Roman"/>
                <w:kern w:val="36"/>
              </w:rPr>
              <w:t>8], Г. Савицька [</w:t>
            </w:r>
            <w:r w:rsidR="00BA3FF1" w:rsidRPr="00E60D58">
              <w:rPr>
                <w:rFonts w:ascii="Times New Roman" w:eastAsia="Times New Roman" w:hAnsi="Times New Roman" w:cs="Times New Roman"/>
                <w:kern w:val="36"/>
              </w:rPr>
              <w:t>37</w:t>
            </w:r>
            <w:r w:rsidRPr="00E60D58">
              <w:rPr>
                <w:rFonts w:ascii="Times New Roman" w:eastAsia="Times New Roman" w:hAnsi="Times New Roman" w:cs="Times New Roman"/>
                <w:kern w:val="36"/>
              </w:rPr>
              <w:t>]</w:t>
            </w:r>
          </w:p>
        </w:tc>
      </w:tr>
      <w:tr w:rsidR="00B23D3B" w:rsidRPr="00E60D58" w14:paraId="0C0A0971" w14:textId="77777777" w:rsidTr="00DF13DF">
        <w:tc>
          <w:tcPr>
            <w:tcW w:w="0" w:type="auto"/>
            <w:hideMark/>
          </w:tcPr>
          <w:p w14:paraId="5B0AB70B" w14:textId="4F7FB12B" w:rsidR="00B23D3B" w:rsidRPr="00E60D58" w:rsidRDefault="00B23D3B" w:rsidP="00DF13DF">
            <w:pPr>
              <w:rPr>
                <w:rFonts w:ascii="Times New Roman" w:eastAsia="Times New Roman" w:hAnsi="Times New Roman" w:cs="Times New Roman"/>
                <w:kern w:val="36"/>
              </w:rPr>
            </w:pPr>
            <w:r w:rsidRPr="00E60D58">
              <w:rPr>
                <w:rFonts w:ascii="Times New Roman" w:eastAsia="Times New Roman" w:hAnsi="Times New Roman" w:cs="Times New Roman"/>
                <w:kern w:val="36"/>
              </w:rPr>
              <w:t>Чистий капіталізований прибуток (реінвестуванн</w:t>
            </w:r>
            <w:r w:rsidR="00DF13DF" w:rsidRPr="00E60D58">
              <w:rPr>
                <w:rFonts w:ascii="Times New Roman" w:eastAsia="Times New Roman" w:hAnsi="Times New Roman" w:cs="Times New Roman"/>
                <w:kern w:val="36"/>
              </w:rPr>
              <w:t>я</w:t>
            </w:r>
            <w:r w:rsidRPr="00E60D58">
              <w:rPr>
                <w:rFonts w:ascii="Times New Roman" w:eastAsia="Times New Roman" w:hAnsi="Times New Roman" w:cs="Times New Roman"/>
                <w:kern w:val="36"/>
              </w:rPr>
              <w:t>)</w:t>
            </w:r>
          </w:p>
        </w:tc>
        <w:tc>
          <w:tcPr>
            <w:tcW w:w="0" w:type="auto"/>
            <w:hideMark/>
          </w:tcPr>
          <w:p w14:paraId="451CFC2F" w14:textId="7777777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Спрямування нерозподіленого прибутку на формування виробничих запасів та капітальні інвестиції.</w:t>
            </w:r>
          </w:p>
        </w:tc>
        <w:tc>
          <w:tcPr>
            <w:tcW w:w="0" w:type="auto"/>
            <w:hideMark/>
          </w:tcPr>
          <w:p w14:paraId="04037317" w14:textId="7777777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Збільшує частку власного капіталу; підвищує коефіцієнт автономії та ринкову вартість компанії.</w:t>
            </w:r>
          </w:p>
        </w:tc>
        <w:tc>
          <w:tcPr>
            <w:tcW w:w="0" w:type="auto"/>
            <w:hideMark/>
          </w:tcPr>
          <w:p w14:paraId="1362EEEF" w14:textId="7777777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У період кризи обсяг прибутку стрімко падає, що консервує технологічний розвиток.</w:t>
            </w:r>
          </w:p>
        </w:tc>
        <w:tc>
          <w:tcPr>
            <w:tcW w:w="0" w:type="auto"/>
            <w:hideMark/>
          </w:tcPr>
          <w:p w14:paraId="5574F56E" w14:textId="77777777"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Ф. №1, Пасив, Розділ І (Нереалізований прибуток), Ф. №4.</w:t>
            </w:r>
          </w:p>
        </w:tc>
        <w:tc>
          <w:tcPr>
            <w:tcW w:w="0" w:type="auto"/>
            <w:hideMark/>
          </w:tcPr>
          <w:p w14:paraId="02F8560E" w14:textId="300A4C58" w:rsidR="00B23D3B" w:rsidRPr="00E60D58" w:rsidRDefault="00B23D3B" w:rsidP="00DF13DF">
            <w:pPr>
              <w:jc w:val="both"/>
              <w:rPr>
                <w:rFonts w:ascii="Times New Roman" w:eastAsia="Times New Roman" w:hAnsi="Times New Roman" w:cs="Times New Roman"/>
                <w:kern w:val="36"/>
              </w:rPr>
            </w:pPr>
            <w:r w:rsidRPr="00E60D58">
              <w:rPr>
                <w:rFonts w:ascii="Times New Roman" w:eastAsia="Times New Roman" w:hAnsi="Times New Roman" w:cs="Times New Roman"/>
                <w:kern w:val="36"/>
              </w:rPr>
              <w:t xml:space="preserve">І. Бланк [1], Ю. </w:t>
            </w:r>
            <w:proofErr w:type="spellStart"/>
            <w:r w:rsidRPr="00E60D58">
              <w:rPr>
                <w:rFonts w:ascii="Times New Roman" w:eastAsia="Times New Roman" w:hAnsi="Times New Roman" w:cs="Times New Roman"/>
                <w:kern w:val="36"/>
              </w:rPr>
              <w:t>Лупенко</w:t>
            </w:r>
            <w:proofErr w:type="spellEnd"/>
            <w:r w:rsidRPr="00E60D58">
              <w:rPr>
                <w:rFonts w:ascii="Times New Roman" w:eastAsia="Times New Roman" w:hAnsi="Times New Roman" w:cs="Times New Roman"/>
                <w:kern w:val="36"/>
              </w:rPr>
              <w:t xml:space="preserve"> </w:t>
            </w:r>
            <w:r w:rsidR="00BA3FF1" w:rsidRPr="00E60D58">
              <w:rPr>
                <w:rFonts w:ascii="Times New Roman" w:eastAsia="Times New Roman" w:hAnsi="Times New Roman" w:cs="Times New Roman"/>
                <w:kern w:val="36"/>
              </w:rPr>
              <w:t>18</w:t>
            </w:r>
            <w:r w:rsidRPr="00E60D58">
              <w:rPr>
                <w:rFonts w:ascii="Times New Roman" w:eastAsia="Times New Roman" w:hAnsi="Times New Roman" w:cs="Times New Roman"/>
                <w:kern w:val="36"/>
              </w:rPr>
              <w:t>]</w:t>
            </w:r>
          </w:p>
        </w:tc>
      </w:tr>
    </w:tbl>
    <w:p w14:paraId="0CB5C60E" w14:textId="77777777" w:rsidR="00DF13DF" w:rsidRDefault="00DF13DF" w:rsidP="00B23D3B">
      <w:pPr>
        <w:spacing w:after="0" w:line="360" w:lineRule="auto"/>
        <w:ind w:firstLine="709"/>
        <w:jc w:val="both"/>
        <w:rPr>
          <w:rFonts w:ascii="Times New Roman" w:eastAsia="Times New Roman" w:hAnsi="Times New Roman" w:cs="Times New Roman"/>
          <w:b/>
          <w:kern w:val="36"/>
          <w:sz w:val="28"/>
          <w:szCs w:val="28"/>
        </w:rPr>
      </w:pPr>
    </w:p>
    <w:p w14:paraId="6ED30A91" w14:textId="3FB895BF"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 xml:space="preserve">У межах цієї парадигми амортизаційні відрахування виступають найбільш стабільним інструментом простого відтворення основних засобів, де застосування методів прискореної амортизації дозволяє </w:t>
      </w:r>
      <w:proofErr w:type="spellStart"/>
      <w:r w:rsidRPr="00DF13DF">
        <w:rPr>
          <w:rFonts w:ascii="Times New Roman" w:eastAsia="Times New Roman" w:hAnsi="Times New Roman" w:cs="Times New Roman"/>
          <w:bCs/>
          <w:kern w:val="36"/>
          <w:sz w:val="28"/>
          <w:szCs w:val="28"/>
        </w:rPr>
        <w:t>оперативно</w:t>
      </w:r>
      <w:proofErr w:type="spellEnd"/>
      <w:r w:rsidRPr="00DF13DF">
        <w:rPr>
          <w:rFonts w:ascii="Times New Roman" w:eastAsia="Times New Roman" w:hAnsi="Times New Roman" w:cs="Times New Roman"/>
          <w:bCs/>
          <w:kern w:val="36"/>
          <w:sz w:val="28"/>
          <w:szCs w:val="28"/>
        </w:rPr>
        <w:t xml:space="preserve"> акумулювати ресурси для реновації технічного парку до моменту настання інфляційного знецінення коштів [</w:t>
      </w:r>
      <w:r w:rsidR="00BA3FF1">
        <w:rPr>
          <w:rFonts w:ascii="Times New Roman" w:eastAsia="Times New Roman" w:hAnsi="Times New Roman" w:cs="Times New Roman"/>
          <w:bCs/>
          <w:kern w:val="36"/>
          <w:sz w:val="28"/>
          <w:szCs w:val="28"/>
        </w:rPr>
        <w:t>3</w:t>
      </w:r>
      <w:r w:rsidRPr="00DF13DF">
        <w:rPr>
          <w:rFonts w:ascii="Times New Roman" w:eastAsia="Times New Roman" w:hAnsi="Times New Roman" w:cs="Times New Roman"/>
          <w:bCs/>
          <w:kern w:val="36"/>
          <w:sz w:val="28"/>
          <w:szCs w:val="28"/>
        </w:rPr>
        <w:t xml:space="preserve">8]. Розширене відтворення за </w:t>
      </w:r>
      <w:r w:rsidRPr="00DF13DF">
        <w:rPr>
          <w:rFonts w:ascii="Times New Roman" w:eastAsia="Times New Roman" w:hAnsi="Times New Roman" w:cs="Times New Roman"/>
          <w:bCs/>
          <w:kern w:val="36"/>
          <w:sz w:val="28"/>
          <w:szCs w:val="28"/>
        </w:rPr>
        <w:lastRenderedPageBreak/>
        <w:t>консервативного підходу забезпечується через механізм капіталізації чистого прибутку. Водночас обмеженість цього підходу виявляється в періоди глибоких криз, коли суттєве зниження прибутковості галузі робить внутрішні ресурси недостатніми для масштабної модернізації бізнесу [</w:t>
      </w:r>
      <w:r w:rsidR="00BA3FF1">
        <w:rPr>
          <w:rFonts w:ascii="Times New Roman" w:eastAsia="Times New Roman" w:hAnsi="Times New Roman" w:cs="Times New Roman"/>
          <w:bCs/>
          <w:kern w:val="36"/>
          <w:sz w:val="28"/>
          <w:szCs w:val="28"/>
        </w:rPr>
        <w:t>2</w:t>
      </w:r>
      <w:r w:rsidRPr="00DF13DF">
        <w:rPr>
          <w:rFonts w:ascii="Times New Roman" w:eastAsia="Times New Roman" w:hAnsi="Times New Roman" w:cs="Times New Roman"/>
          <w:bCs/>
          <w:kern w:val="36"/>
          <w:sz w:val="28"/>
          <w:szCs w:val="28"/>
        </w:rPr>
        <w:t>6].</w:t>
      </w:r>
    </w:p>
    <w:p w14:paraId="314959BB" w14:textId="093B1D4A" w:rsidR="00B23D3B" w:rsidRPr="00DF13DF" w:rsidRDefault="00B23D3B" w:rsidP="00B23D3B">
      <w:pPr>
        <w:spacing w:after="0" w:line="360" w:lineRule="auto"/>
        <w:ind w:firstLine="709"/>
        <w:jc w:val="both"/>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2. Агресивний підхід (</w:t>
      </w:r>
      <w:r w:rsidR="00DF13DF" w:rsidRPr="00DF13DF">
        <w:rPr>
          <w:rFonts w:ascii="Times New Roman" w:eastAsia="Times New Roman" w:hAnsi="Times New Roman" w:cs="Times New Roman"/>
          <w:kern w:val="36"/>
          <w:sz w:val="28"/>
          <w:szCs w:val="28"/>
        </w:rPr>
        <w:t>с</w:t>
      </w:r>
      <w:r w:rsidRPr="00DF13DF">
        <w:rPr>
          <w:rFonts w:ascii="Times New Roman" w:eastAsia="Times New Roman" w:hAnsi="Times New Roman" w:cs="Times New Roman"/>
          <w:kern w:val="36"/>
          <w:sz w:val="28"/>
          <w:szCs w:val="28"/>
        </w:rPr>
        <w:t>тратегія екзогенної боргової експансії)</w:t>
      </w:r>
    </w:p>
    <w:p w14:paraId="66043AEA" w14:textId="5B14E61A" w:rsidR="00B23D3B" w:rsidRPr="00DF13DF" w:rsidRDefault="00B23D3B" w:rsidP="00B23D3B">
      <w:pPr>
        <w:spacing w:after="0" w:line="360" w:lineRule="auto"/>
        <w:ind w:firstLine="709"/>
        <w:jc w:val="both"/>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 xml:space="preserve">Агресивний підхід орієнтований на максимальне прискорення темпів розширеного відтворення капіталу за рахунок активного залучення зовнішнього, переважно короткострокового, боргового фінансування з метою максимізації ефекту фінансового важеля [1; </w:t>
      </w:r>
      <w:r w:rsidR="00BA3FF1">
        <w:rPr>
          <w:rFonts w:ascii="Times New Roman" w:eastAsia="Times New Roman" w:hAnsi="Times New Roman" w:cs="Times New Roman"/>
          <w:kern w:val="36"/>
          <w:sz w:val="28"/>
          <w:szCs w:val="28"/>
        </w:rPr>
        <w:t>39</w:t>
      </w:r>
      <w:r w:rsidRPr="00DF13DF">
        <w:rPr>
          <w:rFonts w:ascii="Times New Roman" w:eastAsia="Times New Roman" w:hAnsi="Times New Roman" w:cs="Times New Roman"/>
          <w:kern w:val="36"/>
          <w:sz w:val="28"/>
          <w:szCs w:val="28"/>
        </w:rPr>
        <w:t>].</w:t>
      </w:r>
    </w:p>
    <w:p w14:paraId="590843F4" w14:textId="77777777" w:rsidR="00DF13DF" w:rsidRPr="00DF13DF" w:rsidRDefault="00B23D3B" w:rsidP="00DF13DF">
      <w:pPr>
        <w:spacing w:after="0" w:line="360" w:lineRule="auto"/>
        <w:ind w:firstLine="709"/>
        <w:jc w:val="right"/>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Таблиця 1.</w:t>
      </w:r>
      <w:r w:rsidR="00DF13DF" w:rsidRPr="00DF13DF">
        <w:rPr>
          <w:rFonts w:ascii="Times New Roman" w:eastAsia="Times New Roman" w:hAnsi="Times New Roman" w:cs="Times New Roman"/>
          <w:kern w:val="36"/>
          <w:sz w:val="28"/>
          <w:szCs w:val="28"/>
        </w:rPr>
        <w:t>6</w:t>
      </w:r>
    </w:p>
    <w:p w14:paraId="4B5516FF" w14:textId="52A51C1E" w:rsidR="00B23D3B" w:rsidRPr="00DF13DF" w:rsidRDefault="00B23D3B" w:rsidP="00DF13DF">
      <w:pPr>
        <w:spacing w:after="0" w:line="360" w:lineRule="auto"/>
        <w:ind w:firstLine="709"/>
        <w:jc w:val="center"/>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Деталізована структура інструментів агресивного підходу до відтворення капіталу</w:t>
      </w:r>
    </w:p>
    <w:tbl>
      <w:tblPr>
        <w:tblStyle w:val="af0"/>
        <w:tblW w:w="0" w:type="auto"/>
        <w:tblLook w:val="04A0" w:firstRow="1" w:lastRow="0" w:firstColumn="1" w:lastColumn="0" w:noHBand="0" w:noVBand="1"/>
      </w:tblPr>
      <w:tblGrid>
        <w:gridCol w:w="1704"/>
        <w:gridCol w:w="1695"/>
        <w:gridCol w:w="1524"/>
        <w:gridCol w:w="1616"/>
        <w:gridCol w:w="1773"/>
        <w:gridCol w:w="1315"/>
      </w:tblGrid>
      <w:tr w:rsidR="00B23D3B" w:rsidRPr="00DF13DF" w14:paraId="471AF093" w14:textId="77777777" w:rsidTr="00DF13DF">
        <w:tc>
          <w:tcPr>
            <w:tcW w:w="0" w:type="auto"/>
            <w:hideMark/>
          </w:tcPr>
          <w:p w14:paraId="1A60155F"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Базові фінансові інструменти</w:t>
            </w:r>
          </w:p>
        </w:tc>
        <w:tc>
          <w:tcPr>
            <w:tcW w:w="0" w:type="auto"/>
            <w:hideMark/>
          </w:tcPr>
          <w:p w14:paraId="7320A417"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Функціональний алгоритм дії в умовах ризику</w:t>
            </w:r>
          </w:p>
        </w:tc>
        <w:tc>
          <w:tcPr>
            <w:tcW w:w="0" w:type="auto"/>
            <w:hideMark/>
          </w:tcPr>
          <w:p w14:paraId="46440A9B"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Переваги для фінансової стійкості</w:t>
            </w:r>
          </w:p>
        </w:tc>
        <w:tc>
          <w:tcPr>
            <w:tcW w:w="0" w:type="auto"/>
            <w:hideMark/>
          </w:tcPr>
          <w:p w14:paraId="3B57A6B7"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Недоліки та обмеження методу</w:t>
            </w:r>
          </w:p>
        </w:tc>
        <w:tc>
          <w:tcPr>
            <w:tcW w:w="0" w:type="auto"/>
            <w:hideMark/>
          </w:tcPr>
          <w:p w14:paraId="2CA37C1F"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Відображення в обліку та звітності</w:t>
            </w:r>
          </w:p>
        </w:tc>
        <w:tc>
          <w:tcPr>
            <w:tcW w:w="0" w:type="auto"/>
            <w:hideMark/>
          </w:tcPr>
          <w:p w14:paraId="16DD693C" w14:textId="174ACA0C" w:rsidR="00B23D3B" w:rsidRPr="00BA3FF1" w:rsidRDefault="00DF13DF" w:rsidP="00DF13DF">
            <w:pPr>
              <w:jc w:val="center"/>
              <w:rPr>
                <w:rFonts w:ascii="Times New Roman" w:eastAsia="Times New Roman" w:hAnsi="Times New Roman" w:cs="Times New Roman"/>
                <w:kern w:val="36"/>
              </w:rPr>
            </w:pPr>
            <w:r w:rsidRPr="00BA3FF1">
              <w:rPr>
                <w:rFonts w:ascii="Times New Roman" w:eastAsia="Times New Roman" w:hAnsi="Times New Roman" w:cs="Times New Roman"/>
                <w:kern w:val="36"/>
              </w:rPr>
              <w:t>Літературні джерела</w:t>
            </w:r>
          </w:p>
        </w:tc>
      </w:tr>
      <w:tr w:rsidR="00B23D3B" w:rsidRPr="00DF13DF" w14:paraId="3AC17328" w14:textId="77777777" w:rsidTr="00DF13DF">
        <w:tc>
          <w:tcPr>
            <w:tcW w:w="0" w:type="auto"/>
            <w:hideMark/>
          </w:tcPr>
          <w:p w14:paraId="6F8BFFB5" w14:textId="77777777" w:rsidR="00B23D3B" w:rsidRPr="00DF13DF" w:rsidRDefault="00B23D3B" w:rsidP="00DF13DF">
            <w:pPr>
              <w:rPr>
                <w:rFonts w:ascii="Times New Roman" w:eastAsia="Times New Roman" w:hAnsi="Times New Roman" w:cs="Times New Roman"/>
                <w:kern w:val="36"/>
              </w:rPr>
            </w:pPr>
            <w:r w:rsidRPr="00DF13DF">
              <w:rPr>
                <w:rFonts w:ascii="Times New Roman" w:eastAsia="Times New Roman" w:hAnsi="Times New Roman" w:cs="Times New Roman"/>
                <w:kern w:val="36"/>
              </w:rPr>
              <w:t>Короткострокові банківські кредити та овердрафти</w:t>
            </w:r>
          </w:p>
        </w:tc>
        <w:tc>
          <w:tcPr>
            <w:tcW w:w="0" w:type="auto"/>
            <w:hideMark/>
          </w:tcPr>
          <w:p w14:paraId="68DDA775"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Оперативне фінансування оборотних активів під час пікових сезонних касових розривів.</w:t>
            </w:r>
          </w:p>
        </w:tc>
        <w:tc>
          <w:tcPr>
            <w:tcW w:w="0" w:type="auto"/>
            <w:hideMark/>
          </w:tcPr>
          <w:p w14:paraId="1A6E1224"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Максимальна швидкість залучення ліквідності; гнучкість управління обсягом боргу.</w:t>
            </w:r>
          </w:p>
        </w:tc>
        <w:tc>
          <w:tcPr>
            <w:tcW w:w="0" w:type="auto"/>
            <w:hideMark/>
          </w:tcPr>
          <w:p w14:paraId="0BBAB25E" w14:textId="1BAC583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Висока вартість обслуговування (WACC); жорсткі вимоги щодо ліквідної застави.</w:t>
            </w:r>
          </w:p>
        </w:tc>
        <w:tc>
          <w:tcPr>
            <w:tcW w:w="0" w:type="auto"/>
            <w:hideMark/>
          </w:tcPr>
          <w:p w14:paraId="145977F9"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 №1, Пасив, Розділ ІV (Короткострокові кредити банків).</w:t>
            </w:r>
          </w:p>
        </w:tc>
        <w:tc>
          <w:tcPr>
            <w:tcW w:w="0" w:type="auto"/>
            <w:hideMark/>
          </w:tcPr>
          <w:p w14:paraId="475C4B4C" w14:textId="2080FFDF" w:rsidR="00B23D3B" w:rsidRPr="00BA3FF1" w:rsidRDefault="00B23D3B" w:rsidP="00DF13DF">
            <w:pPr>
              <w:jc w:val="both"/>
              <w:rPr>
                <w:rFonts w:ascii="Times New Roman" w:eastAsia="Times New Roman" w:hAnsi="Times New Roman" w:cs="Times New Roman"/>
                <w:kern w:val="36"/>
              </w:rPr>
            </w:pPr>
            <w:r w:rsidRPr="00BA3FF1">
              <w:rPr>
                <w:rFonts w:ascii="Times New Roman" w:eastAsia="Times New Roman" w:hAnsi="Times New Roman" w:cs="Times New Roman"/>
                <w:kern w:val="36"/>
              </w:rPr>
              <w:t xml:space="preserve">І. Бланк [1], Н. </w:t>
            </w:r>
            <w:proofErr w:type="spellStart"/>
            <w:r w:rsidRPr="00BA3FF1">
              <w:rPr>
                <w:rFonts w:ascii="Times New Roman" w:eastAsia="Times New Roman" w:hAnsi="Times New Roman" w:cs="Times New Roman"/>
                <w:kern w:val="36"/>
              </w:rPr>
              <w:t>Танклевська</w:t>
            </w:r>
            <w:proofErr w:type="spellEnd"/>
            <w:r w:rsidRPr="00BA3FF1">
              <w:rPr>
                <w:rFonts w:ascii="Times New Roman" w:eastAsia="Times New Roman" w:hAnsi="Times New Roman" w:cs="Times New Roman"/>
                <w:kern w:val="36"/>
              </w:rPr>
              <w:t xml:space="preserve"> [</w:t>
            </w:r>
            <w:r w:rsidR="00BA3FF1" w:rsidRPr="00BA3FF1">
              <w:rPr>
                <w:rFonts w:ascii="Times New Roman" w:eastAsia="Times New Roman" w:hAnsi="Times New Roman" w:cs="Times New Roman"/>
                <w:kern w:val="36"/>
              </w:rPr>
              <w:t>39</w:t>
            </w:r>
            <w:r w:rsidRPr="00BA3FF1">
              <w:rPr>
                <w:rFonts w:ascii="Times New Roman" w:eastAsia="Times New Roman" w:hAnsi="Times New Roman" w:cs="Times New Roman"/>
                <w:kern w:val="36"/>
              </w:rPr>
              <w:t>]</w:t>
            </w:r>
          </w:p>
        </w:tc>
      </w:tr>
      <w:tr w:rsidR="00B23D3B" w:rsidRPr="00DF13DF" w14:paraId="2D9195AC" w14:textId="77777777" w:rsidTr="00DF13DF">
        <w:tc>
          <w:tcPr>
            <w:tcW w:w="0" w:type="auto"/>
            <w:hideMark/>
          </w:tcPr>
          <w:p w14:paraId="2A6BA97D" w14:textId="77777777" w:rsidR="00B23D3B" w:rsidRPr="00DF13DF" w:rsidRDefault="00B23D3B" w:rsidP="00DF13DF">
            <w:pPr>
              <w:rPr>
                <w:rFonts w:ascii="Times New Roman" w:eastAsia="Times New Roman" w:hAnsi="Times New Roman" w:cs="Times New Roman"/>
                <w:kern w:val="36"/>
              </w:rPr>
            </w:pPr>
            <w:r w:rsidRPr="00DF13DF">
              <w:rPr>
                <w:rFonts w:ascii="Times New Roman" w:eastAsia="Times New Roman" w:hAnsi="Times New Roman" w:cs="Times New Roman"/>
                <w:kern w:val="36"/>
              </w:rPr>
              <w:t>Товарне (комерційне) кредитування постачальників</w:t>
            </w:r>
          </w:p>
        </w:tc>
        <w:tc>
          <w:tcPr>
            <w:tcW w:w="0" w:type="auto"/>
            <w:hideMark/>
          </w:tcPr>
          <w:p w14:paraId="7F51DFB9"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Надання відстрочки платежу за насіння, ЗЗР та добрива під відсоток або майбутній урожай.</w:t>
            </w:r>
          </w:p>
        </w:tc>
        <w:tc>
          <w:tcPr>
            <w:tcW w:w="0" w:type="auto"/>
            <w:hideMark/>
          </w:tcPr>
          <w:p w14:paraId="0300A8B5"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Не потребує банківського посередництва та миттєвого вилучення коштів з обігу.</w:t>
            </w:r>
          </w:p>
        </w:tc>
        <w:tc>
          <w:tcPr>
            <w:tcW w:w="0" w:type="auto"/>
            <w:hideMark/>
          </w:tcPr>
          <w:p w14:paraId="4B54DBD4"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Прихована висока вартість (постачальники закладають ризики у вищу ціну ресурсів).</w:t>
            </w:r>
          </w:p>
        </w:tc>
        <w:tc>
          <w:tcPr>
            <w:tcW w:w="0" w:type="auto"/>
            <w:hideMark/>
          </w:tcPr>
          <w:p w14:paraId="11823714"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 №1, Пасив, Розділ ІV (Поточна кредиторська заборгованість).</w:t>
            </w:r>
          </w:p>
        </w:tc>
        <w:tc>
          <w:tcPr>
            <w:tcW w:w="0" w:type="auto"/>
            <w:hideMark/>
          </w:tcPr>
          <w:p w14:paraId="4B87A353" w14:textId="0FC3E188" w:rsidR="00B23D3B" w:rsidRPr="00BA3FF1" w:rsidRDefault="00B23D3B" w:rsidP="00DF13DF">
            <w:pPr>
              <w:jc w:val="both"/>
              <w:rPr>
                <w:rFonts w:ascii="Times New Roman" w:eastAsia="Times New Roman" w:hAnsi="Times New Roman" w:cs="Times New Roman"/>
                <w:kern w:val="36"/>
              </w:rPr>
            </w:pPr>
            <w:r w:rsidRPr="00BA3FF1">
              <w:rPr>
                <w:rFonts w:ascii="Times New Roman" w:eastAsia="Times New Roman" w:hAnsi="Times New Roman" w:cs="Times New Roman"/>
                <w:kern w:val="36"/>
              </w:rPr>
              <w:t>Г. Савицька [</w:t>
            </w:r>
            <w:r w:rsidR="00BA3FF1" w:rsidRPr="00BA3FF1">
              <w:rPr>
                <w:rFonts w:ascii="Times New Roman" w:eastAsia="Times New Roman" w:hAnsi="Times New Roman" w:cs="Times New Roman"/>
                <w:kern w:val="36"/>
              </w:rPr>
              <w:t>37</w:t>
            </w:r>
            <w:r w:rsidRPr="00BA3FF1">
              <w:rPr>
                <w:rFonts w:ascii="Times New Roman" w:eastAsia="Times New Roman" w:hAnsi="Times New Roman" w:cs="Times New Roman"/>
                <w:kern w:val="36"/>
              </w:rPr>
              <w:t>], С. Кваша [</w:t>
            </w:r>
            <w:r w:rsidR="00BA3FF1" w:rsidRPr="00BA3FF1">
              <w:rPr>
                <w:rFonts w:ascii="Times New Roman" w:eastAsia="Times New Roman" w:hAnsi="Times New Roman" w:cs="Times New Roman"/>
                <w:kern w:val="36"/>
              </w:rPr>
              <w:t>15</w:t>
            </w:r>
            <w:r w:rsidRPr="00BA3FF1">
              <w:rPr>
                <w:rFonts w:ascii="Times New Roman" w:eastAsia="Times New Roman" w:hAnsi="Times New Roman" w:cs="Times New Roman"/>
                <w:kern w:val="36"/>
              </w:rPr>
              <w:t>]</w:t>
            </w:r>
          </w:p>
        </w:tc>
      </w:tr>
      <w:tr w:rsidR="00B23D3B" w:rsidRPr="00DF13DF" w14:paraId="179A52C3" w14:textId="77777777" w:rsidTr="00DF13DF">
        <w:tc>
          <w:tcPr>
            <w:tcW w:w="0" w:type="auto"/>
            <w:hideMark/>
          </w:tcPr>
          <w:p w14:paraId="4527BE40" w14:textId="77777777" w:rsidR="00B23D3B" w:rsidRPr="00DF13DF" w:rsidRDefault="00B23D3B" w:rsidP="00DF13DF">
            <w:pPr>
              <w:rPr>
                <w:rFonts w:ascii="Times New Roman" w:eastAsia="Times New Roman" w:hAnsi="Times New Roman" w:cs="Times New Roman"/>
                <w:kern w:val="36"/>
              </w:rPr>
            </w:pPr>
            <w:r w:rsidRPr="00DF13DF">
              <w:rPr>
                <w:rFonts w:ascii="Times New Roman" w:eastAsia="Times New Roman" w:hAnsi="Times New Roman" w:cs="Times New Roman"/>
                <w:kern w:val="36"/>
              </w:rPr>
              <w:t>Традиційні товарні розписки</w:t>
            </w:r>
          </w:p>
        </w:tc>
        <w:tc>
          <w:tcPr>
            <w:tcW w:w="0" w:type="auto"/>
            <w:hideMark/>
          </w:tcPr>
          <w:p w14:paraId="20BA8421"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Юридичне оформлення відстрочки розрахунків шляхом виписки зобов'язання поставити зерно.</w:t>
            </w:r>
          </w:p>
        </w:tc>
        <w:tc>
          <w:tcPr>
            <w:tcW w:w="0" w:type="auto"/>
            <w:hideMark/>
          </w:tcPr>
          <w:p w14:paraId="2E6BA887"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Дозволяє залучати матеріальні ресурси навіть за відсутності високого кредитного рейтингу.</w:t>
            </w:r>
          </w:p>
        </w:tc>
        <w:tc>
          <w:tcPr>
            <w:tcW w:w="0" w:type="auto"/>
            <w:hideMark/>
          </w:tcPr>
          <w:p w14:paraId="732D01E8"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Пряма залежність від врожайності; загроза дефолту у разі форс-мажору.</w:t>
            </w:r>
          </w:p>
        </w:tc>
        <w:tc>
          <w:tcPr>
            <w:tcW w:w="0" w:type="auto"/>
            <w:hideMark/>
          </w:tcPr>
          <w:p w14:paraId="20AF0A55"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Позабалансовий облік зобов'язань; Ф. №1 (Поточні зобов'язання).</w:t>
            </w:r>
          </w:p>
        </w:tc>
        <w:tc>
          <w:tcPr>
            <w:tcW w:w="0" w:type="auto"/>
            <w:hideMark/>
          </w:tcPr>
          <w:p w14:paraId="762C2BD4" w14:textId="453C26C8" w:rsidR="00B23D3B" w:rsidRPr="00BA3FF1" w:rsidRDefault="00B23D3B" w:rsidP="00DF13DF">
            <w:pPr>
              <w:jc w:val="both"/>
              <w:rPr>
                <w:rFonts w:ascii="Times New Roman" w:eastAsia="Times New Roman" w:hAnsi="Times New Roman" w:cs="Times New Roman"/>
                <w:kern w:val="36"/>
              </w:rPr>
            </w:pPr>
            <w:r w:rsidRPr="00BA3FF1">
              <w:rPr>
                <w:rFonts w:ascii="Times New Roman" w:eastAsia="Times New Roman" w:hAnsi="Times New Roman" w:cs="Times New Roman"/>
                <w:kern w:val="36"/>
              </w:rPr>
              <w:t xml:space="preserve">Ю. </w:t>
            </w:r>
            <w:proofErr w:type="spellStart"/>
            <w:r w:rsidRPr="00BA3FF1">
              <w:rPr>
                <w:rFonts w:ascii="Times New Roman" w:eastAsia="Times New Roman" w:hAnsi="Times New Roman" w:cs="Times New Roman"/>
                <w:kern w:val="36"/>
              </w:rPr>
              <w:t>Лупенко</w:t>
            </w:r>
            <w:proofErr w:type="spellEnd"/>
            <w:r w:rsidRPr="00BA3FF1">
              <w:rPr>
                <w:rFonts w:ascii="Times New Roman" w:eastAsia="Times New Roman" w:hAnsi="Times New Roman" w:cs="Times New Roman"/>
                <w:kern w:val="36"/>
              </w:rPr>
              <w:t xml:space="preserve"> [</w:t>
            </w:r>
            <w:r w:rsidR="00BA3FF1" w:rsidRPr="00BA3FF1">
              <w:rPr>
                <w:rFonts w:ascii="Times New Roman" w:eastAsia="Times New Roman" w:hAnsi="Times New Roman" w:cs="Times New Roman"/>
                <w:kern w:val="36"/>
              </w:rPr>
              <w:t>18</w:t>
            </w:r>
            <w:r w:rsidRPr="00BA3FF1">
              <w:rPr>
                <w:rFonts w:ascii="Times New Roman" w:eastAsia="Times New Roman" w:hAnsi="Times New Roman" w:cs="Times New Roman"/>
                <w:kern w:val="36"/>
              </w:rPr>
              <w:t>], Закон України [</w:t>
            </w:r>
            <w:r w:rsidR="00BA3FF1" w:rsidRPr="00BA3FF1">
              <w:rPr>
                <w:rFonts w:ascii="Times New Roman" w:eastAsia="Times New Roman" w:hAnsi="Times New Roman" w:cs="Times New Roman"/>
                <w:kern w:val="36"/>
              </w:rPr>
              <w:t>10</w:t>
            </w:r>
            <w:r w:rsidRPr="00BA3FF1">
              <w:rPr>
                <w:rFonts w:ascii="Times New Roman" w:eastAsia="Times New Roman" w:hAnsi="Times New Roman" w:cs="Times New Roman"/>
                <w:kern w:val="36"/>
              </w:rPr>
              <w:t>]</w:t>
            </w:r>
          </w:p>
        </w:tc>
      </w:tr>
    </w:tbl>
    <w:p w14:paraId="5DB372AD" w14:textId="77777777" w:rsidR="00DF13DF" w:rsidRDefault="00DF13DF" w:rsidP="00B23D3B">
      <w:pPr>
        <w:spacing w:after="0" w:line="360" w:lineRule="auto"/>
        <w:ind w:firstLine="709"/>
        <w:jc w:val="both"/>
        <w:rPr>
          <w:rFonts w:ascii="Times New Roman" w:eastAsia="Times New Roman" w:hAnsi="Times New Roman" w:cs="Times New Roman"/>
          <w:b/>
          <w:i/>
          <w:iCs/>
          <w:kern w:val="36"/>
          <w:sz w:val="28"/>
          <w:szCs w:val="28"/>
        </w:rPr>
      </w:pPr>
    </w:p>
    <w:p w14:paraId="59C1F40F" w14:textId="30A63197"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 xml:space="preserve">Головний ризик агресивної стратегії полягає у загрозі стрімкої втрати ліквідності у випадку настання форс-мажорних обставин чи падіння ринкових </w:t>
      </w:r>
      <w:r w:rsidRPr="00DF13DF">
        <w:rPr>
          <w:rFonts w:ascii="Times New Roman" w:eastAsia="Times New Roman" w:hAnsi="Times New Roman" w:cs="Times New Roman"/>
          <w:bCs/>
          <w:kern w:val="36"/>
          <w:sz w:val="28"/>
          <w:szCs w:val="28"/>
        </w:rPr>
        <w:lastRenderedPageBreak/>
        <w:t>цін. Коли фінансові витрати на обслуговування боргу починають перевищувати рентабельність активів, ефект фінансового важеля стає від'ємним, що може миттєво спровокувати стан технічного банкрутства підприємства [</w:t>
      </w:r>
      <w:r w:rsidR="00BA3FF1">
        <w:rPr>
          <w:rFonts w:ascii="Times New Roman" w:eastAsia="Times New Roman" w:hAnsi="Times New Roman" w:cs="Times New Roman"/>
          <w:bCs/>
          <w:kern w:val="36"/>
          <w:sz w:val="28"/>
          <w:szCs w:val="28"/>
        </w:rPr>
        <w:t>15</w:t>
      </w:r>
      <w:r w:rsidRPr="00DF13DF">
        <w:rPr>
          <w:rFonts w:ascii="Times New Roman" w:eastAsia="Times New Roman" w:hAnsi="Times New Roman" w:cs="Times New Roman"/>
          <w:bCs/>
          <w:kern w:val="36"/>
          <w:sz w:val="28"/>
          <w:szCs w:val="28"/>
        </w:rPr>
        <w:t>].</w:t>
      </w:r>
    </w:p>
    <w:p w14:paraId="00BCC53C" w14:textId="570B4673" w:rsidR="00B23D3B" w:rsidRPr="00DF13DF" w:rsidRDefault="00B23D3B" w:rsidP="00B23D3B">
      <w:pPr>
        <w:spacing w:after="0" w:line="360" w:lineRule="auto"/>
        <w:ind w:firstLine="709"/>
        <w:jc w:val="both"/>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3. Адаптивний підхід (</w:t>
      </w:r>
      <w:r w:rsidR="00DF13DF" w:rsidRPr="00DF13DF">
        <w:rPr>
          <w:rFonts w:ascii="Times New Roman" w:eastAsia="Times New Roman" w:hAnsi="Times New Roman" w:cs="Times New Roman"/>
          <w:kern w:val="36"/>
          <w:sz w:val="28"/>
          <w:szCs w:val="28"/>
        </w:rPr>
        <w:t>к</w:t>
      </w:r>
      <w:r w:rsidRPr="00DF13DF">
        <w:rPr>
          <w:rFonts w:ascii="Times New Roman" w:eastAsia="Times New Roman" w:hAnsi="Times New Roman" w:cs="Times New Roman"/>
          <w:kern w:val="36"/>
          <w:sz w:val="28"/>
          <w:szCs w:val="28"/>
        </w:rPr>
        <w:t>омбінована гнучка стратегія)</w:t>
      </w:r>
    </w:p>
    <w:p w14:paraId="64E743D8" w14:textId="31291611"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Адаптивний підхід базується на синергії ринкових інструментів та механізмів інституційної (державної) підтримки, які спрямовані на мінімізацію середньозваженої вартості залученого капіталу та розподіл ризиків [</w:t>
      </w:r>
      <w:r w:rsidR="00BA3FF1">
        <w:rPr>
          <w:rFonts w:ascii="Times New Roman" w:eastAsia="Times New Roman" w:hAnsi="Times New Roman" w:cs="Times New Roman"/>
          <w:bCs/>
          <w:kern w:val="36"/>
          <w:sz w:val="28"/>
          <w:szCs w:val="28"/>
        </w:rPr>
        <w:t>18</w:t>
      </w:r>
      <w:r w:rsidRPr="00DF13DF">
        <w:rPr>
          <w:rFonts w:ascii="Times New Roman" w:eastAsia="Times New Roman" w:hAnsi="Times New Roman" w:cs="Times New Roman"/>
          <w:bCs/>
          <w:kern w:val="36"/>
          <w:sz w:val="28"/>
          <w:szCs w:val="28"/>
        </w:rPr>
        <w:t>].</w:t>
      </w:r>
    </w:p>
    <w:p w14:paraId="546769DE" w14:textId="77777777" w:rsidR="00DF13DF" w:rsidRPr="00DF13DF" w:rsidRDefault="00B23D3B" w:rsidP="00DF13DF">
      <w:pPr>
        <w:spacing w:after="0" w:line="360" w:lineRule="auto"/>
        <w:ind w:firstLine="709"/>
        <w:jc w:val="right"/>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Таблиця 1.</w:t>
      </w:r>
      <w:r w:rsidR="00DF13DF" w:rsidRPr="00DF13DF">
        <w:rPr>
          <w:rFonts w:ascii="Times New Roman" w:eastAsia="Times New Roman" w:hAnsi="Times New Roman" w:cs="Times New Roman"/>
          <w:kern w:val="36"/>
          <w:sz w:val="28"/>
          <w:szCs w:val="28"/>
        </w:rPr>
        <w:t>7</w:t>
      </w:r>
    </w:p>
    <w:p w14:paraId="1722A664" w14:textId="4AC564A8" w:rsidR="00B23D3B" w:rsidRDefault="00B23D3B" w:rsidP="00DF13DF">
      <w:pPr>
        <w:spacing w:after="0" w:line="360" w:lineRule="auto"/>
        <w:ind w:firstLine="709"/>
        <w:jc w:val="center"/>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Деталізована структура інструментів адаптивного підходу до відтворення капіталу</w:t>
      </w:r>
    </w:p>
    <w:tbl>
      <w:tblPr>
        <w:tblStyle w:val="af0"/>
        <w:tblW w:w="0" w:type="auto"/>
        <w:tblLook w:val="04A0" w:firstRow="1" w:lastRow="0" w:firstColumn="1" w:lastColumn="0" w:noHBand="0" w:noVBand="1"/>
      </w:tblPr>
      <w:tblGrid>
        <w:gridCol w:w="1368"/>
        <w:gridCol w:w="1724"/>
        <w:gridCol w:w="1854"/>
        <w:gridCol w:w="1649"/>
        <w:gridCol w:w="1695"/>
        <w:gridCol w:w="1337"/>
      </w:tblGrid>
      <w:tr w:rsidR="00B23D3B" w:rsidRPr="00B23D3B" w14:paraId="16C233D6" w14:textId="77777777" w:rsidTr="00DF13DF">
        <w:tc>
          <w:tcPr>
            <w:tcW w:w="0" w:type="auto"/>
            <w:hideMark/>
          </w:tcPr>
          <w:p w14:paraId="2755FF01"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Базові фінансові інструменти</w:t>
            </w:r>
          </w:p>
        </w:tc>
        <w:tc>
          <w:tcPr>
            <w:tcW w:w="0" w:type="auto"/>
            <w:hideMark/>
          </w:tcPr>
          <w:p w14:paraId="29249771"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Функціональний алгоритм дії в умовах ризику</w:t>
            </w:r>
          </w:p>
        </w:tc>
        <w:tc>
          <w:tcPr>
            <w:tcW w:w="0" w:type="auto"/>
            <w:hideMark/>
          </w:tcPr>
          <w:p w14:paraId="7BD287DD"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Переваги для фінансової стійкості</w:t>
            </w:r>
          </w:p>
        </w:tc>
        <w:tc>
          <w:tcPr>
            <w:tcW w:w="0" w:type="auto"/>
            <w:hideMark/>
          </w:tcPr>
          <w:p w14:paraId="56B323DE"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Недоліки та обмеження методу</w:t>
            </w:r>
          </w:p>
        </w:tc>
        <w:tc>
          <w:tcPr>
            <w:tcW w:w="0" w:type="auto"/>
            <w:hideMark/>
          </w:tcPr>
          <w:p w14:paraId="3173DBC8"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Відображення в обліку та звітності</w:t>
            </w:r>
          </w:p>
        </w:tc>
        <w:tc>
          <w:tcPr>
            <w:tcW w:w="0" w:type="auto"/>
            <w:hideMark/>
          </w:tcPr>
          <w:p w14:paraId="44C36338" w14:textId="4C342B47" w:rsidR="00B23D3B" w:rsidRPr="005D7E72" w:rsidRDefault="00DF13DF" w:rsidP="00DF13DF">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Літературні джерела</w:t>
            </w:r>
          </w:p>
        </w:tc>
      </w:tr>
      <w:tr w:rsidR="00B23D3B" w:rsidRPr="00B23D3B" w14:paraId="0446830E" w14:textId="77777777" w:rsidTr="00DF13DF">
        <w:tc>
          <w:tcPr>
            <w:tcW w:w="0" w:type="auto"/>
            <w:hideMark/>
          </w:tcPr>
          <w:p w14:paraId="334B6013"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Пільгові кредити (програма «5-7-9%»)</w:t>
            </w:r>
          </w:p>
        </w:tc>
        <w:tc>
          <w:tcPr>
            <w:tcW w:w="0" w:type="auto"/>
            <w:hideMark/>
          </w:tcPr>
          <w:p w14:paraId="6DB18FBE"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Залучення позик, де більшу частину ринкової відсоткової ставки компенсує держава.</w:t>
            </w:r>
          </w:p>
        </w:tc>
        <w:tc>
          <w:tcPr>
            <w:tcW w:w="0" w:type="auto"/>
            <w:hideMark/>
          </w:tcPr>
          <w:p w14:paraId="4FE459DE" w14:textId="28275EB2"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Суттєво знижує фінансові витрати (WACC); підвищує загальну рентабельність діяльності.</w:t>
            </w:r>
          </w:p>
        </w:tc>
        <w:tc>
          <w:tcPr>
            <w:tcW w:w="0" w:type="auto"/>
            <w:hideMark/>
          </w:tcPr>
          <w:p w14:paraId="06587E95"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Жорсткі ліміти на одного позичальника; ризик затримок бюджетних субсидій.</w:t>
            </w:r>
          </w:p>
        </w:tc>
        <w:tc>
          <w:tcPr>
            <w:tcW w:w="0" w:type="auto"/>
            <w:hideMark/>
          </w:tcPr>
          <w:p w14:paraId="0BFCC0F2" w14:textId="77777777" w:rsidR="00B23D3B" w:rsidRPr="00DF13DF" w:rsidRDefault="00B23D3B" w:rsidP="00DF13DF">
            <w:pPr>
              <w:rPr>
                <w:rFonts w:ascii="Times New Roman" w:eastAsia="Times New Roman" w:hAnsi="Times New Roman" w:cs="Times New Roman"/>
                <w:kern w:val="36"/>
              </w:rPr>
            </w:pPr>
            <w:r w:rsidRPr="00DF13DF">
              <w:rPr>
                <w:rFonts w:ascii="Times New Roman" w:eastAsia="Times New Roman" w:hAnsi="Times New Roman" w:cs="Times New Roman"/>
                <w:kern w:val="36"/>
              </w:rPr>
              <w:t>Ф. №1 (Довгострокові або короткострокові зобов'язання), Ф. №2.</w:t>
            </w:r>
          </w:p>
        </w:tc>
        <w:tc>
          <w:tcPr>
            <w:tcW w:w="0" w:type="auto"/>
            <w:hideMark/>
          </w:tcPr>
          <w:p w14:paraId="7A82BAD5" w14:textId="11C0A004"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Я. </w:t>
            </w:r>
            <w:proofErr w:type="spellStart"/>
            <w:r w:rsidRPr="005D7E72">
              <w:rPr>
                <w:rFonts w:ascii="Times New Roman" w:eastAsia="Times New Roman" w:hAnsi="Times New Roman" w:cs="Times New Roman"/>
                <w:kern w:val="36"/>
              </w:rPr>
              <w:t>Гадзало</w:t>
            </w:r>
            <w:proofErr w:type="spellEnd"/>
            <w:r w:rsidRPr="005D7E72">
              <w:rPr>
                <w:rFonts w:ascii="Times New Roman" w:eastAsia="Times New Roman" w:hAnsi="Times New Roman" w:cs="Times New Roman"/>
                <w:kern w:val="36"/>
              </w:rPr>
              <w:t xml:space="preserve"> [</w:t>
            </w:r>
            <w:r w:rsidR="00BA3FF1" w:rsidRPr="005D7E72">
              <w:rPr>
                <w:rFonts w:ascii="Times New Roman" w:eastAsia="Times New Roman" w:hAnsi="Times New Roman" w:cs="Times New Roman"/>
                <w:kern w:val="36"/>
              </w:rPr>
              <w:t>4</w:t>
            </w:r>
            <w:r w:rsidRPr="005D7E72">
              <w:rPr>
                <w:rFonts w:ascii="Times New Roman" w:eastAsia="Times New Roman" w:hAnsi="Times New Roman" w:cs="Times New Roman"/>
                <w:kern w:val="36"/>
              </w:rPr>
              <w:t xml:space="preserve">], Ю. </w:t>
            </w:r>
            <w:proofErr w:type="spellStart"/>
            <w:r w:rsidRPr="005D7E72">
              <w:rPr>
                <w:rFonts w:ascii="Times New Roman" w:eastAsia="Times New Roman" w:hAnsi="Times New Roman" w:cs="Times New Roman"/>
                <w:kern w:val="36"/>
              </w:rPr>
              <w:t>Лупенко</w:t>
            </w:r>
            <w:proofErr w:type="spellEnd"/>
            <w:r w:rsidRPr="005D7E72">
              <w:rPr>
                <w:rFonts w:ascii="Times New Roman" w:eastAsia="Times New Roman" w:hAnsi="Times New Roman" w:cs="Times New Roman"/>
                <w:kern w:val="36"/>
              </w:rPr>
              <w:t xml:space="preserve"> [</w:t>
            </w:r>
            <w:r w:rsidR="00BA3FF1" w:rsidRPr="005D7E72">
              <w:rPr>
                <w:rFonts w:ascii="Times New Roman" w:eastAsia="Times New Roman" w:hAnsi="Times New Roman" w:cs="Times New Roman"/>
                <w:kern w:val="36"/>
              </w:rPr>
              <w:t>18</w:t>
            </w:r>
            <w:r w:rsidRPr="005D7E72">
              <w:rPr>
                <w:rFonts w:ascii="Times New Roman" w:eastAsia="Times New Roman" w:hAnsi="Times New Roman" w:cs="Times New Roman"/>
                <w:kern w:val="36"/>
              </w:rPr>
              <w:t>]</w:t>
            </w:r>
          </w:p>
        </w:tc>
      </w:tr>
      <w:tr w:rsidR="00B23D3B" w:rsidRPr="00B23D3B" w14:paraId="0371C52B" w14:textId="77777777" w:rsidTr="00DF13DF">
        <w:tc>
          <w:tcPr>
            <w:tcW w:w="0" w:type="auto"/>
            <w:hideMark/>
          </w:tcPr>
          <w:p w14:paraId="201E655D"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Фінансовий та оперативний лізинг</w:t>
            </w:r>
          </w:p>
        </w:tc>
        <w:tc>
          <w:tcPr>
            <w:tcW w:w="0" w:type="auto"/>
            <w:hideMark/>
          </w:tcPr>
          <w:p w14:paraId="492359E1"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 xml:space="preserve">Оновлення техніки без </w:t>
            </w:r>
            <w:proofErr w:type="spellStart"/>
            <w:r w:rsidRPr="00DF13DF">
              <w:rPr>
                <w:rFonts w:ascii="Times New Roman" w:eastAsia="Times New Roman" w:hAnsi="Times New Roman" w:cs="Times New Roman"/>
                <w:kern w:val="36"/>
              </w:rPr>
              <w:t>одномоментних</w:t>
            </w:r>
            <w:proofErr w:type="spellEnd"/>
            <w:r w:rsidRPr="00DF13DF">
              <w:rPr>
                <w:rFonts w:ascii="Times New Roman" w:eastAsia="Times New Roman" w:hAnsi="Times New Roman" w:cs="Times New Roman"/>
                <w:kern w:val="36"/>
              </w:rPr>
              <w:t xml:space="preserve"> великих витрат з обігу. Об'єкт є заставою.</w:t>
            </w:r>
          </w:p>
        </w:tc>
        <w:tc>
          <w:tcPr>
            <w:tcW w:w="0" w:type="auto"/>
            <w:hideMark/>
          </w:tcPr>
          <w:p w14:paraId="6C3BF64F"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Не перевантажує поточну ліквідність; лізингові платежі відносяться на витрати.</w:t>
            </w:r>
          </w:p>
        </w:tc>
        <w:tc>
          <w:tcPr>
            <w:tcW w:w="0" w:type="auto"/>
            <w:hideMark/>
          </w:tcPr>
          <w:p w14:paraId="53653247"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Висока загальна сума переплати за весь строк договору порівняно з купівлею.</w:t>
            </w:r>
          </w:p>
        </w:tc>
        <w:tc>
          <w:tcPr>
            <w:tcW w:w="0" w:type="auto"/>
            <w:hideMark/>
          </w:tcPr>
          <w:p w14:paraId="6C46B81D"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 №1 (Розділ І пасиву та необоротні активи), Примітки до звітності.</w:t>
            </w:r>
          </w:p>
        </w:tc>
        <w:tc>
          <w:tcPr>
            <w:tcW w:w="0" w:type="auto"/>
            <w:hideMark/>
          </w:tcPr>
          <w:p w14:paraId="70122712" w14:textId="092D5809"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П. Стецюк [</w:t>
            </w:r>
            <w:r w:rsidR="005D7E72" w:rsidRPr="005D7E72">
              <w:rPr>
                <w:rFonts w:ascii="Times New Roman" w:eastAsia="Times New Roman" w:hAnsi="Times New Roman" w:cs="Times New Roman"/>
                <w:kern w:val="36"/>
              </w:rPr>
              <w:t>3</w:t>
            </w:r>
            <w:r w:rsidRPr="005D7E72">
              <w:rPr>
                <w:rFonts w:ascii="Times New Roman" w:eastAsia="Times New Roman" w:hAnsi="Times New Roman" w:cs="Times New Roman"/>
                <w:kern w:val="36"/>
              </w:rPr>
              <w:t>8], Г. Савицька [</w:t>
            </w:r>
            <w:r w:rsidR="005D7E72" w:rsidRPr="005D7E72">
              <w:rPr>
                <w:rFonts w:ascii="Times New Roman" w:eastAsia="Times New Roman" w:hAnsi="Times New Roman" w:cs="Times New Roman"/>
                <w:kern w:val="36"/>
              </w:rPr>
              <w:t>37</w:t>
            </w:r>
            <w:r w:rsidRPr="005D7E72">
              <w:rPr>
                <w:rFonts w:ascii="Times New Roman" w:eastAsia="Times New Roman" w:hAnsi="Times New Roman" w:cs="Times New Roman"/>
                <w:kern w:val="36"/>
              </w:rPr>
              <w:t>]</w:t>
            </w:r>
          </w:p>
        </w:tc>
      </w:tr>
      <w:tr w:rsidR="00B23D3B" w:rsidRPr="00B23D3B" w14:paraId="65008192" w14:textId="77777777" w:rsidTr="00DF13DF">
        <w:tc>
          <w:tcPr>
            <w:tcW w:w="0" w:type="auto"/>
            <w:hideMark/>
          </w:tcPr>
          <w:p w14:paraId="3EA5BE31" w14:textId="0D1C602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Електронні аграрні розписки (з 2025</w:t>
            </w:r>
            <w:r w:rsidR="00DF13DF">
              <w:rPr>
                <w:rFonts w:ascii="Times New Roman" w:eastAsia="Times New Roman" w:hAnsi="Times New Roman" w:cs="Times New Roman"/>
                <w:kern w:val="36"/>
              </w:rPr>
              <w:t>-</w:t>
            </w:r>
            <w:r w:rsidRPr="00DF13DF">
              <w:rPr>
                <w:rFonts w:ascii="Times New Roman" w:eastAsia="Times New Roman" w:hAnsi="Times New Roman" w:cs="Times New Roman"/>
                <w:kern w:val="36"/>
              </w:rPr>
              <w:t>2026 рр.)</w:t>
            </w:r>
          </w:p>
        </w:tc>
        <w:tc>
          <w:tcPr>
            <w:tcW w:w="0" w:type="auto"/>
            <w:hideMark/>
          </w:tcPr>
          <w:p w14:paraId="777E20C9"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Фінансування під заставу майбутнього врожаю через електронний реєстр цінних паперів.</w:t>
            </w:r>
          </w:p>
        </w:tc>
        <w:tc>
          <w:tcPr>
            <w:tcW w:w="0" w:type="auto"/>
            <w:hideMark/>
          </w:tcPr>
          <w:p w14:paraId="3CBCA7B2"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Висока швидкість оформлення; можливість диверсифікації кредиторів (не лише банки).</w:t>
            </w:r>
          </w:p>
        </w:tc>
        <w:tc>
          <w:tcPr>
            <w:tcW w:w="0" w:type="auto"/>
            <w:hideMark/>
          </w:tcPr>
          <w:p w14:paraId="2C7A2810"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Потребує прозорого аудиту посівних площ та цифрової зрілості бізнесу.</w:t>
            </w:r>
          </w:p>
        </w:tc>
        <w:tc>
          <w:tcPr>
            <w:tcW w:w="0" w:type="auto"/>
            <w:hideMark/>
          </w:tcPr>
          <w:p w14:paraId="655FC3D4"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Позабалансові рахунки, поточні зобов'язання в Балансі.</w:t>
            </w:r>
          </w:p>
        </w:tc>
        <w:tc>
          <w:tcPr>
            <w:tcW w:w="0" w:type="auto"/>
            <w:hideMark/>
          </w:tcPr>
          <w:p w14:paraId="25E889F0" w14:textId="6047700F"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Закон України «Про аграрні розписки» [</w:t>
            </w:r>
            <w:r w:rsidR="005D7E72" w:rsidRPr="005D7E72">
              <w:rPr>
                <w:rFonts w:ascii="Times New Roman" w:eastAsia="Times New Roman" w:hAnsi="Times New Roman" w:cs="Times New Roman"/>
                <w:kern w:val="36"/>
              </w:rPr>
              <w:t>10</w:t>
            </w:r>
            <w:r w:rsidRPr="005D7E72">
              <w:rPr>
                <w:rFonts w:ascii="Times New Roman" w:eastAsia="Times New Roman" w:hAnsi="Times New Roman" w:cs="Times New Roman"/>
                <w:kern w:val="36"/>
              </w:rPr>
              <w:t>]</w:t>
            </w:r>
          </w:p>
        </w:tc>
      </w:tr>
      <w:tr w:rsidR="00B23D3B" w:rsidRPr="00B23D3B" w14:paraId="68113CF9" w14:textId="77777777" w:rsidTr="00DF13DF">
        <w:tc>
          <w:tcPr>
            <w:tcW w:w="0" w:type="auto"/>
            <w:hideMark/>
          </w:tcPr>
          <w:p w14:paraId="5F779F85"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Державно-приватне партнерство (ДПП)</w:t>
            </w:r>
          </w:p>
        </w:tc>
        <w:tc>
          <w:tcPr>
            <w:tcW w:w="0" w:type="auto"/>
            <w:hideMark/>
          </w:tcPr>
          <w:p w14:paraId="0B2F9739"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Спільне фінансування інфраструктури (зрошення, елеватори) бізнесом та державою.</w:t>
            </w:r>
          </w:p>
        </w:tc>
        <w:tc>
          <w:tcPr>
            <w:tcW w:w="0" w:type="auto"/>
            <w:hideMark/>
          </w:tcPr>
          <w:p w14:paraId="3BC91A62"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Розподіл капітальних ризиків; доступ до державних земельних та інфраструктурних ресурсів.</w:t>
            </w:r>
          </w:p>
        </w:tc>
        <w:tc>
          <w:tcPr>
            <w:tcW w:w="0" w:type="auto"/>
            <w:hideMark/>
          </w:tcPr>
          <w:p w14:paraId="2D05EFAE"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Складні бюрократичні процедури узгодження та довгостроковий період окупності.</w:t>
            </w:r>
          </w:p>
        </w:tc>
        <w:tc>
          <w:tcPr>
            <w:tcW w:w="0" w:type="auto"/>
            <w:hideMark/>
          </w:tcPr>
          <w:p w14:paraId="57C8A407"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 xml:space="preserve">Спільна діяльність без створення </w:t>
            </w:r>
            <w:proofErr w:type="spellStart"/>
            <w:r w:rsidRPr="00DF13DF">
              <w:rPr>
                <w:rFonts w:ascii="Times New Roman" w:eastAsia="Times New Roman" w:hAnsi="Times New Roman" w:cs="Times New Roman"/>
                <w:kern w:val="36"/>
              </w:rPr>
              <w:t>юрособи</w:t>
            </w:r>
            <w:proofErr w:type="spellEnd"/>
            <w:r w:rsidRPr="00DF13DF">
              <w:rPr>
                <w:rFonts w:ascii="Times New Roman" w:eastAsia="Times New Roman" w:hAnsi="Times New Roman" w:cs="Times New Roman"/>
                <w:kern w:val="36"/>
              </w:rPr>
              <w:t xml:space="preserve"> / інвестиційні активи в Балансі.</w:t>
            </w:r>
          </w:p>
        </w:tc>
        <w:tc>
          <w:tcPr>
            <w:tcW w:w="0" w:type="auto"/>
            <w:hideMark/>
          </w:tcPr>
          <w:p w14:paraId="474974C3" w14:textId="7DCF0275"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Ю. </w:t>
            </w:r>
            <w:proofErr w:type="spellStart"/>
            <w:r w:rsidRPr="005D7E72">
              <w:rPr>
                <w:rFonts w:ascii="Times New Roman" w:eastAsia="Times New Roman" w:hAnsi="Times New Roman" w:cs="Times New Roman"/>
                <w:kern w:val="36"/>
              </w:rPr>
              <w:t>Лупенко</w:t>
            </w:r>
            <w:proofErr w:type="spellEnd"/>
            <w:r w:rsidRPr="005D7E72">
              <w:rPr>
                <w:rFonts w:ascii="Times New Roman" w:eastAsia="Times New Roman" w:hAnsi="Times New Roman" w:cs="Times New Roman"/>
                <w:kern w:val="36"/>
              </w:rPr>
              <w:t xml:space="preserve"> [</w:t>
            </w:r>
            <w:r w:rsidR="005D7E72" w:rsidRPr="005D7E72">
              <w:rPr>
                <w:rFonts w:ascii="Times New Roman" w:eastAsia="Times New Roman" w:hAnsi="Times New Roman" w:cs="Times New Roman"/>
                <w:kern w:val="36"/>
              </w:rPr>
              <w:t>18</w:t>
            </w:r>
            <w:r w:rsidRPr="005D7E72">
              <w:rPr>
                <w:rFonts w:ascii="Times New Roman" w:eastAsia="Times New Roman" w:hAnsi="Times New Roman" w:cs="Times New Roman"/>
                <w:kern w:val="36"/>
              </w:rPr>
              <w:t xml:space="preserve">], Н. </w:t>
            </w:r>
            <w:proofErr w:type="spellStart"/>
            <w:r w:rsidRPr="005D7E72">
              <w:rPr>
                <w:rFonts w:ascii="Times New Roman" w:eastAsia="Times New Roman" w:hAnsi="Times New Roman" w:cs="Times New Roman"/>
                <w:kern w:val="36"/>
              </w:rPr>
              <w:t>Танклевська</w:t>
            </w:r>
            <w:proofErr w:type="spellEnd"/>
            <w:r w:rsidRPr="005D7E72">
              <w:rPr>
                <w:rFonts w:ascii="Times New Roman" w:eastAsia="Times New Roman" w:hAnsi="Times New Roman" w:cs="Times New Roman"/>
                <w:kern w:val="36"/>
              </w:rPr>
              <w:t xml:space="preserve"> [</w:t>
            </w:r>
            <w:r w:rsidR="005D7E72" w:rsidRPr="005D7E72">
              <w:rPr>
                <w:rFonts w:ascii="Times New Roman" w:eastAsia="Times New Roman" w:hAnsi="Times New Roman" w:cs="Times New Roman"/>
                <w:kern w:val="36"/>
              </w:rPr>
              <w:t>39</w:t>
            </w:r>
            <w:r w:rsidRPr="005D7E72">
              <w:rPr>
                <w:rFonts w:ascii="Times New Roman" w:eastAsia="Times New Roman" w:hAnsi="Times New Roman" w:cs="Times New Roman"/>
                <w:kern w:val="36"/>
              </w:rPr>
              <w:t>]</w:t>
            </w:r>
          </w:p>
        </w:tc>
      </w:tr>
    </w:tbl>
    <w:p w14:paraId="66F06383" w14:textId="77777777" w:rsidR="00DF13DF" w:rsidRDefault="00DF13DF" w:rsidP="00B23D3B">
      <w:pPr>
        <w:spacing w:after="0" w:line="360" w:lineRule="auto"/>
        <w:ind w:firstLine="709"/>
        <w:jc w:val="both"/>
        <w:rPr>
          <w:rFonts w:ascii="Times New Roman" w:eastAsia="Times New Roman" w:hAnsi="Times New Roman" w:cs="Times New Roman"/>
          <w:b/>
          <w:kern w:val="36"/>
          <w:sz w:val="28"/>
          <w:szCs w:val="28"/>
        </w:rPr>
      </w:pPr>
    </w:p>
    <w:p w14:paraId="21A3B04F" w14:textId="130CA3B0"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 xml:space="preserve">Цей підхід дозволяє оптимізувати темпи розширеного відтворення. Використання новітніх електронних аграрних розписок, які функціонують в </w:t>
      </w:r>
      <w:r w:rsidRPr="00DF13DF">
        <w:rPr>
          <w:rFonts w:ascii="Times New Roman" w:eastAsia="Times New Roman" w:hAnsi="Times New Roman" w:cs="Times New Roman"/>
          <w:bCs/>
          <w:kern w:val="36"/>
          <w:sz w:val="28"/>
          <w:szCs w:val="28"/>
        </w:rPr>
        <w:lastRenderedPageBreak/>
        <w:t>Україні у форматі неемісійних цінних паперів згідно з оновленим законодавством [9], значно спрощує залучення фінансових ресурсів під заставу майбутніх біологічних активів без надмірного тиску на показники поточної ліквідності.</w:t>
      </w:r>
    </w:p>
    <w:p w14:paraId="1FAF8E1C" w14:textId="6E2119E5"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4. Ризик-орієнтований підхід (</w:t>
      </w:r>
      <w:r w:rsidR="00DF13DF" w:rsidRPr="00DF13DF">
        <w:rPr>
          <w:rFonts w:ascii="Times New Roman" w:eastAsia="Times New Roman" w:hAnsi="Times New Roman" w:cs="Times New Roman"/>
          <w:bCs/>
          <w:kern w:val="36"/>
          <w:sz w:val="28"/>
          <w:szCs w:val="28"/>
        </w:rPr>
        <w:t>с</w:t>
      </w:r>
      <w:r w:rsidRPr="00DF13DF">
        <w:rPr>
          <w:rFonts w:ascii="Times New Roman" w:eastAsia="Times New Roman" w:hAnsi="Times New Roman" w:cs="Times New Roman"/>
          <w:bCs/>
          <w:kern w:val="36"/>
          <w:sz w:val="28"/>
          <w:szCs w:val="28"/>
        </w:rPr>
        <w:t>истема фінансового інжинірингу)</w:t>
      </w:r>
      <w:r w:rsidR="00DF13DF" w:rsidRPr="00DF13DF">
        <w:rPr>
          <w:rFonts w:ascii="Times New Roman" w:eastAsia="Times New Roman" w:hAnsi="Times New Roman" w:cs="Times New Roman"/>
          <w:bCs/>
          <w:kern w:val="36"/>
          <w:sz w:val="28"/>
          <w:szCs w:val="28"/>
        </w:rPr>
        <w:t>.</w:t>
      </w:r>
    </w:p>
    <w:p w14:paraId="2CEB7F9F" w14:textId="714BDE30" w:rsidR="00B23D3B" w:rsidRPr="00DF13DF"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t xml:space="preserve">Ризик-орієнтований підхід виступає обов'язковим захисним контуром для будь-якої з перелічених моделей відтворення капіталу через превентивне створення фінансових буферів та нейтралізацію ризиків за допомогою інструментів фінансового інжинірингу [1; </w:t>
      </w:r>
      <w:r w:rsidR="00BA3FF1">
        <w:rPr>
          <w:rFonts w:ascii="Times New Roman" w:eastAsia="Times New Roman" w:hAnsi="Times New Roman" w:cs="Times New Roman"/>
          <w:bCs/>
          <w:kern w:val="36"/>
          <w:sz w:val="28"/>
          <w:szCs w:val="28"/>
        </w:rPr>
        <w:t>15</w:t>
      </w:r>
      <w:r w:rsidRPr="00DF13DF">
        <w:rPr>
          <w:rFonts w:ascii="Times New Roman" w:eastAsia="Times New Roman" w:hAnsi="Times New Roman" w:cs="Times New Roman"/>
          <w:bCs/>
          <w:kern w:val="36"/>
          <w:sz w:val="28"/>
          <w:szCs w:val="28"/>
        </w:rPr>
        <w:t>].</w:t>
      </w:r>
    </w:p>
    <w:p w14:paraId="0BFFF29F" w14:textId="77777777" w:rsidR="00DF13DF" w:rsidRPr="00DF13DF" w:rsidRDefault="00B23D3B" w:rsidP="00DF13DF">
      <w:pPr>
        <w:spacing w:after="0" w:line="360" w:lineRule="auto"/>
        <w:ind w:firstLine="709"/>
        <w:jc w:val="right"/>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Таблиця 1.</w:t>
      </w:r>
      <w:r w:rsidR="00DF13DF" w:rsidRPr="00DF13DF">
        <w:rPr>
          <w:rFonts w:ascii="Times New Roman" w:eastAsia="Times New Roman" w:hAnsi="Times New Roman" w:cs="Times New Roman"/>
          <w:kern w:val="36"/>
          <w:sz w:val="28"/>
          <w:szCs w:val="28"/>
        </w:rPr>
        <w:t>8</w:t>
      </w:r>
      <w:r w:rsidRPr="00DF13DF">
        <w:rPr>
          <w:rFonts w:ascii="Times New Roman" w:eastAsia="Times New Roman" w:hAnsi="Times New Roman" w:cs="Times New Roman"/>
          <w:kern w:val="36"/>
          <w:sz w:val="28"/>
          <w:szCs w:val="28"/>
        </w:rPr>
        <w:t xml:space="preserve"> </w:t>
      </w:r>
    </w:p>
    <w:p w14:paraId="618BBA1F" w14:textId="750B66E5" w:rsidR="00B23D3B" w:rsidRPr="00DF13DF" w:rsidRDefault="00B23D3B" w:rsidP="00DF13DF">
      <w:pPr>
        <w:spacing w:after="0" w:line="360" w:lineRule="auto"/>
        <w:ind w:firstLine="709"/>
        <w:jc w:val="center"/>
        <w:rPr>
          <w:rFonts w:ascii="Times New Roman" w:eastAsia="Times New Roman" w:hAnsi="Times New Roman" w:cs="Times New Roman"/>
          <w:kern w:val="36"/>
          <w:sz w:val="28"/>
          <w:szCs w:val="28"/>
        </w:rPr>
      </w:pPr>
      <w:r w:rsidRPr="00DF13DF">
        <w:rPr>
          <w:rFonts w:ascii="Times New Roman" w:eastAsia="Times New Roman" w:hAnsi="Times New Roman" w:cs="Times New Roman"/>
          <w:kern w:val="36"/>
          <w:sz w:val="28"/>
          <w:szCs w:val="28"/>
        </w:rPr>
        <w:t>Деталізована структура інструментів ризик-орієнтованого підходу до відтворення капіталу</w:t>
      </w:r>
    </w:p>
    <w:tbl>
      <w:tblPr>
        <w:tblStyle w:val="af0"/>
        <w:tblW w:w="0" w:type="auto"/>
        <w:tblLook w:val="04A0" w:firstRow="1" w:lastRow="0" w:firstColumn="1" w:lastColumn="0" w:noHBand="0" w:noVBand="1"/>
      </w:tblPr>
      <w:tblGrid>
        <w:gridCol w:w="1746"/>
        <w:gridCol w:w="1718"/>
        <w:gridCol w:w="1573"/>
        <w:gridCol w:w="1415"/>
        <w:gridCol w:w="1843"/>
        <w:gridCol w:w="1332"/>
      </w:tblGrid>
      <w:tr w:rsidR="00B23D3B" w:rsidRPr="00DF13DF" w14:paraId="00692B1D" w14:textId="77777777" w:rsidTr="00DF13DF">
        <w:tc>
          <w:tcPr>
            <w:tcW w:w="0" w:type="auto"/>
            <w:hideMark/>
          </w:tcPr>
          <w:p w14:paraId="48701C6A"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Базові фінансові інструменти</w:t>
            </w:r>
          </w:p>
        </w:tc>
        <w:tc>
          <w:tcPr>
            <w:tcW w:w="0" w:type="auto"/>
            <w:hideMark/>
          </w:tcPr>
          <w:p w14:paraId="0FFEF098"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Функціональний алгоритм дії в умовах ризику</w:t>
            </w:r>
          </w:p>
        </w:tc>
        <w:tc>
          <w:tcPr>
            <w:tcW w:w="0" w:type="auto"/>
            <w:hideMark/>
          </w:tcPr>
          <w:p w14:paraId="4260A1C7"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Переваги для фінансової стійкості</w:t>
            </w:r>
          </w:p>
        </w:tc>
        <w:tc>
          <w:tcPr>
            <w:tcW w:w="0" w:type="auto"/>
            <w:hideMark/>
          </w:tcPr>
          <w:p w14:paraId="102B2FBB"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Недоліки та обмеження методу</w:t>
            </w:r>
          </w:p>
        </w:tc>
        <w:tc>
          <w:tcPr>
            <w:tcW w:w="0" w:type="auto"/>
            <w:hideMark/>
          </w:tcPr>
          <w:p w14:paraId="63D2C3A4" w14:textId="77777777" w:rsidR="00B23D3B" w:rsidRPr="00DF13DF" w:rsidRDefault="00B23D3B" w:rsidP="00DF13DF">
            <w:pPr>
              <w:jc w:val="center"/>
              <w:rPr>
                <w:rFonts w:ascii="Times New Roman" w:eastAsia="Times New Roman" w:hAnsi="Times New Roman" w:cs="Times New Roman"/>
                <w:kern w:val="36"/>
              </w:rPr>
            </w:pPr>
            <w:r w:rsidRPr="00DF13DF">
              <w:rPr>
                <w:rFonts w:ascii="Times New Roman" w:eastAsia="Times New Roman" w:hAnsi="Times New Roman" w:cs="Times New Roman"/>
                <w:kern w:val="36"/>
              </w:rPr>
              <w:t>Відображення в обліку та звітності</w:t>
            </w:r>
          </w:p>
        </w:tc>
        <w:tc>
          <w:tcPr>
            <w:tcW w:w="0" w:type="auto"/>
            <w:hideMark/>
          </w:tcPr>
          <w:p w14:paraId="27A858F3" w14:textId="5D0183BF" w:rsidR="00B23D3B" w:rsidRPr="005D7E72" w:rsidRDefault="00DF13DF" w:rsidP="00DF13DF">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Літературні джерела</w:t>
            </w:r>
          </w:p>
        </w:tc>
      </w:tr>
      <w:tr w:rsidR="00B23D3B" w:rsidRPr="00DF13DF" w14:paraId="614B8B9A" w14:textId="77777777" w:rsidTr="00DF13DF">
        <w:tc>
          <w:tcPr>
            <w:tcW w:w="0" w:type="auto"/>
            <w:hideMark/>
          </w:tcPr>
          <w:p w14:paraId="5DA799ED"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Резервні фонди та капітал самострахування</w:t>
            </w:r>
          </w:p>
        </w:tc>
        <w:tc>
          <w:tcPr>
            <w:tcW w:w="0" w:type="auto"/>
            <w:hideMark/>
          </w:tcPr>
          <w:p w14:paraId="01C90141" w14:textId="315ACCA2"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Формування внутрішнього грошового буфера за рахунок чистого прибутку.</w:t>
            </w:r>
          </w:p>
        </w:tc>
        <w:tc>
          <w:tcPr>
            <w:tcW w:w="0" w:type="auto"/>
            <w:hideMark/>
          </w:tcPr>
          <w:p w14:paraId="1741C88C"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Абсолютна ліквідність; миттєвий доступ до коштів під час настання збитків.</w:t>
            </w:r>
          </w:p>
        </w:tc>
        <w:tc>
          <w:tcPr>
            <w:tcW w:w="0" w:type="auto"/>
            <w:hideMark/>
          </w:tcPr>
          <w:p w14:paraId="51B76399" w14:textId="2D6FB7AD"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Вилучення грошей з активного операційного обігу, що знижує загальну ROE.</w:t>
            </w:r>
          </w:p>
        </w:tc>
        <w:tc>
          <w:tcPr>
            <w:tcW w:w="0" w:type="auto"/>
            <w:hideMark/>
          </w:tcPr>
          <w:p w14:paraId="0374D308"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 №1, Пасив, Розділ І, рядок «Резервний капітал».</w:t>
            </w:r>
          </w:p>
        </w:tc>
        <w:tc>
          <w:tcPr>
            <w:tcW w:w="0" w:type="auto"/>
            <w:hideMark/>
          </w:tcPr>
          <w:p w14:paraId="33D08358" w14:textId="5895E2DF"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І. Бланк [1], П. Стецюк [</w:t>
            </w:r>
            <w:r w:rsidR="005D7E72" w:rsidRPr="005D7E72">
              <w:rPr>
                <w:rFonts w:ascii="Times New Roman" w:eastAsia="Times New Roman" w:hAnsi="Times New Roman" w:cs="Times New Roman"/>
                <w:kern w:val="36"/>
              </w:rPr>
              <w:t>3</w:t>
            </w:r>
            <w:r w:rsidRPr="005D7E72">
              <w:rPr>
                <w:rFonts w:ascii="Times New Roman" w:eastAsia="Times New Roman" w:hAnsi="Times New Roman" w:cs="Times New Roman"/>
                <w:kern w:val="36"/>
              </w:rPr>
              <w:t>8]</w:t>
            </w:r>
          </w:p>
        </w:tc>
      </w:tr>
      <w:tr w:rsidR="00B23D3B" w:rsidRPr="00DF13DF" w14:paraId="3FF01626" w14:textId="77777777" w:rsidTr="00DF13DF">
        <w:tc>
          <w:tcPr>
            <w:tcW w:w="0" w:type="auto"/>
            <w:hideMark/>
          </w:tcPr>
          <w:p w14:paraId="2A377B79"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 xml:space="preserve">Класичне та воєнне </w:t>
            </w:r>
            <w:proofErr w:type="spellStart"/>
            <w:r w:rsidRPr="00DF13DF">
              <w:rPr>
                <w:rFonts w:ascii="Times New Roman" w:eastAsia="Times New Roman" w:hAnsi="Times New Roman" w:cs="Times New Roman"/>
                <w:kern w:val="36"/>
              </w:rPr>
              <w:t>агрострахування</w:t>
            </w:r>
            <w:proofErr w:type="spellEnd"/>
          </w:p>
        </w:tc>
        <w:tc>
          <w:tcPr>
            <w:tcW w:w="0" w:type="auto"/>
            <w:hideMark/>
          </w:tcPr>
          <w:p w14:paraId="2D889358"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Передавання ризику втрати посівів або майна спеціалізованим страховим компаніям.</w:t>
            </w:r>
          </w:p>
        </w:tc>
        <w:tc>
          <w:tcPr>
            <w:tcW w:w="0" w:type="auto"/>
            <w:hideMark/>
          </w:tcPr>
          <w:p w14:paraId="6B896E42"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Гарантоване відшкодування втраченого операційного капіталу у разі катастрофи.</w:t>
            </w:r>
          </w:p>
        </w:tc>
        <w:tc>
          <w:tcPr>
            <w:tcW w:w="0" w:type="auto"/>
            <w:hideMark/>
          </w:tcPr>
          <w:p w14:paraId="1257CB45"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Висока вартість страхових премій; складний процес доведення страхових випадків.</w:t>
            </w:r>
          </w:p>
        </w:tc>
        <w:tc>
          <w:tcPr>
            <w:tcW w:w="0" w:type="auto"/>
            <w:hideMark/>
          </w:tcPr>
          <w:p w14:paraId="4D1DE21E"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 №2, рядок «Інші операційні витрати» / отримання доходу у Ф. №2.</w:t>
            </w:r>
          </w:p>
        </w:tc>
        <w:tc>
          <w:tcPr>
            <w:tcW w:w="0" w:type="auto"/>
            <w:hideMark/>
          </w:tcPr>
          <w:p w14:paraId="0E7880C1" w14:textId="36966730"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Я. </w:t>
            </w:r>
            <w:proofErr w:type="spellStart"/>
            <w:r w:rsidRPr="005D7E72">
              <w:rPr>
                <w:rFonts w:ascii="Times New Roman" w:eastAsia="Times New Roman" w:hAnsi="Times New Roman" w:cs="Times New Roman"/>
                <w:kern w:val="36"/>
              </w:rPr>
              <w:t>Гадзало</w:t>
            </w:r>
            <w:proofErr w:type="spellEnd"/>
            <w:r w:rsidRPr="005D7E72">
              <w:rPr>
                <w:rFonts w:ascii="Times New Roman" w:eastAsia="Times New Roman" w:hAnsi="Times New Roman" w:cs="Times New Roman"/>
                <w:kern w:val="36"/>
              </w:rPr>
              <w:t xml:space="preserve"> [</w:t>
            </w:r>
            <w:r w:rsidR="005D7E72" w:rsidRPr="005D7E72">
              <w:rPr>
                <w:rFonts w:ascii="Times New Roman" w:eastAsia="Times New Roman" w:hAnsi="Times New Roman" w:cs="Times New Roman"/>
                <w:kern w:val="36"/>
              </w:rPr>
              <w:t>4</w:t>
            </w:r>
            <w:r w:rsidRPr="005D7E72">
              <w:rPr>
                <w:rFonts w:ascii="Times New Roman" w:eastAsia="Times New Roman" w:hAnsi="Times New Roman" w:cs="Times New Roman"/>
                <w:kern w:val="36"/>
              </w:rPr>
              <w:t>], С. Кваша [</w:t>
            </w:r>
            <w:r w:rsidR="00BA3FF1" w:rsidRPr="005D7E72">
              <w:rPr>
                <w:rFonts w:ascii="Times New Roman" w:eastAsia="Times New Roman" w:hAnsi="Times New Roman" w:cs="Times New Roman"/>
                <w:kern w:val="36"/>
              </w:rPr>
              <w:t>15</w:t>
            </w:r>
            <w:r w:rsidRPr="005D7E72">
              <w:rPr>
                <w:rFonts w:ascii="Times New Roman" w:eastAsia="Times New Roman" w:hAnsi="Times New Roman" w:cs="Times New Roman"/>
                <w:kern w:val="36"/>
              </w:rPr>
              <w:t>]</w:t>
            </w:r>
          </w:p>
        </w:tc>
      </w:tr>
      <w:tr w:rsidR="00B23D3B" w:rsidRPr="00DF13DF" w14:paraId="41CC18DA" w14:textId="77777777" w:rsidTr="00DF13DF">
        <w:tc>
          <w:tcPr>
            <w:tcW w:w="0" w:type="auto"/>
            <w:hideMark/>
          </w:tcPr>
          <w:p w14:paraId="788E85D2"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Методи ринкового хеджування (деривативи)</w:t>
            </w:r>
          </w:p>
        </w:tc>
        <w:tc>
          <w:tcPr>
            <w:tcW w:w="0" w:type="auto"/>
            <w:hideMark/>
          </w:tcPr>
          <w:p w14:paraId="0EB0B736"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Фіксація цін реалізації врожаю через ф'ючерси, форварди та опціони на біржах.</w:t>
            </w:r>
          </w:p>
        </w:tc>
        <w:tc>
          <w:tcPr>
            <w:tcW w:w="0" w:type="auto"/>
            <w:hideMark/>
          </w:tcPr>
          <w:p w14:paraId="2C715814"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Повний захист від цінового демпінгу та падіння світового попиту на сировину.</w:t>
            </w:r>
          </w:p>
        </w:tc>
        <w:tc>
          <w:tcPr>
            <w:tcW w:w="0" w:type="auto"/>
            <w:hideMark/>
          </w:tcPr>
          <w:p w14:paraId="134CB95B"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Потребує високої кваліфікації персоналу; ризик втрати додаткового прибутку при зростанні цін.</w:t>
            </w:r>
          </w:p>
        </w:tc>
        <w:tc>
          <w:tcPr>
            <w:tcW w:w="0" w:type="auto"/>
            <w:hideMark/>
          </w:tcPr>
          <w:p w14:paraId="016F937B" w14:textId="77777777" w:rsidR="00B23D3B" w:rsidRPr="00DF13DF" w:rsidRDefault="00B23D3B" w:rsidP="00DF13DF">
            <w:pPr>
              <w:jc w:val="both"/>
              <w:rPr>
                <w:rFonts w:ascii="Times New Roman" w:eastAsia="Times New Roman" w:hAnsi="Times New Roman" w:cs="Times New Roman"/>
                <w:kern w:val="36"/>
              </w:rPr>
            </w:pPr>
            <w:r w:rsidRPr="00DF13DF">
              <w:rPr>
                <w:rFonts w:ascii="Times New Roman" w:eastAsia="Times New Roman" w:hAnsi="Times New Roman" w:cs="Times New Roman"/>
                <w:kern w:val="36"/>
              </w:rPr>
              <w:t>Облік фінансових деривативів, відображення у фінансових витратах/доходах.</w:t>
            </w:r>
          </w:p>
        </w:tc>
        <w:tc>
          <w:tcPr>
            <w:tcW w:w="0" w:type="auto"/>
            <w:hideMark/>
          </w:tcPr>
          <w:p w14:paraId="30798ABC" w14:textId="31EC7D76" w:rsidR="00B23D3B" w:rsidRPr="005D7E72" w:rsidRDefault="00B23D3B" w:rsidP="00DF13DF">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Н. </w:t>
            </w:r>
            <w:proofErr w:type="spellStart"/>
            <w:r w:rsidRPr="005D7E72">
              <w:rPr>
                <w:rFonts w:ascii="Times New Roman" w:eastAsia="Times New Roman" w:hAnsi="Times New Roman" w:cs="Times New Roman"/>
                <w:kern w:val="36"/>
              </w:rPr>
              <w:t>Танклевська</w:t>
            </w:r>
            <w:proofErr w:type="spellEnd"/>
            <w:r w:rsidRPr="005D7E72">
              <w:rPr>
                <w:rFonts w:ascii="Times New Roman" w:eastAsia="Times New Roman" w:hAnsi="Times New Roman" w:cs="Times New Roman"/>
                <w:kern w:val="36"/>
              </w:rPr>
              <w:t xml:space="preserve"> [</w:t>
            </w:r>
            <w:r w:rsidR="005D7E72" w:rsidRPr="005D7E72">
              <w:rPr>
                <w:rFonts w:ascii="Times New Roman" w:eastAsia="Times New Roman" w:hAnsi="Times New Roman" w:cs="Times New Roman"/>
                <w:kern w:val="36"/>
              </w:rPr>
              <w:t>39</w:t>
            </w:r>
            <w:r w:rsidRPr="005D7E72">
              <w:rPr>
                <w:rFonts w:ascii="Times New Roman" w:eastAsia="Times New Roman" w:hAnsi="Times New Roman" w:cs="Times New Roman"/>
                <w:kern w:val="36"/>
              </w:rPr>
              <w:t>], С. Кваша [</w:t>
            </w:r>
            <w:r w:rsidR="00BA3FF1" w:rsidRPr="005D7E72">
              <w:rPr>
                <w:rFonts w:ascii="Times New Roman" w:eastAsia="Times New Roman" w:hAnsi="Times New Roman" w:cs="Times New Roman"/>
                <w:kern w:val="36"/>
              </w:rPr>
              <w:t>15</w:t>
            </w:r>
            <w:r w:rsidRPr="005D7E72">
              <w:rPr>
                <w:rFonts w:ascii="Times New Roman" w:eastAsia="Times New Roman" w:hAnsi="Times New Roman" w:cs="Times New Roman"/>
                <w:kern w:val="36"/>
              </w:rPr>
              <w:t>]</w:t>
            </w:r>
          </w:p>
        </w:tc>
      </w:tr>
    </w:tbl>
    <w:p w14:paraId="15E8006C" w14:textId="77777777" w:rsidR="00DF13DF" w:rsidRDefault="00DF13DF" w:rsidP="00B23D3B">
      <w:pPr>
        <w:spacing w:after="0" w:line="360" w:lineRule="auto"/>
        <w:ind w:firstLine="709"/>
        <w:jc w:val="both"/>
        <w:rPr>
          <w:rFonts w:ascii="Times New Roman" w:eastAsia="Times New Roman" w:hAnsi="Times New Roman" w:cs="Times New Roman"/>
          <w:b/>
          <w:kern w:val="36"/>
          <w:sz w:val="28"/>
          <w:szCs w:val="28"/>
        </w:rPr>
      </w:pPr>
    </w:p>
    <w:p w14:paraId="7B7BC1C4" w14:textId="26C1E0E5" w:rsidR="00B23D3B" w:rsidRPr="005D7E72" w:rsidRDefault="00B23D3B" w:rsidP="00B23D3B">
      <w:pPr>
        <w:spacing w:after="0" w:line="360" w:lineRule="auto"/>
        <w:ind w:firstLine="709"/>
        <w:jc w:val="both"/>
        <w:rPr>
          <w:rFonts w:ascii="Times New Roman" w:eastAsia="Times New Roman" w:hAnsi="Times New Roman" w:cs="Times New Roman"/>
          <w:bCs/>
          <w:kern w:val="36"/>
          <w:sz w:val="28"/>
          <w:szCs w:val="28"/>
        </w:rPr>
      </w:pPr>
      <w:r w:rsidRPr="00DF13DF">
        <w:rPr>
          <w:rFonts w:ascii="Times New Roman" w:eastAsia="Times New Roman" w:hAnsi="Times New Roman" w:cs="Times New Roman"/>
          <w:bCs/>
          <w:kern w:val="36"/>
          <w:sz w:val="28"/>
          <w:szCs w:val="28"/>
        </w:rPr>
        <w:lastRenderedPageBreak/>
        <w:t xml:space="preserve">Внутрішній захист капіталу реалізується через формування резервного капіталу, тоді як зовнішній захист передбачає залучення спеціалізованих полісів </w:t>
      </w:r>
      <w:r w:rsidRPr="005D7E72">
        <w:rPr>
          <w:rFonts w:ascii="Times New Roman" w:eastAsia="Times New Roman" w:hAnsi="Times New Roman" w:cs="Times New Roman"/>
          <w:bCs/>
          <w:kern w:val="36"/>
          <w:sz w:val="28"/>
          <w:szCs w:val="28"/>
        </w:rPr>
        <w:t xml:space="preserve">воєнного та класичного </w:t>
      </w:r>
      <w:proofErr w:type="spellStart"/>
      <w:r w:rsidRPr="005D7E72">
        <w:rPr>
          <w:rFonts w:ascii="Times New Roman" w:eastAsia="Times New Roman" w:hAnsi="Times New Roman" w:cs="Times New Roman"/>
          <w:bCs/>
          <w:kern w:val="36"/>
          <w:sz w:val="28"/>
          <w:szCs w:val="28"/>
        </w:rPr>
        <w:t>агрострахування</w:t>
      </w:r>
      <w:proofErr w:type="spellEnd"/>
      <w:r w:rsidRPr="005D7E72">
        <w:rPr>
          <w:rFonts w:ascii="Times New Roman" w:eastAsia="Times New Roman" w:hAnsi="Times New Roman" w:cs="Times New Roman"/>
          <w:bCs/>
          <w:kern w:val="36"/>
          <w:sz w:val="28"/>
          <w:szCs w:val="28"/>
        </w:rPr>
        <w:t xml:space="preserve"> [</w:t>
      </w:r>
      <w:r w:rsidR="005D7E72" w:rsidRPr="005D7E72">
        <w:rPr>
          <w:rFonts w:ascii="Times New Roman" w:eastAsia="Times New Roman" w:hAnsi="Times New Roman" w:cs="Times New Roman"/>
          <w:bCs/>
          <w:kern w:val="36"/>
          <w:sz w:val="28"/>
          <w:szCs w:val="28"/>
        </w:rPr>
        <w:t>4</w:t>
      </w:r>
      <w:r w:rsidRPr="005D7E72">
        <w:rPr>
          <w:rFonts w:ascii="Times New Roman" w:eastAsia="Times New Roman" w:hAnsi="Times New Roman" w:cs="Times New Roman"/>
          <w:bCs/>
          <w:kern w:val="36"/>
          <w:sz w:val="28"/>
          <w:szCs w:val="28"/>
        </w:rPr>
        <w:t>]. Одночасно з цим у практику менеджменту інтегруються методи ринкового хеджування цінових ризиків за допомогою похідних фінансових інструментів на товарних біржах, що дозволяє аграріям заздалегідь зафіксувати ціну реалізації майбутньої продукції [</w:t>
      </w:r>
      <w:r w:rsidR="005D7E72" w:rsidRPr="005D7E72">
        <w:rPr>
          <w:rFonts w:ascii="Times New Roman" w:eastAsia="Times New Roman" w:hAnsi="Times New Roman" w:cs="Times New Roman"/>
          <w:bCs/>
          <w:kern w:val="36"/>
          <w:sz w:val="28"/>
          <w:szCs w:val="28"/>
        </w:rPr>
        <w:t>39</w:t>
      </w:r>
      <w:r w:rsidRPr="005D7E72">
        <w:rPr>
          <w:rFonts w:ascii="Times New Roman" w:eastAsia="Times New Roman" w:hAnsi="Times New Roman" w:cs="Times New Roman"/>
          <w:bCs/>
          <w:kern w:val="36"/>
          <w:sz w:val="28"/>
          <w:szCs w:val="28"/>
        </w:rPr>
        <w:t>].</w:t>
      </w:r>
    </w:p>
    <w:p w14:paraId="6B784DF0" w14:textId="03692B89" w:rsidR="00540930" w:rsidRPr="005D7E72" w:rsidRDefault="00540930" w:rsidP="00540930">
      <w:pPr>
        <w:spacing w:after="0" w:line="360" w:lineRule="auto"/>
        <w:ind w:firstLine="709"/>
        <w:jc w:val="both"/>
        <w:rPr>
          <w:rFonts w:ascii="Times New Roman" w:eastAsia="Times New Roman" w:hAnsi="Times New Roman" w:cs="Times New Roman"/>
          <w:bCs/>
          <w:kern w:val="36"/>
          <w:sz w:val="28"/>
          <w:szCs w:val="28"/>
        </w:rPr>
      </w:pPr>
      <w:r w:rsidRPr="005D7E72">
        <w:rPr>
          <w:rFonts w:ascii="Times New Roman" w:eastAsia="Times New Roman" w:hAnsi="Times New Roman" w:cs="Times New Roman"/>
          <w:bCs/>
          <w:kern w:val="36"/>
          <w:sz w:val="28"/>
          <w:szCs w:val="28"/>
        </w:rPr>
        <w:t>У межах адаптивного підходу особливе місце посідає інструментарій державно-приватного партнерства. Його застосування є важливим для капіталомістких, стратегічних проєктів, де самостійне фінансування з боку приватного бізнесу є неможливим або надто ризикованим, а повне державне фінансування обмежене можливостями бюджету [</w:t>
      </w:r>
      <w:r w:rsidR="005D7E72" w:rsidRPr="005D7E72">
        <w:rPr>
          <w:rFonts w:ascii="Times New Roman" w:eastAsia="Times New Roman" w:hAnsi="Times New Roman" w:cs="Times New Roman"/>
          <w:bCs/>
          <w:kern w:val="36"/>
          <w:sz w:val="28"/>
          <w:szCs w:val="28"/>
        </w:rPr>
        <w:t>18</w:t>
      </w:r>
      <w:r w:rsidRPr="005D7E72">
        <w:rPr>
          <w:rFonts w:ascii="Times New Roman" w:eastAsia="Times New Roman" w:hAnsi="Times New Roman" w:cs="Times New Roman"/>
          <w:bCs/>
          <w:kern w:val="36"/>
          <w:sz w:val="28"/>
          <w:szCs w:val="28"/>
        </w:rPr>
        <w:t>].</w:t>
      </w:r>
    </w:p>
    <w:p w14:paraId="0152EF32" w14:textId="0C47AA1B" w:rsidR="00540930" w:rsidRPr="005D7E72" w:rsidRDefault="00540930" w:rsidP="00540930">
      <w:pPr>
        <w:spacing w:after="0" w:line="360" w:lineRule="auto"/>
        <w:ind w:firstLine="709"/>
        <w:jc w:val="both"/>
        <w:rPr>
          <w:rFonts w:ascii="Times New Roman" w:eastAsia="Times New Roman" w:hAnsi="Times New Roman" w:cs="Times New Roman"/>
          <w:bCs/>
          <w:kern w:val="36"/>
          <w:sz w:val="28"/>
          <w:szCs w:val="28"/>
        </w:rPr>
      </w:pPr>
      <w:r w:rsidRPr="005D7E72">
        <w:rPr>
          <w:rFonts w:ascii="Times New Roman" w:eastAsia="Times New Roman" w:hAnsi="Times New Roman" w:cs="Times New Roman"/>
          <w:bCs/>
          <w:kern w:val="36"/>
          <w:sz w:val="28"/>
          <w:szCs w:val="28"/>
        </w:rPr>
        <w:t>Специфіку, форми та фінансові наслідки реалізації проєктів ДПП для процесу відтворення капіталу агропідприємств систематизовано в таблиці 1.9.</w:t>
      </w:r>
    </w:p>
    <w:p w14:paraId="16F90AC6" w14:textId="23C45392" w:rsidR="00540930" w:rsidRPr="005D7E72" w:rsidRDefault="00540930" w:rsidP="00540930">
      <w:pPr>
        <w:spacing w:after="0" w:line="360" w:lineRule="auto"/>
        <w:ind w:firstLine="709"/>
        <w:jc w:val="right"/>
        <w:rPr>
          <w:rFonts w:ascii="Times New Roman" w:eastAsia="Times New Roman" w:hAnsi="Times New Roman" w:cs="Times New Roman"/>
          <w:kern w:val="36"/>
          <w:sz w:val="28"/>
          <w:szCs w:val="28"/>
        </w:rPr>
      </w:pPr>
      <w:r w:rsidRPr="005D7E72">
        <w:rPr>
          <w:rFonts w:ascii="Times New Roman" w:eastAsia="Times New Roman" w:hAnsi="Times New Roman" w:cs="Times New Roman"/>
          <w:kern w:val="36"/>
          <w:sz w:val="28"/>
          <w:szCs w:val="28"/>
        </w:rPr>
        <w:t xml:space="preserve">Таблиця 1.9 </w:t>
      </w:r>
    </w:p>
    <w:p w14:paraId="65AF0024" w14:textId="6B1F1DBA" w:rsidR="00540930" w:rsidRPr="005D7E72" w:rsidRDefault="00540930" w:rsidP="00540930">
      <w:pPr>
        <w:spacing w:after="0" w:line="360" w:lineRule="auto"/>
        <w:ind w:firstLine="709"/>
        <w:jc w:val="center"/>
        <w:rPr>
          <w:rFonts w:ascii="Times New Roman" w:eastAsia="Times New Roman" w:hAnsi="Times New Roman" w:cs="Times New Roman"/>
          <w:kern w:val="36"/>
          <w:sz w:val="28"/>
          <w:szCs w:val="28"/>
        </w:rPr>
      </w:pPr>
      <w:r w:rsidRPr="005D7E72">
        <w:rPr>
          <w:rFonts w:ascii="Times New Roman" w:eastAsia="Times New Roman" w:hAnsi="Times New Roman" w:cs="Times New Roman"/>
          <w:kern w:val="36"/>
          <w:sz w:val="28"/>
          <w:szCs w:val="28"/>
        </w:rPr>
        <w:t>Функціональні форми та інструменти ДПП у фінансовому забезпеченні відтворення капіталу в АПК</w:t>
      </w:r>
    </w:p>
    <w:tbl>
      <w:tblPr>
        <w:tblStyle w:val="af0"/>
        <w:tblW w:w="0" w:type="auto"/>
        <w:tblLook w:val="04A0" w:firstRow="1" w:lastRow="0" w:firstColumn="1" w:lastColumn="0" w:noHBand="0" w:noVBand="1"/>
      </w:tblPr>
      <w:tblGrid>
        <w:gridCol w:w="1582"/>
        <w:gridCol w:w="1783"/>
        <w:gridCol w:w="1801"/>
        <w:gridCol w:w="1744"/>
        <w:gridCol w:w="1488"/>
        <w:gridCol w:w="1229"/>
      </w:tblGrid>
      <w:tr w:rsidR="00540930" w:rsidRPr="005D7E72" w14:paraId="772BA028" w14:textId="77777777" w:rsidTr="00540930">
        <w:tc>
          <w:tcPr>
            <w:tcW w:w="0" w:type="auto"/>
            <w:hideMark/>
          </w:tcPr>
          <w:p w14:paraId="05A56104" w14:textId="77777777" w:rsidR="00540930" w:rsidRPr="005D7E72" w:rsidRDefault="00540930" w:rsidP="00540930">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Форми та моделі ДПП в АПК</w:t>
            </w:r>
          </w:p>
        </w:tc>
        <w:tc>
          <w:tcPr>
            <w:tcW w:w="0" w:type="auto"/>
            <w:hideMark/>
          </w:tcPr>
          <w:p w14:paraId="34877FAA" w14:textId="77777777" w:rsidR="00540930" w:rsidRPr="005D7E72" w:rsidRDefault="00540930" w:rsidP="00540930">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Алгоритм залучення капіталу та взаємодії сторін</w:t>
            </w:r>
          </w:p>
        </w:tc>
        <w:tc>
          <w:tcPr>
            <w:tcW w:w="0" w:type="auto"/>
            <w:hideMark/>
          </w:tcPr>
          <w:p w14:paraId="4D3972DA" w14:textId="77777777" w:rsidR="00540930" w:rsidRPr="005D7E72" w:rsidRDefault="00540930" w:rsidP="00540930">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Специфіка розподілу ризиків між партнерами</w:t>
            </w:r>
          </w:p>
        </w:tc>
        <w:tc>
          <w:tcPr>
            <w:tcW w:w="0" w:type="auto"/>
            <w:hideMark/>
          </w:tcPr>
          <w:p w14:paraId="2FF7E3B9" w14:textId="77777777" w:rsidR="00540930" w:rsidRPr="005D7E72" w:rsidRDefault="00540930" w:rsidP="00540930">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Вплив на структуру капіталу підприємства</w:t>
            </w:r>
          </w:p>
        </w:tc>
        <w:tc>
          <w:tcPr>
            <w:tcW w:w="0" w:type="auto"/>
            <w:hideMark/>
          </w:tcPr>
          <w:p w14:paraId="53E7F178" w14:textId="77777777" w:rsidR="00540930" w:rsidRPr="005D7E72" w:rsidRDefault="00540930" w:rsidP="00540930">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Об'єкти впровадження в агросекторі</w:t>
            </w:r>
          </w:p>
        </w:tc>
        <w:tc>
          <w:tcPr>
            <w:tcW w:w="0" w:type="auto"/>
            <w:hideMark/>
          </w:tcPr>
          <w:p w14:paraId="04276A74" w14:textId="7097BDF8" w:rsidR="00540930" w:rsidRPr="005D7E72" w:rsidRDefault="00540930" w:rsidP="00540930">
            <w:pPr>
              <w:jc w:val="center"/>
              <w:rPr>
                <w:rFonts w:ascii="Times New Roman" w:eastAsia="Times New Roman" w:hAnsi="Times New Roman" w:cs="Times New Roman"/>
                <w:kern w:val="36"/>
              </w:rPr>
            </w:pPr>
            <w:r w:rsidRPr="005D7E72">
              <w:rPr>
                <w:rFonts w:ascii="Times New Roman" w:eastAsia="Times New Roman" w:hAnsi="Times New Roman" w:cs="Times New Roman"/>
                <w:kern w:val="36"/>
              </w:rPr>
              <w:t>Літературні джерела</w:t>
            </w:r>
          </w:p>
        </w:tc>
      </w:tr>
      <w:tr w:rsidR="00540930" w:rsidRPr="005D7E72" w14:paraId="1E48609A" w14:textId="77777777" w:rsidTr="00540930">
        <w:tc>
          <w:tcPr>
            <w:tcW w:w="0" w:type="auto"/>
            <w:hideMark/>
          </w:tcPr>
          <w:p w14:paraId="5FAC0B53"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Концесійні угоди (модель BTO / BOT)</w:t>
            </w:r>
          </w:p>
        </w:tc>
        <w:tc>
          <w:tcPr>
            <w:tcW w:w="0" w:type="auto"/>
            <w:hideMark/>
          </w:tcPr>
          <w:p w14:paraId="663B6576"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Приватний інвестор будує (модернізує) об'єкт за власні/позикові кошти, експлуатує його для повернення капіталу, а потім передає державі.</w:t>
            </w:r>
          </w:p>
        </w:tc>
        <w:tc>
          <w:tcPr>
            <w:tcW w:w="0" w:type="auto"/>
            <w:hideMark/>
          </w:tcPr>
          <w:p w14:paraId="0FB058CE"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Розділений ризик: будівництво та окупація — на інвесторі; макроекономічні та політичні гарантії — на державі.</w:t>
            </w:r>
          </w:p>
        </w:tc>
        <w:tc>
          <w:tcPr>
            <w:tcW w:w="0" w:type="auto"/>
            <w:hideMark/>
          </w:tcPr>
          <w:p w14:paraId="7B4B90C1"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Залучення довгострокового інвестиційного капіталу без ризику втрати поточних операційних активів.</w:t>
            </w:r>
          </w:p>
        </w:tc>
        <w:tc>
          <w:tcPr>
            <w:tcW w:w="0" w:type="auto"/>
            <w:hideMark/>
          </w:tcPr>
          <w:p w14:paraId="1CFD259D"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Портові термінали, великі лінійні елеватори, логістичні сухі хаби.</w:t>
            </w:r>
          </w:p>
        </w:tc>
        <w:tc>
          <w:tcPr>
            <w:tcW w:w="0" w:type="auto"/>
            <w:hideMark/>
          </w:tcPr>
          <w:p w14:paraId="3698C849" w14:textId="16D18DF8"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Закон України «Про концесію» [</w:t>
            </w:r>
            <w:r w:rsidR="005D7E72" w:rsidRPr="005D7E72">
              <w:rPr>
                <w:rFonts w:ascii="Times New Roman" w:eastAsia="Times New Roman" w:hAnsi="Times New Roman" w:cs="Times New Roman"/>
                <w:kern w:val="36"/>
              </w:rPr>
              <w:t>39</w:t>
            </w:r>
            <w:r w:rsidRPr="005D7E72">
              <w:rPr>
                <w:rFonts w:ascii="Times New Roman" w:eastAsia="Times New Roman" w:hAnsi="Times New Roman" w:cs="Times New Roman"/>
                <w:kern w:val="36"/>
              </w:rPr>
              <w:t>]</w:t>
            </w:r>
          </w:p>
        </w:tc>
      </w:tr>
      <w:tr w:rsidR="00540930" w:rsidRPr="005D7E72" w14:paraId="1DABBC0D" w14:textId="77777777" w:rsidTr="00540930">
        <w:tc>
          <w:tcPr>
            <w:tcW w:w="0" w:type="auto"/>
            <w:hideMark/>
          </w:tcPr>
          <w:p w14:paraId="59AEC3BE"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Договори про спільну діяльність (без створення </w:t>
            </w:r>
            <w:proofErr w:type="spellStart"/>
            <w:r w:rsidRPr="005D7E72">
              <w:rPr>
                <w:rFonts w:ascii="Times New Roman" w:eastAsia="Times New Roman" w:hAnsi="Times New Roman" w:cs="Times New Roman"/>
                <w:kern w:val="36"/>
              </w:rPr>
              <w:t>юрособи</w:t>
            </w:r>
            <w:proofErr w:type="spellEnd"/>
            <w:r w:rsidRPr="005D7E72">
              <w:rPr>
                <w:rFonts w:ascii="Times New Roman" w:eastAsia="Times New Roman" w:hAnsi="Times New Roman" w:cs="Times New Roman"/>
                <w:kern w:val="36"/>
              </w:rPr>
              <w:t>)</w:t>
            </w:r>
          </w:p>
        </w:tc>
        <w:tc>
          <w:tcPr>
            <w:tcW w:w="0" w:type="auto"/>
            <w:hideMark/>
          </w:tcPr>
          <w:p w14:paraId="20983B06"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Об'єднання державного майна (земля, наукові бази) та приватного капіталу (техніка, оборотні кошти, ЗЗР) для спільного виробництва.</w:t>
            </w:r>
          </w:p>
        </w:tc>
        <w:tc>
          <w:tcPr>
            <w:tcW w:w="0" w:type="auto"/>
            <w:hideMark/>
          </w:tcPr>
          <w:p w14:paraId="0B1D1758"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Взаємний ризик: операційні ризики та збитки діляться </w:t>
            </w:r>
            <w:proofErr w:type="spellStart"/>
            <w:r w:rsidRPr="005D7E72">
              <w:rPr>
                <w:rFonts w:ascii="Times New Roman" w:eastAsia="Times New Roman" w:hAnsi="Times New Roman" w:cs="Times New Roman"/>
                <w:kern w:val="36"/>
              </w:rPr>
              <w:t>пропорційно</w:t>
            </w:r>
            <w:proofErr w:type="spellEnd"/>
            <w:r w:rsidRPr="005D7E72">
              <w:rPr>
                <w:rFonts w:ascii="Times New Roman" w:eastAsia="Times New Roman" w:hAnsi="Times New Roman" w:cs="Times New Roman"/>
                <w:kern w:val="36"/>
              </w:rPr>
              <w:t xml:space="preserve"> до часток у спільному майні згідно з договором.</w:t>
            </w:r>
          </w:p>
        </w:tc>
        <w:tc>
          <w:tcPr>
            <w:tcW w:w="0" w:type="auto"/>
            <w:hideMark/>
          </w:tcPr>
          <w:p w14:paraId="76154D5A"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Оптимізація витрат власного капіталу; залучення в обіг раніше недоступних державних ресурсів.</w:t>
            </w:r>
          </w:p>
        </w:tc>
        <w:tc>
          <w:tcPr>
            <w:tcW w:w="0" w:type="auto"/>
            <w:hideMark/>
          </w:tcPr>
          <w:p w14:paraId="2A45735A" w14:textId="085FCA3C"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Селекційні центри, насіннєві заводи, дослідно-виробничі господарства</w:t>
            </w:r>
          </w:p>
        </w:tc>
        <w:tc>
          <w:tcPr>
            <w:tcW w:w="0" w:type="auto"/>
            <w:hideMark/>
          </w:tcPr>
          <w:p w14:paraId="45670EB3" w14:textId="66352340"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І. Бланк [1], П. Стецюк [</w:t>
            </w:r>
            <w:r w:rsidR="005D7E72" w:rsidRPr="005D7E72">
              <w:rPr>
                <w:rFonts w:ascii="Times New Roman" w:eastAsia="Times New Roman" w:hAnsi="Times New Roman" w:cs="Times New Roman"/>
                <w:kern w:val="36"/>
              </w:rPr>
              <w:t>3</w:t>
            </w:r>
            <w:r w:rsidRPr="005D7E72">
              <w:rPr>
                <w:rFonts w:ascii="Times New Roman" w:eastAsia="Times New Roman" w:hAnsi="Times New Roman" w:cs="Times New Roman"/>
                <w:kern w:val="36"/>
              </w:rPr>
              <w:t>8]</w:t>
            </w:r>
          </w:p>
        </w:tc>
      </w:tr>
      <w:tr w:rsidR="00540930" w:rsidRPr="005D7E72" w14:paraId="0A29EDB6" w14:textId="77777777" w:rsidTr="00540930">
        <w:tc>
          <w:tcPr>
            <w:tcW w:w="0" w:type="auto"/>
            <w:hideMark/>
          </w:tcPr>
          <w:p w14:paraId="6059FC16"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lastRenderedPageBreak/>
              <w:t>Контракти на управління та сервісне обслуговування</w:t>
            </w:r>
          </w:p>
        </w:tc>
        <w:tc>
          <w:tcPr>
            <w:tcW w:w="0" w:type="auto"/>
            <w:hideMark/>
          </w:tcPr>
          <w:p w14:paraId="7728CF20"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Передавання державних інфраструктурних об'єктів в управління приватному </w:t>
            </w:r>
            <w:proofErr w:type="spellStart"/>
            <w:r w:rsidRPr="005D7E72">
              <w:rPr>
                <w:rFonts w:ascii="Times New Roman" w:eastAsia="Times New Roman" w:hAnsi="Times New Roman" w:cs="Times New Roman"/>
                <w:kern w:val="36"/>
              </w:rPr>
              <w:t>агрохолдингу</w:t>
            </w:r>
            <w:proofErr w:type="spellEnd"/>
            <w:r w:rsidRPr="005D7E72">
              <w:rPr>
                <w:rFonts w:ascii="Times New Roman" w:eastAsia="Times New Roman" w:hAnsi="Times New Roman" w:cs="Times New Roman"/>
                <w:kern w:val="36"/>
              </w:rPr>
              <w:t xml:space="preserve"> з метою підвищення їхньої прибутковості.</w:t>
            </w:r>
          </w:p>
        </w:tc>
        <w:tc>
          <w:tcPr>
            <w:tcW w:w="0" w:type="auto"/>
            <w:hideMark/>
          </w:tcPr>
          <w:p w14:paraId="739EF77B"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Мінімальний ризик для інвестора: операційні ризики несе держава, інвестор ризикує лише своєю репутаційною винагородою.</w:t>
            </w:r>
          </w:p>
        </w:tc>
        <w:tc>
          <w:tcPr>
            <w:tcW w:w="0" w:type="auto"/>
            <w:hideMark/>
          </w:tcPr>
          <w:p w14:paraId="34892970" w14:textId="715343F5"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Збільшення прибутковості власного капіталу (ROE) через отримання стабільного операційного доходу за управління.</w:t>
            </w:r>
          </w:p>
        </w:tc>
        <w:tc>
          <w:tcPr>
            <w:tcW w:w="0" w:type="auto"/>
            <w:hideMark/>
          </w:tcPr>
          <w:p w14:paraId="0D077BFE"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Державні зрошувальні системи, магістральні канали, оптово-роздрібні ринки.</w:t>
            </w:r>
          </w:p>
        </w:tc>
        <w:tc>
          <w:tcPr>
            <w:tcW w:w="0" w:type="auto"/>
            <w:hideMark/>
          </w:tcPr>
          <w:p w14:paraId="732C6BA1" w14:textId="40360C1C"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Я. </w:t>
            </w:r>
            <w:proofErr w:type="spellStart"/>
            <w:r w:rsidRPr="005D7E72">
              <w:rPr>
                <w:rFonts w:ascii="Times New Roman" w:eastAsia="Times New Roman" w:hAnsi="Times New Roman" w:cs="Times New Roman"/>
                <w:kern w:val="36"/>
              </w:rPr>
              <w:t>Гадзало</w:t>
            </w:r>
            <w:proofErr w:type="spellEnd"/>
            <w:r w:rsidRPr="005D7E72">
              <w:rPr>
                <w:rFonts w:ascii="Times New Roman" w:eastAsia="Times New Roman" w:hAnsi="Times New Roman" w:cs="Times New Roman"/>
                <w:kern w:val="36"/>
              </w:rPr>
              <w:t xml:space="preserve"> [</w:t>
            </w:r>
            <w:r w:rsidR="005D7E72" w:rsidRPr="005D7E72">
              <w:rPr>
                <w:rFonts w:ascii="Times New Roman" w:eastAsia="Times New Roman" w:hAnsi="Times New Roman" w:cs="Times New Roman"/>
                <w:kern w:val="36"/>
              </w:rPr>
              <w:t>4</w:t>
            </w:r>
            <w:r w:rsidRPr="005D7E72">
              <w:rPr>
                <w:rFonts w:ascii="Times New Roman" w:eastAsia="Times New Roman" w:hAnsi="Times New Roman" w:cs="Times New Roman"/>
                <w:kern w:val="36"/>
              </w:rPr>
              <w:t xml:space="preserve">], Ю. </w:t>
            </w:r>
            <w:proofErr w:type="spellStart"/>
            <w:r w:rsidRPr="005D7E72">
              <w:rPr>
                <w:rFonts w:ascii="Times New Roman" w:eastAsia="Times New Roman" w:hAnsi="Times New Roman" w:cs="Times New Roman"/>
                <w:kern w:val="36"/>
              </w:rPr>
              <w:t>Лупенко</w:t>
            </w:r>
            <w:proofErr w:type="spellEnd"/>
            <w:r w:rsidRPr="005D7E72">
              <w:rPr>
                <w:rFonts w:ascii="Times New Roman" w:eastAsia="Times New Roman" w:hAnsi="Times New Roman" w:cs="Times New Roman"/>
                <w:kern w:val="36"/>
              </w:rPr>
              <w:t xml:space="preserve"> [</w:t>
            </w:r>
            <w:r w:rsidR="005D7E72" w:rsidRPr="005D7E72">
              <w:rPr>
                <w:rFonts w:ascii="Times New Roman" w:eastAsia="Times New Roman" w:hAnsi="Times New Roman" w:cs="Times New Roman"/>
                <w:kern w:val="36"/>
              </w:rPr>
              <w:t>18</w:t>
            </w:r>
            <w:r w:rsidRPr="005D7E72">
              <w:rPr>
                <w:rFonts w:ascii="Times New Roman" w:eastAsia="Times New Roman" w:hAnsi="Times New Roman" w:cs="Times New Roman"/>
                <w:kern w:val="36"/>
              </w:rPr>
              <w:t>]</w:t>
            </w:r>
          </w:p>
        </w:tc>
      </w:tr>
      <w:tr w:rsidR="00540930" w:rsidRPr="00540930" w14:paraId="732C6889" w14:textId="77777777" w:rsidTr="00540930">
        <w:tc>
          <w:tcPr>
            <w:tcW w:w="0" w:type="auto"/>
            <w:hideMark/>
          </w:tcPr>
          <w:p w14:paraId="05911A17"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Спільні інвестиційні проєкти з міжнародними фінансовими організаціями (МФО)</w:t>
            </w:r>
          </w:p>
        </w:tc>
        <w:tc>
          <w:tcPr>
            <w:tcW w:w="0" w:type="auto"/>
            <w:hideMark/>
          </w:tcPr>
          <w:p w14:paraId="2AA295F6"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Тристороння модель: Держава + Агробізнес + МФО (Світовий банк, ЕІБ, ЄБРР) через цільові </w:t>
            </w:r>
            <w:proofErr w:type="spellStart"/>
            <w:r w:rsidRPr="005D7E72">
              <w:rPr>
                <w:rFonts w:ascii="Times New Roman" w:eastAsia="Times New Roman" w:hAnsi="Times New Roman" w:cs="Times New Roman"/>
                <w:kern w:val="36"/>
              </w:rPr>
              <w:t>субкредити</w:t>
            </w:r>
            <w:proofErr w:type="spellEnd"/>
            <w:r w:rsidRPr="005D7E72">
              <w:rPr>
                <w:rFonts w:ascii="Times New Roman" w:eastAsia="Times New Roman" w:hAnsi="Times New Roman" w:cs="Times New Roman"/>
                <w:kern w:val="36"/>
              </w:rPr>
              <w:t>.</w:t>
            </w:r>
          </w:p>
        </w:tc>
        <w:tc>
          <w:tcPr>
            <w:tcW w:w="0" w:type="auto"/>
            <w:hideMark/>
          </w:tcPr>
          <w:p w14:paraId="3A5FBB49"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 xml:space="preserve">Максимально диверсифікований ризик: фінансові ризики </w:t>
            </w:r>
            <w:proofErr w:type="spellStart"/>
            <w:r w:rsidRPr="005D7E72">
              <w:rPr>
                <w:rFonts w:ascii="Times New Roman" w:eastAsia="Times New Roman" w:hAnsi="Times New Roman" w:cs="Times New Roman"/>
                <w:kern w:val="36"/>
              </w:rPr>
              <w:t>хеджуються</w:t>
            </w:r>
            <w:proofErr w:type="spellEnd"/>
            <w:r w:rsidRPr="005D7E72">
              <w:rPr>
                <w:rFonts w:ascii="Times New Roman" w:eastAsia="Times New Roman" w:hAnsi="Times New Roman" w:cs="Times New Roman"/>
                <w:kern w:val="36"/>
              </w:rPr>
              <w:t xml:space="preserve"> міжнародними грантами та державними гарантіями.</w:t>
            </w:r>
          </w:p>
        </w:tc>
        <w:tc>
          <w:tcPr>
            <w:tcW w:w="0" w:type="auto"/>
            <w:hideMark/>
          </w:tcPr>
          <w:p w14:paraId="05A0ACD9" w14:textId="6177C6DB"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Суттєве зниження середньозваженої вартості капіталу; подовження строків залучення пасивів.</w:t>
            </w:r>
          </w:p>
        </w:tc>
        <w:tc>
          <w:tcPr>
            <w:tcW w:w="0" w:type="auto"/>
            <w:hideMark/>
          </w:tcPr>
          <w:p w14:paraId="0013C5B2" w14:textId="77777777"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Проєкти масштабного відновлення родючості ґрунтів, зелена енергетика (біогаз), декарбонізація АПК.</w:t>
            </w:r>
          </w:p>
        </w:tc>
        <w:tc>
          <w:tcPr>
            <w:tcW w:w="0" w:type="auto"/>
            <w:hideMark/>
          </w:tcPr>
          <w:p w14:paraId="1193EE5F" w14:textId="75EED382" w:rsidR="00540930" w:rsidRPr="005D7E72" w:rsidRDefault="00540930" w:rsidP="00540930">
            <w:pPr>
              <w:jc w:val="both"/>
              <w:rPr>
                <w:rFonts w:ascii="Times New Roman" w:eastAsia="Times New Roman" w:hAnsi="Times New Roman" w:cs="Times New Roman"/>
                <w:kern w:val="36"/>
              </w:rPr>
            </w:pPr>
            <w:r w:rsidRPr="005D7E72">
              <w:rPr>
                <w:rFonts w:ascii="Times New Roman" w:eastAsia="Times New Roman" w:hAnsi="Times New Roman" w:cs="Times New Roman"/>
                <w:kern w:val="36"/>
              </w:rPr>
              <w:t>С. Кваша [</w:t>
            </w:r>
            <w:r w:rsidR="005D7E72" w:rsidRPr="005D7E72">
              <w:rPr>
                <w:rFonts w:ascii="Times New Roman" w:eastAsia="Times New Roman" w:hAnsi="Times New Roman" w:cs="Times New Roman"/>
                <w:kern w:val="36"/>
              </w:rPr>
              <w:t>15</w:t>
            </w:r>
            <w:r w:rsidRPr="005D7E72">
              <w:rPr>
                <w:rFonts w:ascii="Times New Roman" w:eastAsia="Times New Roman" w:hAnsi="Times New Roman" w:cs="Times New Roman"/>
                <w:kern w:val="36"/>
              </w:rPr>
              <w:t>], нормативні програми МФО</w:t>
            </w:r>
          </w:p>
        </w:tc>
      </w:tr>
    </w:tbl>
    <w:p w14:paraId="505BBE95" w14:textId="77777777" w:rsidR="00540930" w:rsidRDefault="00540930" w:rsidP="00540930">
      <w:pPr>
        <w:spacing w:after="0" w:line="360" w:lineRule="auto"/>
        <w:ind w:firstLine="709"/>
        <w:jc w:val="both"/>
        <w:rPr>
          <w:rFonts w:ascii="Times New Roman" w:eastAsia="Times New Roman" w:hAnsi="Times New Roman" w:cs="Times New Roman"/>
          <w:b/>
          <w:kern w:val="36"/>
          <w:sz w:val="28"/>
          <w:szCs w:val="28"/>
        </w:rPr>
      </w:pPr>
    </w:p>
    <w:p w14:paraId="3B255A4A" w14:textId="1F96465D" w:rsidR="00540930" w:rsidRPr="00540930" w:rsidRDefault="00540930" w:rsidP="00540930">
      <w:pPr>
        <w:spacing w:after="0" w:line="360" w:lineRule="auto"/>
        <w:ind w:firstLine="709"/>
        <w:jc w:val="both"/>
        <w:rPr>
          <w:rFonts w:ascii="Times New Roman" w:eastAsia="Times New Roman" w:hAnsi="Times New Roman" w:cs="Times New Roman"/>
          <w:bCs/>
          <w:kern w:val="36"/>
          <w:sz w:val="28"/>
          <w:szCs w:val="28"/>
        </w:rPr>
      </w:pPr>
      <w:r w:rsidRPr="00540930">
        <w:rPr>
          <w:rFonts w:ascii="Times New Roman" w:eastAsia="Times New Roman" w:hAnsi="Times New Roman" w:cs="Times New Roman"/>
          <w:bCs/>
          <w:kern w:val="36"/>
          <w:sz w:val="28"/>
          <w:szCs w:val="28"/>
        </w:rPr>
        <w:t>Економічна доцільність інтеграції інструментів ДПП у загальну систему фінансового забезпечення полягає в тому, що вони дозволяють трансформувати капітальні витрати підприємства (CAPEX) у довгострокові, прогнозовані операційні витрати (OPEX), суттєво знижуючи загальне боргове навантаження на баланс компанії [</w:t>
      </w:r>
      <w:r w:rsidR="005D7E72">
        <w:rPr>
          <w:rFonts w:ascii="Times New Roman" w:eastAsia="Times New Roman" w:hAnsi="Times New Roman" w:cs="Times New Roman"/>
          <w:bCs/>
          <w:kern w:val="36"/>
          <w:sz w:val="28"/>
          <w:szCs w:val="28"/>
        </w:rPr>
        <w:t>3</w:t>
      </w:r>
      <w:r w:rsidRPr="00540930">
        <w:rPr>
          <w:rFonts w:ascii="Times New Roman" w:eastAsia="Times New Roman" w:hAnsi="Times New Roman" w:cs="Times New Roman"/>
          <w:bCs/>
          <w:kern w:val="36"/>
          <w:sz w:val="28"/>
          <w:szCs w:val="28"/>
        </w:rPr>
        <w:t>8].</w:t>
      </w:r>
    </w:p>
    <w:p w14:paraId="230592EA" w14:textId="64D49317" w:rsidR="00540930" w:rsidRPr="00540930" w:rsidRDefault="00540930" w:rsidP="00540930">
      <w:pPr>
        <w:spacing w:after="0" w:line="360" w:lineRule="auto"/>
        <w:ind w:firstLine="709"/>
        <w:jc w:val="both"/>
        <w:rPr>
          <w:rFonts w:ascii="Times New Roman" w:eastAsia="Times New Roman" w:hAnsi="Times New Roman" w:cs="Times New Roman"/>
          <w:bCs/>
          <w:kern w:val="36"/>
          <w:sz w:val="28"/>
          <w:szCs w:val="28"/>
        </w:rPr>
      </w:pPr>
      <w:r w:rsidRPr="00540930">
        <w:rPr>
          <w:rFonts w:ascii="Times New Roman" w:eastAsia="Times New Roman" w:hAnsi="Times New Roman" w:cs="Times New Roman"/>
          <w:bCs/>
          <w:kern w:val="36"/>
          <w:sz w:val="28"/>
          <w:szCs w:val="28"/>
        </w:rPr>
        <w:t>В умовах підвищеного ризику саме такі моделі (зокрема концесії та спільні проєкти з МФО) виступають надійним інституційним фундаментом для відновлення та розширеного відтворення основного капіталу вітчизняного агробізнесу [</w:t>
      </w:r>
      <w:r w:rsidR="00E2402B">
        <w:rPr>
          <w:rFonts w:ascii="Times New Roman" w:eastAsia="Times New Roman" w:hAnsi="Times New Roman" w:cs="Times New Roman"/>
          <w:bCs/>
          <w:kern w:val="36"/>
          <w:sz w:val="28"/>
          <w:szCs w:val="28"/>
        </w:rPr>
        <w:t>4</w:t>
      </w:r>
      <w:r w:rsidRPr="00540930">
        <w:rPr>
          <w:rFonts w:ascii="Times New Roman" w:eastAsia="Times New Roman" w:hAnsi="Times New Roman" w:cs="Times New Roman"/>
          <w:bCs/>
          <w:kern w:val="36"/>
          <w:sz w:val="28"/>
          <w:szCs w:val="28"/>
        </w:rPr>
        <w:t xml:space="preserve">; </w:t>
      </w:r>
      <w:r w:rsidR="00E2402B">
        <w:rPr>
          <w:rFonts w:ascii="Times New Roman" w:eastAsia="Times New Roman" w:hAnsi="Times New Roman" w:cs="Times New Roman"/>
          <w:bCs/>
          <w:kern w:val="36"/>
          <w:sz w:val="28"/>
          <w:szCs w:val="28"/>
        </w:rPr>
        <w:t>15</w:t>
      </w:r>
      <w:r w:rsidRPr="00540930">
        <w:rPr>
          <w:rFonts w:ascii="Times New Roman" w:eastAsia="Times New Roman" w:hAnsi="Times New Roman" w:cs="Times New Roman"/>
          <w:bCs/>
          <w:kern w:val="36"/>
          <w:sz w:val="28"/>
          <w:szCs w:val="28"/>
        </w:rPr>
        <w:t>].</w:t>
      </w:r>
    </w:p>
    <w:p w14:paraId="29E13C85" w14:textId="77777777" w:rsidR="00B92069" w:rsidRDefault="00B92069" w:rsidP="00D935C2">
      <w:pPr>
        <w:spacing w:after="0" w:line="360" w:lineRule="auto"/>
        <w:ind w:firstLine="709"/>
        <w:jc w:val="both"/>
        <w:rPr>
          <w:rFonts w:ascii="Times New Roman" w:hAnsi="Times New Roman" w:cs="Times New Roman"/>
          <w:b/>
          <w:bCs/>
          <w:sz w:val="28"/>
          <w:szCs w:val="28"/>
        </w:rPr>
      </w:pPr>
    </w:p>
    <w:p w14:paraId="74663CAC" w14:textId="4A39E3B4" w:rsidR="009B45C0" w:rsidRDefault="0003352B" w:rsidP="00D935C2">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9B45C0" w:rsidRPr="00D935C2">
        <w:rPr>
          <w:rFonts w:ascii="Times New Roman" w:hAnsi="Times New Roman" w:cs="Times New Roman"/>
          <w:b/>
          <w:bCs/>
          <w:sz w:val="28"/>
          <w:szCs w:val="28"/>
        </w:rPr>
        <w:t xml:space="preserve">. Вплив </w:t>
      </w:r>
      <w:r w:rsidRPr="0003352B">
        <w:rPr>
          <w:rFonts w:ascii="Times New Roman" w:hAnsi="Times New Roman" w:cs="Times New Roman"/>
          <w:b/>
          <w:bCs/>
          <w:sz w:val="28"/>
          <w:szCs w:val="28"/>
        </w:rPr>
        <w:t>інституційної нестабільності на інвестиційну привабливість та капіталізацію аграрного сектору</w:t>
      </w:r>
    </w:p>
    <w:p w14:paraId="64C411DA" w14:textId="77777777" w:rsidR="00D935C2" w:rsidRPr="00D935C2" w:rsidRDefault="00D935C2" w:rsidP="00D935C2">
      <w:pPr>
        <w:spacing w:after="0" w:line="360" w:lineRule="auto"/>
        <w:ind w:firstLine="709"/>
        <w:jc w:val="both"/>
        <w:rPr>
          <w:rFonts w:ascii="Times New Roman" w:hAnsi="Times New Roman" w:cs="Times New Roman"/>
          <w:b/>
          <w:bCs/>
          <w:sz w:val="28"/>
          <w:szCs w:val="28"/>
        </w:rPr>
      </w:pPr>
    </w:p>
    <w:p w14:paraId="11329889" w14:textId="28AFBD8C"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Трансформація архітектури зовнішнього середовища під впливом повномасштабного геополітичного та воєнного конфлікту радикально змінила детермінанти, що визначають інвестиційну привабливість вітчизняного аграрного сектору. У класичній економічній теорії інституційне середовище розглядається як сукупність правил, які мінімізують трансакційні витрати та </w:t>
      </w:r>
      <w:r w:rsidRPr="00E2402B">
        <w:rPr>
          <w:rFonts w:ascii="Times New Roman" w:hAnsi="Times New Roman" w:cs="Times New Roman"/>
          <w:sz w:val="28"/>
          <w:szCs w:val="28"/>
        </w:rPr>
        <w:lastRenderedPageBreak/>
        <w:t>структурують економічні стимули [</w:t>
      </w:r>
      <w:r w:rsidR="00E2402B" w:rsidRPr="00E2402B">
        <w:rPr>
          <w:rFonts w:ascii="Times New Roman" w:hAnsi="Times New Roman" w:cs="Times New Roman"/>
          <w:sz w:val="28"/>
          <w:szCs w:val="28"/>
        </w:rPr>
        <w:t>8</w:t>
      </w:r>
      <w:r w:rsidRPr="00E2402B">
        <w:rPr>
          <w:rFonts w:ascii="Times New Roman" w:hAnsi="Times New Roman" w:cs="Times New Roman"/>
          <w:sz w:val="28"/>
          <w:szCs w:val="28"/>
        </w:rPr>
        <w:t>]. Проте в сучасних реаліях інституційна</w:t>
      </w:r>
      <w:r w:rsidRPr="00D935C2">
        <w:rPr>
          <w:rFonts w:ascii="Times New Roman" w:hAnsi="Times New Roman" w:cs="Times New Roman"/>
          <w:sz w:val="28"/>
          <w:szCs w:val="28"/>
        </w:rPr>
        <w:t xml:space="preserve"> нестабільність перетворилася на самостійний ендогенний ризик, здатний нівелювати навіть високу природно-ресурсну рентабельність виробництва.</w:t>
      </w:r>
    </w:p>
    <w:p w14:paraId="5D127198" w14:textId="77777777" w:rsidR="009B45C0"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Рішення суб’єктів господарювання щодо довгострокового інвестування в основні засоби — насамперед у землю, придбання високотехнологічної сільськогосподарської техніки, будівництво елеваторних </w:t>
      </w:r>
      <w:proofErr w:type="spellStart"/>
      <w:r w:rsidRPr="00D935C2">
        <w:rPr>
          <w:rFonts w:ascii="Times New Roman" w:hAnsi="Times New Roman" w:cs="Times New Roman"/>
          <w:sz w:val="28"/>
          <w:szCs w:val="28"/>
        </w:rPr>
        <w:t>потужностей</w:t>
      </w:r>
      <w:proofErr w:type="spellEnd"/>
      <w:r w:rsidRPr="00D935C2">
        <w:rPr>
          <w:rFonts w:ascii="Times New Roman" w:hAnsi="Times New Roman" w:cs="Times New Roman"/>
          <w:sz w:val="28"/>
          <w:szCs w:val="28"/>
        </w:rPr>
        <w:t xml:space="preserve"> чи переробних заводів — безпосередньо залежать від прогнозованості державної регуляторної політики. На фоні воєнних дій виникає специфічний феномен «інституційного стиснення горизонту планування», коли інвестори замість капіталомістких довгострокових проєктів обирають стратегії операційного виживання або диверсифікації капіталу за межі аграрного сектору.</w:t>
      </w:r>
    </w:p>
    <w:p w14:paraId="1AF5C425" w14:textId="66551B74" w:rsidR="006B65F1" w:rsidRDefault="006B65F1" w:rsidP="006B65F1">
      <w:pPr>
        <w:spacing w:after="0" w:line="360" w:lineRule="auto"/>
        <w:jc w:val="right"/>
        <w:rPr>
          <w:rFonts w:ascii="Times New Roman" w:hAnsi="Times New Roman" w:cs="Times New Roman"/>
          <w:sz w:val="28"/>
          <w:szCs w:val="28"/>
        </w:rPr>
      </w:pPr>
      <w:r w:rsidRPr="00751348">
        <w:rPr>
          <w:rFonts w:ascii="Times New Roman" w:hAnsi="Times New Roman" w:cs="Times New Roman"/>
          <w:sz w:val="28"/>
          <w:szCs w:val="28"/>
        </w:rPr>
        <w:t xml:space="preserve">Таблиця </w:t>
      </w:r>
      <w:r w:rsidR="00751348" w:rsidRPr="00751348">
        <w:rPr>
          <w:rFonts w:ascii="Times New Roman" w:hAnsi="Times New Roman" w:cs="Times New Roman"/>
          <w:sz w:val="28"/>
          <w:szCs w:val="28"/>
        </w:rPr>
        <w:t>1.10</w:t>
      </w:r>
    </w:p>
    <w:p w14:paraId="54983B95" w14:textId="2E525CB2" w:rsidR="00390F33" w:rsidRPr="00E2402B" w:rsidRDefault="007D2157" w:rsidP="007D2157">
      <w:pPr>
        <w:spacing w:after="0" w:line="360" w:lineRule="auto"/>
        <w:ind w:firstLine="709"/>
        <w:jc w:val="center"/>
        <w:rPr>
          <w:rFonts w:ascii="Times New Roman" w:hAnsi="Times New Roman" w:cs="Times New Roman"/>
          <w:sz w:val="28"/>
          <w:szCs w:val="28"/>
        </w:rPr>
      </w:pPr>
      <w:r w:rsidRPr="007D2157">
        <w:rPr>
          <w:rFonts w:ascii="Times New Roman" w:hAnsi="Times New Roman" w:cs="Times New Roman"/>
          <w:sz w:val="28"/>
          <w:szCs w:val="28"/>
        </w:rPr>
        <w:t xml:space="preserve">Матриця інвестиційної привабливості аграрного сектору України (за </w:t>
      </w:r>
      <w:r w:rsidRPr="00E2402B">
        <w:rPr>
          <w:rFonts w:ascii="Times New Roman" w:hAnsi="Times New Roman" w:cs="Times New Roman"/>
          <w:sz w:val="28"/>
          <w:szCs w:val="28"/>
        </w:rPr>
        <w:t>даними форми № 50-сг за 2022</w:t>
      </w:r>
      <w:r w:rsidR="00B92069" w:rsidRPr="00E2402B">
        <w:rPr>
          <w:rFonts w:ascii="Times New Roman" w:hAnsi="Times New Roman" w:cs="Times New Roman"/>
          <w:sz w:val="28"/>
          <w:szCs w:val="28"/>
        </w:rPr>
        <w:t>-</w:t>
      </w:r>
      <w:r w:rsidRPr="00E2402B">
        <w:rPr>
          <w:rFonts w:ascii="Times New Roman" w:hAnsi="Times New Roman" w:cs="Times New Roman"/>
          <w:sz w:val="28"/>
          <w:szCs w:val="28"/>
        </w:rPr>
        <w:t>2025 рр.)</w:t>
      </w:r>
      <w:r w:rsidR="00B92069" w:rsidRPr="00E2402B">
        <w:rPr>
          <w:rFonts w:ascii="Times New Roman" w:hAnsi="Times New Roman" w:cs="Times New Roman"/>
          <w:sz w:val="28"/>
          <w:szCs w:val="28"/>
        </w:rPr>
        <w:t xml:space="preserve"> </w:t>
      </w:r>
      <w:r w:rsidR="00B92069" w:rsidRPr="00E2402B">
        <w:rPr>
          <w:rFonts w:ascii="Times New Roman" w:hAnsi="Times New Roman" w:cs="Times New Roman"/>
          <w:sz w:val="28"/>
          <w:szCs w:val="28"/>
          <w:lang w:val="en-US"/>
        </w:rPr>
        <w:t>[</w:t>
      </w:r>
      <w:r w:rsidR="00E2402B" w:rsidRPr="00E2402B">
        <w:rPr>
          <w:rFonts w:ascii="Times New Roman" w:hAnsi="Times New Roman" w:cs="Times New Roman"/>
          <w:sz w:val="28"/>
          <w:szCs w:val="28"/>
        </w:rPr>
        <w:t>26</w:t>
      </w:r>
      <w:r w:rsidR="00B92069" w:rsidRPr="00E2402B">
        <w:rPr>
          <w:rFonts w:ascii="Times New Roman" w:hAnsi="Times New Roman" w:cs="Times New Roman"/>
          <w:sz w:val="28"/>
          <w:szCs w:val="28"/>
          <w:lang w:val="en-US"/>
        </w:rPr>
        <w:t>]</w:t>
      </w:r>
      <w:r w:rsidRPr="00E2402B">
        <w:rPr>
          <w:rFonts w:ascii="Times New Roman" w:hAnsi="Times New Roman" w:cs="Times New Roman"/>
          <w:sz w:val="28"/>
          <w:szCs w:val="28"/>
        </w:rPr>
        <w:t xml:space="preserve"> </w:t>
      </w:r>
    </w:p>
    <w:tbl>
      <w:tblPr>
        <w:tblStyle w:val="af0"/>
        <w:tblW w:w="0" w:type="auto"/>
        <w:tblLook w:val="04A0" w:firstRow="1" w:lastRow="0" w:firstColumn="1" w:lastColumn="0" w:noHBand="0" w:noVBand="1"/>
      </w:tblPr>
      <w:tblGrid>
        <w:gridCol w:w="2406"/>
        <w:gridCol w:w="2407"/>
        <w:gridCol w:w="2407"/>
        <w:gridCol w:w="2407"/>
      </w:tblGrid>
      <w:tr w:rsidR="00EC1D61" w14:paraId="15E66A76" w14:textId="77777777" w:rsidTr="00B57EA8">
        <w:tc>
          <w:tcPr>
            <w:tcW w:w="2406" w:type="dxa"/>
            <w:vMerge w:val="restart"/>
          </w:tcPr>
          <w:p w14:paraId="0C05D5C1" w14:textId="59D15ACD" w:rsidR="00EC1D61" w:rsidRDefault="007D2157" w:rsidP="00EC1D61">
            <w:pPr>
              <w:jc w:val="center"/>
              <w:rPr>
                <w:rFonts w:ascii="Times New Roman" w:hAnsi="Times New Roman" w:cs="Times New Roman"/>
                <w:sz w:val="28"/>
                <w:szCs w:val="28"/>
              </w:rPr>
            </w:pPr>
            <w:r>
              <w:rPr>
                <w:rFonts w:ascii="Times New Roman" w:hAnsi="Times New Roman" w:cs="Times New Roman"/>
                <w:sz w:val="28"/>
                <w:szCs w:val="28"/>
              </w:rPr>
              <w:t>Рівень д</w:t>
            </w:r>
            <w:r w:rsidR="00EC1D61">
              <w:rPr>
                <w:rFonts w:ascii="Times New Roman" w:hAnsi="Times New Roman" w:cs="Times New Roman"/>
                <w:sz w:val="28"/>
                <w:szCs w:val="28"/>
              </w:rPr>
              <w:t>охідн</w:t>
            </w:r>
            <w:r>
              <w:rPr>
                <w:rFonts w:ascii="Times New Roman" w:hAnsi="Times New Roman" w:cs="Times New Roman"/>
                <w:sz w:val="28"/>
                <w:szCs w:val="28"/>
              </w:rPr>
              <w:t>ості</w:t>
            </w:r>
          </w:p>
        </w:tc>
        <w:tc>
          <w:tcPr>
            <w:tcW w:w="7221" w:type="dxa"/>
            <w:gridSpan w:val="3"/>
          </w:tcPr>
          <w:p w14:paraId="08ED6272" w14:textId="1BB65F30" w:rsidR="00EC1D61" w:rsidRDefault="00EC1D61" w:rsidP="00EC1D61">
            <w:pPr>
              <w:jc w:val="center"/>
              <w:rPr>
                <w:rFonts w:ascii="Times New Roman" w:hAnsi="Times New Roman" w:cs="Times New Roman"/>
                <w:sz w:val="28"/>
                <w:szCs w:val="28"/>
              </w:rPr>
            </w:pPr>
            <w:r>
              <w:rPr>
                <w:rFonts w:ascii="Times New Roman" w:hAnsi="Times New Roman" w:cs="Times New Roman"/>
                <w:sz w:val="28"/>
                <w:szCs w:val="28"/>
              </w:rPr>
              <w:t>Рівень ризику</w:t>
            </w:r>
          </w:p>
        </w:tc>
      </w:tr>
      <w:tr w:rsidR="00EC1D61" w14:paraId="7F9557A1" w14:textId="77777777" w:rsidTr="00EC1D61">
        <w:tc>
          <w:tcPr>
            <w:tcW w:w="2406" w:type="dxa"/>
            <w:vMerge/>
          </w:tcPr>
          <w:p w14:paraId="438EE970" w14:textId="77777777" w:rsidR="00EC1D61" w:rsidRDefault="00EC1D61" w:rsidP="00EC1D61">
            <w:pPr>
              <w:jc w:val="center"/>
              <w:rPr>
                <w:rFonts w:ascii="Times New Roman" w:hAnsi="Times New Roman" w:cs="Times New Roman"/>
                <w:sz w:val="28"/>
                <w:szCs w:val="28"/>
              </w:rPr>
            </w:pPr>
          </w:p>
        </w:tc>
        <w:tc>
          <w:tcPr>
            <w:tcW w:w="2407" w:type="dxa"/>
          </w:tcPr>
          <w:p w14:paraId="2D7016F8" w14:textId="77777777" w:rsidR="00EC1D61" w:rsidRDefault="00EC1D61" w:rsidP="00EC1D61">
            <w:pPr>
              <w:jc w:val="center"/>
              <w:rPr>
                <w:rFonts w:ascii="Times New Roman" w:hAnsi="Times New Roman" w:cs="Times New Roman"/>
                <w:sz w:val="28"/>
                <w:szCs w:val="28"/>
              </w:rPr>
            </w:pPr>
            <w:r w:rsidRPr="00EC1D61">
              <w:rPr>
                <w:rFonts w:ascii="Times New Roman" w:hAnsi="Times New Roman" w:cs="Times New Roman"/>
                <w:sz w:val="28"/>
                <w:szCs w:val="28"/>
              </w:rPr>
              <w:t>Низький β&lt;0</w:t>
            </w:r>
          </w:p>
          <w:p w14:paraId="5C9E4CD8" w14:textId="16120646" w:rsidR="007D2157" w:rsidRDefault="007D2157" w:rsidP="00EC1D61">
            <w:pPr>
              <w:jc w:val="center"/>
              <w:rPr>
                <w:rFonts w:ascii="Times New Roman" w:hAnsi="Times New Roman" w:cs="Times New Roman"/>
                <w:sz w:val="28"/>
                <w:szCs w:val="28"/>
              </w:rPr>
            </w:pPr>
            <w:r>
              <w:rPr>
                <w:rFonts w:ascii="Times New Roman" w:hAnsi="Times New Roman" w:cs="Times New Roman"/>
                <w:sz w:val="28"/>
                <w:szCs w:val="28"/>
              </w:rPr>
              <w:t>(Стабільний ринок)</w:t>
            </w:r>
          </w:p>
        </w:tc>
        <w:tc>
          <w:tcPr>
            <w:tcW w:w="2407" w:type="dxa"/>
          </w:tcPr>
          <w:p w14:paraId="3E4641C7" w14:textId="77777777" w:rsidR="00EC1D61" w:rsidRDefault="00EC1D61" w:rsidP="00EC1D61">
            <w:pPr>
              <w:jc w:val="center"/>
              <w:rPr>
                <w:rFonts w:ascii="Times New Roman" w:hAnsi="Times New Roman" w:cs="Times New Roman"/>
                <w:sz w:val="28"/>
                <w:szCs w:val="28"/>
              </w:rPr>
            </w:pPr>
            <w:r w:rsidRPr="00EC1D61">
              <w:rPr>
                <w:rFonts w:ascii="Times New Roman" w:hAnsi="Times New Roman" w:cs="Times New Roman"/>
                <w:sz w:val="28"/>
                <w:szCs w:val="28"/>
              </w:rPr>
              <w:t>Помірний 0&lt;β≤1</w:t>
            </w:r>
          </w:p>
          <w:p w14:paraId="3FF6EE88" w14:textId="72EF57D0" w:rsidR="007D2157" w:rsidRDefault="007D2157" w:rsidP="00EC1D61">
            <w:pPr>
              <w:jc w:val="center"/>
              <w:rPr>
                <w:rFonts w:ascii="Times New Roman" w:hAnsi="Times New Roman" w:cs="Times New Roman"/>
                <w:sz w:val="28"/>
                <w:szCs w:val="28"/>
              </w:rPr>
            </w:pPr>
            <w:r>
              <w:rPr>
                <w:rFonts w:ascii="Times New Roman" w:hAnsi="Times New Roman" w:cs="Times New Roman"/>
                <w:sz w:val="28"/>
                <w:szCs w:val="28"/>
              </w:rPr>
              <w:t>(Контрольована мінливість ринку)</w:t>
            </w:r>
          </w:p>
        </w:tc>
        <w:tc>
          <w:tcPr>
            <w:tcW w:w="2407" w:type="dxa"/>
          </w:tcPr>
          <w:p w14:paraId="0F31FEFC" w14:textId="77777777" w:rsidR="00EC1D61" w:rsidRDefault="00EC1D61" w:rsidP="00EC1D61">
            <w:pPr>
              <w:jc w:val="center"/>
              <w:rPr>
                <w:rFonts w:ascii="Times New Roman" w:hAnsi="Times New Roman" w:cs="Times New Roman"/>
                <w:sz w:val="28"/>
                <w:szCs w:val="28"/>
              </w:rPr>
            </w:pPr>
            <w:r w:rsidRPr="00EC1D61">
              <w:rPr>
                <w:rFonts w:ascii="Times New Roman" w:hAnsi="Times New Roman" w:cs="Times New Roman"/>
                <w:sz w:val="28"/>
                <w:szCs w:val="28"/>
              </w:rPr>
              <w:t>Високий β&gt;1</w:t>
            </w:r>
          </w:p>
          <w:p w14:paraId="7F29BF1A" w14:textId="15555C4D" w:rsidR="007D2157" w:rsidRDefault="007D2157" w:rsidP="00EC1D61">
            <w:pPr>
              <w:jc w:val="center"/>
              <w:rPr>
                <w:rFonts w:ascii="Times New Roman" w:hAnsi="Times New Roman" w:cs="Times New Roman"/>
                <w:sz w:val="28"/>
                <w:szCs w:val="28"/>
              </w:rPr>
            </w:pPr>
            <w:r>
              <w:rPr>
                <w:rFonts w:ascii="Times New Roman" w:hAnsi="Times New Roman" w:cs="Times New Roman"/>
                <w:sz w:val="28"/>
                <w:szCs w:val="28"/>
              </w:rPr>
              <w:t xml:space="preserve">(Надвисока </w:t>
            </w:r>
            <w:r w:rsidR="002A0C6F" w:rsidRPr="002A0C6F">
              <w:rPr>
                <w:rFonts w:ascii="Times New Roman" w:hAnsi="Times New Roman" w:cs="Times New Roman"/>
                <w:sz w:val="28"/>
                <w:szCs w:val="28"/>
              </w:rPr>
              <w:t>мінливість</w:t>
            </w:r>
            <w:r>
              <w:rPr>
                <w:rFonts w:ascii="Times New Roman" w:hAnsi="Times New Roman" w:cs="Times New Roman"/>
                <w:sz w:val="28"/>
                <w:szCs w:val="28"/>
              </w:rPr>
              <w:t xml:space="preserve"> ринку)</w:t>
            </w:r>
          </w:p>
        </w:tc>
      </w:tr>
      <w:tr w:rsidR="00EC1D61" w14:paraId="3C8F8B8B" w14:textId="77777777" w:rsidTr="00EC1D61">
        <w:tc>
          <w:tcPr>
            <w:tcW w:w="2406" w:type="dxa"/>
          </w:tcPr>
          <w:p w14:paraId="165300B9" w14:textId="77777777" w:rsidR="00EC1D61" w:rsidRPr="00C00A63" w:rsidRDefault="00EC1D61" w:rsidP="00EC1D61">
            <w:pPr>
              <w:rPr>
                <w:rFonts w:ascii="Times New Roman" w:hAnsi="Times New Roman" w:cs="Times New Roman"/>
                <w:b/>
                <w:bCs/>
                <w:sz w:val="28"/>
                <w:szCs w:val="28"/>
              </w:rPr>
            </w:pPr>
            <w:r w:rsidRPr="00C00A63">
              <w:rPr>
                <w:rFonts w:ascii="Times New Roman" w:hAnsi="Times New Roman" w:cs="Times New Roman"/>
                <w:b/>
                <w:bCs/>
                <w:sz w:val="28"/>
                <w:szCs w:val="28"/>
              </w:rPr>
              <w:t>Низька</w:t>
            </w:r>
            <w:r w:rsidR="007D2157" w:rsidRPr="00C00A63">
              <w:rPr>
                <w:rFonts w:ascii="Times New Roman" w:hAnsi="Times New Roman" w:cs="Times New Roman"/>
                <w:b/>
                <w:bCs/>
                <w:sz w:val="28"/>
                <w:szCs w:val="28"/>
              </w:rPr>
              <w:t xml:space="preserve"> дохідність</w:t>
            </w:r>
          </w:p>
          <w:p w14:paraId="1F4FC030" w14:textId="2DCD7116" w:rsidR="00C00A63" w:rsidRPr="00C00A63" w:rsidRDefault="00C00A63" w:rsidP="00EC1D61">
            <w:pPr>
              <w:rPr>
                <w:rFonts w:ascii="Times New Roman" w:hAnsi="Times New Roman" w:cs="Times New Roman"/>
                <w:sz w:val="24"/>
                <w:szCs w:val="24"/>
              </w:rPr>
            </w:pPr>
            <w:r w:rsidRPr="00C00A63">
              <w:rPr>
                <w:rFonts w:ascii="Times New Roman" w:hAnsi="Times New Roman" w:cs="Times New Roman"/>
                <w:sz w:val="24"/>
                <w:szCs w:val="24"/>
              </w:rPr>
              <w:t>(</w:t>
            </w:r>
            <w:r w:rsidRPr="00C00A63">
              <w:rPr>
                <w:rFonts w:ascii="Times New Roman" w:hAnsi="Times New Roman" w:cs="Times New Roman"/>
                <w:i/>
                <w:iCs/>
                <w:sz w:val="24"/>
                <w:szCs w:val="24"/>
              </w:rPr>
              <w:t>збиткові або на межі рентабельності</w:t>
            </w:r>
            <w:r w:rsidRPr="00C00A63">
              <w:rPr>
                <w:rFonts w:ascii="Times New Roman" w:hAnsi="Times New Roman" w:cs="Times New Roman"/>
                <w:sz w:val="24"/>
                <w:szCs w:val="24"/>
              </w:rPr>
              <w:t>)</w:t>
            </w:r>
          </w:p>
        </w:tc>
        <w:tc>
          <w:tcPr>
            <w:tcW w:w="2407" w:type="dxa"/>
          </w:tcPr>
          <w:p w14:paraId="01B97721" w14:textId="77777777" w:rsidR="00EC1D61" w:rsidRDefault="00EC1D61" w:rsidP="00EC1D61">
            <w:pPr>
              <w:jc w:val="center"/>
              <w:rPr>
                <w:rFonts w:ascii="Times New Roman" w:hAnsi="Times New Roman" w:cs="Times New Roman"/>
                <w:b/>
                <w:bCs/>
                <w:sz w:val="28"/>
                <w:szCs w:val="28"/>
              </w:rPr>
            </w:pPr>
            <w:r w:rsidRPr="007D2157">
              <w:rPr>
                <w:rFonts w:ascii="Times New Roman" w:hAnsi="Times New Roman" w:cs="Times New Roman"/>
                <w:b/>
                <w:bCs/>
                <w:sz w:val="28"/>
                <w:szCs w:val="28"/>
              </w:rPr>
              <w:t>Малопривабливі</w:t>
            </w:r>
            <w:r w:rsidR="007D2157" w:rsidRPr="007D2157">
              <w:rPr>
                <w:rFonts w:ascii="Times New Roman" w:hAnsi="Times New Roman" w:cs="Times New Roman"/>
                <w:b/>
                <w:bCs/>
                <w:sz w:val="28"/>
                <w:szCs w:val="28"/>
              </w:rPr>
              <w:t xml:space="preserve"> регіони</w:t>
            </w:r>
          </w:p>
          <w:p w14:paraId="44C1E3E4" w14:textId="22EDE64F" w:rsidR="00C00A63" w:rsidRDefault="00C00A63" w:rsidP="00EC1D61">
            <w:pPr>
              <w:jc w:val="center"/>
              <w:rPr>
                <w:rFonts w:ascii="Segoe UI" w:eastAsia="Times New Roman" w:hAnsi="Segoe UI" w:cs="Segoe UI"/>
                <w:bCs/>
                <w:i/>
                <w:iCs/>
                <w:kern w:val="36"/>
                <w:sz w:val="20"/>
                <w:szCs w:val="20"/>
              </w:rPr>
            </w:pPr>
            <w:r w:rsidRPr="00493995">
              <w:rPr>
                <w:rFonts w:ascii="Segoe UI" w:eastAsia="Times New Roman" w:hAnsi="Segoe UI" w:cs="Segoe UI"/>
                <w:bCs/>
                <w:i/>
                <w:iCs/>
                <w:kern w:val="36"/>
                <w:sz w:val="20"/>
                <w:szCs w:val="20"/>
              </w:rPr>
              <w:t>Регіони в стані глибокої структурної перебудови логістики</w:t>
            </w:r>
          </w:p>
          <w:p w14:paraId="063E2AEA" w14:textId="77777777" w:rsidR="00C00A63" w:rsidRDefault="00C00A63" w:rsidP="00EC1D61">
            <w:pPr>
              <w:jc w:val="center"/>
              <w:rPr>
                <w:rFonts w:ascii="Segoe UI" w:eastAsia="Times New Roman" w:hAnsi="Segoe UI" w:cs="Segoe UI"/>
                <w:b/>
                <w:bCs/>
                <w:i/>
                <w:iCs/>
                <w:kern w:val="36"/>
                <w:sz w:val="20"/>
                <w:szCs w:val="20"/>
              </w:rPr>
            </w:pPr>
          </w:p>
          <w:p w14:paraId="6FD59A25" w14:textId="77777777" w:rsidR="00C00A63" w:rsidRDefault="00C00A63" w:rsidP="00C00A63">
            <w:pPr>
              <w:shd w:val="clear" w:color="auto" w:fill="FFFFFF"/>
              <w:outlineLvl w:val="0"/>
              <w:rPr>
                <w:rFonts w:eastAsia="Times New Roman" w:cs="Segoe UI Emoji"/>
                <w:bCs/>
                <w:kern w:val="36"/>
                <w:sz w:val="20"/>
                <w:szCs w:val="20"/>
              </w:rPr>
            </w:pPr>
          </w:p>
          <w:p w14:paraId="148DC713" w14:textId="77777777" w:rsidR="00C00A63" w:rsidRDefault="00C00A63" w:rsidP="00C00A63">
            <w:pPr>
              <w:shd w:val="clear" w:color="auto" w:fill="FFFFFF"/>
              <w:outlineLvl w:val="0"/>
              <w:rPr>
                <w:rFonts w:eastAsia="Times New Roman" w:cs="Segoe UI Emoji"/>
                <w:bCs/>
                <w:kern w:val="36"/>
                <w:sz w:val="20"/>
                <w:szCs w:val="20"/>
              </w:rPr>
            </w:pPr>
          </w:p>
          <w:p w14:paraId="2B107184" w14:textId="4A5E40DC" w:rsidR="00C00A63" w:rsidRPr="00B92069" w:rsidRDefault="00C00A63" w:rsidP="00C00A63">
            <w:pPr>
              <w:shd w:val="clear" w:color="auto" w:fill="FFFFFF"/>
              <w:outlineLvl w:val="0"/>
              <w:rPr>
                <w:rFonts w:ascii="Segoe UI" w:eastAsia="Times New Roman" w:hAnsi="Segoe UI" w:cs="Segoe UI"/>
                <w:bCs/>
                <w:kern w:val="36"/>
                <w:sz w:val="20"/>
                <w:szCs w:val="20"/>
                <w:lang w:val="en-US"/>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Закарпатська</w:t>
            </w:r>
          </w:p>
          <w:p w14:paraId="35934703" w14:textId="30DFAB32" w:rsidR="00C00A63" w:rsidRPr="007D2157" w:rsidRDefault="00C00A63" w:rsidP="00C00A63">
            <w:pPr>
              <w:rPr>
                <w:rFonts w:ascii="Times New Roman" w:hAnsi="Times New Roman" w:cs="Times New Roman"/>
                <w:b/>
                <w:bCs/>
                <w:sz w:val="28"/>
                <w:szCs w:val="28"/>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Чернівецька</w:t>
            </w:r>
          </w:p>
          <w:p w14:paraId="1EAD3059" w14:textId="77777777" w:rsidR="007D2157" w:rsidRDefault="007D2157" w:rsidP="00EC1D61">
            <w:pPr>
              <w:jc w:val="center"/>
              <w:rPr>
                <w:rFonts w:ascii="Times New Roman" w:hAnsi="Times New Roman" w:cs="Times New Roman"/>
                <w:sz w:val="28"/>
                <w:szCs w:val="28"/>
              </w:rPr>
            </w:pPr>
          </w:p>
          <w:p w14:paraId="518CBF4A" w14:textId="21890820" w:rsidR="007D2157" w:rsidRDefault="007D2157" w:rsidP="00EC1D61">
            <w:pPr>
              <w:jc w:val="center"/>
              <w:rPr>
                <w:rFonts w:ascii="Times New Roman" w:hAnsi="Times New Roman" w:cs="Times New Roman"/>
                <w:sz w:val="28"/>
                <w:szCs w:val="28"/>
              </w:rPr>
            </w:pPr>
          </w:p>
        </w:tc>
        <w:tc>
          <w:tcPr>
            <w:tcW w:w="2407" w:type="dxa"/>
          </w:tcPr>
          <w:p w14:paraId="1EE18A3A" w14:textId="5EE2CDB0" w:rsidR="00EC1D61" w:rsidRPr="007D2157" w:rsidRDefault="00EC1D61" w:rsidP="00EC1D61">
            <w:pPr>
              <w:jc w:val="center"/>
              <w:rPr>
                <w:rFonts w:ascii="Times New Roman" w:hAnsi="Times New Roman" w:cs="Times New Roman"/>
                <w:b/>
                <w:bCs/>
                <w:sz w:val="28"/>
                <w:szCs w:val="28"/>
              </w:rPr>
            </w:pPr>
            <w:r w:rsidRPr="007D2157">
              <w:rPr>
                <w:rFonts w:ascii="Times New Roman" w:hAnsi="Times New Roman" w:cs="Times New Roman"/>
                <w:b/>
                <w:bCs/>
                <w:sz w:val="28"/>
                <w:szCs w:val="28"/>
              </w:rPr>
              <w:t>Малопривабливі</w:t>
            </w:r>
            <w:r w:rsidR="007D2157" w:rsidRPr="007D2157">
              <w:rPr>
                <w:rFonts w:ascii="Times New Roman" w:hAnsi="Times New Roman" w:cs="Times New Roman"/>
                <w:b/>
                <w:bCs/>
                <w:sz w:val="28"/>
                <w:szCs w:val="28"/>
              </w:rPr>
              <w:t xml:space="preserve"> регіони</w:t>
            </w:r>
          </w:p>
          <w:p w14:paraId="507B25F7" w14:textId="77777777" w:rsidR="00C00A63" w:rsidRDefault="00C00A63" w:rsidP="00C00A63">
            <w:pPr>
              <w:shd w:val="clear" w:color="auto" w:fill="FFFFFF"/>
              <w:outlineLvl w:val="0"/>
              <w:rPr>
                <w:rFonts w:ascii="Segoe UI" w:eastAsia="Times New Roman" w:hAnsi="Segoe UI" w:cs="Segoe UI"/>
                <w:bCs/>
                <w:i/>
                <w:iCs/>
                <w:kern w:val="36"/>
                <w:sz w:val="20"/>
                <w:szCs w:val="20"/>
              </w:rPr>
            </w:pPr>
            <w:r w:rsidRPr="00493995">
              <w:rPr>
                <w:rFonts w:ascii="Segoe UI" w:eastAsia="Times New Roman" w:hAnsi="Segoe UI" w:cs="Segoe UI"/>
                <w:bCs/>
                <w:i/>
                <w:iCs/>
                <w:kern w:val="36"/>
                <w:sz w:val="20"/>
                <w:szCs w:val="20"/>
              </w:rPr>
              <w:t>Регіони з низькою якістю ґрунтів та помірними кліматичними ризиками.</w:t>
            </w:r>
          </w:p>
          <w:p w14:paraId="74986816" w14:textId="77777777" w:rsidR="00C00A63" w:rsidRDefault="00C00A63" w:rsidP="00C00A63">
            <w:pPr>
              <w:shd w:val="clear" w:color="auto" w:fill="FFFFFF"/>
              <w:outlineLvl w:val="0"/>
              <w:rPr>
                <w:rFonts w:ascii="Segoe UI" w:eastAsia="Times New Roman" w:hAnsi="Segoe UI" w:cs="Segoe UI"/>
                <w:bCs/>
                <w:i/>
                <w:iCs/>
                <w:kern w:val="36"/>
                <w:sz w:val="20"/>
                <w:szCs w:val="20"/>
              </w:rPr>
            </w:pPr>
          </w:p>
          <w:p w14:paraId="1353CC6B" w14:textId="1CEB045A"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Житомирська</w:t>
            </w:r>
          </w:p>
          <w:p w14:paraId="129B790D" w14:textId="77777777" w:rsidR="00B92069"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Рівненська</w:t>
            </w:r>
          </w:p>
          <w:p w14:paraId="01834D78" w14:textId="169CA610" w:rsidR="00C00A63" w:rsidRPr="00493995"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Волинська</w:t>
            </w:r>
          </w:p>
          <w:p w14:paraId="1F934929" w14:textId="1E26C5B3" w:rsidR="00EC1D61" w:rsidRDefault="00EC1D61" w:rsidP="00EC1D61">
            <w:pPr>
              <w:rPr>
                <w:rFonts w:ascii="Times New Roman" w:hAnsi="Times New Roman" w:cs="Times New Roman"/>
                <w:sz w:val="28"/>
                <w:szCs w:val="28"/>
              </w:rPr>
            </w:pPr>
          </w:p>
        </w:tc>
        <w:tc>
          <w:tcPr>
            <w:tcW w:w="2407" w:type="dxa"/>
          </w:tcPr>
          <w:p w14:paraId="6360C718" w14:textId="77777777" w:rsidR="00EC1D61" w:rsidRDefault="00EB4033" w:rsidP="00EC1D61">
            <w:pPr>
              <w:jc w:val="center"/>
              <w:rPr>
                <w:rFonts w:ascii="Times New Roman" w:hAnsi="Times New Roman" w:cs="Times New Roman"/>
                <w:b/>
                <w:bCs/>
                <w:sz w:val="28"/>
                <w:szCs w:val="28"/>
              </w:rPr>
            </w:pPr>
            <w:r w:rsidRPr="007D2157">
              <w:rPr>
                <w:rFonts w:ascii="Times New Roman" w:hAnsi="Times New Roman" w:cs="Times New Roman"/>
                <w:b/>
                <w:bCs/>
                <w:sz w:val="28"/>
                <w:szCs w:val="28"/>
              </w:rPr>
              <w:t>Не</w:t>
            </w:r>
            <w:r w:rsidR="00EC1D61" w:rsidRPr="007D2157">
              <w:rPr>
                <w:rFonts w:ascii="Times New Roman" w:hAnsi="Times New Roman" w:cs="Times New Roman"/>
                <w:b/>
                <w:bCs/>
                <w:sz w:val="28"/>
                <w:szCs w:val="28"/>
              </w:rPr>
              <w:t>привабливі</w:t>
            </w:r>
            <w:r w:rsidR="007D2157" w:rsidRPr="007D2157">
              <w:rPr>
                <w:rFonts w:ascii="Times New Roman" w:hAnsi="Times New Roman" w:cs="Times New Roman"/>
                <w:b/>
                <w:bCs/>
                <w:sz w:val="28"/>
                <w:szCs w:val="28"/>
              </w:rPr>
              <w:t xml:space="preserve"> регіони</w:t>
            </w:r>
          </w:p>
          <w:p w14:paraId="65508C60" w14:textId="77777777" w:rsidR="00C00A63" w:rsidRDefault="00C00A63" w:rsidP="00EC1D61">
            <w:pPr>
              <w:jc w:val="center"/>
              <w:rPr>
                <w:rFonts w:ascii="Segoe UI" w:eastAsia="Times New Roman" w:hAnsi="Segoe UI" w:cs="Segoe UI"/>
                <w:bCs/>
                <w:i/>
                <w:iCs/>
                <w:kern w:val="36"/>
                <w:sz w:val="20"/>
                <w:szCs w:val="20"/>
              </w:rPr>
            </w:pPr>
            <w:r w:rsidRPr="00C00A63">
              <w:rPr>
                <w:rFonts w:ascii="Segoe UI" w:eastAsia="Times New Roman" w:hAnsi="Segoe UI" w:cs="Segoe UI"/>
                <w:bCs/>
                <w:i/>
                <w:iCs/>
                <w:kern w:val="36"/>
                <w:sz w:val="20"/>
                <w:szCs w:val="20"/>
              </w:rPr>
              <w:t>Прифронтові зони з колосальними втратами та руйнуванням інфраструктури</w:t>
            </w:r>
          </w:p>
          <w:p w14:paraId="78F61A79" w14:textId="77777777" w:rsidR="00C00A63" w:rsidRDefault="00C00A63" w:rsidP="00EC1D61">
            <w:pPr>
              <w:jc w:val="center"/>
              <w:rPr>
                <w:rFonts w:ascii="Segoe UI" w:eastAsia="Times New Roman" w:hAnsi="Segoe UI" w:cs="Segoe UI"/>
                <w:b/>
                <w:bCs/>
                <w:i/>
                <w:iCs/>
                <w:kern w:val="36"/>
                <w:sz w:val="20"/>
                <w:szCs w:val="20"/>
              </w:rPr>
            </w:pPr>
          </w:p>
          <w:p w14:paraId="24DABAA5" w14:textId="717F94E7" w:rsidR="00C00A63" w:rsidRPr="00975C66" w:rsidRDefault="00C00A63" w:rsidP="00C00A63">
            <w:pPr>
              <w:shd w:val="clear" w:color="auto" w:fill="FFFFFF"/>
              <w:outlineLvl w:val="0"/>
              <w:rPr>
                <w:rFonts w:ascii="Segoe UI" w:eastAsia="Times New Roman" w:hAnsi="Segoe UI" w:cs="Segoe UI"/>
                <w:bCs/>
                <w:kern w:val="36"/>
                <w:sz w:val="20"/>
                <w:szCs w:val="20"/>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Херсонська</w:t>
            </w:r>
          </w:p>
          <w:p w14:paraId="37EB924B" w14:textId="46805010" w:rsidR="00C00A63" w:rsidRPr="00975C66" w:rsidRDefault="00C00A63" w:rsidP="00C00A63">
            <w:pPr>
              <w:shd w:val="clear" w:color="auto" w:fill="FFFFFF"/>
              <w:outlineLvl w:val="0"/>
              <w:rPr>
                <w:rFonts w:ascii="Segoe UI" w:eastAsia="Times New Roman" w:hAnsi="Segoe UI" w:cs="Segoe UI"/>
                <w:bCs/>
                <w:kern w:val="36"/>
                <w:sz w:val="20"/>
                <w:szCs w:val="20"/>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Донецька</w:t>
            </w:r>
          </w:p>
          <w:p w14:paraId="44EEF234" w14:textId="438C5040" w:rsidR="00C00A63" w:rsidRPr="00975C66" w:rsidRDefault="00C00A63" w:rsidP="00C00A63">
            <w:pPr>
              <w:shd w:val="clear" w:color="auto" w:fill="FFFFFF"/>
              <w:outlineLvl w:val="0"/>
              <w:rPr>
                <w:rFonts w:ascii="Segoe UI" w:eastAsia="Times New Roman" w:hAnsi="Segoe UI" w:cs="Segoe UI"/>
                <w:bCs/>
                <w:kern w:val="36"/>
                <w:sz w:val="20"/>
                <w:szCs w:val="20"/>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Луганська</w:t>
            </w:r>
          </w:p>
          <w:p w14:paraId="706A641C" w14:textId="1DCE7D0D" w:rsidR="00C00A63" w:rsidRPr="00C00A63" w:rsidRDefault="00C00A63" w:rsidP="00C00A63">
            <w:pPr>
              <w:rPr>
                <w:rFonts w:ascii="Times New Roman" w:hAnsi="Times New Roman" w:cs="Times New Roman"/>
                <w:b/>
                <w:bCs/>
                <w:sz w:val="20"/>
                <w:szCs w:val="20"/>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Запорізька</w:t>
            </w:r>
          </w:p>
        </w:tc>
      </w:tr>
      <w:tr w:rsidR="00EC1D61" w14:paraId="0DB9E46D" w14:textId="77777777" w:rsidTr="00EC1D61">
        <w:tc>
          <w:tcPr>
            <w:tcW w:w="2406" w:type="dxa"/>
          </w:tcPr>
          <w:p w14:paraId="027ADDB9" w14:textId="77777777" w:rsidR="00EC1D61" w:rsidRDefault="00EC1D61" w:rsidP="00EC1D61">
            <w:pPr>
              <w:rPr>
                <w:rFonts w:ascii="Times New Roman" w:hAnsi="Times New Roman" w:cs="Times New Roman"/>
                <w:b/>
                <w:bCs/>
                <w:sz w:val="28"/>
                <w:szCs w:val="28"/>
              </w:rPr>
            </w:pPr>
            <w:r w:rsidRPr="00C00A63">
              <w:rPr>
                <w:rFonts w:ascii="Times New Roman" w:hAnsi="Times New Roman" w:cs="Times New Roman"/>
                <w:b/>
                <w:bCs/>
                <w:sz w:val="28"/>
                <w:szCs w:val="28"/>
              </w:rPr>
              <w:t>Середня</w:t>
            </w:r>
            <w:r w:rsidR="00C00A63" w:rsidRPr="00C00A63">
              <w:rPr>
                <w:rFonts w:ascii="Times New Roman" w:hAnsi="Times New Roman" w:cs="Times New Roman"/>
                <w:b/>
                <w:bCs/>
                <w:sz w:val="28"/>
                <w:szCs w:val="28"/>
              </w:rPr>
              <w:t xml:space="preserve"> дохідність</w:t>
            </w:r>
          </w:p>
          <w:p w14:paraId="69E9399F" w14:textId="3E98B77B" w:rsidR="00C00A63" w:rsidRDefault="00C00A63" w:rsidP="00EC1D61">
            <w:pPr>
              <w:rPr>
                <w:rFonts w:ascii="Times New Roman" w:hAnsi="Times New Roman" w:cs="Times New Roman"/>
                <w:sz w:val="28"/>
                <w:szCs w:val="28"/>
              </w:rPr>
            </w:pPr>
            <w:r w:rsidRPr="00493995">
              <w:rPr>
                <w:rFonts w:ascii="Segoe UI" w:eastAsia="Times New Roman" w:hAnsi="Segoe UI" w:cs="Segoe UI"/>
                <w:bCs/>
                <w:i/>
                <w:iCs/>
                <w:kern w:val="36"/>
                <w:sz w:val="20"/>
                <w:szCs w:val="20"/>
              </w:rPr>
              <w:t>(Стабільні ринкові показники)</w:t>
            </w:r>
          </w:p>
        </w:tc>
        <w:tc>
          <w:tcPr>
            <w:tcW w:w="2407" w:type="dxa"/>
          </w:tcPr>
          <w:p w14:paraId="0F83E690" w14:textId="71AC28F7" w:rsidR="00EC1D61" w:rsidRDefault="00EC1D61" w:rsidP="00EC1D61">
            <w:pPr>
              <w:jc w:val="center"/>
              <w:rPr>
                <w:rFonts w:ascii="Times New Roman" w:hAnsi="Times New Roman" w:cs="Times New Roman"/>
                <w:b/>
                <w:bCs/>
                <w:sz w:val="28"/>
                <w:szCs w:val="28"/>
              </w:rPr>
            </w:pPr>
            <w:r w:rsidRPr="00C00A63">
              <w:rPr>
                <w:rFonts w:ascii="Times New Roman" w:hAnsi="Times New Roman" w:cs="Times New Roman"/>
                <w:b/>
                <w:bCs/>
                <w:sz w:val="28"/>
                <w:szCs w:val="28"/>
              </w:rPr>
              <w:t>Привабливі</w:t>
            </w:r>
            <w:r w:rsidR="00C00A63" w:rsidRPr="00C00A63">
              <w:rPr>
                <w:rFonts w:ascii="Times New Roman" w:hAnsi="Times New Roman" w:cs="Times New Roman"/>
                <w:b/>
                <w:bCs/>
                <w:sz w:val="28"/>
                <w:szCs w:val="28"/>
              </w:rPr>
              <w:t xml:space="preserve"> регіони</w:t>
            </w:r>
          </w:p>
          <w:p w14:paraId="4B9CAD00" w14:textId="77777777" w:rsidR="00C00A63" w:rsidRPr="00493995" w:rsidRDefault="00C00A63" w:rsidP="00C00A63">
            <w:pPr>
              <w:shd w:val="clear" w:color="auto" w:fill="FFFFFF"/>
              <w:outlineLvl w:val="0"/>
              <w:rPr>
                <w:rFonts w:ascii="Segoe UI" w:eastAsia="Times New Roman" w:hAnsi="Segoe UI" w:cs="Segoe UI"/>
                <w:bCs/>
                <w:kern w:val="36"/>
                <w:sz w:val="20"/>
                <w:szCs w:val="20"/>
              </w:rPr>
            </w:pPr>
            <w:r w:rsidRPr="00493995">
              <w:rPr>
                <w:rFonts w:ascii="Segoe UI" w:eastAsia="Times New Roman" w:hAnsi="Segoe UI" w:cs="Segoe UI"/>
                <w:bCs/>
                <w:i/>
                <w:iCs/>
                <w:kern w:val="36"/>
                <w:sz w:val="20"/>
                <w:szCs w:val="20"/>
              </w:rPr>
              <w:t>Західний кластер, що капіталізувався на безпековому факторі.</w:t>
            </w:r>
          </w:p>
          <w:p w14:paraId="673A88BD" w14:textId="77777777" w:rsidR="00C00A63" w:rsidRPr="00C00A63" w:rsidRDefault="00C00A63" w:rsidP="00EC1D61">
            <w:pPr>
              <w:jc w:val="center"/>
              <w:rPr>
                <w:rFonts w:ascii="Times New Roman" w:hAnsi="Times New Roman" w:cs="Times New Roman"/>
                <w:b/>
                <w:bCs/>
                <w:sz w:val="28"/>
                <w:szCs w:val="28"/>
              </w:rPr>
            </w:pPr>
          </w:p>
          <w:p w14:paraId="74C5A1F8" w14:textId="78EF8A4D"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Львівська</w:t>
            </w:r>
          </w:p>
          <w:p w14:paraId="335478B5" w14:textId="5CE3AABE" w:rsidR="00EC1D61" w:rsidRDefault="00C00A63" w:rsidP="00C00A63">
            <w:pPr>
              <w:rPr>
                <w:rFonts w:ascii="Times New Roman" w:hAnsi="Times New Roman" w:cs="Times New Roman"/>
                <w:sz w:val="28"/>
                <w:szCs w:val="28"/>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Івано-Франківська</w:t>
            </w:r>
          </w:p>
        </w:tc>
        <w:tc>
          <w:tcPr>
            <w:tcW w:w="2407" w:type="dxa"/>
          </w:tcPr>
          <w:p w14:paraId="439ACF99" w14:textId="77777777" w:rsidR="00C00A63" w:rsidRPr="00C00A63" w:rsidRDefault="00C00A63" w:rsidP="00C00A63">
            <w:pPr>
              <w:jc w:val="center"/>
              <w:rPr>
                <w:rFonts w:ascii="Times New Roman" w:hAnsi="Times New Roman" w:cs="Times New Roman"/>
                <w:b/>
                <w:bCs/>
                <w:sz w:val="28"/>
                <w:szCs w:val="28"/>
              </w:rPr>
            </w:pPr>
            <w:r w:rsidRPr="00C00A63">
              <w:rPr>
                <w:rFonts w:ascii="Times New Roman" w:hAnsi="Times New Roman" w:cs="Times New Roman"/>
                <w:b/>
                <w:bCs/>
                <w:sz w:val="28"/>
                <w:szCs w:val="28"/>
              </w:rPr>
              <w:t>Привабливі регіони</w:t>
            </w:r>
          </w:p>
          <w:p w14:paraId="621AC125" w14:textId="77777777" w:rsidR="00C00A63" w:rsidRPr="00493995" w:rsidRDefault="00C00A63" w:rsidP="00C00A63">
            <w:pPr>
              <w:shd w:val="clear" w:color="auto" w:fill="FFFFFF"/>
              <w:outlineLvl w:val="0"/>
              <w:rPr>
                <w:rFonts w:ascii="Segoe UI" w:eastAsia="Times New Roman" w:hAnsi="Segoe UI" w:cs="Segoe UI"/>
                <w:bCs/>
                <w:kern w:val="36"/>
                <w:sz w:val="20"/>
                <w:szCs w:val="20"/>
              </w:rPr>
            </w:pPr>
            <w:r w:rsidRPr="00493995">
              <w:rPr>
                <w:rFonts w:ascii="Segoe UI" w:eastAsia="Times New Roman" w:hAnsi="Segoe UI" w:cs="Segoe UI"/>
                <w:bCs/>
                <w:i/>
                <w:iCs/>
                <w:kern w:val="36"/>
                <w:sz w:val="20"/>
                <w:szCs w:val="20"/>
              </w:rPr>
              <w:t>Традиційний «пояс стабільності» агросектору України.</w:t>
            </w:r>
          </w:p>
          <w:p w14:paraId="469CF026" w14:textId="77777777" w:rsidR="00EC1D61" w:rsidRDefault="00EC1D61" w:rsidP="00EB4033">
            <w:pPr>
              <w:rPr>
                <w:rFonts w:ascii="Times New Roman" w:hAnsi="Times New Roman" w:cs="Times New Roman"/>
                <w:sz w:val="28"/>
                <w:szCs w:val="28"/>
              </w:rPr>
            </w:pPr>
          </w:p>
          <w:p w14:paraId="11C9A526" w14:textId="1899B11F"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Одеська</w:t>
            </w:r>
          </w:p>
          <w:p w14:paraId="1DCDCF7C" w14:textId="5B2CC38F"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Тернопільська</w:t>
            </w:r>
          </w:p>
          <w:p w14:paraId="65E2FAF8" w14:textId="5F5721DC"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Хмельницька</w:t>
            </w:r>
          </w:p>
          <w:p w14:paraId="0108FE54" w14:textId="2CBAD7C1" w:rsidR="00C00A63" w:rsidRPr="00B92069" w:rsidRDefault="00C00A63" w:rsidP="00C00A63">
            <w:pPr>
              <w:shd w:val="clear" w:color="auto" w:fill="FFFFFF"/>
              <w:outlineLvl w:val="0"/>
              <w:rPr>
                <w:rFonts w:ascii="Segoe UI" w:eastAsia="Times New Roman" w:hAnsi="Segoe UI" w:cs="Segoe UI"/>
                <w:bCs/>
                <w:kern w:val="36"/>
                <w:sz w:val="20"/>
                <w:szCs w:val="20"/>
                <w:lang w:val="en-US"/>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Черкаська</w:t>
            </w:r>
          </w:p>
          <w:p w14:paraId="4AA77977" w14:textId="51118427" w:rsidR="00C00A63" w:rsidRDefault="00C00A63" w:rsidP="00C00A63">
            <w:pPr>
              <w:rPr>
                <w:rFonts w:ascii="Times New Roman" w:hAnsi="Times New Roman" w:cs="Times New Roman"/>
                <w:sz w:val="28"/>
                <w:szCs w:val="28"/>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Чернігівська</w:t>
            </w:r>
          </w:p>
        </w:tc>
        <w:tc>
          <w:tcPr>
            <w:tcW w:w="2407" w:type="dxa"/>
          </w:tcPr>
          <w:p w14:paraId="251B0583" w14:textId="77777777" w:rsidR="00C00A63" w:rsidRDefault="00C00A63" w:rsidP="00C00A63">
            <w:pPr>
              <w:jc w:val="center"/>
              <w:rPr>
                <w:rFonts w:ascii="Times New Roman" w:hAnsi="Times New Roman" w:cs="Times New Roman"/>
                <w:b/>
                <w:bCs/>
                <w:sz w:val="28"/>
                <w:szCs w:val="28"/>
              </w:rPr>
            </w:pPr>
            <w:r w:rsidRPr="00C00A63">
              <w:rPr>
                <w:rFonts w:ascii="Times New Roman" w:hAnsi="Times New Roman" w:cs="Times New Roman"/>
                <w:b/>
                <w:bCs/>
                <w:sz w:val="28"/>
                <w:szCs w:val="28"/>
              </w:rPr>
              <w:t>Привабливі регіони</w:t>
            </w:r>
          </w:p>
          <w:p w14:paraId="455C07DD" w14:textId="76A68A3D" w:rsidR="00C00A63" w:rsidRPr="00C00A63" w:rsidRDefault="00C00A63" w:rsidP="00C00A63">
            <w:pPr>
              <w:jc w:val="center"/>
              <w:rPr>
                <w:rFonts w:ascii="Times New Roman" w:hAnsi="Times New Roman" w:cs="Times New Roman"/>
                <w:b/>
                <w:bCs/>
                <w:sz w:val="20"/>
                <w:szCs w:val="20"/>
              </w:rPr>
            </w:pPr>
            <w:r w:rsidRPr="00C00A63">
              <w:rPr>
                <w:rFonts w:ascii="Segoe UI" w:eastAsia="Times New Roman" w:hAnsi="Segoe UI" w:cs="Segoe UI"/>
                <w:bCs/>
                <w:i/>
                <w:iCs/>
                <w:kern w:val="36"/>
                <w:sz w:val="20"/>
                <w:szCs w:val="20"/>
              </w:rPr>
              <w:t>Високопродуктивні регіони, які сильно страждають від близькості до кордону/фронту</w:t>
            </w:r>
          </w:p>
          <w:p w14:paraId="2EF640A1" w14:textId="77777777" w:rsidR="00C00A63" w:rsidRDefault="00C00A63" w:rsidP="00C00A63">
            <w:pPr>
              <w:shd w:val="clear" w:color="auto" w:fill="FFFFFF"/>
              <w:outlineLvl w:val="0"/>
              <w:rPr>
                <w:rFonts w:eastAsia="Times New Roman" w:cs="Segoe UI Emoji"/>
                <w:bCs/>
                <w:kern w:val="36"/>
                <w:sz w:val="20"/>
                <w:szCs w:val="20"/>
              </w:rPr>
            </w:pPr>
          </w:p>
          <w:p w14:paraId="66104684" w14:textId="16F3D0FF" w:rsidR="00C00A63" w:rsidRPr="00975C66" w:rsidRDefault="00C00A63" w:rsidP="00C00A63">
            <w:pPr>
              <w:shd w:val="clear" w:color="auto" w:fill="FFFFFF"/>
              <w:outlineLvl w:val="0"/>
              <w:rPr>
                <w:rFonts w:ascii="Segoe UI" w:eastAsia="Times New Roman" w:hAnsi="Segoe UI" w:cs="Segoe UI"/>
                <w:bCs/>
                <w:kern w:val="36"/>
                <w:sz w:val="20"/>
                <w:szCs w:val="20"/>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Харківська</w:t>
            </w:r>
          </w:p>
          <w:p w14:paraId="3209C642" w14:textId="22A57DDC" w:rsidR="00C00A63" w:rsidRPr="00975C66" w:rsidRDefault="00C00A63" w:rsidP="00C00A63">
            <w:pPr>
              <w:shd w:val="clear" w:color="auto" w:fill="FFFFFF"/>
              <w:outlineLvl w:val="0"/>
              <w:rPr>
                <w:rFonts w:ascii="Segoe UI" w:eastAsia="Times New Roman" w:hAnsi="Segoe UI" w:cs="Segoe UI"/>
                <w:bCs/>
                <w:kern w:val="36"/>
                <w:sz w:val="20"/>
                <w:szCs w:val="20"/>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Сумська</w:t>
            </w:r>
          </w:p>
          <w:p w14:paraId="15EBAF89" w14:textId="0D2944AC" w:rsidR="00EC1D61" w:rsidRDefault="00C00A63" w:rsidP="00C00A63">
            <w:pPr>
              <w:rPr>
                <w:rFonts w:ascii="Times New Roman" w:hAnsi="Times New Roman" w:cs="Times New Roman"/>
                <w:sz w:val="28"/>
                <w:szCs w:val="28"/>
              </w:rPr>
            </w:pPr>
            <w:r w:rsidRPr="00C00A63">
              <w:rPr>
                <w:rFonts w:ascii="Segoe UI Emoji" w:eastAsia="Times New Roman" w:hAnsi="Segoe UI Emoji" w:cs="Segoe UI Emoji"/>
                <w:bCs/>
                <w:kern w:val="36"/>
                <w:sz w:val="20"/>
                <w:szCs w:val="20"/>
              </w:rPr>
              <w:t>🔸</w:t>
            </w:r>
            <w:r w:rsidRPr="00C00A63">
              <w:rPr>
                <w:rFonts w:ascii="Segoe UI" w:eastAsia="Times New Roman" w:hAnsi="Segoe UI" w:cs="Segoe UI"/>
                <w:bCs/>
                <w:kern w:val="36"/>
                <w:sz w:val="20"/>
                <w:szCs w:val="20"/>
              </w:rPr>
              <w:t xml:space="preserve"> Миколаївська</w:t>
            </w:r>
            <w:r>
              <w:rPr>
                <w:rFonts w:ascii="Times New Roman" w:hAnsi="Times New Roman" w:cs="Times New Roman"/>
                <w:sz w:val="28"/>
                <w:szCs w:val="28"/>
              </w:rPr>
              <w:t xml:space="preserve"> </w:t>
            </w:r>
          </w:p>
        </w:tc>
      </w:tr>
      <w:tr w:rsidR="00EC1D61" w14:paraId="69E585A2" w14:textId="77777777" w:rsidTr="00EC1D61">
        <w:tc>
          <w:tcPr>
            <w:tcW w:w="2406" w:type="dxa"/>
          </w:tcPr>
          <w:p w14:paraId="70FDC0A1" w14:textId="30F394CF" w:rsidR="00C00A63" w:rsidRDefault="00C00A63" w:rsidP="00C00A63">
            <w:pPr>
              <w:rPr>
                <w:rFonts w:ascii="Times New Roman" w:hAnsi="Times New Roman" w:cs="Times New Roman"/>
                <w:b/>
                <w:bCs/>
                <w:sz w:val="28"/>
                <w:szCs w:val="28"/>
              </w:rPr>
            </w:pPr>
            <w:r>
              <w:rPr>
                <w:rFonts w:ascii="Times New Roman" w:hAnsi="Times New Roman" w:cs="Times New Roman"/>
                <w:b/>
                <w:bCs/>
                <w:sz w:val="28"/>
                <w:szCs w:val="28"/>
              </w:rPr>
              <w:lastRenderedPageBreak/>
              <w:t>Висока</w:t>
            </w:r>
            <w:r w:rsidRPr="00C00A63">
              <w:rPr>
                <w:rFonts w:ascii="Times New Roman" w:hAnsi="Times New Roman" w:cs="Times New Roman"/>
                <w:b/>
                <w:bCs/>
                <w:sz w:val="28"/>
                <w:szCs w:val="28"/>
              </w:rPr>
              <w:t xml:space="preserve"> дохідність</w:t>
            </w:r>
          </w:p>
          <w:p w14:paraId="3F0471CF" w14:textId="288ED7E2" w:rsidR="00C00A63" w:rsidRDefault="00C00A63" w:rsidP="00C00A63">
            <w:pPr>
              <w:rPr>
                <w:rFonts w:ascii="Times New Roman" w:hAnsi="Times New Roman" w:cs="Times New Roman"/>
                <w:b/>
                <w:bCs/>
                <w:sz w:val="28"/>
                <w:szCs w:val="28"/>
              </w:rPr>
            </w:pPr>
            <w:r w:rsidRPr="00493995">
              <w:rPr>
                <w:rFonts w:ascii="Segoe UI" w:eastAsia="Times New Roman" w:hAnsi="Segoe UI" w:cs="Segoe UI"/>
                <w:bCs/>
                <w:i/>
                <w:iCs/>
                <w:kern w:val="36"/>
                <w:sz w:val="20"/>
                <w:szCs w:val="20"/>
              </w:rPr>
              <w:t>(Лідери за чистим прибутком та рентабельністю)</w:t>
            </w:r>
          </w:p>
          <w:p w14:paraId="2F7CF248" w14:textId="6006692D" w:rsidR="00EC1D61" w:rsidRDefault="00EC1D61" w:rsidP="00EC1D61">
            <w:pPr>
              <w:rPr>
                <w:rFonts w:ascii="Times New Roman" w:hAnsi="Times New Roman" w:cs="Times New Roman"/>
                <w:sz w:val="28"/>
                <w:szCs w:val="28"/>
              </w:rPr>
            </w:pPr>
          </w:p>
        </w:tc>
        <w:tc>
          <w:tcPr>
            <w:tcW w:w="2407" w:type="dxa"/>
          </w:tcPr>
          <w:p w14:paraId="5A6204A0" w14:textId="3ED848D7" w:rsidR="00EC1D61" w:rsidRPr="00C00A63" w:rsidRDefault="00EC1D61" w:rsidP="00EC1D61">
            <w:pPr>
              <w:jc w:val="center"/>
              <w:rPr>
                <w:rFonts w:ascii="Times New Roman" w:hAnsi="Times New Roman" w:cs="Times New Roman"/>
                <w:b/>
                <w:bCs/>
                <w:sz w:val="28"/>
                <w:szCs w:val="28"/>
              </w:rPr>
            </w:pPr>
            <w:r w:rsidRPr="00C00A63">
              <w:rPr>
                <w:rFonts w:ascii="Times New Roman" w:hAnsi="Times New Roman" w:cs="Times New Roman"/>
                <w:b/>
                <w:bCs/>
                <w:sz w:val="28"/>
                <w:szCs w:val="28"/>
              </w:rPr>
              <w:t>Дуже привабливі</w:t>
            </w:r>
            <w:r w:rsidR="00C00A63" w:rsidRPr="00C00A63">
              <w:rPr>
                <w:rFonts w:ascii="Times New Roman" w:hAnsi="Times New Roman" w:cs="Times New Roman"/>
                <w:b/>
                <w:bCs/>
                <w:sz w:val="28"/>
                <w:szCs w:val="28"/>
              </w:rPr>
              <w:t xml:space="preserve"> регіони</w:t>
            </w:r>
          </w:p>
          <w:p w14:paraId="111B5EAC" w14:textId="77777777" w:rsidR="00C00A63" w:rsidRPr="00493995" w:rsidRDefault="00C00A63" w:rsidP="00C00A63">
            <w:pPr>
              <w:shd w:val="clear" w:color="auto" w:fill="FFFFFF"/>
              <w:outlineLvl w:val="0"/>
              <w:rPr>
                <w:rFonts w:ascii="Segoe UI" w:eastAsia="Times New Roman" w:hAnsi="Segoe UI" w:cs="Segoe UI"/>
                <w:bCs/>
                <w:kern w:val="36"/>
                <w:sz w:val="20"/>
                <w:szCs w:val="20"/>
              </w:rPr>
            </w:pPr>
            <w:proofErr w:type="spellStart"/>
            <w:r w:rsidRPr="00493995">
              <w:rPr>
                <w:rFonts w:ascii="Segoe UI" w:eastAsia="Times New Roman" w:hAnsi="Segoe UI" w:cs="Segoe UI"/>
                <w:bCs/>
                <w:i/>
                <w:iCs/>
                <w:kern w:val="36"/>
                <w:sz w:val="20"/>
                <w:szCs w:val="20"/>
              </w:rPr>
              <w:t>Малоімовірний</w:t>
            </w:r>
            <w:proofErr w:type="spellEnd"/>
            <w:r w:rsidRPr="00493995">
              <w:rPr>
                <w:rFonts w:ascii="Segoe UI" w:eastAsia="Times New Roman" w:hAnsi="Segoe UI" w:cs="Segoe UI"/>
                <w:bCs/>
                <w:i/>
                <w:iCs/>
                <w:kern w:val="36"/>
                <w:sz w:val="20"/>
                <w:szCs w:val="20"/>
              </w:rPr>
              <w:t xml:space="preserve"> теоретичний сектор для умов війни (високий дохід без ризику).</w:t>
            </w:r>
          </w:p>
          <w:p w14:paraId="67676EF9" w14:textId="40B51E2F" w:rsidR="00EB4033" w:rsidRDefault="00EB4033" w:rsidP="00EB4033">
            <w:pPr>
              <w:rPr>
                <w:rFonts w:ascii="Times New Roman" w:hAnsi="Times New Roman" w:cs="Times New Roman"/>
                <w:sz w:val="28"/>
                <w:szCs w:val="28"/>
              </w:rPr>
            </w:pPr>
          </w:p>
        </w:tc>
        <w:tc>
          <w:tcPr>
            <w:tcW w:w="2407" w:type="dxa"/>
          </w:tcPr>
          <w:p w14:paraId="79494678" w14:textId="77777777" w:rsidR="00C00A63" w:rsidRPr="00C00A63" w:rsidRDefault="00C00A63" w:rsidP="00C00A63">
            <w:pPr>
              <w:jc w:val="center"/>
              <w:rPr>
                <w:rFonts w:ascii="Times New Roman" w:hAnsi="Times New Roman" w:cs="Times New Roman"/>
                <w:b/>
                <w:bCs/>
                <w:sz w:val="28"/>
                <w:szCs w:val="28"/>
              </w:rPr>
            </w:pPr>
            <w:r w:rsidRPr="00C00A63">
              <w:rPr>
                <w:rFonts w:ascii="Times New Roman" w:hAnsi="Times New Roman" w:cs="Times New Roman"/>
                <w:b/>
                <w:bCs/>
                <w:sz w:val="28"/>
                <w:szCs w:val="28"/>
              </w:rPr>
              <w:t>Дуже привабливі регіони</w:t>
            </w:r>
          </w:p>
          <w:p w14:paraId="30E6AB90" w14:textId="27653C81" w:rsidR="00C00A63" w:rsidRDefault="00C00A63" w:rsidP="00C00A63">
            <w:pPr>
              <w:shd w:val="clear" w:color="auto" w:fill="FFFFFF"/>
              <w:outlineLvl w:val="0"/>
              <w:rPr>
                <w:rFonts w:ascii="Segoe UI" w:eastAsia="Times New Roman" w:hAnsi="Segoe UI" w:cs="Segoe UI"/>
                <w:bCs/>
                <w:i/>
                <w:iCs/>
                <w:kern w:val="36"/>
                <w:sz w:val="20"/>
                <w:szCs w:val="20"/>
              </w:rPr>
            </w:pPr>
            <w:r w:rsidRPr="00493995">
              <w:rPr>
                <w:rFonts w:ascii="Segoe UI" w:eastAsia="Times New Roman" w:hAnsi="Segoe UI" w:cs="Segoe UI"/>
                <w:bCs/>
                <w:i/>
                <w:iCs/>
                <w:kern w:val="36"/>
                <w:sz w:val="20"/>
                <w:szCs w:val="20"/>
              </w:rPr>
              <w:t>Абсолютні лідери за обсягами виробництва та експорту</w:t>
            </w:r>
          </w:p>
          <w:p w14:paraId="1A5C271B" w14:textId="77777777" w:rsidR="002A0C6F" w:rsidRDefault="002A0C6F" w:rsidP="00C00A63">
            <w:pPr>
              <w:shd w:val="clear" w:color="auto" w:fill="FFFFFF"/>
              <w:outlineLvl w:val="0"/>
              <w:rPr>
                <w:rFonts w:ascii="Segoe UI" w:eastAsia="Times New Roman" w:hAnsi="Segoe UI" w:cs="Segoe UI"/>
                <w:bCs/>
                <w:i/>
                <w:iCs/>
                <w:kern w:val="36"/>
                <w:sz w:val="20"/>
                <w:szCs w:val="20"/>
              </w:rPr>
            </w:pPr>
          </w:p>
          <w:p w14:paraId="3EB3E0E5" w14:textId="41DA35BE"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Вінницька</w:t>
            </w:r>
          </w:p>
          <w:p w14:paraId="21F151CE" w14:textId="6B4C852D" w:rsidR="00C00A63" w:rsidRPr="00975C66" w:rsidRDefault="00C00A63" w:rsidP="00C00A63">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Київська</w:t>
            </w:r>
          </w:p>
          <w:p w14:paraId="061936DA" w14:textId="648C6202" w:rsidR="00EB4033" w:rsidRPr="002A0C6F" w:rsidRDefault="00C00A63" w:rsidP="002A0C6F">
            <w:pPr>
              <w:shd w:val="clear" w:color="auto" w:fill="FFFFFF"/>
              <w:outlineLvl w:val="0"/>
              <w:rPr>
                <w:rFonts w:ascii="Segoe UI" w:eastAsia="Times New Roman" w:hAnsi="Segoe UI" w:cs="Segoe UI"/>
                <w:bCs/>
                <w:kern w:val="36"/>
                <w:sz w:val="20"/>
                <w:szCs w:val="20"/>
              </w:rPr>
            </w:pPr>
            <w:r w:rsidRPr="00493995">
              <w:rPr>
                <w:rFonts w:ascii="Segoe UI Emoji" w:eastAsia="Times New Roman" w:hAnsi="Segoe UI Emoji" w:cs="Segoe UI Emoji"/>
                <w:bCs/>
                <w:kern w:val="36"/>
                <w:sz w:val="20"/>
                <w:szCs w:val="20"/>
              </w:rPr>
              <w:t>🔸</w:t>
            </w:r>
            <w:r w:rsidRPr="00493995">
              <w:rPr>
                <w:rFonts w:ascii="Segoe UI" w:eastAsia="Times New Roman" w:hAnsi="Segoe UI" w:cs="Segoe UI"/>
                <w:bCs/>
                <w:kern w:val="36"/>
                <w:sz w:val="20"/>
                <w:szCs w:val="20"/>
              </w:rPr>
              <w:t xml:space="preserve"> Полтавська</w:t>
            </w:r>
          </w:p>
        </w:tc>
        <w:tc>
          <w:tcPr>
            <w:tcW w:w="2407" w:type="dxa"/>
          </w:tcPr>
          <w:p w14:paraId="0B217198" w14:textId="77777777" w:rsidR="00C00A63" w:rsidRPr="00C00A63" w:rsidRDefault="00C00A63" w:rsidP="00C00A63">
            <w:pPr>
              <w:jc w:val="center"/>
              <w:rPr>
                <w:rFonts w:ascii="Times New Roman" w:hAnsi="Times New Roman" w:cs="Times New Roman"/>
                <w:b/>
                <w:bCs/>
                <w:sz w:val="28"/>
                <w:szCs w:val="28"/>
              </w:rPr>
            </w:pPr>
            <w:r w:rsidRPr="00C00A63">
              <w:rPr>
                <w:rFonts w:ascii="Times New Roman" w:hAnsi="Times New Roman" w:cs="Times New Roman"/>
                <w:b/>
                <w:bCs/>
                <w:sz w:val="28"/>
                <w:szCs w:val="28"/>
              </w:rPr>
              <w:t>Дуже привабливі регіони</w:t>
            </w:r>
          </w:p>
          <w:p w14:paraId="105A0E5B" w14:textId="5ADEAB5F" w:rsidR="00EB4033" w:rsidRDefault="00EB4033" w:rsidP="00EB4033">
            <w:pPr>
              <w:rPr>
                <w:rFonts w:ascii="Times New Roman" w:hAnsi="Times New Roman" w:cs="Times New Roman"/>
                <w:sz w:val="28"/>
                <w:szCs w:val="28"/>
              </w:rPr>
            </w:pPr>
          </w:p>
        </w:tc>
      </w:tr>
    </w:tbl>
    <w:p w14:paraId="6EBEB565" w14:textId="77777777" w:rsidR="006B65F1" w:rsidRDefault="006B65F1" w:rsidP="006B65F1">
      <w:pPr>
        <w:spacing w:after="0" w:line="360" w:lineRule="auto"/>
        <w:ind w:firstLine="709"/>
        <w:jc w:val="center"/>
        <w:rPr>
          <w:rFonts w:ascii="Times New Roman" w:hAnsi="Times New Roman" w:cs="Times New Roman"/>
          <w:sz w:val="28"/>
          <w:szCs w:val="28"/>
        </w:rPr>
      </w:pPr>
    </w:p>
    <w:p w14:paraId="23F987B9" w14:textId="16D02086" w:rsidR="00F81777" w:rsidRPr="00F81777" w:rsidRDefault="00F81777" w:rsidP="00F81777">
      <w:pPr>
        <w:spacing w:after="0" w:line="360" w:lineRule="auto"/>
        <w:ind w:firstLine="709"/>
        <w:jc w:val="both"/>
        <w:rPr>
          <w:rFonts w:ascii="Times New Roman" w:hAnsi="Times New Roman" w:cs="Times New Roman"/>
          <w:sz w:val="28"/>
          <w:szCs w:val="28"/>
        </w:rPr>
      </w:pPr>
      <w:r w:rsidRPr="00F81777">
        <w:rPr>
          <w:rFonts w:ascii="Times New Roman" w:hAnsi="Times New Roman" w:cs="Times New Roman"/>
          <w:sz w:val="28"/>
          <w:szCs w:val="28"/>
        </w:rPr>
        <w:t xml:space="preserve">Через повномасштабну війну, блокування та розблокування морських портів, </w:t>
      </w:r>
      <w:proofErr w:type="spellStart"/>
      <w:r w:rsidRPr="00F81777">
        <w:rPr>
          <w:rFonts w:ascii="Times New Roman" w:hAnsi="Times New Roman" w:cs="Times New Roman"/>
          <w:sz w:val="28"/>
          <w:szCs w:val="28"/>
        </w:rPr>
        <w:t>релокацію</w:t>
      </w:r>
      <w:proofErr w:type="spellEnd"/>
      <w:r w:rsidRPr="00F81777">
        <w:rPr>
          <w:rFonts w:ascii="Times New Roman" w:hAnsi="Times New Roman" w:cs="Times New Roman"/>
          <w:sz w:val="28"/>
          <w:szCs w:val="28"/>
        </w:rPr>
        <w:t xml:space="preserve"> бізнесу та постійні обстріли, традиційні показники прибутковості та ризику (</w:t>
      </w:r>
      <w:r w:rsidRPr="00EC1D61">
        <w:rPr>
          <w:rFonts w:ascii="Times New Roman" w:hAnsi="Times New Roman" w:cs="Times New Roman"/>
          <w:sz w:val="28"/>
          <w:szCs w:val="28"/>
        </w:rPr>
        <w:t>β</w:t>
      </w:r>
      <w:r w:rsidRPr="00F81777">
        <w:rPr>
          <w:rFonts w:ascii="Times New Roman" w:hAnsi="Times New Roman" w:cs="Times New Roman"/>
          <w:sz w:val="28"/>
          <w:szCs w:val="28"/>
        </w:rPr>
        <w:t>-коефіцієнт) зазнали суттєвих зсувів:</w:t>
      </w:r>
    </w:p>
    <w:p w14:paraId="36D87895" w14:textId="77777777" w:rsidR="00F81777" w:rsidRPr="00F81777" w:rsidRDefault="00F81777" w:rsidP="00F81777">
      <w:pPr>
        <w:numPr>
          <w:ilvl w:val="0"/>
          <w:numId w:val="3"/>
        </w:numPr>
        <w:tabs>
          <w:tab w:val="clear" w:pos="720"/>
          <w:tab w:val="num" w:pos="426"/>
        </w:tabs>
        <w:spacing w:after="0" w:line="360" w:lineRule="auto"/>
        <w:ind w:left="0" w:firstLine="360"/>
        <w:jc w:val="both"/>
        <w:rPr>
          <w:rFonts w:ascii="Times New Roman" w:hAnsi="Times New Roman" w:cs="Times New Roman"/>
          <w:sz w:val="28"/>
          <w:szCs w:val="28"/>
        </w:rPr>
      </w:pPr>
      <w:r w:rsidRPr="00F81777">
        <w:rPr>
          <w:rFonts w:ascii="Times New Roman" w:hAnsi="Times New Roman" w:cs="Times New Roman"/>
          <w:sz w:val="28"/>
          <w:szCs w:val="28"/>
        </w:rPr>
        <w:t>Західні регіони продемонстрували стрімке зростання дохідності через відносну безпеку та близькість до європейських логістичних хабів.</w:t>
      </w:r>
    </w:p>
    <w:p w14:paraId="2996C4B2" w14:textId="4DCED805" w:rsidR="00F81777" w:rsidRPr="00F81777" w:rsidRDefault="00F81777" w:rsidP="00F81777">
      <w:pPr>
        <w:numPr>
          <w:ilvl w:val="0"/>
          <w:numId w:val="3"/>
        </w:numPr>
        <w:tabs>
          <w:tab w:val="clear" w:pos="720"/>
          <w:tab w:val="num" w:pos="426"/>
        </w:tabs>
        <w:spacing w:after="0" w:line="360" w:lineRule="auto"/>
        <w:ind w:left="0" w:firstLine="360"/>
        <w:jc w:val="both"/>
        <w:rPr>
          <w:rFonts w:ascii="Times New Roman" w:hAnsi="Times New Roman" w:cs="Times New Roman"/>
          <w:sz w:val="28"/>
          <w:szCs w:val="28"/>
        </w:rPr>
      </w:pPr>
      <w:r w:rsidRPr="00F81777">
        <w:rPr>
          <w:rFonts w:ascii="Times New Roman" w:hAnsi="Times New Roman" w:cs="Times New Roman"/>
          <w:sz w:val="28"/>
          <w:szCs w:val="28"/>
        </w:rPr>
        <w:t>Прифронтові та південно-східні регіони змістилися у зону надвисокого ризику або тимчасово випали з розрахунків через окупацію та мінування, що призвело до падіння їхньої дохідності.</w:t>
      </w:r>
    </w:p>
    <w:p w14:paraId="1804AEF8" w14:textId="77777777" w:rsidR="00F81777" w:rsidRPr="00F81777" w:rsidRDefault="00F81777" w:rsidP="00F81777">
      <w:pPr>
        <w:numPr>
          <w:ilvl w:val="0"/>
          <w:numId w:val="3"/>
        </w:numPr>
        <w:tabs>
          <w:tab w:val="clear" w:pos="720"/>
          <w:tab w:val="num" w:pos="426"/>
        </w:tabs>
        <w:spacing w:after="0" w:line="360" w:lineRule="auto"/>
        <w:ind w:left="0" w:firstLine="360"/>
        <w:jc w:val="both"/>
        <w:rPr>
          <w:rFonts w:ascii="Times New Roman" w:hAnsi="Times New Roman" w:cs="Times New Roman"/>
          <w:sz w:val="28"/>
          <w:szCs w:val="28"/>
        </w:rPr>
      </w:pPr>
      <w:r w:rsidRPr="00F81777">
        <w:rPr>
          <w:rFonts w:ascii="Times New Roman" w:hAnsi="Times New Roman" w:cs="Times New Roman"/>
          <w:sz w:val="28"/>
          <w:szCs w:val="28"/>
        </w:rPr>
        <w:t>Центральні регіони зберегли статус найстабільніших локомотивів агросектору.</w:t>
      </w:r>
    </w:p>
    <w:p w14:paraId="7D3444BA" w14:textId="08CEEC10" w:rsidR="00390F33" w:rsidRDefault="00390F33" w:rsidP="00390F33">
      <w:pPr>
        <w:spacing w:after="0" w:line="360" w:lineRule="auto"/>
        <w:ind w:firstLine="709"/>
        <w:jc w:val="both"/>
        <w:rPr>
          <w:rFonts w:ascii="Times New Roman" w:hAnsi="Times New Roman" w:cs="Times New Roman"/>
          <w:sz w:val="28"/>
          <w:szCs w:val="28"/>
        </w:rPr>
      </w:pPr>
      <w:r w:rsidRPr="00390F33">
        <w:rPr>
          <w:rFonts w:ascii="Times New Roman" w:hAnsi="Times New Roman" w:cs="Times New Roman"/>
          <w:sz w:val="28"/>
          <w:szCs w:val="28"/>
        </w:rPr>
        <w:t>У період 2022</w:t>
      </w:r>
      <w:r w:rsidR="00F81777">
        <w:rPr>
          <w:rFonts w:ascii="Times New Roman" w:hAnsi="Times New Roman" w:cs="Times New Roman"/>
          <w:sz w:val="28"/>
          <w:szCs w:val="28"/>
        </w:rPr>
        <w:t>-</w:t>
      </w:r>
      <w:r w:rsidRPr="00390F33">
        <w:rPr>
          <w:rFonts w:ascii="Times New Roman" w:hAnsi="Times New Roman" w:cs="Times New Roman"/>
          <w:sz w:val="28"/>
          <w:szCs w:val="28"/>
        </w:rPr>
        <w:t xml:space="preserve">2025 років показник дисперсії середньої дохідності по Україні </w:t>
      </w:r>
      <w:r w:rsidRPr="006B65F1">
        <w:rPr>
          <w:rFonts w:ascii="Times New Roman" w:hAnsi="Times New Roman" w:cs="Times New Roman"/>
          <w:sz w:val="28"/>
          <w:szCs w:val="28"/>
        </w:rPr>
        <w:t>σ</w:t>
      </w:r>
      <w:r w:rsidRPr="00B60CF7">
        <w:rPr>
          <w:rFonts w:ascii="Times New Roman" w:hAnsi="Times New Roman" w:cs="Times New Roman"/>
          <w:sz w:val="28"/>
          <w:szCs w:val="28"/>
          <w:vertAlign w:val="superscript"/>
        </w:rPr>
        <w:t>2</w:t>
      </w:r>
      <w:r w:rsidRPr="006B65F1">
        <w:rPr>
          <w:rFonts w:ascii="Times New Roman" w:hAnsi="Times New Roman" w:cs="Times New Roman"/>
          <w:sz w:val="28"/>
          <w:szCs w:val="28"/>
        </w:rPr>
        <w:t>(</w:t>
      </w:r>
      <w:proofErr w:type="spellStart"/>
      <w:r w:rsidRPr="006B65F1">
        <w:rPr>
          <w:rFonts w:ascii="Times New Roman" w:hAnsi="Times New Roman" w:cs="Times New Roman"/>
          <w:sz w:val="28"/>
          <w:szCs w:val="28"/>
        </w:rPr>
        <w:t>D</w:t>
      </w:r>
      <w:r w:rsidRPr="00B60CF7">
        <w:rPr>
          <w:rFonts w:ascii="Times New Roman" w:hAnsi="Times New Roman" w:cs="Times New Roman"/>
          <w:sz w:val="28"/>
          <w:szCs w:val="28"/>
          <w:vertAlign w:val="subscript"/>
        </w:rPr>
        <w:t>m</w:t>
      </w:r>
      <w:proofErr w:type="spellEnd"/>
      <w:r w:rsidRPr="006B65F1">
        <w:rPr>
          <w:rFonts w:ascii="Times New Roman" w:hAnsi="Times New Roman" w:cs="Times New Roman"/>
          <w:sz w:val="28"/>
          <w:szCs w:val="28"/>
        </w:rPr>
        <w:t xml:space="preserve">) </w:t>
      </w:r>
      <w:r w:rsidRPr="00390F33">
        <w:rPr>
          <w:rFonts w:ascii="Times New Roman" w:hAnsi="Times New Roman" w:cs="Times New Roman"/>
          <w:sz w:val="28"/>
          <w:szCs w:val="28"/>
        </w:rPr>
        <w:t xml:space="preserve">різко зріс. Це означає, що загальний рівень ризику в країні став аномально високим, через що багато регіонів, які раніше мали </w:t>
      </w:r>
      <w:r w:rsidRPr="00EC1D61">
        <w:rPr>
          <w:rFonts w:ascii="Times New Roman" w:hAnsi="Times New Roman" w:cs="Times New Roman"/>
          <w:sz w:val="28"/>
          <w:szCs w:val="28"/>
        </w:rPr>
        <w:t>β&gt;1</w:t>
      </w:r>
      <w:r w:rsidRPr="00390F33">
        <w:rPr>
          <w:rFonts w:ascii="Times New Roman" w:hAnsi="Times New Roman" w:cs="Times New Roman"/>
          <w:sz w:val="28"/>
          <w:szCs w:val="28"/>
        </w:rPr>
        <w:t xml:space="preserve">, формально перейшли в категорію </w:t>
      </w:r>
      <w:r w:rsidRPr="00EC1D61">
        <w:rPr>
          <w:rFonts w:ascii="Times New Roman" w:hAnsi="Times New Roman" w:cs="Times New Roman"/>
          <w:sz w:val="28"/>
          <w:szCs w:val="28"/>
        </w:rPr>
        <w:t>0&lt;β≤1</w:t>
      </w:r>
      <w:r w:rsidRPr="00390F33">
        <w:rPr>
          <w:rFonts w:ascii="Times New Roman" w:hAnsi="Times New Roman" w:cs="Times New Roman"/>
          <w:sz w:val="28"/>
          <w:szCs w:val="28"/>
        </w:rPr>
        <w:t xml:space="preserve"> (оскільки їхня внутрішня мінливість зрівнялася із загальнодержавним воєнним фоном).</w:t>
      </w:r>
    </w:p>
    <w:p w14:paraId="0006C0FD" w14:textId="6CA709DB" w:rsidR="00F81777" w:rsidRPr="00F81777" w:rsidRDefault="00F81777" w:rsidP="00F81777">
      <w:pPr>
        <w:spacing w:after="0" w:line="360" w:lineRule="auto"/>
        <w:ind w:firstLine="709"/>
        <w:jc w:val="both"/>
        <w:rPr>
          <w:rFonts w:ascii="Times New Roman" w:hAnsi="Times New Roman" w:cs="Times New Roman"/>
          <w:sz w:val="28"/>
          <w:szCs w:val="28"/>
        </w:rPr>
      </w:pPr>
      <w:r w:rsidRPr="00F81777">
        <w:rPr>
          <w:rFonts w:ascii="Times New Roman" w:hAnsi="Times New Roman" w:cs="Times New Roman"/>
          <w:sz w:val="28"/>
          <w:szCs w:val="28"/>
        </w:rPr>
        <w:t xml:space="preserve">Львівська, Івано-Франківська та Чернівецька області суттєво наростили обсяги реалізації продукції (у деяких випадках до +90-100% за даними звітів </w:t>
      </w:r>
      <w:proofErr w:type="spellStart"/>
      <w:r w:rsidRPr="00F81777">
        <w:rPr>
          <w:rFonts w:ascii="Times New Roman" w:hAnsi="Times New Roman" w:cs="Times New Roman"/>
          <w:sz w:val="28"/>
          <w:szCs w:val="28"/>
        </w:rPr>
        <w:t>Держстату</w:t>
      </w:r>
      <w:proofErr w:type="spellEnd"/>
      <w:r w:rsidRPr="00F81777">
        <w:rPr>
          <w:rFonts w:ascii="Times New Roman" w:hAnsi="Times New Roman" w:cs="Times New Roman"/>
          <w:sz w:val="28"/>
          <w:szCs w:val="28"/>
        </w:rPr>
        <w:t>) завдяки розвитку внутрішньої переробки та новим залізничним хабам на кордоні з ЄС.</w:t>
      </w:r>
    </w:p>
    <w:p w14:paraId="1E2649C2" w14:textId="26F327F2" w:rsidR="00F81777" w:rsidRPr="00F81777" w:rsidRDefault="00F81777" w:rsidP="00F81777">
      <w:pPr>
        <w:spacing w:after="0" w:line="360" w:lineRule="auto"/>
        <w:ind w:firstLine="709"/>
        <w:jc w:val="both"/>
        <w:rPr>
          <w:rFonts w:ascii="Times New Roman" w:hAnsi="Times New Roman" w:cs="Times New Roman"/>
          <w:sz w:val="28"/>
          <w:szCs w:val="28"/>
        </w:rPr>
      </w:pPr>
      <w:r w:rsidRPr="00F81777">
        <w:rPr>
          <w:rFonts w:ascii="Times New Roman" w:hAnsi="Times New Roman" w:cs="Times New Roman"/>
          <w:sz w:val="28"/>
          <w:szCs w:val="28"/>
        </w:rPr>
        <w:t xml:space="preserve">Такі області як Херсонська та Запорізька через тимчасову </w:t>
      </w:r>
      <w:proofErr w:type="spellStart"/>
      <w:r w:rsidRPr="00F81777">
        <w:rPr>
          <w:rFonts w:ascii="Times New Roman" w:hAnsi="Times New Roman" w:cs="Times New Roman"/>
          <w:sz w:val="28"/>
          <w:szCs w:val="28"/>
        </w:rPr>
        <w:t>окупованість</w:t>
      </w:r>
      <w:proofErr w:type="spellEnd"/>
      <w:r w:rsidRPr="00F81777">
        <w:rPr>
          <w:rFonts w:ascii="Times New Roman" w:hAnsi="Times New Roman" w:cs="Times New Roman"/>
          <w:sz w:val="28"/>
          <w:szCs w:val="28"/>
        </w:rPr>
        <w:t xml:space="preserve"> значної частини територій, </w:t>
      </w:r>
      <w:proofErr w:type="spellStart"/>
      <w:r w:rsidRPr="00F81777">
        <w:rPr>
          <w:rFonts w:ascii="Times New Roman" w:hAnsi="Times New Roman" w:cs="Times New Roman"/>
          <w:sz w:val="28"/>
          <w:szCs w:val="28"/>
        </w:rPr>
        <w:t>замінування</w:t>
      </w:r>
      <w:proofErr w:type="spellEnd"/>
      <w:r w:rsidRPr="00F81777">
        <w:rPr>
          <w:rFonts w:ascii="Times New Roman" w:hAnsi="Times New Roman" w:cs="Times New Roman"/>
          <w:sz w:val="28"/>
          <w:szCs w:val="28"/>
        </w:rPr>
        <w:t xml:space="preserve"> та руйнування Каховської ГЕС критично знизили показники дохідності за формою № 50-сг, перемістившись у групу «Непривабливі». Натомість Миколаївська та Харківська області, попри шалений </w:t>
      </w:r>
      <w:r w:rsidRPr="00F81777">
        <w:rPr>
          <w:rFonts w:ascii="Times New Roman" w:hAnsi="Times New Roman" w:cs="Times New Roman"/>
          <w:sz w:val="28"/>
          <w:szCs w:val="28"/>
        </w:rPr>
        <w:lastRenderedPageBreak/>
        <w:t>безпековий ризик, завдяки стійкості бізнесу утримують середній рівень дохідності.</w:t>
      </w:r>
    </w:p>
    <w:p w14:paraId="279CCC68" w14:textId="77777777"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Для детального секторального аналізу доцільно чітко розмежувати дискретні інституційні чинники, що детермінують динаміку капіталізації та інвестиційні наміри в </w:t>
      </w:r>
      <w:proofErr w:type="spellStart"/>
      <w:r w:rsidRPr="00D935C2">
        <w:rPr>
          <w:rFonts w:ascii="Times New Roman" w:hAnsi="Times New Roman" w:cs="Times New Roman"/>
          <w:sz w:val="28"/>
          <w:szCs w:val="28"/>
        </w:rPr>
        <w:t>агросистемі</w:t>
      </w:r>
      <w:proofErr w:type="spellEnd"/>
      <w:r w:rsidRPr="00D935C2">
        <w:rPr>
          <w:rFonts w:ascii="Times New Roman" w:hAnsi="Times New Roman" w:cs="Times New Roman"/>
          <w:sz w:val="28"/>
          <w:szCs w:val="28"/>
        </w:rPr>
        <w:t>.</w:t>
      </w:r>
    </w:p>
    <w:p w14:paraId="2795E3CE" w14:textId="77777777"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Першим базовим чинником інституційної дестабілізації виступає динамічна зміна податкового законодавства. Тривалий час аграрний сектор функціонував в умовах відносно стабільного пільгового або фіксованого оподаткування (четверта група єдиного податку), що дозволяло акумулювати чистий прибуток і спрямовувати його на реінвестування в технічне оновлення.</w:t>
      </w:r>
    </w:p>
    <w:p w14:paraId="3C511560" w14:textId="5DD358C4" w:rsidR="009B45C0" w:rsidRPr="007B78AD" w:rsidRDefault="009B45C0" w:rsidP="00D935C2">
      <w:pPr>
        <w:spacing w:after="0" w:line="360" w:lineRule="auto"/>
        <w:ind w:firstLine="709"/>
        <w:jc w:val="both"/>
        <w:rPr>
          <w:rFonts w:ascii="Times New Roman" w:hAnsi="Times New Roman" w:cs="Times New Roman"/>
          <w:sz w:val="28"/>
          <w:szCs w:val="28"/>
        </w:rPr>
      </w:pPr>
      <w:r w:rsidRPr="007B78AD">
        <w:rPr>
          <w:rFonts w:ascii="Times New Roman" w:hAnsi="Times New Roman" w:cs="Times New Roman"/>
          <w:sz w:val="28"/>
          <w:szCs w:val="28"/>
        </w:rPr>
        <w:t xml:space="preserve">Проте критична необхідність збалансування державного бюджету призвела до суттєвого перегляду фіскальної політики, що зафіксовано у Законі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w:t>
      </w:r>
      <w:r w:rsidRPr="00E2402B">
        <w:rPr>
          <w:rFonts w:ascii="Times New Roman" w:hAnsi="Times New Roman" w:cs="Times New Roman"/>
          <w:sz w:val="28"/>
          <w:szCs w:val="28"/>
        </w:rPr>
        <w:t>стану» від 10 жовтня 2024 року № 4015-IX</w:t>
      </w:r>
      <w:r w:rsidR="007B78AD" w:rsidRPr="00E2402B">
        <w:rPr>
          <w:rFonts w:ascii="Times New Roman" w:hAnsi="Times New Roman" w:cs="Times New Roman"/>
          <w:sz w:val="28"/>
          <w:szCs w:val="28"/>
        </w:rPr>
        <w:t xml:space="preserve"> [</w:t>
      </w:r>
      <w:r w:rsidR="00E2402B" w:rsidRPr="00E2402B">
        <w:rPr>
          <w:rFonts w:ascii="Times New Roman" w:hAnsi="Times New Roman" w:cs="Times New Roman"/>
          <w:sz w:val="28"/>
          <w:szCs w:val="28"/>
        </w:rPr>
        <w:t>30</w:t>
      </w:r>
      <w:r w:rsidR="007B78AD" w:rsidRPr="00E2402B">
        <w:rPr>
          <w:rFonts w:ascii="Times New Roman" w:hAnsi="Times New Roman" w:cs="Times New Roman"/>
          <w:sz w:val="28"/>
          <w:szCs w:val="28"/>
        </w:rPr>
        <w:t>]</w:t>
      </w:r>
      <w:r w:rsidRPr="00E2402B">
        <w:rPr>
          <w:rFonts w:ascii="Times New Roman" w:hAnsi="Times New Roman" w:cs="Times New Roman"/>
          <w:sz w:val="28"/>
          <w:szCs w:val="28"/>
        </w:rPr>
        <w:t>.</w:t>
      </w:r>
    </w:p>
    <w:p w14:paraId="0DADDEEB" w14:textId="2BE665B7" w:rsidR="009B45C0"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Вилучення частини оборотних коштів через підвищення військового збору, реформування правил нарахування ПДВ та посилення адміністрування податків напряму знижують обсяг вільного грошового потоку, який аграрії традиційно використовували як внутрішнє джерело капіталовкладень. В умовах обмеженого доступу до банківського кредитування (навіть за наявності програми «Доступні кредити 5-7-9%») фіскальний тиск автоматично консервує інвестиційну активність. Суб'єкти господарювання змушені відмовлятися від оновлення парку техніки на користь підтримання поточної операційної ліквідності.</w:t>
      </w:r>
    </w:p>
    <w:p w14:paraId="52F75ACF" w14:textId="74B7E196"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Другим фундаментальним інституційним чинником є формування дієвого ринку страхування від ризиків. Відсутність чітких законодавчих гарантій відшкодування збитків, завданих руйнуванням елеваторів, мінуванням сільськогосподарських угідь або знищенням техніки, виступає головним стоп-сигналом для зовнішніх та великих внутрішніх інвесторів.</w:t>
      </w:r>
    </w:p>
    <w:p w14:paraId="76638B6A" w14:textId="7E07E0A4" w:rsidR="009B45C0" w:rsidRPr="00D935C2" w:rsidRDefault="009B45C0" w:rsidP="00D935C2">
      <w:pPr>
        <w:spacing w:after="0" w:line="360" w:lineRule="auto"/>
        <w:ind w:firstLine="709"/>
        <w:jc w:val="both"/>
        <w:rPr>
          <w:rFonts w:ascii="Times New Roman" w:hAnsi="Times New Roman" w:cs="Times New Roman"/>
          <w:sz w:val="28"/>
          <w:szCs w:val="28"/>
        </w:rPr>
      </w:pPr>
      <w:r w:rsidRPr="0003352B">
        <w:rPr>
          <w:rFonts w:ascii="Times New Roman" w:hAnsi="Times New Roman" w:cs="Times New Roman"/>
          <w:sz w:val="28"/>
          <w:szCs w:val="28"/>
        </w:rPr>
        <w:t xml:space="preserve">Позитивним інституційним зрушенням стало ухвалення Закону України «Про внесення змін до Закону України "Про фінансові механізми стимулювання </w:t>
      </w:r>
      <w:r w:rsidRPr="0003352B">
        <w:rPr>
          <w:rFonts w:ascii="Times New Roman" w:hAnsi="Times New Roman" w:cs="Times New Roman"/>
          <w:sz w:val="28"/>
          <w:szCs w:val="28"/>
        </w:rPr>
        <w:lastRenderedPageBreak/>
        <w:t xml:space="preserve">експортної діяльності" щодо страхування інвестицій в Україні від воєнних </w:t>
      </w:r>
      <w:r w:rsidRPr="00956B77">
        <w:rPr>
          <w:rFonts w:ascii="Times New Roman" w:hAnsi="Times New Roman" w:cs="Times New Roman"/>
          <w:sz w:val="28"/>
          <w:szCs w:val="28"/>
        </w:rPr>
        <w:t>ризиків» від 22 листопада 2023 року № 3497-ІХ</w:t>
      </w:r>
      <w:r w:rsidR="0003352B" w:rsidRPr="00956B77">
        <w:rPr>
          <w:rFonts w:ascii="Times New Roman" w:hAnsi="Times New Roman" w:cs="Times New Roman"/>
          <w:sz w:val="28"/>
          <w:szCs w:val="28"/>
        </w:rPr>
        <w:t xml:space="preserve"> [</w:t>
      </w:r>
      <w:r w:rsidR="00956B77" w:rsidRPr="00956B77">
        <w:rPr>
          <w:rFonts w:ascii="Times New Roman" w:hAnsi="Times New Roman" w:cs="Times New Roman"/>
          <w:sz w:val="28"/>
          <w:szCs w:val="28"/>
        </w:rPr>
        <w:t>31</w:t>
      </w:r>
      <w:r w:rsidR="0003352B" w:rsidRPr="00956B77">
        <w:rPr>
          <w:rFonts w:ascii="Times New Roman" w:hAnsi="Times New Roman" w:cs="Times New Roman"/>
          <w:sz w:val="28"/>
          <w:szCs w:val="28"/>
        </w:rPr>
        <w:t>]</w:t>
      </w:r>
      <w:r w:rsidRPr="00956B77">
        <w:rPr>
          <w:rFonts w:ascii="Times New Roman" w:hAnsi="Times New Roman" w:cs="Times New Roman"/>
          <w:sz w:val="28"/>
          <w:szCs w:val="28"/>
        </w:rPr>
        <w:t>. Цей нормативно-правовий</w:t>
      </w:r>
      <w:r w:rsidRPr="0003352B">
        <w:rPr>
          <w:rFonts w:ascii="Times New Roman" w:hAnsi="Times New Roman" w:cs="Times New Roman"/>
          <w:sz w:val="28"/>
          <w:szCs w:val="28"/>
        </w:rPr>
        <w:t xml:space="preserve"> акт</w:t>
      </w:r>
      <w:r w:rsidRPr="00D935C2">
        <w:rPr>
          <w:rFonts w:ascii="Times New Roman" w:hAnsi="Times New Roman" w:cs="Times New Roman"/>
          <w:sz w:val="28"/>
          <w:szCs w:val="28"/>
        </w:rPr>
        <w:t xml:space="preserve"> розширив мандат Експортно-кредитного агентства (ЕКА), дозволивши йому страхувати прямі інвестиції як іноземних, так і вітчизняних компаній від ризиків, зумовлених агресією.</w:t>
      </w:r>
    </w:p>
    <w:p w14:paraId="63E86801" w14:textId="299D21EC"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У тандемі з міжнародними фінансовими інституціями (зокрема, MIGA та DFC) цей механізм покликаний створити інституційну «парасольку» для капіталу. Проте на практиці доступність таких страхових продуктів для середнього та малого агробізнесу залишається обмеженою через високу вартість премій та складні процедури </w:t>
      </w:r>
      <w:proofErr w:type="spellStart"/>
      <w:r w:rsidRPr="00D935C2">
        <w:rPr>
          <w:rFonts w:ascii="Times New Roman" w:hAnsi="Times New Roman" w:cs="Times New Roman"/>
          <w:sz w:val="28"/>
          <w:szCs w:val="28"/>
        </w:rPr>
        <w:t>комплаєнсу</w:t>
      </w:r>
      <w:proofErr w:type="spellEnd"/>
      <w:r w:rsidRPr="00D935C2">
        <w:rPr>
          <w:rFonts w:ascii="Times New Roman" w:hAnsi="Times New Roman" w:cs="Times New Roman"/>
          <w:sz w:val="28"/>
          <w:szCs w:val="28"/>
        </w:rPr>
        <w:t xml:space="preserve">. Як наслідок, капіталізація сектору демонструє глибоку диверсифікацію: капітал концентрується виключно в умовно безпечних регіонах Західної та Центральної України, тоді як </w:t>
      </w:r>
      <w:proofErr w:type="spellStart"/>
      <w:r w:rsidRPr="00D935C2">
        <w:rPr>
          <w:rFonts w:ascii="Times New Roman" w:hAnsi="Times New Roman" w:cs="Times New Roman"/>
          <w:sz w:val="28"/>
          <w:szCs w:val="28"/>
        </w:rPr>
        <w:t>деокуповані</w:t>
      </w:r>
      <w:proofErr w:type="spellEnd"/>
      <w:r w:rsidRPr="00D935C2">
        <w:rPr>
          <w:rFonts w:ascii="Times New Roman" w:hAnsi="Times New Roman" w:cs="Times New Roman"/>
          <w:sz w:val="28"/>
          <w:szCs w:val="28"/>
        </w:rPr>
        <w:t xml:space="preserve"> та прифронтові території страждають від критичного інвестиційного голоду [</w:t>
      </w:r>
      <w:r w:rsidR="00956B77">
        <w:rPr>
          <w:rFonts w:ascii="Times New Roman" w:hAnsi="Times New Roman" w:cs="Times New Roman"/>
          <w:sz w:val="28"/>
          <w:szCs w:val="28"/>
        </w:rPr>
        <w:t>29</w:t>
      </w:r>
      <w:r w:rsidRPr="00D935C2">
        <w:rPr>
          <w:rFonts w:ascii="Times New Roman" w:hAnsi="Times New Roman" w:cs="Times New Roman"/>
          <w:sz w:val="28"/>
          <w:szCs w:val="28"/>
        </w:rPr>
        <w:t>].</w:t>
      </w:r>
    </w:p>
    <w:p w14:paraId="7B544175" w14:textId="77777777"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Третім, найбільш динамічним чинником інституційного впливу є нормативно-правове регулювання логістичних шляхів. Аграрний сектор України є яскраво вираженим </w:t>
      </w:r>
      <w:proofErr w:type="spellStart"/>
      <w:r w:rsidRPr="00D935C2">
        <w:rPr>
          <w:rFonts w:ascii="Times New Roman" w:hAnsi="Times New Roman" w:cs="Times New Roman"/>
          <w:sz w:val="28"/>
          <w:szCs w:val="28"/>
        </w:rPr>
        <w:t>експортоорієнтованим</w:t>
      </w:r>
      <w:proofErr w:type="spellEnd"/>
      <w:r w:rsidRPr="00D935C2">
        <w:rPr>
          <w:rFonts w:ascii="Times New Roman" w:hAnsi="Times New Roman" w:cs="Times New Roman"/>
          <w:sz w:val="28"/>
          <w:szCs w:val="28"/>
        </w:rPr>
        <w:t xml:space="preserve"> комплексом, тому його ринкова капіталізація прямо залежить від безперебійності каналів збуту.</w:t>
      </w:r>
    </w:p>
    <w:p w14:paraId="6A600F13" w14:textId="77777777" w:rsidR="009B45C0" w:rsidRPr="00D935C2"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Еволюція цього чинника пройшла кілька етапів: від початкового блокування портів до функціонування Чорноморської зернової ініціативи під егідою ООН та подальшого переходу до автономного функціонування «Українського морського коридору», захищеного силами оборони. Нормативне регулювання цього процесу базується на низці постанов Кабінету Міністрів України щодо верифікації суб’єктів агропромислового комплексу та запровадження режимів експортного забезпечення (зокрема, запровадження мінімальних експортних цін на окремі види </w:t>
      </w:r>
      <w:proofErr w:type="spellStart"/>
      <w:r w:rsidRPr="00D935C2">
        <w:rPr>
          <w:rFonts w:ascii="Times New Roman" w:hAnsi="Times New Roman" w:cs="Times New Roman"/>
          <w:sz w:val="28"/>
          <w:szCs w:val="28"/>
        </w:rPr>
        <w:t>агропродукції</w:t>
      </w:r>
      <w:proofErr w:type="spellEnd"/>
      <w:r w:rsidRPr="00D935C2">
        <w:rPr>
          <w:rFonts w:ascii="Times New Roman" w:hAnsi="Times New Roman" w:cs="Times New Roman"/>
          <w:sz w:val="28"/>
          <w:szCs w:val="28"/>
        </w:rPr>
        <w:t>).</w:t>
      </w:r>
    </w:p>
    <w:p w14:paraId="022F4990" w14:textId="77777777" w:rsidR="009B45C0"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Стабільна робота «зернового коридору» миттєво трансформується у фінансові показники </w:t>
      </w:r>
      <w:proofErr w:type="spellStart"/>
      <w:r w:rsidRPr="00D935C2">
        <w:rPr>
          <w:rFonts w:ascii="Times New Roman" w:hAnsi="Times New Roman" w:cs="Times New Roman"/>
          <w:sz w:val="28"/>
          <w:szCs w:val="28"/>
        </w:rPr>
        <w:t>агрохолдингів</w:t>
      </w:r>
      <w:proofErr w:type="spellEnd"/>
      <w:r w:rsidRPr="00D935C2">
        <w:rPr>
          <w:rFonts w:ascii="Times New Roman" w:hAnsi="Times New Roman" w:cs="Times New Roman"/>
          <w:sz w:val="28"/>
          <w:szCs w:val="28"/>
        </w:rPr>
        <w:t xml:space="preserve"> та фермерських господарств. Забезпечення глибоководної логістики знижує дисконт на українське зерно (спричинений високим фрахтом та військовою страховкою суден), що підвищує </w:t>
      </w:r>
      <w:proofErr w:type="spellStart"/>
      <w:r w:rsidRPr="00D935C2">
        <w:rPr>
          <w:rFonts w:ascii="Times New Roman" w:hAnsi="Times New Roman" w:cs="Times New Roman"/>
          <w:sz w:val="28"/>
          <w:szCs w:val="28"/>
        </w:rPr>
        <w:t>маржинальність</w:t>
      </w:r>
      <w:proofErr w:type="spellEnd"/>
      <w:r w:rsidRPr="00D935C2">
        <w:rPr>
          <w:rFonts w:ascii="Times New Roman" w:hAnsi="Times New Roman" w:cs="Times New Roman"/>
          <w:sz w:val="28"/>
          <w:szCs w:val="28"/>
        </w:rPr>
        <w:t xml:space="preserve"> виробництва. Отриманий додатковий прибуток капіталізується </w:t>
      </w:r>
      <w:r w:rsidRPr="00D935C2">
        <w:rPr>
          <w:rFonts w:ascii="Times New Roman" w:hAnsi="Times New Roman" w:cs="Times New Roman"/>
          <w:sz w:val="28"/>
          <w:szCs w:val="28"/>
        </w:rPr>
        <w:lastRenderedPageBreak/>
        <w:t xml:space="preserve">у формі зростання вартості прав оренди землі та відновлення попиту на інноваційні технологічні рішення (елементи точного землеробства, енергоефективні сушарки тощо). Навпаки, будь-які регуляторні чи логістичні </w:t>
      </w:r>
      <w:proofErr w:type="spellStart"/>
      <w:r w:rsidRPr="00D935C2">
        <w:rPr>
          <w:rFonts w:ascii="Times New Roman" w:hAnsi="Times New Roman" w:cs="Times New Roman"/>
          <w:sz w:val="28"/>
          <w:szCs w:val="28"/>
        </w:rPr>
        <w:t>збої</w:t>
      </w:r>
      <w:proofErr w:type="spellEnd"/>
      <w:r w:rsidRPr="00D935C2">
        <w:rPr>
          <w:rFonts w:ascii="Times New Roman" w:hAnsi="Times New Roman" w:cs="Times New Roman"/>
          <w:sz w:val="28"/>
          <w:szCs w:val="28"/>
        </w:rPr>
        <w:t xml:space="preserve"> на кордонах з країнами ЄС чи в акваторії Чорного моря призводять до депресії внутрішніх цін і вимивання капіталу з галузі.</w:t>
      </w:r>
    </w:p>
    <w:p w14:paraId="21F22CCC" w14:textId="77777777" w:rsidR="009B45C0" w:rsidRDefault="009B45C0" w:rsidP="00D935C2">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Сукупна дія зазначених інституційних чинників формує вектор розвитку двох ключових сегментів аграрного капіталу: ринку сільськогосподарських земель та ринку матеріально-технічних ресурсів.</w:t>
      </w:r>
    </w:p>
    <w:p w14:paraId="7F84F3C4" w14:textId="32D2928E" w:rsidR="0003352B" w:rsidRDefault="0003352B" w:rsidP="00202E09">
      <w:pPr>
        <w:spacing w:after="0" w:line="360" w:lineRule="auto"/>
        <w:ind w:firstLine="708"/>
        <w:jc w:val="both"/>
        <w:rPr>
          <w:rFonts w:ascii="Times New Roman" w:hAnsi="Times New Roman" w:cs="Times New Roman"/>
          <w:sz w:val="28"/>
          <w:szCs w:val="28"/>
        </w:rPr>
      </w:pPr>
      <w:r w:rsidRPr="00D935C2">
        <w:rPr>
          <w:rFonts w:ascii="Times New Roman" w:hAnsi="Times New Roman" w:cs="Times New Roman"/>
          <w:sz w:val="28"/>
          <w:szCs w:val="28"/>
        </w:rPr>
        <w:t>Інституційна нестабільність зовнішнього середовища в умовах воєнного стану виступає потужним дисипативним чинником для аграрного капіталу. Стабілізація фіскальних правил, масштабування програм воєнного страхування інвестицій та гарантування довгострокової логістичної безпеки є невід'ємними передумовами для відновлення інвестиційної привабливості вітчизняного АПК та зростання його сукупної капіталізації</w:t>
      </w:r>
      <w:r w:rsidR="00202E09">
        <w:rPr>
          <w:rFonts w:ascii="Times New Roman" w:hAnsi="Times New Roman" w:cs="Times New Roman"/>
          <w:sz w:val="28"/>
          <w:szCs w:val="28"/>
        </w:rPr>
        <w:t xml:space="preserve">. </w:t>
      </w:r>
      <w:r w:rsidR="00202E09" w:rsidRPr="00D935C2">
        <w:rPr>
          <w:rFonts w:ascii="Times New Roman" w:hAnsi="Times New Roman" w:cs="Times New Roman"/>
          <w:sz w:val="28"/>
          <w:szCs w:val="28"/>
        </w:rPr>
        <w:t xml:space="preserve">Первинний імпульс інституційних змін фіксується на рівні нормативно-правового поля, яке безпосередньо трансформує </w:t>
      </w:r>
      <w:r w:rsidR="00202E09" w:rsidRPr="00751348">
        <w:rPr>
          <w:rFonts w:ascii="Times New Roman" w:hAnsi="Times New Roman" w:cs="Times New Roman"/>
          <w:sz w:val="28"/>
          <w:szCs w:val="28"/>
        </w:rPr>
        <w:t>архітектуру витрат та доходів аграріїв. Основні вектори цього регуляторного впливу та відповідні фінансові наслідки систематизовано в</w:t>
      </w:r>
      <w:r w:rsidRPr="00751348">
        <w:rPr>
          <w:rFonts w:ascii="Times New Roman" w:hAnsi="Times New Roman" w:cs="Times New Roman"/>
          <w:sz w:val="28"/>
          <w:szCs w:val="28"/>
        </w:rPr>
        <w:t xml:space="preserve"> табл. 1.</w:t>
      </w:r>
      <w:r w:rsidR="00751348" w:rsidRPr="00751348">
        <w:rPr>
          <w:rFonts w:ascii="Times New Roman" w:hAnsi="Times New Roman" w:cs="Times New Roman"/>
          <w:sz w:val="28"/>
          <w:szCs w:val="28"/>
        </w:rPr>
        <w:t>11</w:t>
      </w:r>
      <w:r w:rsidRPr="00751348">
        <w:rPr>
          <w:rFonts w:ascii="Times New Roman" w:hAnsi="Times New Roman" w:cs="Times New Roman"/>
          <w:sz w:val="28"/>
          <w:szCs w:val="28"/>
        </w:rPr>
        <w:t>.</w:t>
      </w:r>
    </w:p>
    <w:p w14:paraId="787C21D1" w14:textId="2234BCB5" w:rsidR="0003352B" w:rsidRDefault="0003352B" w:rsidP="0003352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1.</w:t>
      </w:r>
      <w:r w:rsidR="00751348">
        <w:rPr>
          <w:rFonts w:ascii="Times New Roman" w:hAnsi="Times New Roman" w:cs="Times New Roman"/>
          <w:sz w:val="28"/>
          <w:szCs w:val="28"/>
        </w:rPr>
        <w:t>11</w:t>
      </w:r>
    </w:p>
    <w:p w14:paraId="2A0D3C01" w14:textId="7087B691" w:rsidR="0003352B" w:rsidRPr="004C3569" w:rsidRDefault="0003352B" w:rsidP="0003352B">
      <w:pPr>
        <w:spacing w:after="0" w:line="360" w:lineRule="auto"/>
        <w:jc w:val="center"/>
        <w:rPr>
          <w:rFonts w:ascii="Times New Roman" w:hAnsi="Times New Roman" w:cs="Times New Roman"/>
          <w:sz w:val="28"/>
          <w:szCs w:val="28"/>
          <w:lang w:val="ru-RU"/>
        </w:rPr>
      </w:pPr>
      <w:r w:rsidRPr="00956B77">
        <w:rPr>
          <w:rFonts w:ascii="Times New Roman" w:hAnsi="Times New Roman" w:cs="Times New Roman"/>
          <w:sz w:val="28"/>
          <w:szCs w:val="28"/>
        </w:rPr>
        <w:t>Вплив інституційних чинників на аграрні інвестиції</w:t>
      </w:r>
      <w:r w:rsidR="004C3569" w:rsidRPr="00956B77">
        <w:rPr>
          <w:rFonts w:ascii="Times New Roman" w:hAnsi="Times New Roman" w:cs="Times New Roman"/>
          <w:sz w:val="28"/>
          <w:szCs w:val="28"/>
        </w:rPr>
        <w:t xml:space="preserve"> </w:t>
      </w:r>
      <w:r w:rsidR="004C3569" w:rsidRPr="00956B77">
        <w:rPr>
          <w:rFonts w:ascii="Times New Roman" w:hAnsi="Times New Roman" w:cs="Times New Roman"/>
          <w:sz w:val="28"/>
          <w:szCs w:val="28"/>
          <w:lang w:val="ru-RU"/>
        </w:rPr>
        <w:t>[</w:t>
      </w:r>
      <w:r w:rsidR="00956B77" w:rsidRPr="00956B77">
        <w:rPr>
          <w:rFonts w:ascii="Times New Roman" w:hAnsi="Times New Roman" w:cs="Times New Roman"/>
          <w:sz w:val="28"/>
          <w:szCs w:val="28"/>
          <w:lang w:val="ru-RU"/>
        </w:rPr>
        <w:t>21, 30, 31</w:t>
      </w:r>
      <w:r w:rsidR="004C3569" w:rsidRPr="00956B77">
        <w:rPr>
          <w:rFonts w:ascii="Times New Roman" w:hAnsi="Times New Roman" w:cs="Times New Roman"/>
          <w:sz w:val="28"/>
          <w:szCs w:val="28"/>
          <w:lang w:val="ru-RU"/>
        </w:rPr>
        <w:t>]</w:t>
      </w:r>
    </w:p>
    <w:tbl>
      <w:tblPr>
        <w:tblStyle w:val="af0"/>
        <w:tblW w:w="0" w:type="auto"/>
        <w:tblLook w:val="04A0" w:firstRow="1" w:lastRow="0" w:firstColumn="1" w:lastColumn="0" w:noHBand="0" w:noVBand="1"/>
      </w:tblPr>
      <w:tblGrid>
        <w:gridCol w:w="2122"/>
        <w:gridCol w:w="2268"/>
        <w:gridCol w:w="2419"/>
        <w:gridCol w:w="2818"/>
      </w:tblGrid>
      <w:tr w:rsidR="004C3569" w14:paraId="6975AFF8" w14:textId="77777777" w:rsidTr="004C3569">
        <w:tc>
          <w:tcPr>
            <w:tcW w:w="2122" w:type="dxa"/>
          </w:tcPr>
          <w:p w14:paraId="7B5E4EBA" w14:textId="77777777" w:rsidR="004C3569" w:rsidRDefault="004C3569" w:rsidP="004C3569">
            <w:pPr>
              <w:jc w:val="center"/>
              <w:rPr>
                <w:rFonts w:ascii="Times New Roman" w:hAnsi="Times New Roman" w:cs="Times New Roman"/>
                <w:sz w:val="28"/>
                <w:szCs w:val="28"/>
              </w:rPr>
            </w:pPr>
          </w:p>
          <w:p w14:paraId="4976E9C6" w14:textId="1CF4EE15"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Інституційний чинник</w:t>
            </w:r>
          </w:p>
        </w:tc>
        <w:tc>
          <w:tcPr>
            <w:tcW w:w="2268" w:type="dxa"/>
          </w:tcPr>
          <w:p w14:paraId="71F32166" w14:textId="692D8216"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Інвестиційна привабливість земельних ресурсів</w:t>
            </w:r>
          </w:p>
        </w:tc>
        <w:tc>
          <w:tcPr>
            <w:tcW w:w="2419" w:type="dxa"/>
          </w:tcPr>
          <w:p w14:paraId="17554968" w14:textId="3F795C57"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Вплив на інвестиційну активність на ринку агротехніки</w:t>
            </w:r>
          </w:p>
        </w:tc>
        <w:tc>
          <w:tcPr>
            <w:tcW w:w="2818" w:type="dxa"/>
          </w:tcPr>
          <w:p w14:paraId="3DEDDE4B" w14:textId="3FD28D8E" w:rsidR="004C3569" w:rsidRDefault="004C3569" w:rsidP="004C3569">
            <w:pPr>
              <w:jc w:val="center"/>
              <w:rPr>
                <w:rFonts w:ascii="Times New Roman" w:hAnsi="Times New Roman" w:cs="Times New Roman"/>
                <w:sz w:val="28"/>
                <w:szCs w:val="28"/>
              </w:rPr>
            </w:pPr>
            <w:r>
              <w:rPr>
                <w:rFonts w:ascii="Times New Roman" w:hAnsi="Times New Roman" w:cs="Times New Roman"/>
                <w:sz w:val="28"/>
                <w:szCs w:val="28"/>
              </w:rPr>
              <w:t>Законодавчо-нормативні акти</w:t>
            </w:r>
          </w:p>
        </w:tc>
      </w:tr>
      <w:tr w:rsidR="004C3569" w14:paraId="13446DC0" w14:textId="77777777" w:rsidTr="004C3569">
        <w:tc>
          <w:tcPr>
            <w:tcW w:w="2122" w:type="dxa"/>
          </w:tcPr>
          <w:p w14:paraId="62ECBD4B" w14:textId="114B65DB" w:rsidR="004C3569" w:rsidRDefault="004C3569" w:rsidP="004C3569">
            <w:pPr>
              <w:rPr>
                <w:rFonts w:ascii="Times New Roman" w:hAnsi="Times New Roman" w:cs="Times New Roman"/>
                <w:sz w:val="28"/>
                <w:szCs w:val="28"/>
              </w:rPr>
            </w:pPr>
            <w:r w:rsidRPr="004C3569">
              <w:rPr>
                <w:rFonts w:ascii="Times New Roman" w:hAnsi="Times New Roman" w:cs="Times New Roman"/>
                <w:sz w:val="28"/>
                <w:szCs w:val="28"/>
              </w:rPr>
              <w:t>Податкові трансформації</w:t>
            </w:r>
          </w:p>
        </w:tc>
        <w:tc>
          <w:tcPr>
            <w:tcW w:w="2268" w:type="dxa"/>
          </w:tcPr>
          <w:p w14:paraId="2F26DE48" w14:textId="54D5C39F"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Зниження номінальної ліквідності; інвестори ретельніше оцінюють чистий операційний дохід з гектара.</w:t>
            </w:r>
          </w:p>
        </w:tc>
        <w:tc>
          <w:tcPr>
            <w:tcW w:w="2419" w:type="dxa"/>
          </w:tcPr>
          <w:p w14:paraId="012A498D" w14:textId="76A34283"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Скорочення бюджетів на капітальні інвестиції; перехід на закупівлю вживаної техніки або ремонт наявної.</w:t>
            </w:r>
          </w:p>
        </w:tc>
        <w:tc>
          <w:tcPr>
            <w:tcW w:w="2818" w:type="dxa"/>
          </w:tcPr>
          <w:p w14:paraId="4E544E15" w14:textId="59FF3060"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Закон України № 4015-IX «Про внесення змін до Податкового кодексу України щодо забезпечення збалансованості бюджетних надходжень...»</w:t>
            </w:r>
          </w:p>
        </w:tc>
      </w:tr>
      <w:tr w:rsidR="004C3569" w14:paraId="09809A3F" w14:textId="77777777" w:rsidTr="004C3569">
        <w:tc>
          <w:tcPr>
            <w:tcW w:w="2122" w:type="dxa"/>
          </w:tcPr>
          <w:p w14:paraId="43330FD4" w14:textId="4A511411" w:rsidR="004C3569" w:rsidRPr="004C3569" w:rsidRDefault="004C3569" w:rsidP="004C3569">
            <w:pPr>
              <w:rPr>
                <w:rFonts w:ascii="Times New Roman" w:hAnsi="Times New Roman" w:cs="Times New Roman"/>
                <w:sz w:val="28"/>
                <w:szCs w:val="28"/>
              </w:rPr>
            </w:pPr>
            <w:r w:rsidRPr="004C3569">
              <w:rPr>
                <w:rFonts w:ascii="Times New Roman" w:hAnsi="Times New Roman" w:cs="Times New Roman"/>
                <w:sz w:val="28"/>
                <w:szCs w:val="28"/>
              </w:rPr>
              <w:t>Воєнне страхування</w:t>
            </w:r>
          </w:p>
        </w:tc>
        <w:tc>
          <w:tcPr>
            <w:tcW w:w="2268" w:type="dxa"/>
          </w:tcPr>
          <w:p w14:paraId="18F310E2" w14:textId="08FE7F22"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 xml:space="preserve">Капіталізація земель у безпечних </w:t>
            </w:r>
            <w:r w:rsidRPr="004C3569">
              <w:rPr>
                <w:rFonts w:ascii="Times New Roman" w:hAnsi="Times New Roman" w:cs="Times New Roman"/>
                <w:sz w:val="28"/>
                <w:szCs w:val="28"/>
              </w:rPr>
              <w:lastRenderedPageBreak/>
              <w:t>регіонах; заморожування інвестицій у прифронтових зонах через відсутність покриття.</w:t>
            </w:r>
          </w:p>
        </w:tc>
        <w:tc>
          <w:tcPr>
            <w:tcW w:w="2419" w:type="dxa"/>
          </w:tcPr>
          <w:p w14:paraId="3FDB71E9" w14:textId="4CFA0706"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lastRenderedPageBreak/>
              <w:t xml:space="preserve">Полегшення доступу до лізингових </w:t>
            </w:r>
            <w:r w:rsidRPr="004C3569">
              <w:rPr>
                <w:rFonts w:ascii="Times New Roman" w:hAnsi="Times New Roman" w:cs="Times New Roman"/>
                <w:sz w:val="28"/>
                <w:szCs w:val="28"/>
              </w:rPr>
              <w:lastRenderedPageBreak/>
              <w:t>програм за умови, що об'єкт лізингу застрахований від ризиків руйнування.</w:t>
            </w:r>
          </w:p>
        </w:tc>
        <w:tc>
          <w:tcPr>
            <w:tcW w:w="2818" w:type="dxa"/>
          </w:tcPr>
          <w:p w14:paraId="60ADE03E" w14:textId="08A7098D"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lastRenderedPageBreak/>
              <w:t xml:space="preserve">Закон України № 3497-ІХ «Про внесення змін до </w:t>
            </w:r>
            <w:r w:rsidRPr="004C3569">
              <w:rPr>
                <w:rFonts w:ascii="Times New Roman" w:hAnsi="Times New Roman" w:cs="Times New Roman"/>
                <w:sz w:val="28"/>
                <w:szCs w:val="28"/>
              </w:rPr>
              <w:lastRenderedPageBreak/>
              <w:t xml:space="preserve">Закону України "Про фінансові послуги та державне регулювання </w:t>
            </w:r>
            <w:r w:rsidR="00863616">
              <w:rPr>
                <w:rFonts w:ascii="Times New Roman" w:hAnsi="Times New Roman" w:cs="Times New Roman"/>
                <w:sz w:val="28"/>
                <w:szCs w:val="28"/>
              </w:rPr>
              <w:t>…</w:t>
            </w:r>
            <w:r w:rsidRPr="004C3569">
              <w:rPr>
                <w:rFonts w:ascii="Times New Roman" w:hAnsi="Times New Roman" w:cs="Times New Roman"/>
                <w:sz w:val="28"/>
                <w:szCs w:val="28"/>
              </w:rPr>
              <w:t>(щодо страхування воєнних ризиків)</w:t>
            </w:r>
          </w:p>
        </w:tc>
      </w:tr>
      <w:tr w:rsidR="004C3569" w14:paraId="33651BC9" w14:textId="77777777" w:rsidTr="004C3569">
        <w:tc>
          <w:tcPr>
            <w:tcW w:w="2122" w:type="dxa"/>
          </w:tcPr>
          <w:p w14:paraId="25AA0FB2" w14:textId="174A9477" w:rsidR="004C3569" w:rsidRDefault="004C3569" w:rsidP="004C3569">
            <w:pPr>
              <w:rPr>
                <w:rFonts w:ascii="Times New Roman" w:hAnsi="Times New Roman" w:cs="Times New Roman"/>
                <w:sz w:val="28"/>
                <w:szCs w:val="28"/>
              </w:rPr>
            </w:pPr>
            <w:r w:rsidRPr="004C3569">
              <w:rPr>
                <w:rFonts w:ascii="Times New Roman" w:hAnsi="Times New Roman" w:cs="Times New Roman"/>
                <w:sz w:val="28"/>
                <w:szCs w:val="28"/>
              </w:rPr>
              <w:lastRenderedPageBreak/>
              <w:t>Експортні регламенти та логістика</w:t>
            </w:r>
          </w:p>
        </w:tc>
        <w:tc>
          <w:tcPr>
            <w:tcW w:w="2268" w:type="dxa"/>
          </w:tcPr>
          <w:p w14:paraId="0828EAF9" w14:textId="77A2355F"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Стабільний експорт стимулює консолідацію земель великими гравцями; зрив експорту знижує орендну плату.</w:t>
            </w:r>
          </w:p>
        </w:tc>
        <w:tc>
          <w:tcPr>
            <w:tcW w:w="2419" w:type="dxa"/>
          </w:tcPr>
          <w:p w14:paraId="24CAF4A0" w14:textId="7267F1D3"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 xml:space="preserve">Орієнтація на купівлю техніки для переробки (елеватори, млини, біоетанолові заводи) з метою експорту продукції </w:t>
            </w:r>
          </w:p>
        </w:tc>
        <w:tc>
          <w:tcPr>
            <w:tcW w:w="2818" w:type="dxa"/>
          </w:tcPr>
          <w:p w14:paraId="1917715F" w14:textId="69DE7B0C" w:rsidR="004C3569" w:rsidRDefault="004C3569" w:rsidP="004C3569">
            <w:pPr>
              <w:jc w:val="center"/>
              <w:rPr>
                <w:rFonts w:ascii="Times New Roman" w:hAnsi="Times New Roman" w:cs="Times New Roman"/>
                <w:sz w:val="28"/>
                <w:szCs w:val="28"/>
              </w:rPr>
            </w:pPr>
            <w:r w:rsidRPr="004C3569">
              <w:rPr>
                <w:rFonts w:ascii="Times New Roman" w:hAnsi="Times New Roman" w:cs="Times New Roman"/>
                <w:sz w:val="28"/>
                <w:szCs w:val="28"/>
              </w:rPr>
              <w:t xml:space="preserve">Митний кодекс України, Закони України «Про зовнішньоекономічну діяльність» та профільні постанови КМУ щодо регулювання експорту </w:t>
            </w:r>
            <w:proofErr w:type="spellStart"/>
            <w:r w:rsidRPr="004C3569">
              <w:rPr>
                <w:rFonts w:ascii="Times New Roman" w:hAnsi="Times New Roman" w:cs="Times New Roman"/>
                <w:sz w:val="28"/>
                <w:szCs w:val="28"/>
              </w:rPr>
              <w:t>агропродукції</w:t>
            </w:r>
            <w:proofErr w:type="spellEnd"/>
            <w:r w:rsidRPr="004C3569">
              <w:rPr>
                <w:rFonts w:ascii="Times New Roman" w:hAnsi="Times New Roman" w:cs="Times New Roman"/>
                <w:sz w:val="28"/>
                <w:szCs w:val="28"/>
              </w:rPr>
              <w:t>.</w:t>
            </w:r>
          </w:p>
        </w:tc>
      </w:tr>
    </w:tbl>
    <w:p w14:paraId="31E7DF15" w14:textId="77777777" w:rsidR="004C3569" w:rsidRPr="00D935C2" w:rsidRDefault="004C3569" w:rsidP="0003352B">
      <w:pPr>
        <w:spacing w:after="0" w:line="360" w:lineRule="auto"/>
        <w:jc w:val="center"/>
        <w:rPr>
          <w:rFonts w:ascii="Times New Roman" w:hAnsi="Times New Roman" w:cs="Times New Roman"/>
          <w:sz w:val="28"/>
          <w:szCs w:val="28"/>
        </w:rPr>
      </w:pPr>
    </w:p>
    <w:p w14:paraId="6A4B3C2D" w14:textId="77777777" w:rsidR="0003352B" w:rsidRPr="00D935C2" w:rsidRDefault="0003352B" w:rsidP="004C3569">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Інституційна нестабільність зовнішнього середовища в умовах воєнного стану виступає потужним дисипативним чинником для аграрного капіталу. Стабілізація фіскальних правил, масштабування програм воєнного страхування інвестицій та гарантування довгострокової логістичної безпеки є невід'ємними препозиціями (передумовами) для відновлення інвестиційної привабливості вітчизняного АПК та зростання його сукупної капіталізації.</w:t>
      </w:r>
    </w:p>
    <w:p w14:paraId="0E4475F5" w14:textId="284711BC" w:rsidR="009B45C0" w:rsidRPr="00D935C2" w:rsidRDefault="00202E09" w:rsidP="00202E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6A290D">
        <w:rPr>
          <w:rFonts w:ascii="Times New Roman" w:hAnsi="Times New Roman" w:cs="Times New Roman"/>
          <w:sz w:val="28"/>
          <w:szCs w:val="28"/>
        </w:rPr>
        <w:t xml:space="preserve">1.11 </w:t>
      </w:r>
      <w:r>
        <w:rPr>
          <w:rFonts w:ascii="Times New Roman" w:hAnsi="Times New Roman" w:cs="Times New Roman"/>
          <w:sz w:val="28"/>
          <w:szCs w:val="28"/>
        </w:rPr>
        <w:t xml:space="preserve">демонструє що </w:t>
      </w:r>
      <w:r w:rsidR="009B45C0" w:rsidRPr="00D935C2">
        <w:rPr>
          <w:rFonts w:ascii="Times New Roman" w:hAnsi="Times New Roman" w:cs="Times New Roman"/>
          <w:sz w:val="28"/>
          <w:szCs w:val="28"/>
        </w:rPr>
        <w:t>інституційні чинники діють не ізольовано, а формують системний ефект. Податковий тиск обмежує внутрішні ресурси, відсутність страхування воєнних ризиків блокує зовнішні позики, а логістичні правила визначають загальну рентабельність, яка є базою для капіталізації як земельних ресурсів.</w:t>
      </w:r>
      <w:r>
        <w:rPr>
          <w:rFonts w:ascii="Times New Roman" w:hAnsi="Times New Roman" w:cs="Times New Roman"/>
          <w:sz w:val="28"/>
          <w:szCs w:val="28"/>
        </w:rPr>
        <w:t xml:space="preserve"> К</w:t>
      </w:r>
      <w:r w:rsidRPr="00D935C2">
        <w:rPr>
          <w:rFonts w:ascii="Times New Roman" w:hAnsi="Times New Roman" w:cs="Times New Roman"/>
          <w:sz w:val="28"/>
          <w:szCs w:val="28"/>
        </w:rPr>
        <w:t xml:space="preserve">ожен інституційний чинник має чітко визначений фінансовий маркер. Зокрема, фіскальні </w:t>
      </w:r>
      <w:r>
        <w:rPr>
          <w:rFonts w:ascii="Times New Roman" w:hAnsi="Times New Roman" w:cs="Times New Roman"/>
          <w:sz w:val="28"/>
          <w:szCs w:val="28"/>
        </w:rPr>
        <w:t xml:space="preserve">чинники </w:t>
      </w:r>
      <w:r w:rsidRPr="00202E09">
        <w:rPr>
          <w:rFonts w:ascii="Times New Roman" w:hAnsi="Times New Roman" w:cs="Times New Roman"/>
          <w:sz w:val="28"/>
          <w:szCs w:val="28"/>
        </w:rPr>
        <w:t xml:space="preserve">Закону України № 4015-IX напряму обмежують внутрішній </w:t>
      </w:r>
      <w:proofErr w:type="spellStart"/>
      <w:r w:rsidRPr="00202E09">
        <w:rPr>
          <w:rFonts w:ascii="Times New Roman" w:hAnsi="Times New Roman" w:cs="Times New Roman"/>
          <w:sz w:val="28"/>
          <w:szCs w:val="28"/>
        </w:rPr>
        <w:t>самофінансований</w:t>
      </w:r>
      <w:proofErr w:type="spellEnd"/>
      <w:r w:rsidRPr="00202E09">
        <w:rPr>
          <w:rFonts w:ascii="Times New Roman" w:hAnsi="Times New Roman" w:cs="Times New Roman"/>
          <w:sz w:val="28"/>
          <w:szCs w:val="28"/>
        </w:rPr>
        <w:t xml:space="preserve"> потенціал підприємств, вилучаючи обігові кошти, які могли б стати джерелом капіталізації. Водночас Закон України № 3497-ІХ та постанови Кабінету</w:t>
      </w:r>
      <w:r w:rsidRPr="00D935C2">
        <w:rPr>
          <w:rFonts w:ascii="Times New Roman" w:hAnsi="Times New Roman" w:cs="Times New Roman"/>
          <w:sz w:val="28"/>
          <w:szCs w:val="28"/>
        </w:rPr>
        <w:t xml:space="preserve"> Міністрів щодо експортних регламентів діють як стабілізаційні важелі, що покликані компенсувати логістичні та безпекові дисконти ринку</w:t>
      </w:r>
      <w:r w:rsidR="00956B77">
        <w:rPr>
          <w:rFonts w:ascii="Times New Roman" w:hAnsi="Times New Roman" w:cs="Times New Roman"/>
          <w:sz w:val="28"/>
          <w:szCs w:val="28"/>
        </w:rPr>
        <w:t xml:space="preserve"> </w:t>
      </w:r>
      <w:r w:rsidR="00956B77" w:rsidRPr="00956B77">
        <w:rPr>
          <w:rFonts w:ascii="Times New Roman" w:hAnsi="Times New Roman" w:cs="Times New Roman"/>
          <w:sz w:val="28"/>
          <w:szCs w:val="28"/>
        </w:rPr>
        <w:t>[21, 30, 31]</w:t>
      </w:r>
      <w:r w:rsidRPr="00D935C2">
        <w:rPr>
          <w:rFonts w:ascii="Times New Roman" w:hAnsi="Times New Roman" w:cs="Times New Roman"/>
          <w:sz w:val="28"/>
          <w:szCs w:val="28"/>
        </w:rPr>
        <w:t>.</w:t>
      </w:r>
    </w:p>
    <w:p w14:paraId="3E1EC424" w14:textId="77777777" w:rsidR="00202E09" w:rsidRDefault="009B45C0" w:rsidP="00202E09">
      <w:pPr>
        <w:spacing w:after="0" w:line="360" w:lineRule="auto"/>
        <w:ind w:firstLine="708"/>
        <w:jc w:val="both"/>
        <w:rPr>
          <w:rFonts w:ascii="Times New Roman" w:hAnsi="Times New Roman" w:cs="Times New Roman"/>
          <w:sz w:val="28"/>
          <w:szCs w:val="28"/>
        </w:rPr>
      </w:pPr>
      <w:r w:rsidRPr="00D935C2">
        <w:rPr>
          <w:rFonts w:ascii="Times New Roman" w:hAnsi="Times New Roman" w:cs="Times New Roman"/>
          <w:sz w:val="28"/>
          <w:szCs w:val="28"/>
        </w:rPr>
        <w:lastRenderedPageBreak/>
        <w:t>Оцінка інституційного середовища через призму його нестабільності потребує чіткої декомпозиції правових та фінансових процесів. Оскільки зовнішнє середовище в умовах воєнного стану характеризується високою дискретністю регуляторних рішень, оцінку його впливу на аграрний сектор доцільно розглядати у дво</w:t>
      </w:r>
      <w:r w:rsidR="00202E09">
        <w:rPr>
          <w:rFonts w:ascii="Times New Roman" w:hAnsi="Times New Roman" w:cs="Times New Roman"/>
          <w:sz w:val="28"/>
          <w:szCs w:val="28"/>
        </w:rPr>
        <w:t>х</w:t>
      </w:r>
      <w:r w:rsidRPr="00D935C2">
        <w:rPr>
          <w:rFonts w:ascii="Times New Roman" w:hAnsi="Times New Roman" w:cs="Times New Roman"/>
          <w:sz w:val="28"/>
          <w:szCs w:val="28"/>
        </w:rPr>
        <w:t xml:space="preserve"> </w:t>
      </w:r>
      <w:proofErr w:type="spellStart"/>
      <w:r w:rsidRPr="00D935C2">
        <w:rPr>
          <w:rFonts w:ascii="Times New Roman" w:hAnsi="Times New Roman" w:cs="Times New Roman"/>
          <w:sz w:val="28"/>
          <w:szCs w:val="28"/>
        </w:rPr>
        <w:t>проєкці</w:t>
      </w:r>
      <w:r w:rsidR="00202E09">
        <w:rPr>
          <w:rFonts w:ascii="Times New Roman" w:hAnsi="Times New Roman" w:cs="Times New Roman"/>
          <w:sz w:val="28"/>
          <w:szCs w:val="28"/>
        </w:rPr>
        <w:t>ях</w:t>
      </w:r>
      <w:proofErr w:type="spellEnd"/>
      <w:r w:rsidRPr="00D935C2">
        <w:rPr>
          <w:rFonts w:ascii="Times New Roman" w:hAnsi="Times New Roman" w:cs="Times New Roman"/>
          <w:sz w:val="28"/>
          <w:szCs w:val="28"/>
        </w:rPr>
        <w:t>: через трансформацію фінансових потоків та через зміну реальної інвестиційної поведінки суб'єктів господарювання.</w:t>
      </w:r>
    </w:p>
    <w:p w14:paraId="08274D0C" w14:textId="270375D9" w:rsidR="009B45C0" w:rsidRDefault="009B45C0" w:rsidP="00202E09">
      <w:pPr>
        <w:spacing w:after="0" w:line="360" w:lineRule="auto"/>
        <w:ind w:firstLine="709"/>
        <w:jc w:val="both"/>
        <w:rPr>
          <w:rFonts w:ascii="Times New Roman" w:hAnsi="Times New Roman" w:cs="Times New Roman"/>
          <w:sz w:val="28"/>
          <w:szCs w:val="28"/>
        </w:rPr>
      </w:pPr>
      <w:r w:rsidRPr="00D935C2">
        <w:rPr>
          <w:rFonts w:ascii="Times New Roman" w:hAnsi="Times New Roman" w:cs="Times New Roman"/>
          <w:sz w:val="28"/>
          <w:szCs w:val="28"/>
        </w:rPr>
        <w:t xml:space="preserve">Зміна фінансових потоків та рівня ризикованості, зафіксована в нормативному полі, безпосередньо трансформується у стратегічні наміри інвесторів щодо придбання неподільних активів. Специфіку реагування двох базових ринків АПК — земельних ділянок та </w:t>
      </w:r>
      <w:r w:rsidR="006727CF">
        <w:rPr>
          <w:rFonts w:ascii="Times New Roman" w:hAnsi="Times New Roman" w:cs="Times New Roman"/>
          <w:sz w:val="28"/>
          <w:szCs w:val="28"/>
        </w:rPr>
        <w:t>МТЗ</w:t>
      </w:r>
      <w:r w:rsidRPr="00D935C2">
        <w:rPr>
          <w:rFonts w:ascii="Times New Roman" w:hAnsi="Times New Roman" w:cs="Times New Roman"/>
          <w:sz w:val="28"/>
          <w:szCs w:val="28"/>
        </w:rPr>
        <w:t xml:space="preserve"> — відображено в </w:t>
      </w:r>
      <w:r w:rsidRPr="00202E09">
        <w:rPr>
          <w:rFonts w:ascii="Times New Roman" w:hAnsi="Times New Roman" w:cs="Times New Roman"/>
          <w:sz w:val="28"/>
          <w:szCs w:val="28"/>
        </w:rPr>
        <w:t xml:space="preserve">таблиці </w:t>
      </w:r>
      <w:r w:rsidR="00202E09" w:rsidRPr="00202E09">
        <w:rPr>
          <w:rFonts w:ascii="Times New Roman" w:hAnsi="Times New Roman" w:cs="Times New Roman"/>
          <w:sz w:val="28"/>
          <w:szCs w:val="28"/>
        </w:rPr>
        <w:t>1.</w:t>
      </w:r>
      <w:r w:rsidR="00751348">
        <w:rPr>
          <w:rFonts w:ascii="Times New Roman" w:hAnsi="Times New Roman" w:cs="Times New Roman"/>
          <w:sz w:val="28"/>
          <w:szCs w:val="28"/>
        </w:rPr>
        <w:t>12</w:t>
      </w:r>
      <w:r w:rsidRPr="00202E09">
        <w:rPr>
          <w:rFonts w:ascii="Times New Roman" w:hAnsi="Times New Roman" w:cs="Times New Roman"/>
          <w:sz w:val="28"/>
          <w:szCs w:val="28"/>
        </w:rPr>
        <w:t>.</w:t>
      </w:r>
    </w:p>
    <w:p w14:paraId="054BAEFB" w14:textId="1C773C86" w:rsidR="00202E09" w:rsidRDefault="00202E09" w:rsidP="00202E09">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1.</w:t>
      </w:r>
      <w:r w:rsidR="00751348">
        <w:rPr>
          <w:rFonts w:ascii="Times New Roman" w:hAnsi="Times New Roman" w:cs="Times New Roman"/>
          <w:sz w:val="28"/>
          <w:szCs w:val="28"/>
        </w:rPr>
        <w:t>12</w:t>
      </w:r>
    </w:p>
    <w:p w14:paraId="66C368B9" w14:textId="2E006D3A" w:rsidR="009B45C0" w:rsidRDefault="009B45C0" w:rsidP="00202E09">
      <w:pPr>
        <w:jc w:val="center"/>
        <w:rPr>
          <w:rFonts w:ascii="Times New Roman" w:hAnsi="Times New Roman" w:cs="Times New Roman"/>
          <w:sz w:val="28"/>
          <w:szCs w:val="28"/>
        </w:rPr>
      </w:pPr>
      <w:r w:rsidRPr="00202E09">
        <w:rPr>
          <w:rFonts w:ascii="Times New Roman" w:hAnsi="Times New Roman" w:cs="Times New Roman"/>
          <w:sz w:val="28"/>
          <w:szCs w:val="28"/>
        </w:rPr>
        <w:t>Вплив інституційного середовища на інвестиційні рішення</w:t>
      </w:r>
    </w:p>
    <w:tbl>
      <w:tblPr>
        <w:tblStyle w:val="af0"/>
        <w:tblW w:w="0" w:type="auto"/>
        <w:tblLook w:val="04A0" w:firstRow="1" w:lastRow="0" w:firstColumn="1" w:lastColumn="0" w:noHBand="0" w:noVBand="1"/>
      </w:tblPr>
      <w:tblGrid>
        <w:gridCol w:w="2830"/>
        <w:gridCol w:w="3588"/>
        <w:gridCol w:w="3209"/>
      </w:tblGrid>
      <w:tr w:rsidR="00202E09" w:rsidRPr="00D54683" w14:paraId="685B8601" w14:textId="77777777" w:rsidTr="006727CF">
        <w:tc>
          <w:tcPr>
            <w:tcW w:w="2830" w:type="dxa"/>
          </w:tcPr>
          <w:p w14:paraId="07552B52" w14:textId="5433FD2C" w:rsidR="00202E09" w:rsidRPr="00F81C33" w:rsidRDefault="00D54683" w:rsidP="00202E09">
            <w:pPr>
              <w:jc w:val="center"/>
              <w:rPr>
                <w:rFonts w:ascii="Times New Roman" w:hAnsi="Times New Roman" w:cs="Times New Roman"/>
                <w:sz w:val="24"/>
                <w:szCs w:val="24"/>
              </w:rPr>
            </w:pPr>
            <w:r w:rsidRPr="00F81C33">
              <w:rPr>
                <w:rFonts w:ascii="Times New Roman" w:hAnsi="Times New Roman" w:cs="Times New Roman"/>
                <w:sz w:val="24"/>
                <w:szCs w:val="24"/>
              </w:rPr>
              <w:t>Чинник зовнішнього середовища</w:t>
            </w:r>
          </w:p>
        </w:tc>
        <w:tc>
          <w:tcPr>
            <w:tcW w:w="3588" w:type="dxa"/>
          </w:tcPr>
          <w:p w14:paraId="696BA8C7" w14:textId="5E395E28" w:rsidR="00202E09" w:rsidRPr="00F81C33" w:rsidRDefault="00D54683" w:rsidP="00202E09">
            <w:pPr>
              <w:jc w:val="center"/>
              <w:rPr>
                <w:rFonts w:ascii="Times New Roman" w:hAnsi="Times New Roman" w:cs="Times New Roman"/>
                <w:sz w:val="24"/>
                <w:szCs w:val="24"/>
              </w:rPr>
            </w:pPr>
            <w:r w:rsidRPr="00F81C33">
              <w:rPr>
                <w:rFonts w:ascii="Times New Roman" w:hAnsi="Times New Roman" w:cs="Times New Roman"/>
                <w:sz w:val="24"/>
                <w:szCs w:val="24"/>
              </w:rPr>
              <w:t>Детермінанти інвестиційного попиту на земельні ресурси</w:t>
            </w:r>
          </w:p>
        </w:tc>
        <w:tc>
          <w:tcPr>
            <w:tcW w:w="3209" w:type="dxa"/>
          </w:tcPr>
          <w:p w14:paraId="6236B8C7" w14:textId="60BB04EC" w:rsidR="00202E09" w:rsidRPr="00F81C33" w:rsidRDefault="00D54683" w:rsidP="00202E09">
            <w:pPr>
              <w:jc w:val="center"/>
              <w:rPr>
                <w:rFonts w:ascii="Times New Roman" w:hAnsi="Times New Roman" w:cs="Times New Roman"/>
                <w:sz w:val="24"/>
                <w:szCs w:val="24"/>
              </w:rPr>
            </w:pPr>
            <w:r w:rsidRPr="00F81C33">
              <w:rPr>
                <w:rFonts w:ascii="Times New Roman" w:hAnsi="Times New Roman" w:cs="Times New Roman"/>
                <w:sz w:val="24"/>
                <w:szCs w:val="24"/>
              </w:rPr>
              <w:t>Детермінанти інвестиційного попиту на матеріально-технічні засоби</w:t>
            </w:r>
          </w:p>
        </w:tc>
      </w:tr>
      <w:tr w:rsidR="00202E09" w:rsidRPr="00D54683" w14:paraId="1029E4AF" w14:textId="77777777" w:rsidTr="006727CF">
        <w:tc>
          <w:tcPr>
            <w:tcW w:w="2830" w:type="dxa"/>
          </w:tcPr>
          <w:p w14:paraId="1A30BACB" w14:textId="3E698F73"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Ріст фіскального тиску</w:t>
            </w:r>
          </w:p>
        </w:tc>
        <w:tc>
          <w:tcPr>
            <w:tcW w:w="3588" w:type="dxa"/>
          </w:tcPr>
          <w:p w14:paraId="5A7ABCD6" w14:textId="5164D79C"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 xml:space="preserve">Оцінка землі стає </w:t>
            </w:r>
            <w:proofErr w:type="spellStart"/>
            <w:r w:rsidRPr="00F81C33">
              <w:rPr>
                <w:rFonts w:ascii="Times New Roman" w:hAnsi="Times New Roman" w:cs="Times New Roman"/>
                <w:sz w:val="24"/>
                <w:szCs w:val="24"/>
              </w:rPr>
              <w:t>прагматичнішою</w:t>
            </w:r>
            <w:proofErr w:type="spellEnd"/>
            <w:r w:rsidRPr="00F81C33">
              <w:rPr>
                <w:rFonts w:ascii="Times New Roman" w:hAnsi="Times New Roman" w:cs="Times New Roman"/>
                <w:sz w:val="24"/>
                <w:szCs w:val="24"/>
              </w:rPr>
              <w:t>; стримується зростання вартості купівлі та оренди паїв.</w:t>
            </w:r>
          </w:p>
        </w:tc>
        <w:tc>
          <w:tcPr>
            <w:tcW w:w="3209" w:type="dxa"/>
          </w:tcPr>
          <w:p w14:paraId="31AB3556" w14:textId="1B85ED8F"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Скорочуються бюджети на купівлю нових машин; купується вживана техніка або ремонтується стара</w:t>
            </w:r>
          </w:p>
        </w:tc>
      </w:tr>
      <w:tr w:rsidR="00202E09" w14:paraId="35F9FED4" w14:textId="77777777" w:rsidTr="006727CF">
        <w:tc>
          <w:tcPr>
            <w:tcW w:w="2830" w:type="dxa"/>
          </w:tcPr>
          <w:p w14:paraId="3236C925" w14:textId="4F762D8E"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Наявність/відсутність страхування</w:t>
            </w:r>
          </w:p>
        </w:tc>
        <w:tc>
          <w:tcPr>
            <w:tcW w:w="3588" w:type="dxa"/>
          </w:tcPr>
          <w:p w14:paraId="7ACF536D" w14:textId="63864699"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Капітал іде лише в безпечні регіони (захід-центр країни); інвестиції в землю біля фронту «заморожені».</w:t>
            </w:r>
          </w:p>
        </w:tc>
        <w:tc>
          <w:tcPr>
            <w:tcW w:w="3209" w:type="dxa"/>
          </w:tcPr>
          <w:p w14:paraId="7EC06545" w14:textId="51A81D3A"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Полегшується доступ до лізингу, оскільки іноземні партнери вимагають страхових гарантій для обладнання</w:t>
            </w:r>
          </w:p>
        </w:tc>
      </w:tr>
      <w:tr w:rsidR="00202E09" w:rsidRPr="00D54683" w14:paraId="2E0B21BE" w14:textId="77777777" w:rsidTr="006727CF">
        <w:tc>
          <w:tcPr>
            <w:tcW w:w="2830" w:type="dxa"/>
          </w:tcPr>
          <w:p w14:paraId="52B1E11B" w14:textId="0BEEA8E4"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Експортна логістика</w:t>
            </w:r>
          </w:p>
        </w:tc>
        <w:tc>
          <w:tcPr>
            <w:tcW w:w="3588" w:type="dxa"/>
          </w:tcPr>
          <w:p w14:paraId="0D15BDB3" w14:textId="69A28132"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Надійні морські шляхи стимулюють великі компанії купувати та консолідувати нові масиви земель.</w:t>
            </w:r>
          </w:p>
        </w:tc>
        <w:tc>
          <w:tcPr>
            <w:tcW w:w="3209" w:type="dxa"/>
          </w:tcPr>
          <w:p w14:paraId="161B3D4B" w14:textId="2627D869" w:rsidR="00202E09" w:rsidRPr="00F81C33" w:rsidRDefault="00D54683" w:rsidP="00D54683">
            <w:pPr>
              <w:rPr>
                <w:rFonts w:ascii="Times New Roman" w:hAnsi="Times New Roman" w:cs="Times New Roman"/>
                <w:sz w:val="24"/>
                <w:szCs w:val="24"/>
              </w:rPr>
            </w:pPr>
            <w:r w:rsidRPr="00F81C33">
              <w:rPr>
                <w:rFonts w:ascii="Times New Roman" w:hAnsi="Times New Roman" w:cs="Times New Roman"/>
                <w:sz w:val="24"/>
                <w:szCs w:val="24"/>
              </w:rPr>
              <w:t>Гроші переорієнтовуються на обладнання для глибокої переробки та логістику (елеватори, сушарки, зерновози).</w:t>
            </w:r>
          </w:p>
        </w:tc>
      </w:tr>
    </w:tbl>
    <w:p w14:paraId="484EEBCB" w14:textId="77777777" w:rsidR="00202E09" w:rsidRPr="00202E09" w:rsidRDefault="00202E09" w:rsidP="00202E09">
      <w:pPr>
        <w:jc w:val="center"/>
        <w:rPr>
          <w:rFonts w:ascii="Times New Roman" w:hAnsi="Times New Roman" w:cs="Times New Roman"/>
          <w:sz w:val="28"/>
          <w:szCs w:val="28"/>
        </w:rPr>
      </w:pPr>
    </w:p>
    <w:p w14:paraId="6F2036F2" w14:textId="36EA8844" w:rsidR="009B45C0" w:rsidRDefault="009B45C0" w:rsidP="00202E09">
      <w:pPr>
        <w:spacing w:after="0" w:line="360" w:lineRule="auto"/>
        <w:ind w:firstLine="709"/>
        <w:jc w:val="both"/>
        <w:rPr>
          <w:rFonts w:ascii="Times New Roman" w:hAnsi="Times New Roman" w:cs="Times New Roman"/>
          <w:sz w:val="28"/>
          <w:szCs w:val="28"/>
        </w:rPr>
      </w:pPr>
      <w:r w:rsidRPr="00751348">
        <w:rPr>
          <w:rFonts w:ascii="Times New Roman" w:hAnsi="Times New Roman" w:cs="Times New Roman"/>
          <w:sz w:val="28"/>
          <w:szCs w:val="28"/>
        </w:rPr>
        <w:t>Аналіз матриці поведінкових реакцій (табл</w:t>
      </w:r>
      <w:r w:rsidR="00202E09" w:rsidRPr="00751348">
        <w:rPr>
          <w:rFonts w:ascii="Times New Roman" w:hAnsi="Times New Roman" w:cs="Times New Roman"/>
          <w:sz w:val="28"/>
          <w:szCs w:val="28"/>
        </w:rPr>
        <w:t>. 1.</w:t>
      </w:r>
      <w:r w:rsidR="00751348" w:rsidRPr="00751348">
        <w:rPr>
          <w:rFonts w:ascii="Times New Roman" w:hAnsi="Times New Roman" w:cs="Times New Roman"/>
          <w:sz w:val="28"/>
          <w:szCs w:val="28"/>
        </w:rPr>
        <w:t>12</w:t>
      </w:r>
      <w:r w:rsidRPr="00751348">
        <w:rPr>
          <w:rFonts w:ascii="Times New Roman" w:hAnsi="Times New Roman" w:cs="Times New Roman"/>
          <w:sz w:val="28"/>
          <w:szCs w:val="28"/>
        </w:rPr>
        <w:t>) дозволяє стверджувати,</w:t>
      </w:r>
      <w:r w:rsidRPr="00D935C2">
        <w:rPr>
          <w:rFonts w:ascii="Times New Roman" w:hAnsi="Times New Roman" w:cs="Times New Roman"/>
          <w:sz w:val="28"/>
          <w:szCs w:val="28"/>
        </w:rPr>
        <w:t xml:space="preserve"> що інституційне середовище повністю </w:t>
      </w:r>
      <w:proofErr w:type="spellStart"/>
      <w:r w:rsidRPr="00D935C2">
        <w:rPr>
          <w:rFonts w:ascii="Times New Roman" w:hAnsi="Times New Roman" w:cs="Times New Roman"/>
          <w:sz w:val="28"/>
          <w:szCs w:val="28"/>
        </w:rPr>
        <w:t>переформатувало</w:t>
      </w:r>
      <w:proofErr w:type="spellEnd"/>
      <w:r w:rsidRPr="00D935C2">
        <w:rPr>
          <w:rFonts w:ascii="Times New Roman" w:hAnsi="Times New Roman" w:cs="Times New Roman"/>
          <w:sz w:val="28"/>
          <w:szCs w:val="28"/>
        </w:rPr>
        <w:t xml:space="preserve"> пріоритети капіталовкладень. Якщо до кризи інвестиції в рухомий капітал (високопродуктивну іноземну техніку) здійснювалися за екстенсивним принципом, то поточний фіскальний тиск змушує аграріїв оптимізувати витрати через ринок вживаної техніки.</w:t>
      </w:r>
      <w:r w:rsidR="00202E09">
        <w:rPr>
          <w:rFonts w:ascii="Times New Roman" w:hAnsi="Times New Roman" w:cs="Times New Roman"/>
          <w:sz w:val="28"/>
          <w:szCs w:val="28"/>
        </w:rPr>
        <w:t xml:space="preserve"> </w:t>
      </w:r>
    </w:p>
    <w:p w14:paraId="5E9E04B6" w14:textId="77777777" w:rsidR="005D4CF3" w:rsidRDefault="005D4CF3" w:rsidP="00202E09">
      <w:pPr>
        <w:spacing w:after="0" w:line="360" w:lineRule="auto"/>
        <w:ind w:firstLine="709"/>
        <w:jc w:val="both"/>
        <w:rPr>
          <w:rFonts w:ascii="Times New Roman" w:hAnsi="Times New Roman" w:cs="Times New Roman"/>
          <w:sz w:val="28"/>
          <w:szCs w:val="28"/>
        </w:rPr>
      </w:pPr>
    </w:p>
    <w:p w14:paraId="4B23EF2A" w14:textId="2C25D00E" w:rsidR="00AA5B06" w:rsidRDefault="00AA5B06" w:rsidP="00AA5B06">
      <w:pPr>
        <w:shd w:val="clear" w:color="auto" w:fill="FFFFFF"/>
        <w:spacing w:after="0" w:line="360" w:lineRule="auto"/>
        <w:jc w:val="center"/>
        <w:outlineLvl w:val="0"/>
        <w:rPr>
          <w:rFonts w:ascii="Times New Roman" w:eastAsia="Times New Roman" w:hAnsi="Times New Roman" w:cs="Times New Roman"/>
          <w:b/>
          <w:bCs/>
          <w:kern w:val="36"/>
          <w:sz w:val="28"/>
          <w:szCs w:val="28"/>
          <w:lang w:val="ru-RU"/>
        </w:rPr>
      </w:pPr>
      <w:r w:rsidRPr="00AA5B06">
        <w:rPr>
          <w:rFonts w:ascii="Times New Roman" w:eastAsia="Times New Roman" w:hAnsi="Times New Roman" w:cs="Times New Roman"/>
          <w:b/>
          <w:bCs/>
          <w:kern w:val="36"/>
          <w:sz w:val="28"/>
          <w:szCs w:val="28"/>
          <w:lang w:val="ru-RU"/>
        </w:rPr>
        <w:lastRenderedPageBreak/>
        <w:t>РОЗДІЛ 2. ОЦІНКА ФІНАНСОВОГО СТАНУ ТА КАПІТАЛІЗАЦІЇ АГРАРНОГО ПІДПРИЄМСТВА В УМОВАХ НЕСТАБІЛЬНОСТІ</w:t>
      </w:r>
    </w:p>
    <w:p w14:paraId="64DAB5FA" w14:textId="77777777" w:rsidR="00AA5B06" w:rsidRDefault="00AA5B06" w:rsidP="00AA5B06">
      <w:pPr>
        <w:shd w:val="clear" w:color="auto" w:fill="FFFFFF"/>
        <w:spacing w:after="0" w:line="360" w:lineRule="auto"/>
        <w:jc w:val="center"/>
        <w:outlineLvl w:val="0"/>
        <w:rPr>
          <w:rFonts w:ascii="Times New Roman" w:eastAsia="Times New Roman" w:hAnsi="Times New Roman" w:cs="Times New Roman"/>
          <w:b/>
          <w:bCs/>
          <w:kern w:val="36"/>
          <w:sz w:val="28"/>
          <w:szCs w:val="28"/>
          <w:lang w:val="ru-RU"/>
        </w:rPr>
      </w:pPr>
    </w:p>
    <w:p w14:paraId="2C0A13FE" w14:textId="58DD7922" w:rsidR="00AA5B06" w:rsidRPr="00AA5B06" w:rsidRDefault="00AA5B06" w:rsidP="00AA5B06">
      <w:pPr>
        <w:shd w:val="clear" w:color="auto" w:fill="FFFFFF"/>
        <w:spacing w:after="0" w:line="360" w:lineRule="auto"/>
        <w:jc w:val="both"/>
        <w:outlineLvl w:val="0"/>
        <w:rPr>
          <w:rFonts w:ascii="Times New Roman" w:eastAsia="Times New Roman" w:hAnsi="Times New Roman" w:cs="Times New Roman"/>
          <w:b/>
          <w:bCs/>
          <w:kern w:val="36"/>
          <w:sz w:val="28"/>
          <w:szCs w:val="28"/>
        </w:rPr>
      </w:pPr>
      <w:r w:rsidRPr="00AA5B06">
        <w:rPr>
          <w:rFonts w:ascii="Times New Roman" w:eastAsia="Times New Roman" w:hAnsi="Times New Roman" w:cs="Times New Roman"/>
          <w:b/>
          <w:bCs/>
          <w:kern w:val="36"/>
          <w:sz w:val="28"/>
          <w:szCs w:val="28"/>
        </w:rPr>
        <w:t>2.1. Оцінка динаміки та структури капіталу як базису ринкової капіталізації підприємства</w:t>
      </w:r>
    </w:p>
    <w:p w14:paraId="5D343644" w14:textId="77777777" w:rsidR="00AA5B06" w:rsidRPr="005B0CBE" w:rsidRDefault="00AA5B06" w:rsidP="00AA5B06">
      <w:pPr>
        <w:spacing w:after="0" w:line="360" w:lineRule="auto"/>
        <w:jc w:val="both"/>
        <w:rPr>
          <w:rFonts w:ascii="Times New Roman" w:hAnsi="Times New Roman" w:cs="Times New Roman"/>
          <w:sz w:val="28"/>
          <w:szCs w:val="28"/>
          <w:lang w:val="ru-RU"/>
        </w:rPr>
      </w:pPr>
    </w:p>
    <w:p w14:paraId="1B3057B1" w14:textId="77777777" w:rsidR="005B0CBE" w:rsidRPr="005B0CBE" w:rsidRDefault="005B0CBE" w:rsidP="005B0CBE">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У сучасних умовах макроекономічної нестабільності, постійних нормативно-правових трансформацій та геополітичних шоків фінансова стійкість підприємства є базовим критерієм його життєздатності та конкурентоспроможності. Ефективне управління капіталом вимагає від менеджменту не просто фіксації поточних результатів, а глибокого розуміння внутрішніх структурних зрушень у балансі.</w:t>
      </w:r>
    </w:p>
    <w:p w14:paraId="40F209A6" w14:textId="350A572C" w:rsidR="00B71412" w:rsidRPr="00B71412" w:rsidRDefault="005B0CBE" w:rsidP="00B71412">
      <w:pPr>
        <w:spacing w:after="0" w:line="360" w:lineRule="auto"/>
        <w:jc w:val="right"/>
        <w:rPr>
          <w:rFonts w:ascii="Times New Roman" w:hAnsi="Times New Roman" w:cs="Times New Roman"/>
          <w:sz w:val="28"/>
          <w:szCs w:val="28"/>
        </w:rPr>
      </w:pPr>
      <w:r w:rsidRPr="00B71412">
        <w:rPr>
          <w:rFonts w:ascii="Times New Roman" w:hAnsi="Times New Roman" w:cs="Times New Roman"/>
          <w:sz w:val="28"/>
          <w:szCs w:val="28"/>
        </w:rPr>
        <w:t xml:space="preserve">Таблиця </w:t>
      </w:r>
      <w:r w:rsidR="00B71412">
        <w:rPr>
          <w:rFonts w:ascii="Times New Roman" w:hAnsi="Times New Roman" w:cs="Times New Roman"/>
          <w:sz w:val="28"/>
          <w:szCs w:val="28"/>
        </w:rPr>
        <w:t>2</w:t>
      </w:r>
      <w:r w:rsidRPr="00B71412">
        <w:rPr>
          <w:rFonts w:ascii="Times New Roman" w:hAnsi="Times New Roman" w:cs="Times New Roman"/>
          <w:sz w:val="28"/>
          <w:szCs w:val="28"/>
        </w:rPr>
        <w:t>.1</w:t>
      </w:r>
    </w:p>
    <w:p w14:paraId="2A164B14" w14:textId="344B0CA4" w:rsidR="00B71412" w:rsidRDefault="005B0CBE" w:rsidP="00B71412">
      <w:pPr>
        <w:spacing w:after="0" w:line="360" w:lineRule="auto"/>
        <w:jc w:val="center"/>
        <w:rPr>
          <w:rFonts w:ascii="Times New Roman" w:hAnsi="Times New Roman" w:cs="Times New Roman"/>
          <w:sz w:val="28"/>
          <w:szCs w:val="28"/>
        </w:rPr>
      </w:pPr>
      <w:r w:rsidRPr="00B71412">
        <w:rPr>
          <w:rFonts w:ascii="Times New Roman" w:hAnsi="Times New Roman" w:cs="Times New Roman"/>
          <w:sz w:val="28"/>
          <w:szCs w:val="28"/>
        </w:rPr>
        <w:t xml:space="preserve">Аналітичні розрахунки вартості чистих активів </w:t>
      </w:r>
      <w:r w:rsidR="00B71412" w:rsidRPr="00B71412">
        <w:rPr>
          <w:rFonts w:ascii="Times New Roman" w:hAnsi="Times New Roman" w:cs="Times New Roman"/>
          <w:sz w:val="28"/>
          <w:szCs w:val="28"/>
        </w:rPr>
        <w:t>ТОВ «КЕРНЕЛ-ТРЕЙД»</w:t>
      </w:r>
    </w:p>
    <w:p w14:paraId="50648135" w14:textId="3E30C945" w:rsidR="005B0CBE" w:rsidRPr="00B71412" w:rsidRDefault="005B0CBE" w:rsidP="00B71412">
      <w:pPr>
        <w:spacing w:after="0" w:line="360" w:lineRule="auto"/>
        <w:jc w:val="center"/>
        <w:rPr>
          <w:rFonts w:ascii="Times New Roman" w:hAnsi="Times New Roman" w:cs="Times New Roman"/>
          <w:sz w:val="28"/>
          <w:szCs w:val="28"/>
        </w:rPr>
      </w:pPr>
      <w:r w:rsidRPr="00B71412">
        <w:rPr>
          <w:rFonts w:ascii="Times New Roman" w:hAnsi="Times New Roman" w:cs="Times New Roman"/>
          <w:sz w:val="28"/>
          <w:szCs w:val="28"/>
        </w:rPr>
        <w:t>за 2023</w:t>
      </w:r>
      <w:r w:rsidR="00B71412">
        <w:rPr>
          <w:rFonts w:ascii="Times New Roman" w:hAnsi="Times New Roman" w:cs="Times New Roman"/>
          <w:sz w:val="28"/>
          <w:szCs w:val="28"/>
        </w:rPr>
        <w:t>-</w:t>
      </w:r>
      <w:r w:rsidRPr="00B71412">
        <w:rPr>
          <w:rFonts w:ascii="Times New Roman" w:hAnsi="Times New Roman" w:cs="Times New Roman"/>
          <w:sz w:val="28"/>
          <w:szCs w:val="28"/>
        </w:rPr>
        <w:t>2025 рр.</w:t>
      </w:r>
    </w:p>
    <w:tbl>
      <w:tblPr>
        <w:tblStyle w:val="af0"/>
        <w:tblW w:w="0" w:type="auto"/>
        <w:tblLook w:val="04A0" w:firstRow="1" w:lastRow="0" w:firstColumn="1" w:lastColumn="0" w:noHBand="0" w:noVBand="1"/>
      </w:tblPr>
      <w:tblGrid>
        <w:gridCol w:w="1212"/>
        <w:gridCol w:w="945"/>
        <w:gridCol w:w="945"/>
        <w:gridCol w:w="945"/>
        <w:gridCol w:w="910"/>
        <w:gridCol w:w="910"/>
        <w:gridCol w:w="910"/>
        <w:gridCol w:w="970"/>
        <w:gridCol w:w="910"/>
        <w:gridCol w:w="970"/>
      </w:tblGrid>
      <w:tr w:rsidR="005B0CBE" w:rsidRPr="00B71412" w14:paraId="1F877C67" w14:textId="77777777" w:rsidTr="00B71412">
        <w:tc>
          <w:tcPr>
            <w:tcW w:w="0" w:type="auto"/>
            <w:hideMark/>
          </w:tcPr>
          <w:p w14:paraId="3ABDB954" w14:textId="77777777" w:rsidR="005B0CBE" w:rsidRPr="00861819" w:rsidRDefault="005B0CBE" w:rsidP="00B71412">
            <w:pPr>
              <w:jc w:val="center"/>
              <w:rPr>
                <w:rFonts w:ascii="Times New Roman" w:hAnsi="Times New Roman" w:cs="Times New Roman"/>
              </w:rPr>
            </w:pPr>
            <w:r w:rsidRPr="00861819">
              <w:rPr>
                <w:rFonts w:ascii="Times New Roman" w:hAnsi="Times New Roman" w:cs="Times New Roman"/>
              </w:rPr>
              <w:t>Показник (тис. грн)</w:t>
            </w:r>
          </w:p>
        </w:tc>
        <w:tc>
          <w:tcPr>
            <w:tcW w:w="0" w:type="auto"/>
            <w:hideMark/>
          </w:tcPr>
          <w:p w14:paraId="1B7B94A6" w14:textId="77777777" w:rsidR="005B0CBE" w:rsidRPr="00861819" w:rsidRDefault="005B0CBE" w:rsidP="00B71412">
            <w:pPr>
              <w:jc w:val="center"/>
              <w:rPr>
                <w:rFonts w:ascii="Times New Roman" w:hAnsi="Times New Roman" w:cs="Times New Roman"/>
              </w:rPr>
            </w:pPr>
            <w:r w:rsidRPr="00861819">
              <w:rPr>
                <w:rFonts w:ascii="Times New Roman" w:hAnsi="Times New Roman" w:cs="Times New Roman"/>
              </w:rPr>
              <w:t>На 31.12.2023</w:t>
            </w:r>
          </w:p>
        </w:tc>
        <w:tc>
          <w:tcPr>
            <w:tcW w:w="0" w:type="auto"/>
            <w:hideMark/>
          </w:tcPr>
          <w:p w14:paraId="6F026291" w14:textId="77777777" w:rsidR="005B0CBE" w:rsidRPr="00861819" w:rsidRDefault="005B0CBE" w:rsidP="00B71412">
            <w:pPr>
              <w:jc w:val="center"/>
              <w:rPr>
                <w:rFonts w:ascii="Times New Roman" w:hAnsi="Times New Roman" w:cs="Times New Roman"/>
              </w:rPr>
            </w:pPr>
            <w:r w:rsidRPr="00861819">
              <w:rPr>
                <w:rFonts w:ascii="Times New Roman" w:hAnsi="Times New Roman" w:cs="Times New Roman"/>
              </w:rPr>
              <w:t>На 31.12.2024</w:t>
            </w:r>
          </w:p>
        </w:tc>
        <w:tc>
          <w:tcPr>
            <w:tcW w:w="0" w:type="auto"/>
            <w:hideMark/>
          </w:tcPr>
          <w:p w14:paraId="498C52B4" w14:textId="77777777" w:rsidR="005B0CBE" w:rsidRPr="00861819" w:rsidRDefault="005B0CBE" w:rsidP="00B71412">
            <w:pPr>
              <w:jc w:val="center"/>
              <w:rPr>
                <w:rFonts w:ascii="Times New Roman" w:hAnsi="Times New Roman" w:cs="Times New Roman"/>
              </w:rPr>
            </w:pPr>
            <w:r w:rsidRPr="00861819">
              <w:rPr>
                <w:rFonts w:ascii="Times New Roman" w:hAnsi="Times New Roman" w:cs="Times New Roman"/>
              </w:rPr>
              <w:t>На 31.12.2025</w:t>
            </w:r>
          </w:p>
        </w:tc>
        <w:tc>
          <w:tcPr>
            <w:tcW w:w="0" w:type="auto"/>
            <w:hideMark/>
          </w:tcPr>
          <w:p w14:paraId="274DB150" w14:textId="77777777" w:rsidR="005B0CBE" w:rsidRPr="00861819" w:rsidRDefault="005B0CBE" w:rsidP="00B71412">
            <w:pPr>
              <w:jc w:val="center"/>
              <w:rPr>
                <w:rFonts w:ascii="Times New Roman" w:hAnsi="Times New Roman" w:cs="Times New Roman"/>
              </w:rPr>
            </w:pPr>
            <w:proofErr w:type="spellStart"/>
            <w:r w:rsidRPr="00861819">
              <w:rPr>
                <w:rFonts w:ascii="Times New Roman" w:hAnsi="Times New Roman" w:cs="Times New Roman"/>
              </w:rPr>
              <w:t>Абс</w:t>
            </w:r>
            <w:proofErr w:type="spellEnd"/>
            <w:r w:rsidRPr="00861819">
              <w:rPr>
                <w:rFonts w:ascii="Times New Roman" w:hAnsi="Times New Roman" w:cs="Times New Roman"/>
              </w:rPr>
              <w:t>. зміна 2024/2023</w:t>
            </w:r>
          </w:p>
        </w:tc>
        <w:tc>
          <w:tcPr>
            <w:tcW w:w="0" w:type="auto"/>
            <w:hideMark/>
          </w:tcPr>
          <w:p w14:paraId="6A980F72" w14:textId="77777777" w:rsidR="005B0CBE" w:rsidRPr="00861819" w:rsidRDefault="005B0CBE" w:rsidP="00B71412">
            <w:pPr>
              <w:jc w:val="center"/>
              <w:rPr>
                <w:rFonts w:ascii="Times New Roman" w:hAnsi="Times New Roman" w:cs="Times New Roman"/>
              </w:rPr>
            </w:pPr>
            <w:proofErr w:type="spellStart"/>
            <w:r w:rsidRPr="00861819">
              <w:rPr>
                <w:rFonts w:ascii="Times New Roman" w:hAnsi="Times New Roman" w:cs="Times New Roman"/>
              </w:rPr>
              <w:t>Відн</w:t>
            </w:r>
            <w:proofErr w:type="spellEnd"/>
            <w:r w:rsidRPr="00861819">
              <w:rPr>
                <w:rFonts w:ascii="Times New Roman" w:hAnsi="Times New Roman" w:cs="Times New Roman"/>
              </w:rPr>
              <w:t>. зміна 2024/2023 (%)</w:t>
            </w:r>
          </w:p>
        </w:tc>
        <w:tc>
          <w:tcPr>
            <w:tcW w:w="0" w:type="auto"/>
            <w:hideMark/>
          </w:tcPr>
          <w:p w14:paraId="669569E5" w14:textId="77777777" w:rsidR="005B0CBE" w:rsidRPr="00861819" w:rsidRDefault="005B0CBE" w:rsidP="00B71412">
            <w:pPr>
              <w:jc w:val="center"/>
              <w:rPr>
                <w:rFonts w:ascii="Times New Roman" w:hAnsi="Times New Roman" w:cs="Times New Roman"/>
              </w:rPr>
            </w:pPr>
            <w:proofErr w:type="spellStart"/>
            <w:r w:rsidRPr="00861819">
              <w:rPr>
                <w:rFonts w:ascii="Times New Roman" w:hAnsi="Times New Roman" w:cs="Times New Roman"/>
              </w:rPr>
              <w:t>Абс</w:t>
            </w:r>
            <w:proofErr w:type="spellEnd"/>
            <w:r w:rsidRPr="00861819">
              <w:rPr>
                <w:rFonts w:ascii="Times New Roman" w:hAnsi="Times New Roman" w:cs="Times New Roman"/>
              </w:rPr>
              <w:t>. зміна 2025/2024</w:t>
            </w:r>
          </w:p>
        </w:tc>
        <w:tc>
          <w:tcPr>
            <w:tcW w:w="0" w:type="auto"/>
            <w:hideMark/>
          </w:tcPr>
          <w:p w14:paraId="0D0C5C19" w14:textId="77777777" w:rsidR="005B0CBE" w:rsidRPr="00861819" w:rsidRDefault="005B0CBE" w:rsidP="00B71412">
            <w:pPr>
              <w:jc w:val="center"/>
              <w:rPr>
                <w:rFonts w:ascii="Times New Roman" w:hAnsi="Times New Roman" w:cs="Times New Roman"/>
              </w:rPr>
            </w:pPr>
            <w:proofErr w:type="spellStart"/>
            <w:r w:rsidRPr="00861819">
              <w:rPr>
                <w:rFonts w:ascii="Times New Roman" w:hAnsi="Times New Roman" w:cs="Times New Roman"/>
              </w:rPr>
              <w:t>Відн</w:t>
            </w:r>
            <w:proofErr w:type="spellEnd"/>
            <w:r w:rsidRPr="00861819">
              <w:rPr>
                <w:rFonts w:ascii="Times New Roman" w:hAnsi="Times New Roman" w:cs="Times New Roman"/>
              </w:rPr>
              <w:t>. зміна 2025/2024 (%)</w:t>
            </w:r>
          </w:p>
        </w:tc>
        <w:tc>
          <w:tcPr>
            <w:tcW w:w="0" w:type="auto"/>
            <w:hideMark/>
          </w:tcPr>
          <w:p w14:paraId="2E35DFC2" w14:textId="77777777" w:rsidR="005B0CBE" w:rsidRPr="00861819" w:rsidRDefault="005B0CBE" w:rsidP="00B71412">
            <w:pPr>
              <w:jc w:val="center"/>
              <w:rPr>
                <w:rFonts w:ascii="Times New Roman" w:hAnsi="Times New Roman" w:cs="Times New Roman"/>
              </w:rPr>
            </w:pPr>
            <w:r w:rsidRPr="00861819">
              <w:rPr>
                <w:rFonts w:ascii="Times New Roman" w:hAnsi="Times New Roman" w:cs="Times New Roman"/>
              </w:rPr>
              <w:t>Загальна зміна 2025/2023</w:t>
            </w:r>
          </w:p>
        </w:tc>
        <w:tc>
          <w:tcPr>
            <w:tcW w:w="0" w:type="auto"/>
            <w:hideMark/>
          </w:tcPr>
          <w:p w14:paraId="63D5E38D" w14:textId="77777777" w:rsidR="005B0CBE" w:rsidRPr="00861819" w:rsidRDefault="005B0CBE" w:rsidP="00B71412">
            <w:pPr>
              <w:jc w:val="center"/>
              <w:rPr>
                <w:rFonts w:ascii="Times New Roman" w:hAnsi="Times New Roman" w:cs="Times New Roman"/>
              </w:rPr>
            </w:pPr>
            <w:r w:rsidRPr="00861819">
              <w:rPr>
                <w:rFonts w:ascii="Times New Roman" w:hAnsi="Times New Roman" w:cs="Times New Roman"/>
              </w:rPr>
              <w:t>Загальний темп (%)</w:t>
            </w:r>
          </w:p>
        </w:tc>
      </w:tr>
      <w:tr w:rsidR="005B0CBE" w:rsidRPr="00B71412" w14:paraId="79142F4A" w14:textId="77777777" w:rsidTr="00B71412">
        <w:tc>
          <w:tcPr>
            <w:tcW w:w="0" w:type="auto"/>
            <w:hideMark/>
          </w:tcPr>
          <w:p w14:paraId="2BBC4FA4"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Усього активів</w:t>
            </w:r>
          </w:p>
        </w:tc>
        <w:tc>
          <w:tcPr>
            <w:tcW w:w="0" w:type="auto"/>
            <w:hideMark/>
          </w:tcPr>
          <w:p w14:paraId="72480058"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51 033 726</w:t>
            </w:r>
          </w:p>
        </w:tc>
        <w:tc>
          <w:tcPr>
            <w:tcW w:w="0" w:type="auto"/>
            <w:hideMark/>
          </w:tcPr>
          <w:p w14:paraId="4F4231E5"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59 908 126</w:t>
            </w:r>
          </w:p>
        </w:tc>
        <w:tc>
          <w:tcPr>
            <w:tcW w:w="0" w:type="auto"/>
            <w:hideMark/>
          </w:tcPr>
          <w:p w14:paraId="3980F6D5"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59 062 231</w:t>
            </w:r>
          </w:p>
        </w:tc>
        <w:tc>
          <w:tcPr>
            <w:tcW w:w="0" w:type="auto"/>
            <w:hideMark/>
          </w:tcPr>
          <w:p w14:paraId="238A1EA6"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+8 874 400</w:t>
            </w:r>
          </w:p>
        </w:tc>
        <w:tc>
          <w:tcPr>
            <w:tcW w:w="0" w:type="auto"/>
            <w:hideMark/>
          </w:tcPr>
          <w:p w14:paraId="04C694E9"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+17,39%</w:t>
            </w:r>
          </w:p>
        </w:tc>
        <w:tc>
          <w:tcPr>
            <w:tcW w:w="0" w:type="auto"/>
            <w:hideMark/>
          </w:tcPr>
          <w:p w14:paraId="514B5083"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-845 895</w:t>
            </w:r>
          </w:p>
        </w:tc>
        <w:tc>
          <w:tcPr>
            <w:tcW w:w="0" w:type="auto"/>
            <w:hideMark/>
          </w:tcPr>
          <w:p w14:paraId="515C8F53"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-1,41%</w:t>
            </w:r>
          </w:p>
        </w:tc>
        <w:tc>
          <w:tcPr>
            <w:tcW w:w="0" w:type="auto"/>
            <w:hideMark/>
          </w:tcPr>
          <w:p w14:paraId="66F345E8"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+8 028 505</w:t>
            </w:r>
          </w:p>
        </w:tc>
        <w:tc>
          <w:tcPr>
            <w:tcW w:w="0" w:type="auto"/>
            <w:hideMark/>
          </w:tcPr>
          <w:p w14:paraId="1DCDBE8F"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+15,73%</w:t>
            </w:r>
          </w:p>
        </w:tc>
      </w:tr>
      <w:tr w:rsidR="005B0CBE" w:rsidRPr="00B71412" w14:paraId="5504EB22" w14:textId="77777777" w:rsidTr="00B71412">
        <w:tc>
          <w:tcPr>
            <w:tcW w:w="0" w:type="auto"/>
            <w:hideMark/>
          </w:tcPr>
          <w:p w14:paraId="166724B1"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Довгострокові зобов'язання</w:t>
            </w:r>
          </w:p>
        </w:tc>
        <w:tc>
          <w:tcPr>
            <w:tcW w:w="0" w:type="auto"/>
            <w:hideMark/>
          </w:tcPr>
          <w:p w14:paraId="0DF7690E"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4 909</w:t>
            </w:r>
          </w:p>
        </w:tc>
        <w:tc>
          <w:tcPr>
            <w:tcW w:w="0" w:type="auto"/>
            <w:hideMark/>
          </w:tcPr>
          <w:p w14:paraId="6785EDE3"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8 533</w:t>
            </w:r>
          </w:p>
        </w:tc>
        <w:tc>
          <w:tcPr>
            <w:tcW w:w="0" w:type="auto"/>
            <w:hideMark/>
          </w:tcPr>
          <w:p w14:paraId="18041953"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447 607</w:t>
            </w:r>
          </w:p>
        </w:tc>
        <w:tc>
          <w:tcPr>
            <w:tcW w:w="0" w:type="auto"/>
            <w:hideMark/>
          </w:tcPr>
          <w:p w14:paraId="704C424B"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+3 624</w:t>
            </w:r>
          </w:p>
        </w:tc>
        <w:tc>
          <w:tcPr>
            <w:tcW w:w="0" w:type="auto"/>
            <w:hideMark/>
          </w:tcPr>
          <w:p w14:paraId="3898197A"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+73,82%</w:t>
            </w:r>
          </w:p>
        </w:tc>
        <w:tc>
          <w:tcPr>
            <w:tcW w:w="0" w:type="auto"/>
            <w:hideMark/>
          </w:tcPr>
          <w:p w14:paraId="3E163C41"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+439 074</w:t>
            </w:r>
          </w:p>
        </w:tc>
        <w:tc>
          <w:tcPr>
            <w:tcW w:w="0" w:type="auto"/>
            <w:hideMark/>
          </w:tcPr>
          <w:p w14:paraId="761268C5"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+5145,60%</w:t>
            </w:r>
          </w:p>
        </w:tc>
        <w:tc>
          <w:tcPr>
            <w:tcW w:w="0" w:type="auto"/>
            <w:hideMark/>
          </w:tcPr>
          <w:p w14:paraId="3B4A41A2"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+442 698</w:t>
            </w:r>
          </w:p>
        </w:tc>
        <w:tc>
          <w:tcPr>
            <w:tcW w:w="0" w:type="auto"/>
            <w:hideMark/>
          </w:tcPr>
          <w:p w14:paraId="2AC4A544"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+9018,09%</w:t>
            </w:r>
          </w:p>
        </w:tc>
      </w:tr>
      <w:tr w:rsidR="005B0CBE" w:rsidRPr="00B71412" w14:paraId="2F407EF6" w14:textId="77777777" w:rsidTr="00B71412">
        <w:tc>
          <w:tcPr>
            <w:tcW w:w="0" w:type="auto"/>
            <w:hideMark/>
          </w:tcPr>
          <w:p w14:paraId="38BD517E"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Поточні зобов'язання</w:t>
            </w:r>
          </w:p>
        </w:tc>
        <w:tc>
          <w:tcPr>
            <w:tcW w:w="0" w:type="auto"/>
            <w:hideMark/>
          </w:tcPr>
          <w:p w14:paraId="51EC15F4"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23 514 495</w:t>
            </w:r>
          </w:p>
        </w:tc>
        <w:tc>
          <w:tcPr>
            <w:tcW w:w="0" w:type="auto"/>
            <w:hideMark/>
          </w:tcPr>
          <w:p w14:paraId="691320E8"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35 524 716</w:t>
            </w:r>
          </w:p>
        </w:tc>
        <w:tc>
          <w:tcPr>
            <w:tcW w:w="0" w:type="auto"/>
            <w:hideMark/>
          </w:tcPr>
          <w:p w14:paraId="1DE25A5F"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35 111 031</w:t>
            </w:r>
          </w:p>
        </w:tc>
        <w:tc>
          <w:tcPr>
            <w:tcW w:w="0" w:type="auto"/>
            <w:hideMark/>
          </w:tcPr>
          <w:p w14:paraId="0FB1AC2E"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+12 010 221</w:t>
            </w:r>
          </w:p>
        </w:tc>
        <w:tc>
          <w:tcPr>
            <w:tcW w:w="0" w:type="auto"/>
            <w:hideMark/>
          </w:tcPr>
          <w:p w14:paraId="2E2726FF"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+51,08%</w:t>
            </w:r>
          </w:p>
        </w:tc>
        <w:tc>
          <w:tcPr>
            <w:tcW w:w="0" w:type="auto"/>
            <w:hideMark/>
          </w:tcPr>
          <w:p w14:paraId="2F0FC6A6"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-413 685</w:t>
            </w:r>
          </w:p>
        </w:tc>
        <w:tc>
          <w:tcPr>
            <w:tcW w:w="0" w:type="auto"/>
            <w:hideMark/>
          </w:tcPr>
          <w:p w14:paraId="0B44A91F"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-1,16%</w:t>
            </w:r>
          </w:p>
        </w:tc>
        <w:tc>
          <w:tcPr>
            <w:tcW w:w="0" w:type="auto"/>
            <w:hideMark/>
          </w:tcPr>
          <w:p w14:paraId="6418C36E"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+11 596 536</w:t>
            </w:r>
          </w:p>
        </w:tc>
        <w:tc>
          <w:tcPr>
            <w:tcW w:w="0" w:type="auto"/>
            <w:hideMark/>
          </w:tcPr>
          <w:p w14:paraId="250E4381"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+49,32%</w:t>
            </w:r>
          </w:p>
        </w:tc>
      </w:tr>
      <w:tr w:rsidR="005B0CBE" w:rsidRPr="00B71412" w14:paraId="0CE895B5" w14:textId="77777777" w:rsidTr="00B71412">
        <w:tc>
          <w:tcPr>
            <w:tcW w:w="0" w:type="auto"/>
            <w:hideMark/>
          </w:tcPr>
          <w:p w14:paraId="585367B3"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Чисті активи (База капіталізації)</w:t>
            </w:r>
          </w:p>
        </w:tc>
        <w:tc>
          <w:tcPr>
            <w:tcW w:w="0" w:type="auto"/>
            <w:hideMark/>
          </w:tcPr>
          <w:p w14:paraId="12BE310C"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27 514 322</w:t>
            </w:r>
          </w:p>
        </w:tc>
        <w:tc>
          <w:tcPr>
            <w:tcW w:w="0" w:type="auto"/>
            <w:hideMark/>
          </w:tcPr>
          <w:p w14:paraId="256C45DE"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24 374 877</w:t>
            </w:r>
          </w:p>
        </w:tc>
        <w:tc>
          <w:tcPr>
            <w:tcW w:w="0" w:type="auto"/>
            <w:hideMark/>
          </w:tcPr>
          <w:p w14:paraId="45C12B71"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23 503 593</w:t>
            </w:r>
          </w:p>
        </w:tc>
        <w:tc>
          <w:tcPr>
            <w:tcW w:w="0" w:type="auto"/>
            <w:hideMark/>
          </w:tcPr>
          <w:p w14:paraId="1EAC6711"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-3 139 445</w:t>
            </w:r>
          </w:p>
        </w:tc>
        <w:tc>
          <w:tcPr>
            <w:tcW w:w="0" w:type="auto"/>
            <w:hideMark/>
          </w:tcPr>
          <w:p w14:paraId="56FAC8EC"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-11,41%</w:t>
            </w:r>
          </w:p>
        </w:tc>
        <w:tc>
          <w:tcPr>
            <w:tcW w:w="0" w:type="auto"/>
            <w:hideMark/>
          </w:tcPr>
          <w:p w14:paraId="6DFAE617"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-871 284</w:t>
            </w:r>
          </w:p>
        </w:tc>
        <w:tc>
          <w:tcPr>
            <w:tcW w:w="0" w:type="auto"/>
            <w:hideMark/>
          </w:tcPr>
          <w:p w14:paraId="4D59F0D3"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-3,57%</w:t>
            </w:r>
          </w:p>
        </w:tc>
        <w:tc>
          <w:tcPr>
            <w:tcW w:w="0" w:type="auto"/>
            <w:hideMark/>
          </w:tcPr>
          <w:p w14:paraId="0E789ADC"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-4 010 729</w:t>
            </w:r>
          </w:p>
        </w:tc>
        <w:tc>
          <w:tcPr>
            <w:tcW w:w="0" w:type="auto"/>
            <w:hideMark/>
          </w:tcPr>
          <w:p w14:paraId="43D992FC" w14:textId="77777777" w:rsidR="005B0CBE" w:rsidRPr="00861819" w:rsidRDefault="005B0CBE" w:rsidP="00B71412">
            <w:pPr>
              <w:jc w:val="both"/>
              <w:rPr>
                <w:rFonts w:ascii="Times New Roman" w:hAnsi="Times New Roman" w:cs="Times New Roman"/>
              </w:rPr>
            </w:pPr>
            <w:r w:rsidRPr="00861819">
              <w:rPr>
                <w:rFonts w:ascii="Times New Roman" w:hAnsi="Times New Roman" w:cs="Times New Roman"/>
              </w:rPr>
              <w:t>-14,58%</w:t>
            </w:r>
          </w:p>
        </w:tc>
      </w:tr>
    </w:tbl>
    <w:p w14:paraId="44AFD060" w14:textId="77777777" w:rsidR="00B71412" w:rsidRDefault="00B71412" w:rsidP="005B0CBE">
      <w:pPr>
        <w:spacing w:after="0" w:line="360" w:lineRule="auto"/>
        <w:jc w:val="both"/>
        <w:rPr>
          <w:rFonts w:ascii="Times New Roman" w:hAnsi="Times New Roman" w:cs="Times New Roman"/>
          <w:sz w:val="28"/>
          <w:szCs w:val="28"/>
        </w:rPr>
      </w:pPr>
    </w:p>
    <w:p w14:paraId="51C3F128" w14:textId="588C3831" w:rsidR="005B0CBE" w:rsidRPr="00975C66" w:rsidRDefault="005B0CBE" w:rsidP="00B71412">
      <w:pPr>
        <w:spacing w:after="0" w:line="360" w:lineRule="auto"/>
        <w:ind w:firstLine="708"/>
        <w:jc w:val="both"/>
        <w:rPr>
          <w:rFonts w:ascii="Times New Roman" w:hAnsi="Times New Roman" w:cs="Times New Roman"/>
          <w:sz w:val="28"/>
          <w:szCs w:val="28"/>
          <w:lang w:val="ru-RU"/>
        </w:rPr>
      </w:pPr>
      <w:r w:rsidRPr="005B0CBE">
        <w:rPr>
          <w:rFonts w:ascii="Times New Roman" w:hAnsi="Times New Roman" w:cs="Times New Roman"/>
          <w:sz w:val="28"/>
          <w:szCs w:val="28"/>
        </w:rPr>
        <w:t xml:space="preserve">Проведена оцінка свідчить про наявність глибокої деструктивної тенденції, що розвивається в майновій структурі підприємства. Протягом аналізованого періоду сукупні активи підприємства зросли на 15,73%, збільшившись з 51 033 726 тис. грн до 59 062 231 тис. грн. На перший погляд, таке розширення балансу </w:t>
      </w:r>
      <w:r w:rsidRPr="005B0CBE">
        <w:rPr>
          <w:rFonts w:ascii="Times New Roman" w:hAnsi="Times New Roman" w:cs="Times New Roman"/>
          <w:sz w:val="28"/>
          <w:szCs w:val="28"/>
        </w:rPr>
        <w:lastRenderedPageBreak/>
        <w:t>може інтерпретуватися як позитивний сигнал масштабного зростання бізнесу та накопичення операційного потенціалу.</w:t>
      </w:r>
    </w:p>
    <w:p w14:paraId="69BCE8AE" w14:textId="69CE974E" w:rsidR="005B0CBE" w:rsidRPr="005B0CBE" w:rsidRDefault="005B0CBE" w:rsidP="00B71412">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Проте паралельний аналіз зобов'язань спростовує цю гіпотезу. За той самий проміжок часу довгостроковий борг зріс у геометричній прогресії (на 9018,09%), хоча в абсолютних цифрах його вплив залишається помірним порівняно із сукупним балансом (447 607 тис. грн у 2025 році). Головним дестабілізуючим чинником стало вибухове зростання поточних (короткострокових) зобов'язань — на 49,32% або на 11 596 536 тис. грн у новому вираженні.</w:t>
      </w:r>
      <w:r w:rsidR="00B71412">
        <w:rPr>
          <w:rFonts w:ascii="Times New Roman" w:hAnsi="Times New Roman" w:cs="Times New Roman"/>
          <w:sz w:val="28"/>
          <w:szCs w:val="28"/>
        </w:rPr>
        <w:t xml:space="preserve"> </w:t>
      </w:r>
      <w:r w:rsidRPr="005B0CBE">
        <w:rPr>
          <w:rFonts w:ascii="Times New Roman" w:hAnsi="Times New Roman" w:cs="Times New Roman"/>
          <w:sz w:val="28"/>
          <w:szCs w:val="28"/>
        </w:rPr>
        <w:t>Оскільки темпи приросту короткострокових боргів (+49,32%) критично випередили темпи приросту майна компанії (+15,73%), реальна вартість чистих активів зазнала суттєвого падіння. База капіталізації скоротилася з 27 514 322 тис. грн у 2023 році до 23 503 593 тис. грн наприкінці 2025 року. Сукупні чисті втрати акціонерної вартості склали 4 010 729 тис. грн, що еквівалентно зниженню капіталізації на 14,58%.</w:t>
      </w:r>
    </w:p>
    <w:p w14:paraId="0F374071" w14:textId="77777777" w:rsidR="005B0CBE" w:rsidRPr="005B0CBE" w:rsidRDefault="005B0CBE" w:rsidP="00B71412">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Найбільш агресивне руйнування бази капіталізації зафіксовано у 2024 році — тоді чисті активи зменшилися одразу на 11,41%. У 2025 році динаміка падіння дещо сповільнилася (-3,57%), однак загальний вектор залишився негативним. Це свідчить про те, що підприємство втрачає власну майнову основу, стаючи все більш залежним від зовнішніх джерел фінансування.</w:t>
      </w:r>
    </w:p>
    <w:p w14:paraId="0EBA0BAE" w14:textId="08809E5E" w:rsidR="005B0CBE" w:rsidRPr="005B0CBE" w:rsidRDefault="005B0CBE" w:rsidP="00B71412">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У фінансовій теорії залучення позикового капіталу розглядається як інструмент інтенсифікації операційної діяльності та підвищення рентабельності власного капіталу за допомогою ефекту фінансового важеля (левериджу). Позиковий капітал дозволяє фінансувати масштабні проєкти, нарощувати оборотні кошти та максимізувати виручку в періоди економічного піднесення. Однак цей механізм ефективно працює лише тоді, коли рентабельність активів підприємства перевищує середню відсоткову ставку за кредитами.</w:t>
      </w:r>
      <w:r w:rsidR="00B71412">
        <w:rPr>
          <w:rFonts w:ascii="Times New Roman" w:hAnsi="Times New Roman" w:cs="Times New Roman"/>
          <w:sz w:val="28"/>
          <w:szCs w:val="28"/>
        </w:rPr>
        <w:t xml:space="preserve"> </w:t>
      </w:r>
      <w:r w:rsidRPr="005B0CBE">
        <w:rPr>
          <w:rFonts w:ascii="Times New Roman" w:hAnsi="Times New Roman" w:cs="Times New Roman"/>
          <w:sz w:val="28"/>
          <w:szCs w:val="28"/>
        </w:rPr>
        <w:t xml:space="preserve">Якщо ж вартість обслуговування боргу стає занадто високою або операційна </w:t>
      </w:r>
      <w:proofErr w:type="spellStart"/>
      <w:r w:rsidRPr="005B0CBE">
        <w:rPr>
          <w:rFonts w:ascii="Times New Roman" w:hAnsi="Times New Roman" w:cs="Times New Roman"/>
          <w:sz w:val="28"/>
          <w:szCs w:val="28"/>
        </w:rPr>
        <w:t>маржинальність</w:t>
      </w:r>
      <w:proofErr w:type="spellEnd"/>
      <w:r w:rsidRPr="005B0CBE">
        <w:rPr>
          <w:rFonts w:ascii="Times New Roman" w:hAnsi="Times New Roman" w:cs="Times New Roman"/>
          <w:sz w:val="28"/>
          <w:szCs w:val="28"/>
        </w:rPr>
        <w:t xml:space="preserve"> бізнесу падає, позиковий капітал перетворюється на чинник фінансового тиску, який починає «вимивати» прибутки та руйнувати базу капіталізації.</w:t>
      </w:r>
    </w:p>
    <w:p w14:paraId="125EB967" w14:textId="72D34DB9" w:rsidR="005B0CBE" w:rsidRPr="005B0CBE" w:rsidRDefault="005B0CBE" w:rsidP="00B71412">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lastRenderedPageBreak/>
        <w:t>Розглянемо параметри взаємозв'язку між борговим навантаженням, виручкою та фінансовим результатом підприємства у таблиці 2.</w:t>
      </w:r>
      <w:r w:rsidR="00B71412">
        <w:rPr>
          <w:rFonts w:ascii="Times New Roman" w:hAnsi="Times New Roman" w:cs="Times New Roman"/>
          <w:sz w:val="28"/>
          <w:szCs w:val="28"/>
        </w:rPr>
        <w:t>2</w:t>
      </w:r>
      <w:r w:rsidRPr="005B0CBE">
        <w:rPr>
          <w:rFonts w:ascii="Times New Roman" w:hAnsi="Times New Roman" w:cs="Times New Roman"/>
          <w:sz w:val="28"/>
          <w:szCs w:val="28"/>
        </w:rPr>
        <w:t>.</w:t>
      </w:r>
    </w:p>
    <w:p w14:paraId="79EA75AB" w14:textId="4E4476E6" w:rsidR="00B71412" w:rsidRPr="00B71412" w:rsidRDefault="005B0CBE" w:rsidP="00B71412">
      <w:pPr>
        <w:spacing w:after="0" w:line="360" w:lineRule="auto"/>
        <w:jc w:val="right"/>
        <w:rPr>
          <w:rFonts w:ascii="Times New Roman" w:hAnsi="Times New Roman" w:cs="Times New Roman"/>
          <w:sz w:val="28"/>
          <w:szCs w:val="28"/>
        </w:rPr>
      </w:pPr>
      <w:r w:rsidRPr="00B71412">
        <w:rPr>
          <w:rFonts w:ascii="Times New Roman" w:hAnsi="Times New Roman" w:cs="Times New Roman"/>
          <w:sz w:val="28"/>
          <w:szCs w:val="28"/>
        </w:rPr>
        <w:t>Таблиця 2.</w:t>
      </w:r>
      <w:r w:rsidR="00B71412" w:rsidRPr="00B71412">
        <w:rPr>
          <w:rFonts w:ascii="Times New Roman" w:hAnsi="Times New Roman" w:cs="Times New Roman"/>
          <w:sz w:val="28"/>
          <w:szCs w:val="28"/>
        </w:rPr>
        <w:t>2</w:t>
      </w:r>
    </w:p>
    <w:p w14:paraId="1D1F6298" w14:textId="77777777" w:rsidR="00B71412" w:rsidRDefault="005B0CBE" w:rsidP="00B71412">
      <w:pPr>
        <w:spacing w:after="0" w:line="360" w:lineRule="auto"/>
        <w:jc w:val="center"/>
        <w:rPr>
          <w:rFonts w:ascii="Times New Roman" w:hAnsi="Times New Roman" w:cs="Times New Roman"/>
          <w:sz w:val="28"/>
          <w:szCs w:val="28"/>
        </w:rPr>
      </w:pPr>
      <w:r w:rsidRPr="00B71412">
        <w:rPr>
          <w:rFonts w:ascii="Times New Roman" w:hAnsi="Times New Roman" w:cs="Times New Roman"/>
          <w:sz w:val="28"/>
          <w:szCs w:val="28"/>
        </w:rPr>
        <w:t>Динаміка показників фінансового левериджу та результативності капіталу</w:t>
      </w:r>
      <w:r w:rsidR="00B71412">
        <w:rPr>
          <w:rFonts w:ascii="Times New Roman" w:hAnsi="Times New Roman" w:cs="Times New Roman"/>
          <w:sz w:val="28"/>
          <w:szCs w:val="28"/>
        </w:rPr>
        <w:t xml:space="preserve"> </w:t>
      </w:r>
    </w:p>
    <w:p w14:paraId="56FB57D1" w14:textId="549617E4" w:rsidR="005B0CBE" w:rsidRPr="00B71412" w:rsidRDefault="00B71412" w:rsidP="00B71412">
      <w:pPr>
        <w:spacing w:after="0" w:line="360" w:lineRule="auto"/>
        <w:jc w:val="center"/>
        <w:rPr>
          <w:rFonts w:ascii="Times New Roman" w:hAnsi="Times New Roman" w:cs="Times New Roman"/>
          <w:sz w:val="28"/>
          <w:szCs w:val="28"/>
        </w:rPr>
      </w:pPr>
      <w:r w:rsidRPr="00B71412">
        <w:rPr>
          <w:rFonts w:ascii="Times New Roman" w:hAnsi="Times New Roman" w:cs="Times New Roman"/>
          <w:sz w:val="28"/>
          <w:szCs w:val="28"/>
        </w:rPr>
        <w:t>ТОВ «КЕРНЕЛ-ТРЕЙД»</w:t>
      </w:r>
    </w:p>
    <w:tbl>
      <w:tblPr>
        <w:tblStyle w:val="af0"/>
        <w:tblW w:w="0" w:type="auto"/>
        <w:tblLook w:val="04A0" w:firstRow="1" w:lastRow="0" w:firstColumn="1" w:lastColumn="0" w:noHBand="0" w:noVBand="1"/>
      </w:tblPr>
      <w:tblGrid>
        <w:gridCol w:w="1227"/>
        <w:gridCol w:w="955"/>
        <w:gridCol w:w="955"/>
        <w:gridCol w:w="956"/>
        <w:gridCol w:w="920"/>
        <w:gridCol w:w="920"/>
        <w:gridCol w:w="920"/>
        <w:gridCol w:w="920"/>
        <w:gridCol w:w="920"/>
        <w:gridCol w:w="934"/>
      </w:tblGrid>
      <w:tr w:rsidR="005B0CBE" w:rsidRPr="00861819" w14:paraId="0232A523" w14:textId="77777777" w:rsidTr="00861819">
        <w:tc>
          <w:tcPr>
            <w:tcW w:w="0" w:type="auto"/>
            <w:hideMark/>
          </w:tcPr>
          <w:p w14:paraId="0364DDFF"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Показник (тис. грн)</w:t>
            </w:r>
          </w:p>
        </w:tc>
        <w:tc>
          <w:tcPr>
            <w:tcW w:w="0" w:type="auto"/>
            <w:hideMark/>
          </w:tcPr>
          <w:p w14:paraId="4FA536C9"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На 31.12.2023</w:t>
            </w:r>
          </w:p>
        </w:tc>
        <w:tc>
          <w:tcPr>
            <w:tcW w:w="0" w:type="auto"/>
            <w:hideMark/>
          </w:tcPr>
          <w:p w14:paraId="10338AE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На 31.12.2024</w:t>
            </w:r>
          </w:p>
        </w:tc>
        <w:tc>
          <w:tcPr>
            <w:tcW w:w="0" w:type="auto"/>
            <w:hideMark/>
          </w:tcPr>
          <w:p w14:paraId="24635C4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На 31.12.2025</w:t>
            </w:r>
          </w:p>
        </w:tc>
        <w:tc>
          <w:tcPr>
            <w:tcW w:w="0" w:type="auto"/>
            <w:hideMark/>
          </w:tcPr>
          <w:p w14:paraId="12D83D1B" w14:textId="77777777" w:rsidR="005B0CBE" w:rsidRPr="00861819" w:rsidRDefault="005B0CBE" w:rsidP="00861819">
            <w:pPr>
              <w:jc w:val="both"/>
              <w:rPr>
                <w:rFonts w:ascii="Times New Roman" w:hAnsi="Times New Roman" w:cs="Times New Roman"/>
              </w:rPr>
            </w:pPr>
            <w:proofErr w:type="spellStart"/>
            <w:r w:rsidRPr="00861819">
              <w:rPr>
                <w:rFonts w:ascii="Times New Roman" w:hAnsi="Times New Roman" w:cs="Times New Roman"/>
              </w:rPr>
              <w:t>Абс</w:t>
            </w:r>
            <w:proofErr w:type="spellEnd"/>
            <w:r w:rsidRPr="00861819">
              <w:rPr>
                <w:rFonts w:ascii="Times New Roman" w:hAnsi="Times New Roman" w:cs="Times New Roman"/>
              </w:rPr>
              <w:t>. зміна 2024/2023</w:t>
            </w:r>
          </w:p>
        </w:tc>
        <w:tc>
          <w:tcPr>
            <w:tcW w:w="0" w:type="auto"/>
            <w:hideMark/>
          </w:tcPr>
          <w:p w14:paraId="0CACED75" w14:textId="77777777" w:rsidR="005B0CBE" w:rsidRPr="00861819" w:rsidRDefault="005B0CBE" w:rsidP="00861819">
            <w:pPr>
              <w:jc w:val="both"/>
              <w:rPr>
                <w:rFonts w:ascii="Times New Roman" w:hAnsi="Times New Roman" w:cs="Times New Roman"/>
              </w:rPr>
            </w:pPr>
            <w:proofErr w:type="spellStart"/>
            <w:r w:rsidRPr="00861819">
              <w:rPr>
                <w:rFonts w:ascii="Times New Roman" w:hAnsi="Times New Roman" w:cs="Times New Roman"/>
              </w:rPr>
              <w:t>Відн</w:t>
            </w:r>
            <w:proofErr w:type="spellEnd"/>
            <w:r w:rsidRPr="00861819">
              <w:rPr>
                <w:rFonts w:ascii="Times New Roman" w:hAnsi="Times New Roman" w:cs="Times New Roman"/>
              </w:rPr>
              <w:t>. зміна 2024/2023 (%)</w:t>
            </w:r>
          </w:p>
        </w:tc>
        <w:tc>
          <w:tcPr>
            <w:tcW w:w="0" w:type="auto"/>
            <w:hideMark/>
          </w:tcPr>
          <w:p w14:paraId="611E6144" w14:textId="77777777" w:rsidR="005B0CBE" w:rsidRPr="00861819" w:rsidRDefault="005B0CBE" w:rsidP="00861819">
            <w:pPr>
              <w:jc w:val="both"/>
              <w:rPr>
                <w:rFonts w:ascii="Times New Roman" w:hAnsi="Times New Roman" w:cs="Times New Roman"/>
              </w:rPr>
            </w:pPr>
            <w:proofErr w:type="spellStart"/>
            <w:r w:rsidRPr="00861819">
              <w:rPr>
                <w:rFonts w:ascii="Times New Roman" w:hAnsi="Times New Roman" w:cs="Times New Roman"/>
              </w:rPr>
              <w:t>Абс</w:t>
            </w:r>
            <w:proofErr w:type="spellEnd"/>
            <w:r w:rsidRPr="00861819">
              <w:rPr>
                <w:rFonts w:ascii="Times New Roman" w:hAnsi="Times New Roman" w:cs="Times New Roman"/>
              </w:rPr>
              <w:t>. зміна 2025/2024</w:t>
            </w:r>
          </w:p>
        </w:tc>
        <w:tc>
          <w:tcPr>
            <w:tcW w:w="0" w:type="auto"/>
            <w:hideMark/>
          </w:tcPr>
          <w:p w14:paraId="65865DA5" w14:textId="77777777" w:rsidR="005B0CBE" w:rsidRPr="00861819" w:rsidRDefault="005B0CBE" w:rsidP="00861819">
            <w:pPr>
              <w:jc w:val="both"/>
              <w:rPr>
                <w:rFonts w:ascii="Times New Roman" w:hAnsi="Times New Roman" w:cs="Times New Roman"/>
              </w:rPr>
            </w:pPr>
            <w:proofErr w:type="spellStart"/>
            <w:r w:rsidRPr="00861819">
              <w:rPr>
                <w:rFonts w:ascii="Times New Roman" w:hAnsi="Times New Roman" w:cs="Times New Roman"/>
              </w:rPr>
              <w:t>Відн</w:t>
            </w:r>
            <w:proofErr w:type="spellEnd"/>
            <w:r w:rsidRPr="00861819">
              <w:rPr>
                <w:rFonts w:ascii="Times New Roman" w:hAnsi="Times New Roman" w:cs="Times New Roman"/>
              </w:rPr>
              <w:t>. зміна 2025/2024 (%)</w:t>
            </w:r>
          </w:p>
        </w:tc>
        <w:tc>
          <w:tcPr>
            <w:tcW w:w="0" w:type="auto"/>
            <w:hideMark/>
          </w:tcPr>
          <w:p w14:paraId="6EC36B0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Загальна зміна 2025/2023</w:t>
            </w:r>
          </w:p>
        </w:tc>
        <w:tc>
          <w:tcPr>
            <w:tcW w:w="0" w:type="auto"/>
            <w:hideMark/>
          </w:tcPr>
          <w:p w14:paraId="59ED5DC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Загальний темп (%)</w:t>
            </w:r>
          </w:p>
        </w:tc>
      </w:tr>
      <w:tr w:rsidR="005B0CBE" w:rsidRPr="00861819" w14:paraId="172BC2FA" w14:textId="77777777" w:rsidTr="00861819">
        <w:tc>
          <w:tcPr>
            <w:tcW w:w="0" w:type="auto"/>
            <w:hideMark/>
          </w:tcPr>
          <w:p w14:paraId="6BF5D20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Власний капітал</w:t>
            </w:r>
          </w:p>
        </w:tc>
        <w:tc>
          <w:tcPr>
            <w:tcW w:w="0" w:type="auto"/>
            <w:hideMark/>
          </w:tcPr>
          <w:p w14:paraId="50875E1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27 514 322</w:t>
            </w:r>
          </w:p>
        </w:tc>
        <w:tc>
          <w:tcPr>
            <w:tcW w:w="0" w:type="auto"/>
            <w:hideMark/>
          </w:tcPr>
          <w:p w14:paraId="7431796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24 374 877</w:t>
            </w:r>
          </w:p>
        </w:tc>
        <w:tc>
          <w:tcPr>
            <w:tcW w:w="0" w:type="auto"/>
            <w:hideMark/>
          </w:tcPr>
          <w:p w14:paraId="290AAD6C"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23 503 593</w:t>
            </w:r>
          </w:p>
        </w:tc>
        <w:tc>
          <w:tcPr>
            <w:tcW w:w="0" w:type="auto"/>
            <w:hideMark/>
          </w:tcPr>
          <w:p w14:paraId="19ABD5C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-3 139 445</w:t>
            </w:r>
          </w:p>
        </w:tc>
        <w:tc>
          <w:tcPr>
            <w:tcW w:w="0" w:type="auto"/>
            <w:hideMark/>
          </w:tcPr>
          <w:p w14:paraId="703559C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-11,41%</w:t>
            </w:r>
          </w:p>
        </w:tc>
        <w:tc>
          <w:tcPr>
            <w:tcW w:w="0" w:type="auto"/>
            <w:hideMark/>
          </w:tcPr>
          <w:p w14:paraId="49C23EB9"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-871 284</w:t>
            </w:r>
          </w:p>
        </w:tc>
        <w:tc>
          <w:tcPr>
            <w:tcW w:w="0" w:type="auto"/>
            <w:hideMark/>
          </w:tcPr>
          <w:p w14:paraId="3BED1CC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-3,57%</w:t>
            </w:r>
          </w:p>
        </w:tc>
        <w:tc>
          <w:tcPr>
            <w:tcW w:w="0" w:type="auto"/>
            <w:hideMark/>
          </w:tcPr>
          <w:p w14:paraId="12766C9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-4 010 729</w:t>
            </w:r>
          </w:p>
        </w:tc>
        <w:tc>
          <w:tcPr>
            <w:tcW w:w="0" w:type="auto"/>
            <w:hideMark/>
          </w:tcPr>
          <w:p w14:paraId="642FC1D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-14,58%</w:t>
            </w:r>
          </w:p>
        </w:tc>
      </w:tr>
      <w:tr w:rsidR="005B0CBE" w:rsidRPr="00861819" w14:paraId="327F7825" w14:textId="77777777" w:rsidTr="00861819">
        <w:tc>
          <w:tcPr>
            <w:tcW w:w="0" w:type="auto"/>
            <w:hideMark/>
          </w:tcPr>
          <w:p w14:paraId="04E3A5F3"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Позиковий капітал (Зобов'язання)</w:t>
            </w:r>
          </w:p>
        </w:tc>
        <w:tc>
          <w:tcPr>
            <w:tcW w:w="0" w:type="auto"/>
            <w:hideMark/>
          </w:tcPr>
          <w:p w14:paraId="2C62067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23 519 404</w:t>
            </w:r>
          </w:p>
        </w:tc>
        <w:tc>
          <w:tcPr>
            <w:tcW w:w="0" w:type="auto"/>
            <w:hideMark/>
          </w:tcPr>
          <w:p w14:paraId="479DC22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35 533 249</w:t>
            </w:r>
          </w:p>
        </w:tc>
        <w:tc>
          <w:tcPr>
            <w:tcW w:w="0" w:type="auto"/>
            <w:hideMark/>
          </w:tcPr>
          <w:p w14:paraId="0A2DB58D"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35 558 638</w:t>
            </w:r>
          </w:p>
        </w:tc>
        <w:tc>
          <w:tcPr>
            <w:tcW w:w="0" w:type="auto"/>
            <w:hideMark/>
          </w:tcPr>
          <w:p w14:paraId="169A86DE"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+12 013 845</w:t>
            </w:r>
          </w:p>
        </w:tc>
        <w:tc>
          <w:tcPr>
            <w:tcW w:w="0" w:type="auto"/>
            <w:hideMark/>
          </w:tcPr>
          <w:p w14:paraId="41349F4E"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+51,08%</w:t>
            </w:r>
          </w:p>
        </w:tc>
        <w:tc>
          <w:tcPr>
            <w:tcW w:w="0" w:type="auto"/>
            <w:hideMark/>
          </w:tcPr>
          <w:p w14:paraId="1AD0571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+25 389</w:t>
            </w:r>
          </w:p>
        </w:tc>
        <w:tc>
          <w:tcPr>
            <w:tcW w:w="0" w:type="auto"/>
            <w:hideMark/>
          </w:tcPr>
          <w:p w14:paraId="45A8F7F3"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+0,07%</w:t>
            </w:r>
          </w:p>
        </w:tc>
        <w:tc>
          <w:tcPr>
            <w:tcW w:w="0" w:type="auto"/>
            <w:hideMark/>
          </w:tcPr>
          <w:p w14:paraId="7E3CF7C5"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+12 039 234</w:t>
            </w:r>
          </w:p>
        </w:tc>
        <w:tc>
          <w:tcPr>
            <w:tcW w:w="0" w:type="auto"/>
            <w:hideMark/>
          </w:tcPr>
          <w:p w14:paraId="03FA404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+51,19%</w:t>
            </w:r>
          </w:p>
        </w:tc>
      </w:tr>
      <w:tr w:rsidR="005B0CBE" w:rsidRPr="00861819" w14:paraId="653F074A" w14:textId="77777777" w:rsidTr="00861819">
        <w:tc>
          <w:tcPr>
            <w:tcW w:w="0" w:type="auto"/>
            <w:hideMark/>
          </w:tcPr>
          <w:p w14:paraId="5F30F35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Коефіцієнт левериджу (Борг / Власний капітал)</w:t>
            </w:r>
          </w:p>
        </w:tc>
        <w:tc>
          <w:tcPr>
            <w:tcW w:w="0" w:type="auto"/>
            <w:hideMark/>
          </w:tcPr>
          <w:p w14:paraId="73F3360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0,85</w:t>
            </w:r>
          </w:p>
        </w:tc>
        <w:tc>
          <w:tcPr>
            <w:tcW w:w="0" w:type="auto"/>
            <w:hideMark/>
          </w:tcPr>
          <w:p w14:paraId="546C8EF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1,46</w:t>
            </w:r>
          </w:p>
        </w:tc>
        <w:tc>
          <w:tcPr>
            <w:tcW w:w="0" w:type="auto"/>
            <w:hideMark/>
          </w:tcPr>
          <w:p w14:paraId="63B4C309"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1,51</w:t>
            </w:r>
          </w:p>
        </w:tc>
        <w:tc>
          <w:tcPr>
            <w:tcW w:w="0" w:type="auto"/>
            <w:hideMark/>
          </w:tcPr>
          <w:p w14:paraId="28AB2A6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+0,61</w:t>
            </w:r>
          </w:p>
        </w:tc>
        <w:tc>
          <w:tcPr>
            <w:tcW w:w="0" w:type="auto"/>
            <w:hideMark/>
          </w:tcPr>
          <w:p w14:paraId="49868E1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+71,76%</w:t>
            </w:r>
          </w:p>
        </w:tc>
        <w:tc>
          <w:tcPr>
            <w:tcW w:w="0" w:type="auto"/>
            <w:hideMark/>
          </w:tcPr>
          <w:p w14:paraId="4A066FBC"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+0,05</w:t>
            </w:r>
          </w:p>
        </w:tc>
        <w:tc>
          <w:tcPr>
            <w:tcW w:w="0" w:type="auto"/>
            <w:hideMark/>
          </w:tcPr>
          <w:p w14:paraId="73F95589"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+3,42%</w:t>
            </w:r>
          </w:p>
        </w:tc>
        <w:tc>
          <w:tcPr>
            <w:tcW w:w="0" w:type="auto"/>
            <w:hideMark/>
          </w:tcPr>
          <w:p w14:paraId="3F536B9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+0,66</w:t>
            </w:r>
          </w:p>
        </w:tc>
        <w:tc>
          <w:tcPr>
            <w:tcW w:w="0" w:type="auto"/>
            <w:hideMark/>
          </w:tcPr>
          <w:p w14:paraId="7E5385C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+77,65%</w:t>
            </w:r>
          </w:p>
        </w:tc>
      </w:tr>
      <w:tr w:rsidR="005B0CBE" w:rsidRPr="00861819" w14:paraId="06CA9E26" w14:textId="77777777" w:rsidTr="00861819">
        <w:tc>
          <w:tcPr>
            <w:tcW w:w="0" w:type="auto"/>
            <w:hideMark/>
          </w:tcPr>
          <w:p w14:paraId="3E079B7E"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Чистий дохід (Виручка)</w:t>
            </w:r>
          </w:p>
        </w:tc>
        <w:tc>
          <w:tcPr>
            <w:tcW w:w="0" w:type="auto"/>
            <w:hideMark/>
          </w:tcPr>
          <w:p w14:paraId="44E5030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62 056 891</w:t>
            </w:r>
          </w:p>
        </w:tc>
        <w:tc>
          <w:tcPr>
            <w:tcW w:w="0" w:type="auto"/>
            <w:hideMark/>
          </w:tcPr>
          <w:p w14:paraId="20B2A7C5"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90 926 416</w:t>
            </w:r>
          </w:p>
        </w:tc>
        <w:tc>
          <w:tcPr>
            <w:tcW w:w="0" w:type="auto"/>
            <w:hideMark/>
          </w:tcPr>
          <w:p w14:paraId="00DB043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105 937 299</w:t>
            </w:r>
          </w:p>
        </w:tc>
        <w:tc>
          <w:tcPr>
            <w:tcW w:w="0" w:type="auto"/>
            <w:hideMark/>
          </w:tcPr>
          <w:p w14:paraId="6D3C742F"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+28 869 525</w:t>
            </w:r>
          </w:p>
        </w:tc>
        <w:tc>
          <w:tcPr>
            <w:tcW w:w="0" w:type="auto"/>
            <w:hideMark/>
          </w:tcPr>
          <w:p w14:paraId="43422B9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+46,52%</w:t>
            </w:r>
          </w:p>
        </w:tc>
        <w:tc>
          <w:tcPr>
            <w:tcW w:w="0" w:type="auto"/>
            <w:hideMark/>
          </w:tcPr>
          <w:p w14:paraId="5C8FBA5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+15 010 883</w:t>
            </w:r>
          </w:p>
        </w:tc>
        <w:tc>
          <w:tcPr>
            <w:tcW w:w="0" w:type="auto"/>
            <w:hideMark/>
          </w:tcPr>
          <w:p w14:paraId="10EC7E1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+16,51%</w:t>
            </w:r>
          </w:p>
        </w:tc>
        <w:tc>
          <w:tcPr>
            <w:tcW w:w="0" w:type="auto"/>
            <w:hideMark/>
          </w:tcPr>
          <w:p w14:paraId="5BACF936"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+43 880 408</w:t>
            </w:r>
          </w:p>
        </w:tc>
        <w:tc>
          <w:tcPr>
            <w:tcW w:w="0" w:type="auto"/>
            <w:hideMark/>
          </w:tcPr>
          <w:p w14:paraId="15E17ED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+70,71%</w:t>
            </w:r>
          </w:p>
        </w:tc>
      </w:tr>
      <w:tr w:rsidR="005B0CBE" w:rsidRPr="00861819" w14:paraId="3807929C" w14:textId="77777777" w:rsidTr="00861819">
        <w:tc>
          <w:tcPr>
            <w:tcW w:w="0" w:type="auto"/>
            <w:hideMark/>
          </w:tcPr>
          <w:p w14:paraId="2621CE3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Фінансові витрати (відсотки)</w:t>
            </w:r>
          </w:p>
        </w:tc>
        <w:tc>
          <w:tcPr>
            <w:tcW w:w="0" w:type="auto"/>
            <w:hideMark/>
          </w:tcPr>
          <w:p w14:paraId="79F075C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2 116 216</w:t>
            </w:r>
          </w:p>
        </w:tc>
        <w:tc>
          <w:tcPr>
            <w:tcW w:w="0" w:type="auto"/>
            <w:hideMark/>
          </w:tcPr>
          <w:p w14:paraId="18E37225"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1 583 269</w:t>
            </w:r>
          </w:p>
        </w:tc>
        <w:tc>
          <w:tcPr>
            <w:tcW w:w="0" w:type="auto"/>
            <w:hideMark/>
          </w:tcPr>
          <w:p w14:paraId="689EABE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1 798 922</w:t>
            </w:r>
          </w:p>
        </w:tc>
        <w:tc>
          <w:tcPr>
            <w:tcW w:w="0" w:type="auto"/>
            <w:hideMark/>
          </w:tcPr>
          <w:p w14:paraId="2A360BDF"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-532 947</w:t>
            </w:r>
          </w:p>
        </w:tc>
        <w:tc>
          <w:tcPr>
            <w:tcW w:w="0" w:type="auto"/>
            <w:hideMark/>
          </w:tcPr>
          <w:p w14:paraId="7672380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-25,18%</w:t>
            </w:r>
          </w:p>
        </w:tc>
        <w:tc>
          <w:tcPr>
            <w:tcW w:w="0" w:type="auto"/>
            <w:hideMark/>
          </w:tcPr>
          <w:p w14:paraId="16DBA84E"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+215 653</w:t>
            </w:r>
          </w:p>
        </w:tc>
        <w:tc>
          <w:tcPr>
            <w:tcW w:w="0" w:type="auto"/>
            <w:hideMark/>
          </w:tcPr>
          <w:p w14:paraId="03D46A5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+13,62%</w:t>
            </w:r>
          </w:p>
        </w:tc>
        <w:tc>
          <w:tcPr>
            <w:tcW w:w="0" w:type="auto"/>
            <w:hideMark/>
          </w:tcPr>
          <w:p w14:paraId="06FF5ED3"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-317 294</w:t>
            </w:r>
          </w:p>
        </w:tc>
        <w:tc>
          <w:tcPr>
            <w:tcW w:w="0" w:type="auto"/>
            <w:hideMark/>
          </w:tcPr>
          <w:p w14:paraId="0DE57D6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-14,99%</w:t>
            </w:r>
          </w:p>
        </w:tc>
      </w:tr>
      <w:tr w:rsidR="005B0CBE" w:rsidRPr="00861819" w14:paraId="52112BE5" w14:textId="77777777" w:rsidTr="00861819">
        <w:tc>
          <w:tcPr>
            <w:tcW w:w="0" w:type="auto"/>
            <w:hideMark/>
          </w:tcPr>
          <w:p w14:paraId="1590302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Чистий прибуток</w:t>
            </w:r>
          </w:p>
        </w:tc>
        <w:tc>
          <w:tcPr>
            <w:tcW w:w="0" w:type="auto"/>
            <w:hideMark/>
          </w:tcPr>
          <w:p w14:paraId="57934A7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4 373 035</w:t>
            </w:r>
          </w:p>
        </w:tc>
        <w:tc>
          <w:tcPr>
            <w:tcW w:w="0" w:type="auto"/>
            <w:hideMark/>
          </w:tcPr>
          <w:p w14:paraId="489B8C7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5 415 269</w:t>
            </w:r>
          </w:p>
        </w:tc>
        <w:tc>
          <w:tcPr>
            <w:tcW w:w="0" w:type="auto"/>
            <w:hideMark/>
          </w:tcPr>
          <w:p w14:paraId="1268B30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284 502</w:t>
            </w:r>
          </w:p>
        </w:tc>
        <w:tc>
          <w:tcPr>
            <w:tcW w:w="0" w:type="auto"/>
            <w:hideMark/>
          </w:tcPr>
          <w:p w14:paraId="55A81E4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+1 042 234</w:t>
            </w:r>
          </w:p>
        </w:tc>
        <w:tc>
          <w:tcPr>
            <w:tcW w:w="0" w:type="auto"/>
            <w:hideMark/>
          </w:tcPr>
          <w:p w14:paraId="2D9E7FB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+23,83%</w:t>
            </w:r>
          </w:p>
        </w:tc>
        <w:tc>
          <w:tcPr>
            <w:tcW w:w="0" w:type="auto"/>
            <w:hideMark/>
          </w:tcPr>
          <w:p w14:paraId="3496FF0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-5 130 767</w:t>
            </w:r>
          </w:p>
        </w:tc>
        <w:tc>
          <w:tcPr>
            <w:tcW w:w="0" w:type="auto"/>
            <w:hideMark/>
          </w:tcPr>
          <w:p w14:paraId="1FC27E1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-94,75%</w:t>
            </w:r>
          </w:p>
        </w:tc>
        <w:tc>
          <w:tcPr>
            <w:tcW w:w="0" w:type="auto"/>
            <w:hideMark/>
          </w:tcPr>
          <w:p w14:paraId="036B39CE"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-4 088 533</w:t>
            </w:r>
          </w:p>
        </w:tc>
        <w:tc>
          <w:tcPr>
            <w:tcW w:w="0" w:type="auto"/>
            <w:hideMark/>
          </w:tcPr>
          <w:p w14:paraId="43954F5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-93,49%</w:t>
            </w:r>
          </w:p>
        </w:tc>
      </w:tr>
    </w:tbl>
    <w:p w14:paraId="4D821AA6" w14:textId="77777777" w:rsidR="00861819" w:rsidRDefault="00861819" w:rsidP="005B0CBE">
      <w:pPr>
        <w:spacing w:after="0" w:line="360" w:lineRule="auto"/>
        <w:jc w:val="both"/>
        <w:rPr>
          <w:rFonts w:ascii="Times New Roman" w:hAnsi="Times New Roman" w:cs="Times New Roman"/>
          <w:sz w:val="28"/>
          <w:szCs w:val="28"/>
        </w:rPr>
      </w:pPr>
    </w:p>
    <w:p w14:paraId="77CDDCFC" w14:textId="3ADA2216" w:rsidR="005B0CBE" w:rsidRDefault="005B0CBE" w:rsidP="00861819">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Аналітичні дані чітко ілюструють зміну моделі впливу позикових коштів на капіталізацію бізнесу. Протягом 2023</w:t>
      </w:r>
      <w:r w:rsidR="00F81C33" w:rsidRPr="00F81C33">
        <w:rPr>
          <w:rFonts w:ascii="Times New Roman" w:hAnsi="Times New Roman" w:cs="Times New Roman"/>
          <w:sz w:val="28"/>
          <w:szCs w:val="28"/>
          <w:lang w:val="ru-RU"/>
        </w:rPr>
        <w:t>-</w:t>
      </w:r>
      <w:r w:rsidRPr="005B0CBE">
        <w:rPr>
          <w:rFonts w:ascii="Times New Roman" w:hAnsi="Times New Roman" w:cs="Times New Roman"/>
          <w:sz w:val="28"/>
          <w:szCs w:val="28"/>
        </w:rPr>
        <w:t>2024 років залучення позикового капіталу супроводжувалося вираженим позитивним ефектом масштабу. Обсяг зобов'язань зріс на 51,08%, що дало змогу підприємству збільшити обсяги чистого доходу на 46,52% (до 90 926 416 тис. грн). При цьому чистий прибуток зріс на 23,83% і досяг пікового значення у 5 415 269 тис. грн. Завдяки цьому падіння чистих активів у 2024 році було частково компенсоване високою внутрішньою рентабельністю продажів.</w:t>
      </w:r>
    </w:p>
    <w:p w14:paraId="341EBB92" w14:textId="7376C517" w:rsidR="005B0CBE" w:rsidRPr="005B0CBE" w:rsidRDefault="005B0CBE" w:rsidP="00861819">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 xml:space="preserve">Однак у 2025 році ситуація радикально змінилася, і ефект фінансового важеля набув негативного (руйнівного) характеру. Коефіцієнт левериджу досяг критичної позначки 1,51. Незважаючи на те, що підприємство успішно наростило </w:t>
      </w:r>
      <w:r w:rsidRPr="005B0CBE">
        <w:rPr>
          <w:rFonts w:ascii="Times New Roman" w:hAnsi="Times New Roman" w:cs="Times New Roman"/>
          <w:sz w:val="28"/>
          <w:szCs w:val="28"/>
        </w:rPr>
        <w:lastRenderedPageBreak/>
        <w:t>виручку до рекордних 105 937 299 тис. грн (+16,51%), сукупні фінансові витрати на обслуговування боргів зросли на 13,62% — до 1 798 922 тис. грн.</w:t>
      </w:r>
      <w:r w:rsidR="00861819">
        <w:rPr>
          <w:rFonts w:ascii="Times New Roman" w:hAnsi="Times New Roman" w:cs="Times New Roman"/>
          <w:sz w:val="28"/>
          <w:szCs w:val="28"/>
        </w:rPr>
        <w:t xml:space="preserve"> </w:t>
      </w:r>
      <w:r w:rsidRPr="005B0CBE">
        <w:rPr>
          <w:rFonts w:ascii="Times New Roman" w:hAnsi="Times New Roman" w:cs="Times New Roman"/>
          <w:sz w:val="28"/>
          <w:szCs w:val="28"/>
        </w:rPr>
        <w:t>На тлі випереджаючого зростання операційної собівартості, фінансові витрати (виплата відсотків за кредитами та іншими зобов'язаннями) фактично абсорбували весь валовий результат підприємства. Це призвело до катастрофічного обвалу чистого прибутку у 2025 році — на 94,75%, або до критичних 284 502 тис. грн.</w:t>
      </w:r>
    </w:p>
    <w:p w14:paraId="1A0E90EE" w14:textId="77777777" w:rsidR="005B0CBE" w:rsidRPr="005B0CBE" w:rsidRDefault="005B0CBE" w:rsidP="00861819">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Оскільки чистий прибуток є головним внутрішнім джерелом капіталізації та формування нерозподіленого прибутку (складової власного капіталу), його падіння майже до нульової позначки унеможливило природне відновлення чистих активів. Позиковий капітал перевантажив фінансову систему підприємства, перетворивши операційне зростання на збиткове для акціонерів.</w:t>
      </w:r>
    </w:p>
    <w:p w14:paraId="135D017A" w14:textId="78484DEA" w:rsidR="005B0CBE" w:rsidRPr="005B0CBE" w:rsidRDefault="005B0CBE" w:rsidP="00861819">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 xml:space="preserve">Таблиця </w:t>
      </w:r>
      <w:r w:rsidR="00861819">
        <w:rPr>
          <w:rFonts w:ascii="Times New Roman" w:hAnsi="Times New Roman" w:cs="Times New Roman"/>
          <w:sz w:val="28"/>
          <w:szCs w:val="28"/>
        </w:rPr>
        <w:t>2</w:t>
      </w:r>
      <w:r w:rsidRPr="005B0CBE">
        <w:rPr>
          <w:rFonts w:ascii="Times New Roman" w:hAnsi="Times New Roman" w:cs="Times New Roman"/>
          <w:sz w:val="28"/>
          <w:szCs w:val="28"/>
        </w:rPr>
        <w:t>.</w:t>
      </w:r>
      <w:r w:rsidR="00861819">
        <w:rPr>
          <w:rFonts w:ascii="Times New Roman" w:hAnsi="Times New Roman" w:cs="Times New Roman"/>
          <w:sz w:val="28"/>
          <w:szCs w:val="28"/>
        </w:rPr>
        <w:t>3</w:t>
      </w:r>
      <w:r w:rsidRPr="005B0CBE">
        <w:rPr>
          <w:rFonts w:ascii="Times New Roman" w:hAnsi="Times New Roman" w:cs="Times New Roman"/>
          <w:sz w:val="28"/>
          <w:szCs w:val="28"/>
        </w:rPr>
        <w:t xml:space="preserve"> детально розкриває внутрішню анатомію цієї вимушеної структурної трансформації.</w:t>
      </w:r>
    </w:p>
    <w:p w14:paraId="79FA16D7" w14:textId="77777777" w:rsidR="00861819" w:rsidRPr="00861819" w:rsidRDefault="005B0CBE" w:rsidP="00861819">
      <w:pPr>
        <w:spacing w:after="0" w:line="360" w:lineRule="auto"/>
        <w:jc w:val="right"/>
        <w:rPr>
          <w:rFonts w:ascii="Times New Roman" w:hAnsi="Times New Roman" w:cs="Times New Roman"/>
          <w:sz w:val="28"/>
          <w:szCs w:val="28"/>
        </w:rPr>
      </w:pPr>
      <w:r w:rsidRPr="00861819">
        <w:rPr>
          <w:rFonts w:ascii="Times New Roman" w:hAnsi="Times New Roman" w:cs="Times New Roman"/>
          <w:sz w:val="28"/>
          <w:szCs w:val="28"/>
        </w:rPr>
        <w:t xml:space="preserve">Таблиця </w:t>
      </w:r>
      <w:r w:rsidR="00861819" w:rsidRPr="00861819">
        <w:rPr>
          <w:rFonts w:ascii="Times New Roman" w:hAnsi="Times New Roman" w:cs="Times New Roman"/>
          <w:sz w:val="28"/>
          <w:szCs w:val="28"/>
        </w:rPr>
        <w:t>2.3</w:t>
      </w:r>
    </w:p>
    <w:p w14:paraId="46EDD825" w14:textId="77777777" w:rsidR="00861819" w:rsidRPr="00B71412" w:rsidRDefault="005B0CBE" w:rsidP="00861819">
      <w:pPr>
        <w:spacing w:after="0" w:line="360" w:lineRule="auto"/>
        <w:jc w:val="center"/>
        <w:rPr>
          <w:rFonts w:ascii="Times New Roman" w:hAnsi="Times New Roman" w:cs="Times New Roman"/>
          <w:sz w:val="28"/>
          <w:szCs w:val="28"/>
        </w:rPr>
      </w:pPr>
      <w:r w:rsidRPr="00861819">
        <w:rPr>
          <w:rFonts w:ascii="Times New Roman" w:hAnsi="Times New Roman" w:cs="Times New Roman"/>
          <w:sz w:val="28"/>
          <w:szCs w:val="28"/>
        </w:rPr>
        <w:t xml:space="preserve">Структурні зміни та відхилення в пасивах </w:t>
      </w:r>
      <w:r w:rsidR="00861819" w:rsidRPr="00B71412">
        <w:rPr>
          <w:rFonts w:ascii="Times New Roman" w:hAnsi="Times New Roman" w:cs="Times New Roman"/>
          <w:sz w:val="28"/>
          <w:szCs w:val="28"/>
        </w:rPr>
        <w:t>ТОВ «КЕРНЕЛ-ТРЕЙД»</w:t>
      </w:r>
    </w:p>
    <w:p w14:paraId="720E6083" w14:textId="67A6E950" w:rsidR="005B0CBE" w:rsidRPr="00861819" w:rsidRDefault="005B0CBE" w:rsidP="00861819">
      <w:pPr>
        <w:spacing w:after="0" w:line="360" w:lineRule="auto"/>
        <w:jc w:val="center"/>
        <w:rPr>
          <w:rFonts w:ascii="Times New Roman" w:hAnsi="Times New Roman" w:cs="Times New Roman"/>
          <w:sz w:val="28"/>
          <w:szCs w:val="28"/>
        </w:rPr>
      </w:pPr>
      <w:r w:rsidRPr="00861819">
        <w:rPr>
          <w:rFonts w:ascii="Times New Roman" w:hAnsi="Times New Roman" w:cs="Times New Roman"/>
          <w:sz w:val="28"/>
          <w:szCs w:val="28"/>
        </w:rPr>
        <w:t xml:space="preserve">під впливом зовнішніх </w:t>
      </w:r>
      <w:r w:rsidR="00861819">
        <w:rPr>
          <w:rFonts w:ascii="Times New Roman" w:hAnsi="Times New Roman" w:cs="Times New Roman"/>
          <w:sz w:val="28"/>
          <w:szCs w:val="28"/>
        </w:rPr>
        <w:t>чинників</w:t>
      </w:r>
    </w:p>
    <w:tbl>
      <w:tblPr>
        <w:tblStyle w:val="af0"/>
        <w:tblW w:w="0" w:type="auto"/>
        <w:tblLook w:val="04A0" w:firstRow="1" w:lastRow="0" w:firstColumn="1" w:lastColumn="0" w:noHBand="0" w:noVBand="1"/>
      </w:tblPr>
      <w:tblGrid>
        <w:gridCol w:w="1356"/>
        <w:gridCol w:w="940"/>
        <w:gridCol w:w="940"/>
        <w:gridCol w:w="941"/>
        <w:gridCol w:w="906"/>
        <w:gridCol w:w="906"/>
        <w:gridCol w:w="906"/>
        <w:gridCol w:w="906"/>
        <w:gridCol w:w="906"/>
        <w:gridCol w:w="920"/>
      </w:tblGrid>
      <w:tr w:rsidR="005B0CBE" w:rsidRPr="005B0CBE" w14:paraId="2D715111" w14:textId="77777777" w:rsidTr="00861819">
        <w:tc>
          <w:tcPr>
            <w:tcW w:w="0" w:type="auto"/>
            <w:hideMark/>
          </w:tcPr>
          <w:p w14:paraId="2C996E76"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Агреговані статті пасиву (тис. грн)</w:t>
            </w:r>
          </w:p>
        </w:tc>
        <w:tc>
          <w:tcPr>
            <w:tcW w:w="0" w:type="auto"/>
            <w:hideMark/>
          </w:tcPr>
          <w:p w14:paraId="152F7BDD"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На 31.12.2023</w:t>
            </w:r>
          </w:p>
        </w:tc>
        <w:tc>
          <w:tcPr>
            <w:tcW w:w="0" w:type="auto"/>
            <w:hideMark/>
          </w:tcPr>
          <w:p w14:paraId="59AF7C57"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На 31.12.2024</w:t>
            </w:r>
          </w:p>
        </w:tc>
        <w:tc>
          <w:tcPr>
            <w:tcW w:w="0" w:type="auto"/>
            <w:hideMark/>
          </w:tcPr>
          <w:p w14:paraId="3C41F224"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На 31.12.2025</w:t>
            </w:r>
          </w:p>
        </w:tc>
        <w:tc>
          <w:tcPr>
            <w:tcW w:w="0" w:type="auto"/>
            <w:hideMark/>
          </w:tcPr>
          <w:p w14:paraId="48F3356E" w14:textId="77777777" w:rsidR="005B0CBE" w:rsidRPr="00861819" w:rsidRDefault="005B0CBE" w:rsidP="00861819">
            <w:pPr>
              <w:jc w:val="center"/>
              <w:rPr>
                <w:rFonts w:ascii="Times New Roman" w:hAnsi="Times New Roman" w:cs="Times New Roman"/>
              </w:rPr>
            </w:pPr>
            <w:proofErr w:type="spellStart"/>
            <w:r w:rsidRPr="00861819">
              <w:rPr>
                <w:rFonts w:ascii="Times New Roman" w:hAnsi="Times New Roman" w:cs="Times New Roman"/>
              </w:rPr>
              <w:t>Абс</w:t>
            </w:r>
            <w:proofErr w:type="spellEnd"/>
            <w:r w:rsidRPr="00861819">
              <w:rPr>
                <w:rFonts w:ascii="Times New Roman" w:hAnsi="Times New Roman" w:cs="Times New Roman"/>
              </w:rPr>
              <w:t>. зміна 2024/2023</w:t>
            </w:r>
          </w:p>
        </w:tc>
        <w:tc>
          <w:tcPr>
            <w:tcW w:w="0" w:type="auto"/>
            <w:hideMark/>
          </w:tcPr>
          <w:p w14:paraId="35559B72" w14:textId="77777777" w:rsidR="005B0CBE" w:rsidRPr="00861819" w:rsidRDefault="005B0CBE" w:rsidP="00861819">
            <w:pPr>
              <w:jc w:val="center"/>
              <w:rPr>
                <w:rFonts w:ascii="Times New Roman" w:hAnsi="Times New Roman" w:cs="Times New Roman"/>
              </w:rPr>
            </w:pPr>
            <w:proofErr w:type="spellStart"/>
            <w:r w:rsidRPr="00861819">
              <w:rPr>
                <w:rFonts w:ascii="Times New Roman" w:hAnsi="Times New Roman" w:cs="Times New Roman"/>
              </w:rPr>
              <w:t>Відн</w:t>
            </w:r>
            <w:proofErr w:type="spellEnd"/>
            <w:r w:rsidRPr="00861819">
              <w:rPr>
                <w:rFonts w:ascii="Times New Roman" w:hAnsi="Times New Roman" w:cs="Times New Roman"/>
              </w:rPr>
              <w:t>. зміна 2024/2023 (%)</w:t>
            </w:r>
          </w:p>
        </w:tc>
        <w:tc>
          <w:tcPr>
            <w:tcW w:w="0" w:type="auto"/>
            <w:hideMark/>
          </w:tcPr>
          <w:p w14:paraId="30394021" w14:textId="77777777" w:rsidR="005B0CBE" w:rsidRPr="00861819" w:rsidRDefault="005B0CBE" w:rsidP="00861819">
            <w:pPr>
              <w:jc w:val="center"/>
              <w:rPr>
                <w:rFonts w:ascii="Times New Roman" w:hAnsi="Times New Roman" w:cs="Times New Roman"/>
              </w:rPr>
            </w:pPr>
            <w:proofErr w:type="spellStart"/>
            <w:r w:rsidRPr="00861819">
              <w:rPr>
                <w:rFonts w:ascii="Times New Roman" w:hAnsi="Times New Roman" w:cs="Times New Roman"/>
              </w:rPr>
              <w:t>Абс</w:t>
            </w:r>
            <w:proofErr w:type="spellEnd"/>
            <w:r w:rsidRPr="00861819">
              <w:rPr>
                <w:rFonts w:ascii="Times New Roman" w:hAnsi="Times New Roman" w:cs="Times New Roman"/>
              </w:rPr>
              <w:t>. зміна 2025/2024</w:t>
            </w:r>
          </w:p>
        </w:tc>
        <w:tc>
          <w:tcPr>
            <w:tcW w:w="0" w:type="auto"/>
            <w:hideMark/>
          </w:tcPr>
          <w:p w14:paraId="1F5DF20E" w14:textId="77777777" w:rsidR="005B0CBE" w:rsidRPr="00861819" w:rsidRDefault="005B0CBE" w:rsidP="00861819">
            <w:pPr>
              <w:jc w:val="center"/>
              <w:rPr>
                <w:rFonts w:ascii="Times New Roman" w:hAnsi="Times New Roman" w:cs="Times New Roman"/>
              </w:rPr>
            </w:pPr>
            <w:proofErr w:type="spellStart"/>
            <w:r w:rsidRPr="00861819">
              <w:rPr>
                <w:rFonts w:ascii="Times New Roman" w:hAnsi="Times New Roman" w:cs="Times New Roman"/>
              </w:rPr>
              <w:t>Відн</w:t>
            </w:r>
            <w:proofErr w:type="spellEnd"/>
            <w:r w:rsidRPr="00861819">
              <w:rPr>
                <w:rFonts w:ascii="Times New Roman" w:hAnsi="Times New Roman" w:cs="Times New Roman"/>
              </w:rPr>
              <w:t>. зміна 2025/2024 (%)</w:t>
            </w:r>
          </w:p>
        </w:tc>
        <w:tc>
          <w:tcPr>
            <w:tcW w:w="0" w:type="auto"/>
            <w:hideMark/>
          </w:tcPr>
          <w:p w14:paraId="721BC22C"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Загальна зміна 2025/2023</w:t>
            </w:r>
          </w:p>
        </w:tc>
        <w:tc>
          <w:tcPr>
            <w:tcW w:w="0" w:type="auto"/>
            <w:hideMark/>
          </w:tcPr>
          <w:p w14:paraId="2DF50FF1"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Загальний темп (%)</w:t>
            </w:r>
          </w:p>
        </w:tc>
      </w:tr>
      <w:tr w:rsidR="005B0CBE" w:rsidRPr="005B0CBE" w14:paraId="0E559B1B" w14:textId="77777777" w:rsidTr="00861819">
        <w:tc>
          <w:tcPr>
            <w:tcW w:w="0" w:type="auto"/>
            <w:hideMark/>
          </w:tcPr>
          <w:p w14:paraId="6F3FBBB6"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Короткострокові кредити банків</w:t>
            </w:r>
          </w:p>
        </w:tc>
        <w:tc>
          <w:tcPr>
            <w:tcW w:w="0" w:type="auto"/>
            <w:hideMark/>
          </w:tcPr>
          <w:p w14:paraId="7B111A5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1 230 000</w:t>
            </w:r>
          </w:p>
        </w:tc>
        <w:tc>
          <w:tcPr>
            <w:tcW w:w="0" w:type="auto"/>
            <w:hideMark/>
          </w:tcPr>
          <w:p w14:paraId="5A2C8B1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6 943 393</w:t>
            </w:r>
          </w:p>
        </w:tc>
        <w:tc>
          <w:tcPr>
            <w:tcW w:w="0" w:type="auto"/>
            <w:hideMark/>
          </w:tcPr>
          <w:p w14:paraId="79E0EB8F"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7 646 120</w:t>
            </w:r>
          </w:p>
        </w:tc>
        <w:tc>
          <w:tcPr>
            <w:tcW w:w="0" w:type="auto"/>
            <w:hideMark/>
          </w:tcPr>
          <w:p w14:paraId="44B9D6F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+5 713 393</w:t>
            </w:r>
          </w:p>
        </w:tc>
        <w:tc>
          <w:tcPr>
            <w:tcW w:w="0" w:type="auto"/>
            <w:hideMark/>
          </w:tcPr>
          <w:p w14:paraId="2878B20D"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+464,50%</w:t>
            </w:r>
          </w:p>
        </w:tc>
        <w:tc>
          <w:tcPr>
            <w:tcW w:w="0" w:type="auto"/>
            <w:hideMark/>
          </w:tcPr>
          <w:p w14:paraId="39535AE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+702 727</w:t>
            </w:r>
          </w:p>
        </w:tc>
        <w:tc>
          <w:tcPr>
            <w:tcW w:w="0" w:type="auto"/>
            <w:hideMark/>
          </w:tcPr>
          <w:p w14:paraId="4DD393B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+10,12%</w:t>
            </w:r>
          </w:p>
        </w:tc>
        <w:tc>
          <w:tcPr>
            <w:tcW w:w="0" w:type="auto"/>
            <w:hideMark/>
          </w:tcPr>
          <w:p w14:paraId="48D6524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+6 416 120</w:t>
            </w:r>
          </w:p>
        </w:tc>
        <w:tc>
          <w:tcPr>
            <w:tcW w:w="0" w:type="auto"/>
            <w:hideMark/>
          </w:tcPr>
          <w:p w14:paraId="611F719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+521,64%</w:t>
            </w:r>
          </w:p>
        </w:tc>
      </w:tr>
      <w:tr w:rsidR="005B0CBE" w:rsidRPr="005B0CBE" w14:paraId="118AAE9D" w14:textId="77777777" w:rsidTr="00861819">
        <w:tc>
          <w:tcPr>
            <w:tcW w:w="0" w:type="auto"/>
            <w:hideMark/>
          </w:tcPr>
          <w:p w14:paraId="052C07D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Довгострокові кредити банків</w:t>
            </w:r>
          </w:p>
        </w:tc>
        <w:tc>
          <w:tcPr>
            <w:tcW w:w="0" w:type="auto"/>
            <w:hideMark/>
          </w:tcPr>
          <w:p w14:paraId="0535A35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w:t>
            </w:r>
          </w:p>
        </w:tc>
        <w:tc>
          <w:tcPr>
            <w:tcW w:w="0" w:type="auto"/>
            <w:hideMark/>
          </w:tcPr>
          <w:p w14:paraId="75C7169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w:t>
            </w:r>
          </w:p>
        </w:tc>
        <w:tc>
          <w:tcPr>
            <w:tcW w:w="0" w:type="auto"/>
            <w:hideMark/>
          </w:tcPr>
          <w:p w14:paraId="71BA9996"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439 290</w:t>
            </w:r>
          </w:p>
        </w:tc>
        <w:tc>
          <w:tcPr>
            <w:tcW w:w="0" w:type="auto"/>
            <w:hideMark/>
          </w:tcPr>
          <w:p w14:paraId="1EA2FDB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0</w:t>
            </w:r>
          </w:p>
        </w:tc>
        <w:tc>
          <w:tcPr>
            <w:tcW w:w="0" w:type="auto"/>
            <w:hideMark/>
          </w:tcPr>
          <w:p w14:paraId="6DEC107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w:t>
            </w:r>
          </w:p>
        </w:tc>
        <w:tc>
          <w:tcPr>
            <w:tcW w:w="0" w:type="auto"/>
            <w:hideMark/>
          </w:tcPr>
          <w:p w14:paraId="143FE3BF"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+439 290</w:t>
            </w:r>
          </w:p>
        </w:tc>
        <w:tc>
          <w:tcPr>
            <w:tcW w:w="0" w:type="auto"/>
            <w:hideMark/>
          </w:tcPr>
          <w:p w14:paraId="7210D373"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w:t>
            </w:r>
          </w:p>
        </w:tc>
        <w:tc>
          <w:tcPr>
            <w:tcW w:w="0" w:type="auto"/>
            <w:hideMark/>
          </w:tcPr>
          <w:p w14:paraId="0A8CE46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+439 290</w:t>
            </w:r>
          </w:p>
        </w:tc>
        <w:tc>
          <w:tcPr>
            <w:tcW w:w="0" w:type="auto"/>
            <w:hideMark/>
          </w:tcPr>
          <w:p w14:paraId="5A23268C"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w:t>
            </w:r>
          </w:p>
        </w:tc>
      </w:tr>
      <w:tr w:rsidR="005B0CBE" w:rsidRPr="005B0CBE" w14:paraId="487FB1AB" w14:textId="77777777" w:rsidTr="00861819">
        <w:tc>
          <w:tcPr>
            <w:tcW w:w="0" w:type="auto"/>
            <w:hideMark/>
          </w:tcPr>
          <w:p w14:paraId="10598A24"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Кредиторська заборгованість за авансами</w:t>
            </w:r>
          </w:p>
        </w:tc>
        <w:tc>
          <w:tcPr>
            <w:tcW w:w="0" w:type="auto"/>
            <w:hideMark/>
          </w:tcPr>
          <w:p w14:paraId="56153708"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4 214 747</w:t>
            </w:r>
          </w:p>
        </w:tc>
        <w:tc>
          <w:tcPr>
            <w:tcW w:w="0" w:type="auto"/>
            <w:hideMark/>
          </w:tcPr>
          <w:p w14:paraId="06ED115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877 193</w:t>
            </w:r>
          </w:p>
        </w:tc>
        <w:tc>
          <w:tcPr>
            <w:tcW w:w="0" w:type="auto"/>
            <w:hideMark/>
          </w:tcPr>
          <w:p w14:paraId="4FBEEB8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659 088</w:t>
            </w:r>
          </w:p>
        </w:tc>
        <w:tc>
          <w:tcPr>
            <w:tcW w:w="0" w:type="auto"/>
            <w:hideMark/>
          </w:tcPr>
          <w:p w14:paraId="6A5D96D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-3 337 554</w:t>
            </w:r>
          </w:p>
        </w:tc>
        <w:tc>
          <w:tcPr>
            <w:tcW w:w="0" w:type="auto"/>
            <w:hideMark/>
          </w:tcPr>
          <w:p w14:paraId="2370B449"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-79,19%</w:t>
            </w:r>
          </w:p>
        </w:tc>
        <w:tc>
          <w:tcPr>
            <w:tcW w:w="0" w:type="auto"/>
            <w:hideMark/>
          </w:tcPr>
          <w:p w14:paraId="35C129DD"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-218 105</w:t>
            </w:r>
          </w:p>
        </w:tc>
        <w:tc>
          <w:tcPr>
            <w:tcW w:w="0" w:type="auto"/>
            <w:hideMark/>
          </w:tcPr>
          <w:p w14:paraId="4E6FD8D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-24,86%</w:t>
            </w:r>
          </w:p>
        </w:tc>
        <w:tc>
          <w:tcPr>
            <w:tcW w:w="0" w:type="auto"/>
            <w:hideMark/>
          </w:tcPr>
          <w:p w14:paraId="33DF0DA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-3 555 659</w:t>
            </w:r>
          </w:p>
        </w:tc>
        <w:tc>
          <w:tcPr>
            <w:tcW w:w="0" w:type="auto"/>
            <w:hideMark/>
          </w:tcPr>
          <w:p w14:paraId="0F1C373C"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-84,36%</w:t>
            </w:r>
          </w:p>
        </w:tc>
      </w:tr>
      <w:tr w:rsidR="005B0CBE" w:rsidRPr="005B0CBE" w14:paraId="4A94218D" w14:textId="77777777" w:rsidTr="00861819">
        <w:tc>
          <w:tcPr>
            <w:tcW w:w="0" w:type="auto"/>
            <w:hideMark/>
          </w:tcPr>
          <w:p w14:paraId="65CFC1C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Інші поточні зобов'язання</w:t>
            </w:r>
          </w:p>
        </w:tc>
        <w:tc>
          <w:tcPr>
            <w:tcW w:w="0" w:type="auto"/>
            <w:hideMark/>
          </w:tcPr>
          <w:p w14:paraId="6E4A45F6"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16 204 854</w:t>
            </w:r>
          </w:p>
        </w:tc>
        <w:tc>
          <w:tcPr>
            <w:tcW w:w="0" w:type="auto"/>
            <w:hideMark/>
          </w:tcPr>
          <w:p w14:paraId="326AD79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22 330 112</w:t>
            </w:r>
          </w:p>
        </w:tc>
        <w:tc>
          <w:tcPr>
            <w:tcW w:w="0" w:type="auto"/>
            <w:hideMark/>
          </w:tcPr>
          <w:p w14:paraId="47DCB06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21 227 269</w:t>
            </w:r>
          </w:p>
        </w:tc>
        <w:tc>
          <w:tcPr>
            <w:tcW w:w="0" w:type="auto"/>
            <w:hideMark/>
          </w:tcPr>
          <w:p w14:paraId="7868AB1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+6 125 258</w:t>
            </w:r>
          </w:p>
        </w:tc>
        <w:tc>
          <w:tcPr>
            <w:tcW w:w="0" w:type="auto"/>
            <w:hideMark/>
          </w:tcPr>
          <w:p w14:paraId="6277C633"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+37,80%</w:t>
            </w:r>
          </w:p>
        </w:tc>
        <w:tc>
          <w:tcPr>
            <w:tcW w:w="0" w:type="auto"/>
            <w:hideMark/>
          </w:tcPr>
          <w:p w14:paraId="27FB8BB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-1 102 843</w:t>
            </w:r>
          </w:p>
        </w:tc>
        <w:tc>
          <w:tcPr>
            <w:tcW w:w="0" w:type="auto"/>
            <w:hideMark/>
          </w:tcPr>
          <w:p w14:paraId="782AADC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-4,94%</w:t>
            </w:r>
          </w:p>
        </w:tc>
        <w:tc>
          <w:tcPr>
            <w:tcW w:w="0" w:type="auto"/>
            <w:hideMark/>
          </w:tcPr>
          <w:p w14:paraId="1858EEF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+5 022 415</w:t>
            </w:r>
          </w:p>
        </w:tc>
        <w:tc>
          <w:tcPr>
            <w:tcW w:w="0" w:type="auto"/>
            <w:hideMark/>
          </w:tcPr>
          <w:p w14:paraId="26D4BE45"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+30,99%</w:t>
            </w:r>
          </w:p>
        </w:tc>
      </w:tr>
      <w:tr w:rsidR="005B0CBE" w:rsidRPr="005B0CBE" w14:paraId="3E339355" w14:textId="77777777" w:rsidTr="00861819">
        <w:tc>
          <w:tcPr>
            <w:tcW w:w="0" w:type="auto"/>
            <w:hideMark/>
          </w:tcPr>
          <w:p w14:paraId="2FD7F8D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Разом Пасиви (Баланс)</w:t>
            </w:r>
          </w:p>
        </w:tc>
        <w:tc>
          <w:tcPr>
            <w:tcW w:w="0" w:type="auto"/>
            <w:hideMark/>
          </w:tcPr>
          <w:p w14:paraId="0B710E3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51 033 726</w:t>
            </w:r>
          </w:p>
        </w:tc>
        <w:tc>
          <w:tcPr>
            <w:tcW w:w="0" w:type="auto"/>
            <w:hideMark/>
          </w:tcPr>
          <w:p w14:paraId="0B3A4459"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59 908 126</w:t>
            </w:r>
          </w:p>
        </w:tc>
        <w:tc>
          <w:tcPr>
            <w:tcW w:w="0" w:type="auto"/>
            <w:hideMark/>
          </w:tcPr>
          <w:p w14:paraId="555CB5F0"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59 062 231</w:t>
            </w:r>
          </w:p>
        </w:tc>
        <w:tc>
          <w:tcPr>
            <w:tcW w:w="0" w:type="auto"/>
            <w:hideMark/>
          </w:tcPr>
          <w:p w14:paraId="60BCAD73"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+8 874 400</w:t>
            </w:r>
          </w:p>
        </w:tc>
        <w:tc>
          <w:tcPr>
            <w:tcW w:w="0" w:type="auto"/>
            <w:hideMark/>
          </w:tcPr>
          <w:p w14:paraId="4156F8E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+17,39%</w:t>
            </w:r>
          </w:p>
        </w:tc>
        <w:tc>
          <w:tcPr>
            <w:tcW w:w="0" w:type="auto"/>
            <w:hideMark/>
          </w:tcPr>
          <w:p w14:paraId="4096C35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-845 895</w:t>
            </w:r>
          </w:p>
        </w:tc>
        <w:tc>
          <w:tcPr>
            <w:tcW w:w="0" w:type="auto"/>
            <w:hideMark/>
          </w:tcPr>
          <w:p w14:paraId="72D137F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-1,41%</w:t>
            </w:r>
          </w:p>
        </w:tc>
        <w:tc>
          <w:tcPr>
            <w:tcW w:w="0" w:type="auto"/>
            <w:hideMark/>
          </w:tcPr>
          <w:p w14:paraId="5F5C4077"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+8 028 505</w:t>
            </w:r>
          </w:p>
        </w:tc>
        <w:tc>
          <w:tcPr>
            <w:tcW w:w="0" w:type="auto"/>
            <w:hideMark/>
          </w:tcPr>
          <w:p w14:paraId="7121F15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+15,73%</w:t>
            </w:r>
          </w:p>
        </w:tc>
      </w:tr>
    </w:tbl>
    <w:p w14:paraId="41B8FFB9" w14:textId="77777777" w:rsidR="00861819" w:rsidRDefault="00861819" w:rsidP="005B0CBE">
      <w:pPr>
        <w:spacing w:after="0" w:line="360" w:lineRule="auto"/>
        <w:jc w:val="both"/>
        <w:rPr>
          <w:rFonts w:ascii="Times New Roman" w:hAnsi="Times New Roman" w:cs="Times New Roman"/>
          <w:sz w:val="28"/>
          <w:szCs w:val="28"/>
        </w:rPr>
      </w:pPr>
    </w:p>
    <w:p w14:paraId="5BA7F4BA" w14:textId="789686A9" w:rsidR="005B0CBE" w:rsidRPr="005B0CBE" w:rsidRDefault="005B0CBE" w:rsidP="00861819">
      <w:pPr>
        <w:spacing w:after="0" w:line="360" w:lineRule="auto"/>
        <w:ind w:firstLine="360"/>
        <w:jc w:val="both"/>
        <w:rPr>
          <w:rFonts w:ascii="Times New Roman" w:hAnsi="Times New Roman" w:cs="Times New Roman"/>
          <w:sz w:val="28"/>
          <w:szCs w:val="28"/>
        </w:rPr>
      </w:pPr>
      <w:r w:rsidRPr="005B0CBE">
        <w:rPr>
          <w:rFonts w:ascii="Times New Roman" w:hAnsi="Times New Roman" w:cs="Times New Roman"/>
          <w:sz w:val="28"/>
          <w:szCs w:val="28"/>
        </w:rPr>
        <w:lastRenderedPageBreak/>
        <w:t>Глибокий аналіз трансформації статей зобов'язань дозволяє виокремити три чіткі інституційні тренди, що деформували структуру пасивів підприємства:</w:t>
      </w:r>
    </w:p>
    <w:p w14:paraId="55645D09" w14:textId="77777777" w:rsidR="005B0CBE" w:rsidRPr="00861819" w:rsidRDefault="005B0CBE" w:rsidP="00861819">
      <w:pPr>
        <w:numPr>
          <w:ilvl w:val="0"/>
          <w:numId w:val="12"/>
        </w:numPr>
        <w:tabs>
          <w:tab w:val="clear" w:pos="720"/>
        </w:tabs>
        <w:spacing w:after="0" w:line="360" w:lineRule="auto"/>
        <w:ind w:left="0" w:firstLine="993"/>
        <w:jc w:val="both"/>
        <w:rPr>
          <w:rFonts w:ascii="Times New Roman" w:hAnsi="Times New Roman" w:cs="Times New Roman"/>
          <w:sz w:val="28"/>
          <w:szCs w:val="28"/>
        </w:rPr>
      </w:pPr>
      <w:r w:rsidRPr="00861819">
        <w:rPr>
          <w:rFonts w:ascii="Times New Roman" w:hAnsi="Times New Roman" w:cs="Times New Roman"/>
          <w:sz w:val="28"/>
          <w:szCs w:val="28"/>
        </w:rPr>
        <w:t>Криза довгострокової довіри та «заморожування» кредитного ринку. Протягом 2023 та 2024 років довгострокове банківське кредитування для підприємства було повністю закритим (0 тис. грн). Це прямий наслідок високих інституційних ризиків країни, коли комерційні банки уникали видачі «довгих» грошей через непередбачуваність макроекономічної ситуації. Лише наприкінці 2025 року з'явився перший довгостроковий транш у розмірі 439 290 тис. грн. Дефіцит капіталу компанія була змушена покривати шляхом агресивного залучення короткострокових банківських позик, обсяг яких зріс на запаморочливі 521,64% — з 1 230 000 тис. грн до 7 646 120 тис. грн. Такий структурний зсув суттєво підвищив ризик втрати миттєвої ліквідності.</w:t>
      </w:r>
    </w:p>
    <w:p w14:paraId="0651F778" w14:textId="77777777" w:rsidR="005B0CBE" w:rsidRPr="00861819" w:rsidRDefault="005B0CBE" w:rsidP="00861819">
      <w:pPr>
        <w:numPr>
          <w:ilvl w:val="0"/>
          <w:numId w:val="12"/>
        </w:numPr>
        <w:tabs>
          <w:tab w:val="clear" w:pos="720"/>
        </w:tabs>
        <w:spacing w:after="0" w:line="360" w:lineRule="auto"/>
        <w:ind w:left="0" w:firstLine="993"/>
        <w:jc w:val="both"/>
        <w:rPr>
          <w:rFonts w:ascii="Times New Roman" w:hAnsi="Times New Roman" w:cs="Times New Roman"/>
          <w:sz w:val="28"/>
          <w:szCs w:val="28"/>
        </w:rPr>
      </w:pPr>
      <w:r w:rsidRPr="00861819">
        <w:rPr>
          <w:rFonts w:ascii="Times New Roman" w:hAnsi="Times New Roman" w:cs="Times New Roman"/>
          <w:sz w:val="28"/>
          <w:szCs w:val="28"/>
        </w:rPr>
        <w:t xml:space="preserve">Руйнування комерційної довіри з боку покупців та контрагентів. Одним із найяскравіших маркерів інституційної кризи стало падіння кредиторської заборгованості за одержаними авансами на 84,36% (з 4 214 747 тис. грн до 659 088 тис. грн). У нормальних економічних умовах отримані аванси є безкоштовним та стабільним джерелом фінансування оборотного капіталу. Повсюдна відмова контрагентів від </w:t>
      </w:r>
      <w:proofErr w:type="spellStart"/>
      <w:r w:rsidRPr="00861819">
        <w:rPr>
          <w:rFonts w:ascii="Times New Roman" w:hAnsi="Times New Roman" w:cs="Times New Roman"/>
          <w:sz w:val="28"/>
          <w:szCs w:val="28"/>
        </w:rPr>
        <w:t>передоплат</w:t>
      </w:r>
      <w:proofErr w:type="spellEnd"/>
      <w:r w:rsidRPr="00861819">
        <w:rPr>
          <w:rFonts w:ascii="Times New Roman" w:hAnsi="Times New Roman" w:cs="Times New Roman"/>
          <w:sz w:val="28"/>
          <w:szCs w:val="28"/>
        </w:rPr>
        <w:t xml:space="preserve"> та перехід на умови розрахунків за фактом поставки свідчать про те, що інституційні ризики змусили ринок мінімізувати власні ризики за рахунок досліджуваного підприємства. Втрата цього безкоштовного ресурсу змусила компанію шукати альтернативне (і дорожче) фінансування.</w:t>
      </w:r>
    </w:p>
    <w:p w14:paraId="118F57DD" w14:textId="77777777" w:rsidR="005B0CBE" w:rsidRPr="00861819" w:rsidRDefault="005B0CBE" w:rsidP="00861819">
      <w:pPr>
        <w:numPr>
          <w:ilvl w:val="0"/>
          <w:numId w:val="12"/>
        </w:numPr>
        <w:tabs>
          <w:tab w:val="clear" w:pos="720"/>
        </w:tabs>
        <w:spacing w:after="0" w:line="360" w:lineRule="auto"/>
        <w:ind w:left="0" w:firstLine="993"/>
        <w:jc w:val="both"/>
        <w:rPr>
          <w:rFonts w:ascii="Times New Roman" w:hAnsi="Times New Roman" w:cs="Times New Roman"/>
          <w:sz w:val="28"/>
          <w:szCs w:val="28"/>
        </w:rPr>
      </w:pPr>
      <w:r w:rsidRPr="00861819">
        <w:rPr>
          <w:rFonts w:ascii="Times New Roman" w:hAnsi="Times New Roman" w:cs="Times New Roman"/>
          <w:sz w:val="28"/>
          <w:szCs w:val="28"/>
        </w:rPr>
        <w:t xml:space="preserve">Аномальна концентрація «Інших поточних зобов'язань». Стаття «Інші поточні зобов'язання» залишається найбільшим та найбільш непрозорим елементом структури пасивів. Протягом досліджуваного періоду вона зросла на 30,99% (+5 022 415 тис. грн), досягнувши у 2025 році відмітки 21 227 269 тис. грн. Наявність такого масивного короткострокового боргу, ймовірно пов'язаного з </w:t>
      </w:r>
      <w:proofErr w:type="spellStart"/>
      <w:r w:rsidRPr="00861819">
        <w:rPr>
          <w:rFonts w:ascii="Times New Roman" w:hAnsi="Times New Roman" w:cs="Times New Roman"/>
          <w:sz w:val="28"/>
          <w:szCs w:val="28"/>
        </w:rPr>
        <w:t>внутрішньогруповими</w:t>
      </w:r>
      <w:proofErr w:type="spellEnd"/>
      <w:r w:rsidRPr="00861819">
        <w:rPr>
          <w:rFonts w:ascii="Times New Roman" w:hAnsi="Times New Roman" w:cs="Times New Roman"/>
          <w:sz w:val="28"/>
          <w:szCs w:val="28"/>
        </w:rPr>
        <w:t xml:space="preserve"> перерозподілами чи розрахунками з акціонерами, вказує на спробу акумулювати всі можливі внутрішні резерви для утримання операційної стабільності під тиском зовнішніх дестабілізуючих факторів.</w:t>
      </w:r>
    </w:p>
    <w:p w14:paraId="51559B93" w14:textId="1AD9C8AB" w:rsidR="005B0CBE" w:rsidRPr="005B0CBE" w:rsidRDefault="005B0CBE" w:rsidP="00861819">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lastRenderedPageBreak/>
        <w:t xml:space="preserve">Для узагальнення результатів проведеного аналізу та переведення розрахунків у площину практичних управлінських рішень оцінимо ключові відносні коефіцієнти фінансової стійкості (таблиця </w:t>
      </w:r>
      <w:r w:rsidR="00861819">
        <w:rPr>
          <w:rFonts w:ascii="Times New Roman" w:hAnsi="Times New Roman" w:cs="Times New Roman"/>
          <w:sz w:val="28"/>
          <w:szCs w:val="28"/>
        </w:rPr>
        <w:t>2</w:t>
      </w:r>
      <w:r w:rsidRPr="005B0CBE">
        <w:rPr>
          <w:rFonts w:ascii="Times New Roman" w:hAnsi="Times New Roman" w:cs="Times New Roman"/>
          <w:sz w:val="28"/>
          <w:szCs w:val="28"/>
        </w:rPr>
        <w:t>.</w:t>
      </w:r>
      <w:r w:rsidR="00861819">
        <w:rPr>
          <w:rFonts w:ascii="Times New Roman" w:hAnsi="Times New Roman" w:cs="Times New Roman"/>
          <w:sz w:val="28"/>
          <w:szCs w:val="28"/>
        </w:rPr>
        <w:t>4</w:t>
      </w:r>
      <w:r w:rsidRPr="005B0CBE">
        <w:rPr>
          <w:rFonts w:ascii="Times New Roman" w:hAnsi="Times New Roman" w:cs="Times New Roman"/>
          <w:sz w:val="28"/>
          <w:szCs w:val="28"/>
        </w:rPr>
        <w:t>).</w:t>
      </w:r>
    </w:p>
    <w:p w14:paraId="66F7FFAB" w14:textId="77777777" w:rsidR="00861819" w:rsidRPr="00861819" w:rsidRDefault="005B0CBE" w:rsidP="00861819">
      <w:pPr>
        <w:spacing w:after="0" w:line="360" w:lineRule="auto"/>
        <w:jc w:val="right"/>
        <w:rPr>
          <w:rFonts w:ascii="Times New Roman" w:hAnsi="Times New Roman" w:cs="Times New Roman"/>
          <w:sz w:val="28"/>
          <w:szCs w:val="28"/>
        </w:rPr>
      </w:pPr>
      <w:r w:rsidRPr="00861819">
        <w:rPr>
          <w:rFonts w:ascii="Times New Roman" w:hAnsi="Times New Roman" w:cs="Times New Roman"/>
          <w:sz w:val="28"/>
          <w:szCs w:val="28"/>
        </w:rPr>
        <w:t xml:space="preserve">Таблиця </w:t>
      </w:r>
      <w:r w:rsidR="00861819" w:rsidRPr="00861819">
        <w:rPr>
          <w:rFonts w:ascii="Times New Roman" w:hAnsi="Times New Roman" w:cs="Times New Roman"/>
          <w:sz w:val="28"/>
          <w:szCs w:val="28"/>
        </w:rPr>
        <w:t>2.4</w:t>
      </w:r>
      <w:r w:rsidRPr="00861819">
        <w:rPr>
          <w:rFonts w:ascii="Times New Roman" w:hAnsi="Times New Roman" w:cs="Times New Roman"/>
          <w:sz w:val="28"/>
          <w:szCs w:val="28"/>
        </w:rPr>
        <w:t xml:space="preserve"> </w:t>
      </w:r>
    </w:p>
    <w:p w14:paraId="5C3E3CAE" w14:textId="7BCFA801" w:rsidR="005B0CBE" w:rsidRPr="00861819" w:rsidRDefault="005B0CBE" w:rsidP="00861819">
      <w:pPr>
        <w:spacing w:after="0" w:line="360" w:lineRule="auto"/>
        <w:jc w:val="center"/>
        <w:rPr>
          <w:rFonts w:ascii="Times New Roman" w:hAnsi="Times New Roman" w:cs="Times New Roman"/>
          <w:sz w:val="28"/>
          <w:szCs w:val="28"/>
        </w:rPr>
      </w:pPr>
      <w:r w:rsidRPr="00861819">
        <w:rPr>
          <w:rFonts w:ascii="Times New Roman" w:hAnsi="Times New Roman" w:cs="Times New Roman"/>
          <w:sz w:val="28"/>
          <w:szCs w:val="28"/>
        </w:rPr>
        <w:t xml:space="preserve">Система ключових коефіцієнтів фінансової стійкості </w:t>
      </w:r>
      <w:r w:rsidR="00861819" w:rsidRPr="00B71412">
        <w:rPr>
          <w:rFonts w:ascii="Times New Roman" w:hAnsi="Times New Roman" w:cs="Times New Roman"/>
          <w:sz w:val="28"/>
          <w:szCs w:val="28"/>
        </w:rPr>
        <w:t>ТОВ «КЕРНЕЛ-ТРЕЙД»</w:t>
      </w:r>
    </w:p>
    <w:tbl>
      <w:tblPr>
        <w:tblStyle w:val="af0"/>
        <w:tblW w:w="0" w:type="auto"/>
        <w:tblLook w:val="04A0" w:firstRow="1" w:lastRow="0" w:firstColumn="1" w:lastColumn="0" w:noHBand="0" w:noVBand="1"/>
      </w:tblPr>
      <w:tblGrid>
        <w:gridCol w:w="2267"/>
        <w:gridCol w:w="656"/>
        <w:gridCol w:w="656"/>
        <w:gridCol w:w="656"/>
        <w:gridCol w:w="1733"/>
        <w:gridCol w:w="3659"/>
      </w:tblGrid>
      <w:tr w:rsidR="005B0CBE" w:rsidRPr="00861819" w14:paraId="551765BA" w14:textId="77777777" w:rsidTr="00861819">
        <w:tc>
          <w:tcPr>
            <w:tcW w:w="0" w:type="auto"/>
            <w:hideMark/>
          </w:tcPr>
          <w:p w14:paraId="5AAAB6BA"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Коефіцієнт та формула розрахунку</w:t>
            </w:r>
          </w:p>
        </w:tc>
        <w:tc>
          <w:tcPr>
            <w:tcW w:w="0" w:type="auto"/>
            <w:hideMark/>
          </w:tcPr>
          <w:p w14:paraId="6230DD67"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2023</w:t>
            </w:r>
          </w:p>
        </w:tc>
        <w:tc>
          <w:tcPr>
            <w:tcW w:w="0" w:type="auto"/>
            <w:hideMark/>
          </w:tcPr>
          <w:p w14:paraId="07AA9E79"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2024</w:t>
            </w:r>
          </w:p>
        </w:tc>
        <w:tc>
          <w:tcPr>
            <w:tcW w:w="0" w:type="auto"/>
            <w:hideMark/>
          </w:tcPr>
          <w:p w14:paraId="378E4A92"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2025</w:t>
            </w:r>
          </w:p>
        </w:tc>
        <w:tc>
          <w:tcPr>
            <w:tcW w:w="0" w:type="auto"/>
            <w:hideMark/>
          </w:tcPr>
          <w:p w14:paraId="68CF88DF"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Оптимальний норматив</w:t>
            </w:r>
          </w:p>
        </w:tc>
        <w:tc>
          <w:tcPr>
            <w:tcW w:w="0" w:type="auto"/>
            <w:hideMark/>
          </w:tcPr>
          <w:p w14:paraId="7CC2B7F0"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Вектор змін та оцінка рівня ризику</w:t>
            </w:r>
          </w:p>
        </w:tc>
      </w:tr>
      <w:tr w:rsidR="005B0CBE" w:rsidRPr="00861819" w14:paraId="699BD935" w14:textId="77777777" w:rsidTr="00861819">
        <w:tc>
          <w:tcPr>
            <w:tcW w:w="0" w:type="auto"/>
            <w:hideMark/>
          </w:tcPr>
          <w:p w14:paraId="7DA66E0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Коефіцієнт автономії (незалежності)</w:t>
            </w:r>
          </w:p>
          <w:p w14:paraId="78987937" w14:textId="2E740A61" w:rsidR="005B0CBE" w:rsidRPr="00861819" w:rsidRDefault="005B0CBE" w:rsidP="00861819">
            <w:pPr>
              <w:jc w:val="both"/>
              <w:rPr>
                <w:rFonts w:ascii="Times New Roman" w:hAnsi="Times New Roman" w:cs="Times New Roman"/>
              </w:rPr>
            </w:pPr>
          </w:p>
        </w:tc>
        <w:tc>
          <w:tcPr>
            <w:tcW w:w="0" w:type="auto"/>
            <w:hideMark/>
          </w:tcPr>
          <w:p w14:paraId="0C6F2134"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0,54</w:t>
            </w:r>
          </w:p>
        </w:tc>
        <w:tc>
          <w:tcPr>
            <w:tcW w:w="0" w:type="auto"/>
            <w:hideMark/>
          </w:tcPr>
          <w:p w14:paraId="1E5982DD"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0,41</w:t>
            </w:r>
          </w:p>
        </w:tc>
        <w:tc>
          <w:tcPr>
            <w:tcW w:w="0" w:type="auto"/>
            <w:hideMark/>
          </w:tcPr>
          <w:p w14:paraId="6AFE09E3"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0,40</w:t>
            </w:r>
          </w:p>
        </w:tc>
        <w:tc>
          <w:tcPr>
            <w:tcW w:w="0" w:type="auto"/>
            <w:hideMark/>
          </w:tcPr>
          <w:p w14:paraId="2ECE2CBF" w14:textId="19A18CCC"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0,50</w:t>
            </w:r>
          </w:p>
        </w:tc>
        <w:tc>
          <w:tcPr>
            <w:tcW w:w="0" w:type="auto"/>
            <w:hideMark/>
          </w:tcPr>
          <w:p w14:paraId="369768C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Негативний (Критичний). Падіння нижче межі безпеки свідчить про повну втрату автономії від кредиторів.</w:t>
            </w:r>
          </w:p>
        </w:tc>
      </w:tr>
      <w:tr w:rsidR="005B0CBE" w:rsidRPr="00861819" w14:paraId="7292F982" w14:textId="77777777" w:rsidTr="00861819">
        <w:tc>
          <w:tcPr>
            <w:tcW w:w="0" w:type="auto"/>
            <w:hideMark/>
          </w:tcPr>
          <w:p w14:paraId="1AE8BF91"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Коефіцієнт фінансового левериджу</w:t>
            </w:r>
          </w:p>
          <w:p w14:paraId="0A19B1CD" w14:textId="34BEEB01" w:rsidR="005B0CBE" w:rsidRPr="00861819" w:rsidRDefault="005B0CBE" w:rsidP="00861819">
            <w:pPr>
              <w:jc w:val="both"/>
              <w:rPr>
                <w:rFonts w:ascii="Times New Roman" w:hAnsi="Times New Roman" w:cs="Times New Roman"/>
              </w:rPr>
            </w:pPr>
          </w:p>
        </w:tc>
        <w:tc>
          <w:tcPr>
            <w:tcW w:w="0" w:type="auto"/>
            <w:hideMark/>
          </w:tcPr>
          <w:p w14:paraId="16C6B14F"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0,85</w:t>
            </w:r>
          </w:p>
        </w:tc>
        <w:tc>
          <w:tcPr>
            <w:tcW w:w="0" w:type="auto"/>
            <w:hideMark/>
          </w:tcPr>
          <w:p w14:paraId="5F8CE124"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1,46</w:t>
            </w:r>
          </w:p>
        </w:tc>
        <w:tc>
          <w:tcPr>
            <w:tcW w:w="0" w:type="auto"/>
            <w:hideMark/>
          </w:tcPr>
          <w:p w14:paraId="3AA5F9D2"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1,51</w:t>
            </w:r>
          </w:p>
        </w:tc>
        <w:tc>
          <w:tcPr>
            <w:tcW w:w="0" w:type="auto"/>
            <w:hideMark/>
          </w:tcPr>
          <w:p w14:paraId="0C6DBBAB" w14:textId="32A66BAF" w:rsidR="005B0CBE" w:rsidRPr="00861819" w:rsidRDefault="005B0CBE" w:rsidP="00861819">
            <w:pPr>
              <w:jc w:val="center"/>
              <w:rPr>
                <w:rFonts w:ascii="Times New Roman" w:hAnsi="Times New Roman" w:cs="Times New Roman"/>
              </w:rPr>
            </w:pPr>
            <w:r w:rsidRPr="00861819">
              <w:rPr>
                <w:rFonts w:ascii="Times New Roman" w:hAnsi="Times New Roman" w:cs="Times New Roman"/>
              </w:rPr>
              <w:t>1,00</w:t>
            </w:r>
          </w:p>
        </w:tc>
        <w:tc>
          <w:tcPr>
            <w:tcW w:w="0" w:type="auto"/>
            <w:hideMark/>
          </w:tcPr>
          <w:p w14:paraId="68C54272"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 xml:space="preserve">Негативний. Перевищення нормативу у 1,5 </w:t>
            </w:r>
            <w:proofErr w:type="spellStart"/>
            <w:r w:rsidRPr="00861819">
              <w:rPr>
                <w:rFonts w:ascii="Times New Roman" w:hAnsi="Times New Roman" w:cs="Times New Roman"/>
              </w:rPr>
              <w:t>раза</w:t>
            </w:r>
            <w:proofErr w:type="spellEnd"/>
            <w:r w:rsidRPr="00861819">
              <w:rPr>
                <w:rFonts w:ascii="Times New Roman" w:hAnsi="Times New Roman" w:cs="Times New Roman"/>
              </w:rPr>
              <w:t xml:space="preserve"> підтверджує високу загрозу технічного дефолту.</w:t>
            </w:r>
          </w:p>
        </w:tc>
      </w:tr>
      <w:tr w:rsidR="005B0CBE" w:rsidRPr="00861819" w14:paraId="00E4A906" w14:textId="77777777" w:rsidTr="00861819">
        <w:tc>
          <w:tcPr>
            <w:tcW w:w="0" w:type="auto"/>
            <w:hideMark/>
          </w:tcPr>
          <w:p w14:paraId="0B7AF83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Коефіцієнт маневреності капіталу</w:t>
            </w:r>
          </w:p>
          <w:p w14:paraId="718C6DBD" w14:textId="1B4A4EF2" w:rsidR="005B0CBE" w:rsidRPr="00861819" w:rsidRDefault="005B0CBE" w:rsidP="00861819">
            <w:pPr>
              <w:jc w:val="both"/>
              <w:rPr>
                <w:rFonts w:ascii="Times New Roman" w:hAnsi="Times New Roman" w:cs="Times New Roman"/>
              </w:rPr>
            </w:pPr>
          </w:p>
        </w:tc>
        <w:tc>
          <w:tcPr>
            <w:tcW w:w="0" w:type="auto"/>
            <w:hideMark/>
          </w:tcPr>
          <w:p w14:paraId="335ADCBA"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0,59</w:t>
            </w:r>
          </w:p>
        </w:tc>
        <w:tc>
          <w:tcPr>
            <w:tcW w:w="0" w:type="auto"/>
            <w:hideMark/>
          </w:tcPr>
          <w:p w14:paraId="3FD2A928"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0,47</w:t>
            </w:r>
          </w:p>
        </w:tc>
        <w:tc>
          <w:tcPr>
            <w:tcW w:w="0" w:type="auto"/>
            <w:hideMark/>
          </w:tcPr>
          <w:p w14:paraId="0FB0385A"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0,53</w:t>
            </w:r>
          </w:p>
        </w:tc>
        <w:tc>
          <w:tcPr>
            <w:tcW w:w="0" w:type="auto"/>
            <w:hideMark/>
          </w:tcPr>
          <w:p w14:paraId="766E9FD8" w14:textId="2296F5E5" w:rsidR="005B0CBE" w:rsidRPr="00861819" w:rsidRDefault="005B0CBE" w:rsidP="00AA3691">
            <w:pPr>
              <w:jc w:val="center"/>
              <w:rPr>
                <w:rFonts w:ascii="Times New Roman" w:hAnsi="Times New Roman" w:cs="Times New Roman"/>
              </w:rPr>
            </w:pPr>
            <w:r w:rsidRPr="00861819">
              <w:rPr>
                <w:rFonts w:ascii="Times New Roman" w:hAnsi="Times New Roman" w:cs="Times New Roman"/>
              </w:rPr>
              <w:t>0,20 - 0,50</w:t>
            </w:r>
          </w:p>
        </w:tc>
        <w:tc>
          <w:tcPr>
            <w:tcW w:w="0" w:type="auto"/>
            <w:hideMark/>
          </w:tcPr>
          <w:p w14:paraId="0CF728CB"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Задовільний. Понад половина власного капіталу зберігає мобільну (ліквідну) форму.</w:t>
            </w:r>
          </w:p>
        </w:tc>
      </w:tr>
      <w:tr w:rsidR="005B0CBE" w:rsidRPr="00861819" w14:paraId="74CFAA54" w14:textId="77777777" w:rsidTr="00861819">
        <w:tc>
          <w:tcPr>
            <w:tcW w:w="0" w:type="auto"/>
            <w:hideMark/>
          </w:tcPr>
          <w:p w14:paraId="5F350446"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Коефіцієнт забезпечення оборотних активів</w:t>
            </w:r>
          </w:p>
          <w:p w14:paraId="4C6B980B" w14:textId="0CC35BA1" w:rsidR="005B0CBE" w:rsidRPr="00861819" w:rsidRDefault="005B0CBE" w:rsidP="00861819">
            <w:pPr>
              <w:jc w:val="both"/>
              <w:rPr>
                <w:rFonts w:ascii="Times New Roman" w:hAnsi="Times New Roman" w:cs="Times New Roman"/>
              </w:rPr>
            </w:pPr>
          </w:p>
        </w:tc>
        <w:tc>
          <w:tcPr>
            <w:tcW w:w="0" w:type="auto"/>
            <w:hideMark/>
          </w:tcPr>
          <w:p w14:paraId="56B4C04D"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0,41</w:t>
            </w:r>
          </w:p>
        </w:tc>
        <w:tc>
          <w:tcPr>
            <w:tcW w:w="0" w:type="auto"/>
            <w:hideMark/>
          </w:tcPr>
          <w:p w14:paraId="6F422FCC"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0,23</w:t>
            </w:r>
          </w:p>
        </w:tc>
        <w:tc>
          <w:tcPr>
            <w:tcW w:w="0" w:type="auto"/>
            <w:hideMark/>
          </w:tcPr>
          <w:p w14:paraId="59309F8A" w14:textId="77777777" w:rsidR="005B0CBE" w:rsidRPr="00861819" w:rsidRDefault="005B0CBE" w:rsidP="00861819">
            <w:pPr>
              <w:jc w:val="center"/>
              <w:rPr>
                <w:rFonts w:ascii="Times New Roman" w:hAnsi="Times New Roman" w:cs="Times New Roman"/>
              </w:rPr>
            </w:pPr>
            <w:r w:rsidRPr="00861819">
              <w:rPr>
                <w:rFonts w:ascii="Times New Roman" w:hAnsi="Times New Roman" w:cs="Times New Roman"/>
              </w:rPr>
              <w:t>0,27</w:t>
            </w:r>
          </w:p>
        </w:tc>
        <w:tc>
          <w:tcPr>
            <w:tcW w:w="0" w:type="auto"/>
            <w:hideMark/>
          </w:tcPr>
          <w:p w14:paraId="396569D8" w14:textId="7F0B8D8E" w:rsidR="005B0CBE" w:rsidRPr="00861819" w:rsidRDefault="005B0CBE" w:rsidP="00AA3691">
            <w:pPr>
              <w:jc w:val="center"/>
              <w:rPr>
                <w:rFonts w:ascii="Times New Roman" w:hAnsi="Times New Roman" w:cs="Times New Roman"/>
              </w:rPr>
            </w:pPr>
            <w:r w:rsidRPr="00861819">
              <w:rPr>
                <w:rFonts w:ascii="Times New Roman" w:hAnsi="Times New Roman" w:cs="Times New Roman"/>
              </w:rPr>
              <w:t>0,10</w:t>
            </w:r>
          </w:p>
        </w:tc>
        <w:tc>
          <w:tcPr>
            <w:tcW w:w="0" w:type="auto"/>
            <w:hideMark/>
          </w:tcPr>
          <w:p w14:paraId="029A4EDA" w14:textId="77777777" w:rsidR="005B0CBE" w:rsidRPr="00861819" w:rsidRDefault="005B0CBE" w:rsidP="00861819">
            <w:pPr>
              <w:jc w:val="both"/>
              <w:rPr>
                <w:rFonts w:ascii="Times New Roman" w:hAnsi="Times New Roman" w:cs="Times New Roman"/>
              </w:rPr>
            </w:pPr>
            <w:r w:rsidRPr="00861819">
              <w:rPr>
                <w:rFonts w:ascii="Times New Roman" w:hAnsi="Times New Roman" w:cs="Times New Roman"/>
              </w:rPr>
              <w:t>Задовільний. Показник відповідає нормативу, фінансування запасів частково забезпечене власними коштами.</w:t>
            </w:r>
          </w:p>
        </w:tc>
      </w:tr>
    </w:tbl>
    <w:p w14:paraId="67788550" w14:textId="77777777" w:rsidR="00861819" w:rsidRDefault="00861819" w:rsidP="005B0CBE">
      <w:pPr>
        <w:spacing w:after="0" w:line="360" w:lineRule="auto"/>
        <w:jc w:val="both"/>
        <w:rPr>
          <w:rFonts w:ascii="Times New Roman" w:hAnsi="Times New Roman" w:cs="Times New Roman"/>
          <w:sz w:val="28"/>
          <w:szCs w:val="28"/>
        </w:rPr>
      </w:pPr>
    </w:p>
    <w:p w14:paraId="1BAB6617" w14:textId="77777777" w:rsidR="005B0CBE" w:rsidRPr="005B0CBE" w:rsidRDefault="005B0CBE" w:rsidP="00AA3691">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На основі отриманих результатів сформовано комплексну матрицю стратегічних рекомендацій щодо стабілізації та нарощування бази капіталізації бізнесу:</w:t>
      </w:r>
    </w:p>
    <w:p w14:paraId="6496F560" w14:textId="4A967816" w:rsidR="005B0CBE" w:rsidRPr="00AA3691" w:rsidRDefault="005B0CBE" w:rsidP="00AA3691">
      <w:pPr>
        <w:spacing w:after="0" w:line="360" w:lineRule="auto"/>
        <w:ind w:firstLine="708"/>
        <w:jc w:val="both"/>
        <w:rPr>
          <w:rFonts w:ascii="Times New Roman" w:hAnsi="Times New Roman" w:cs="Times New Roman"/>
          <w:b/>
          <w:bCs/>
          <w:sz w:val="28"/>
          <w:szCs w:val="28"/>
        </w:rPr>
      </w:pPr>
      <w:r w:rsidRPr="00AA3691">
        <w:rPr>
          <w:rFonts w:ascii="Times New Roman" w:hAnsi="Times New Roman" w:cs="Times New Roman"/>
          <w:sz w:val="28"/>
          <w:szCs w:val="28"/>
        </w:rPr>
        <w:t>Напрям 1</w:t>
      </w:r>
      <w:r w:rsidR="00AA3691">
        <w:rPr>
          <w:rFonts w:ascii="Times New Roman" w:hAnsi="Times New Roman" w:cs="Times New Roman"/>
          <w:sz w:val="28"/>
          <w:szCs w:val="28"/>
        </w:rPr>
        <w:t xml:space="preserve">. </w:t>
      </w:r>
      <w:r w:rsidRPr="00AA3691">
        <w:rPr>
          <w:rFonts w:ascii="Times New Roman" w:hAnsi="Times New Roman" w:cs="Times New Roman"/>
          <w:sz w:val="28"/>
          <w:szCs w:val="28"/>
        </w:rPr>
        <w:t>Реструктуризація та оптимізація «Інших поточних зобов'язань»</w:t>
      </w:r>
      <w:r w:rsidR="00AA3691" w:rsidRPr="00AA3691">
        <w:rPr>
          <w:rFonts w:ascii="Times New Roman" w:hAnsi="Times New Roman" w:cs="Times New Roman"/>
          <w:sz w:val="28"/>
          <w:szCs w:val="28"/>
        </w:rPr>
        <w:t xml:space="preserve">. </w:t>
      </w:r>
      <w:r w:rsidRPr="00AA3691">
        <w:rPr>
          <w:rFonts w:ascii="Times New Roman" w:hAnsi="Times New Roman" w:cs="Times New Roman"/>
          <w:sz w:val="28"/>
          <w:szCs w:val="28"/>
        </w:rPr>
        <w:t>Ця стаття акумулює понад 21,2 млрд грн і створює найбільший</w:t>
      </w:r>
      <w:r w:rsidRPr="005B0CBE">
        <w:rPr>
          <w:rFonts w:ascii="Times New Roman" w:hAnsi="Times New Roman" w:cs="Times New Roman"/>
          <w:sz w:val="28"/>
          <w:szCs w:val="28"/>
        </w:rPr>
        <w:t xml:space="preserve"> ризик раптового вилучення ліквідності з компанії.</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 xml:space="preserve">Менеджменту необхідно провести детальний аудит структури цих зобов'язань. У разі наявності </w:t>
      </w:r>
      <w:proofErr w:type="spellStart"/>
      <w:r w:rsidRPr="005B0CBE">
        <w:rPr>
          <w:rFonts w:ascii="Times New Roman" w:hAnsi="Times New Roman" w:cs="Times New Roman"/>
          <w:sz w:val="28"/>
          <w:szCs w:val="28"/>
        </w:rPr>
        <w:t>внутрішньокорпоративного</w:t>
      </w:r>
      <w:proofErr w:type="spellEnd"/>
      <w:r w:rsidRPr="005B0CBE">
        <w:rPr>
          <w:rFonts w:ascii="Times New Roman" w:hAnsi="Times New Roman" w:cs="Times New Roman"/>
          <w:sz w:val="28"/>
          <w:szCs w:val="28"/>
        </w:rPr>
        <w:t xml:space="preserve"> боргу перед пов'язаними структурами або материнською компанією, слід </w:t>
      </w:r>
      <w:r w:rsidRPr="00AA3691">
        <w:rPr>
          <w:rFonts w:ascii="Times New Roman" w:hAnsi="Times New Roman" w:cs="Times New Roman"/>
          <w:sz w:val="28"/>
          <w:szCs w:val="28"/>
        </w:rPr>
        <w:t xml:space="preserve">ініціювати процедуру </w:t>
      </w:r>
      <w:proofErr w:type="spellStart"/>
      <w:r w:rsidRPr="00AA3691">
        <w:rPr>
          <w:rFonts w:ascii="Times New Roman" w:hAnsi="Times New Roman" w:cs="Times New Roman"/>
          <w:sz w:val="28"/>
          <w:szCs w:val="28"/>
        </w:rPr>
        <w:t>деструктуризації</w:t>
      </w:r>
      <w:proofErr w:type="spellEnd"/>
      <w:r w:rsidRPr="00AA3691">
        <w:rPr>
          <w:rFonts w:ascii="Times New Roman" w:hAnsi="Times New Roman" w:cs="Times New Roman"/>
          <w:sz w:val="28"/>
          <w:szCs w:val="28"/>
        </w:rPr>
        <w:t>: перевести мінімум 25% цієї суми (5306817 тис. грн) у категорію довгострокових позик або здійснити їх</w:t>
      </w:r>
      <w:r w:rsidRPr="005B0CBE">
        <w:rPr>
          <w:rFonts w:ascii="Times New Roman" w:hAnsi="Times New Roman" w:cs="Times New Roman"/>
          <w:sz w:val="28"/>
          <w:szCs w:val="28"/>
        </w:rPr>
        <w:t xml:space="preserve"> безпосередню конвертацію в Статутний капітал компанії.</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Конвертація боргу автоматично збільшить вартість чистих активів, підніме коефіцієнт автономії до безпечного рівня (</w:t>
      </w:r>
      <w:r w:rsidR="00AA3691">
        <w:rPr>
          <w:rFonts w:ascii="Times New Roman" w:hAnsi="Times New Roman" w:cs="Times New Roman"/>
          <w:sz w:val="28"/>
          <w:szCs w:val="28"/>
        </w:rPr>
        <w:t>0</w:t>
      </w:r>
      <w:r w:rsidRPr="005B0CBE">
        <w:rPr>
          <w:rFonts w:ascii="Times New Roman" w:hAnsi="Times New Roman" w:cs="Times New Roman"/>
          <w:sz w:val="28"/>
          <w:szCs w:val="28"/>
        </w:rPr>
        <w:t>,50) та стабілізує базу капіталізації.</w:t>
      </w:r>
    </w:p>
    <w:p w14:paraId="59D67878" w14:textId="1EDC40D6" w:rsidR="005B0CBE" w:rsidRPr="00AA3691" w:rsidRDefault="005B0CBE" w:rsidP="00AA3691">
      <w:pPr>
        <w:spacing w:after="0" w:line="360" w:lineRule="auto"/>
        <w:ind w:firstLine="708"/>
        <w:jc w:val="both"/>
        <w:rPr>
          <w:rFonts w:ascii="Times New Roman" w:hAnsi="Times New Roman" w:cs="Times New Roman"/>
          <w:b/>
          <w:bCs/>
          <w:sz w:val="28"/>
          <w:szCs w:val="28"/>
        </w:rPr>
      </w:pPr>
      <w:r w:rsidRPr="00AA3691">
        <w:rPr>
          <w:rFonts w:ascii="Times New Roman" w:hAnsi="Times New Roman" w:cs="Times New Roman"/>
          <w:sz w:val="28"/>
          <w:szCs w:val="28"/>
        </w:rPr>
        <w:t>Напрям 2</w:t>
      </w:r>
      <w:r w:rsidR="00AA3691" w:rsidRPr="00AA3691">
        <w:rPr>
          <w:rFonts w:ascii="Times New Roman" w:hAnsi="Times New Roman" w:cs="Times New Roman"/>
          <w:sz w:val="28"/>
          <w:szCs w:val="28"/>
        </w:rPr>
        <w:t>.</w:t>
      </w:r>
      <w:r w:rsidRPr="00AA3691">
        <w:rPr>
          <w:rFonts w:ascii="Times New Roman" w:hAnsi="Times New Roman" w:cs="Times New Roman"/>
          <w:sz w:val="28"/>
          <w:szCs w:val="28"/>
        </w:rPr>
        <w:t xml:space="preserve"> Зниження вартості обслуговування боргового капіталу</w:t>
      </w:r>
      <w:r w:rsidR="00AA3691" w:rsidRPr="00AA3691">
        <w:rPr>
          <w:rFonts w:ascii="Times New Roman" w:hAnsi="Times New Roman" w:cs="Times New Roman"/>
          <w:sz w:val="28"/>
          <w:szCs w:val="28"/>
        </w:rPr>
        <w:t>.</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 xml:space="preserve">Зростання відсоткових витрат у 2025 році майже повністю поглинуло прибуток </w:t>
      </w:r>
      <w:r w:rsidRPr="005B0CBE">
        <w:rPr>
          <w:rFonts w:ascii="Times New Roman" w:hAnsi="Times New Roman" w:cs="Times New Roman"/>
          <w:sz w:val="28"/>
          <w:szCs w:val="28"/>
        </w:rPr>
        <w:lastRenderedPageBreak/>
        <w:t>компанії, позбавивши її джерел самофінансування.</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Потрібно здійснити рефінансування портфеля короткострокових банківських кредитів, які продемонстрували п'ятикратне зростання</w:t>
      </w:r>
      <w:r w:rsidR="006727CF">
        <w:rPr>
          <w:rFonts w:ascii="Times New Roman" w:hAnsi="Times New Roman" w:cs="Times New Roman"/>
          <w:sz w:val="28"/>
          <w:szCs w:val="28"/>
        </w:rPr>
        <w:t xml:space="preserve">, </w:t>
      </w:r>
      <w:r w:rsidRPr="005B0CBE">
        <w:rPr>
          <w:rFonts w:ascii="Times New Roman" w:hAnsi="Times New Roman" w:cs="Times New Roman"/>
          <w:sz w:val="28"/>
          <w:szCs w:val="28"/>
        </w:rPr>
        <w:t>провести переговори з державними та міжнародними фінансовими інституціями щодо заміщення дорогих комерційних позик довгостроковими кредитами під фіксовані або субсидовані відсоткові ставки (наприклад, у межах програм підтримки стратегічних галузей економіки).</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Зниження фінансових витрат вивільнить чистий прибуток, який буде спрямований на формування резервного капіталу та покриття попередніх збитків.</w:t>
      </w:r>
    </w:p>
    <w:p w14:paraId="1050340B" w14:textId="7AD7A061" w:rsidR="005B0CBE" w:rsidRPr="00AA3691" w:rsidRDefault="005B0CBE" w:rsidP="00AA3691">
      <w:pPr>
        <w:spacing w:after="0" w:line="360" w:lineRule="auto"/>
        <w:ind w:firstLine="708"/>
        <w:jc w:val="both"/>
        <w:rPr>
          <w:rFonts w:ascii="Times New Roman" w:hAnsi="Times New Roman" w:cs="Times New Roman"/>
          <w:b/>
          <w:bCs/>
          <w:sz w:val="28"/>
          <w:szCs w:val="28"/>
        </w:rPr>
      </w:pPr>
      <w:r w:rsidRPr="005332C6">
        <w:rPr>
          <w:rFonts w:ascii="Times New Roman" w:hAnsi="Times New Roman" w:cs="Times New Roman"/>
          <w:sz w:val="28"/>
          <w:szCs w:val="28"/>
        </w:rPr>
        <w:t>Напрям 3</w:t>
      </w:r>
      <w:r w:rsidR="00AA3691" w:rsidRPr="005332C6">
        <w:rPr>
          <w:rFonts w:ascii="Times New Roman" w:hAnsi="Times New Roman" w:cs="Times New Roman"/>
          <w:sz w:val="28"/>
          <w:szCs w:val="28"/>
        </w:rPr>
        <w:t>.</w:t>
      </w:r>
      <w:r w:rsidRPr="005332C6">
        <w:rPr>
          <w:rFonts w:ascii="Times New Roman" w:hAnsi="Times New Roman" w:cs="Times New Roman"/>
          <w:sz w:val="28"/>
          <w:szCs w:val="28"/>
        </w:rPr>
        <w:t xml:space="preserve"> Захист оборотного капіталу від інституційного тиску контрагентів</w:t>
      </w:r>
      <w:r w:rsidR="00AA3691" w:rsidRPr="005332C6">
        <w:rPr>
          <w:rFonts w:ascii="Times New Roman" w:hAnsi="Times New Roman" w:cs="Times New Roman"/>
          <w:sz w:val="28"/>
          <w:szCs w:val="28"/>
        </w:rPr>
        <w:t>.</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Падіння обсягів отриманих авансів на 84,36% оголило дефіцит безкоштовного комерційного ресурсу.</w:t>
      </w:r>
      <w:r w:rsidR="00AA3691">
        <w:rPr>
          <w:rFonts w:ascii="Times New Roman" w:hAnsi="Times New Roman" w:cs="Times New Roman"/>
          <w:b/>
          <w:bCs/>
          <w:sz w:val="28"/>
          <w:szCs w:val="28"/>
        </w:rPr>
        <w:t xml:space="preserve"> </w:t>
      </w:r>
      <w:r w:rsidRPr="005B0CBE">
        <w:rPr>
          <w:rFonts w:ascii="Times New Roman" w:hAnsi="Times New Roman" w:cs="Times New Roman"/>
          <w:sz w:val="28"/>
          <w:szCs w:val="28"/>
        </w:rPr>
        <w:t xml:space="preserve">Компанії слід оптимізувати політику управління дебіторською заборгованістю. Необхідно скоротити терміни надання товарних кредитів власним покупцям, запровадити систему знижок за швидку оплату (складові політики інкасації) та активно використовувати інструменти факторингу для негайного залучення «живих» грошей у звороті. Стабілізація </w:t>
      </w:r>
      <w:r w:rsidR="006727CF">
        <w:rPr>
          <w:rFonts w:ascii="Times New Roman" w:hAnsi="Times New Roman" w:cs="Times New Roman"/>
          <w:sz w:val="28"/>
          <w:szCs w:val="28"/>
        </w:rPr>
        <w:t>ЧГП</w:t>
      </w:r>
      <w:r w:rsidRPr="005B0CBE">
        <w:rPr>
          <w:rFonts w:ascii="Times New Roman" w:hAnsi="Times New Roman" w:cs="Times New Roman"/>
          <w:sz w:val="28"/>
          <w:szCs w:val="28"/>
        </w:rPr>
        <w:t xml:space="preserve"> та зменшення залежності від екстреного короткострокового кредитування.</w:t>
      </w:r>
    </w:p>
    <w:p w14:paraId="112AC1E8" w14:textId="3CE2C2C3" w:rsidR="005B0CBE" w:rsidRDefault="005B0CBE" w:rsidP="00AA3691">
      <w:pPr>
        <w:spacing w:after="0" w:line="360" w:lineRule="auto"/>
        <w:ind w:firstLine="708"/>
        <w:jc w:val="both"/>
        <w:rPr>
          <w:rFonts w:ascii="Times New Roman" w:hAnsi="Times New Roman" w:cs="Times New Roman"/>
          <w:sz w:val="28"/>
          <w:szCs w:val="28"/>
        </w:rPr>
      </w:pPr>
      <w:r w:rsidRPr="005B0CBE">
        <w:rPr>
          <w:rFonts w:ascii="Times New Roman" w:hAnsi="Times New Roman" w:cs="Times New Roman"/>
          <w:sz w:val="28"/>
          <w:szCs w:val="28"/>
        </w:rPr>
        <w:t>Проведений аналіз фінансової звітності за 2023</w:t>
      </w:r>
      <w:r w:rsidR="00AA3691">
        <w:rPr>
          <w:rFonts w:ascii="Times New Roman" w:hAnsi="Times New Roman" w:cs="Times New Roman"/>
          <w:sz w:val="28"/>
          <w:szCs w:val="28"/>
        </w:rPr>
        <w:t>-2</w:t>
      </w:r>
      <w:r w:rsidRPr="005B0CBE">
        <w:rPr>
          <w:rFonts w:ascii="Times New Roman" w:hAnsi="Times New Roman" w:cs="Times New Roman"/>
          <w:sz w:val="28"/>
          <w:szCs w:val="28"/>
        </w:rPr>
        <w:t>025 роки виявив складну трансформацію структури пасивів підприємства під впливом зовнішніх інституційних ризиків та неконтрольованого зростання левериджу. Падіння вартості чистих активів на 14,58% є серйозним викликом для довгострокової капіталізації бізнесу.</w:t>
      </w:r>
      <w:r w:rsidR="00AA3691">
        <w:rPr>
          <w:rFonts w:ascii="Times New Roman" w:hAnsi="Times New Roman" w:cs="Times New Roman"/>
          <w:sz w:val="28"/>
          <w:szCs w:val="28"/>
        </w:rPr>
        <w:t xml:space="preserve"> </w:t>
      </w:r>
      <w:r w:rsidRPr="005B0CBE">
        <w:rPr>
          <w:rFonts w:ascii="Times New Roman" w:hAnsi="Times New Roman" w:cs="Times New Roman"/>
          <w:sz w:val="28"/>
          <w:szCs w:val="28"/>
        </w:rPr>
        <w:t>Проте впровадження запропонованої матриці фінансових рекомендацій — через реструктуризацію короткострокових пасивів, зниження ціни обслуговування кредитів та оптимізацію робочого капіталу — дозволить стабілізувати платоспроможність компанії, повернути коефіцієнти стійкості до нормативних меж та сформувати надійну основу для безпечного економічного зростання в майбутньому.</w:t>
      </w:r>
    </w:p>
    <w:p w14:paraId="7FA8D792" w14:textId="77777777" w:rsidR="00701F7C" w:rsidRDefault="00701F7C" w:rsidP="00AA3691">
      <w:pPr>
        <w:spacing w:after="0" w:line="360" w:lineRule="auto"/>
        <w:ind w:firstLine="708"/>
        <w:jc w:val="both"/>
        <w:rPr>
          <w:rFonts w:ascii="Times New Roman" w:hAnsi="Times New Roman" w:cs="Times New Roman"/>
          <w:sz w:val="28"/>
          <w:szCs w:val="28"/>
        </w:rPr>
      </w:pPr>
    </w:p>
    <w:p w14:paraId="6C65CB72" w14:textId="07DF74B9" w:rsidR="00701F7C" w:rsidRPr="00701F7C" w:rsidRDefault="00701F7C" w:rsidP="00AA3691">
      <w:pPr>
        <w:spacing w:after="0" w:line="360" w:lineRule="auto"/>
        <w:ind w:firstLine="708"/>
        <w:jc w:val="both"/>
        <w:rPr>
          <w:rFonts w:ascii="Times New Roman" w:hAnsi="Times New Roman" w:cs="Times New Roman"/>
          <w:b/>
          <w:bCs/>
          <w:sz w:val="28"/>
          <w:szCs w:val="28"/>
        </w:rPr>
      </w:pPr>
      <w:r w:rsidRPr="00701F7C">
        <w:rPr>
          <w:rFonts w:ascii="Times New Roman" w:hAnsi="Times New Roman" w:cs="Times New Roman"/>
          <w:b/>
          <w:bCs/>
          <w:sz w:val="28"/>
          <w:szCs w:val="28"/>
        </w:rPr>
        <w:t>2.2. Діагностика фінансової стійкості та її вплив на інвестиційну вартість підприємства</w:t>
      </w:r>
    </w:p>
    <w:p w14:paraId="5545D19D" w14:textId="77777777" w:rsidR="00701F7C" w:rsidRDefault="00701F7C" w:rsidP="00AA3691">
      <w:pPr>
        <w:spacing w:after="0" w:line="360" w:lineRule="auto"/>
        <w:ind w:firstLine="708"/>
        <w:jc w:val="both"/>
        <w:rPr>
          <w:rFonts w:ascii="Times New Roman" w:hAnsi="Times New Roman" w:cs="Times New Roman"/>
          <w:sz w:val="28"/>
          <w:szCs w:val="28"/>
        </w:rPr>
      </w:pPr>
    </w:p>
    <w:p w14:paraId="25C1A2B6" w14:textId="5D322C25"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Інвестиційна вартість підприємства — це інтегральний показник, який відображає не лише поточну оцінку його чистих активів, а й потенціал генерувати </w:t>
      </w:r>
      <w:r w:rsidRPr="00956B77">
        <w:rPr>
          <w:rFonts w:ascii="Times New Roman" w:hAnsi="Times New Roman" w:cs="Times New Roman"/>
          <w:sz w:val="28"/>
          <w:szCs w:val="28"/>
        </w:rPr>
        <w:t>стабільні грошові потоки в майбутньому за прийнятного рівня ризику [</w:t>
      </w:r>
      <w:r w:rsidR="00956B77" w:rsidRPr="00956B77">
        <w:rPr>
          <w:rFonts w:ascii="Times New Roman" w:hAnsi="Times New Roman" w:cs="Times New Roman"/>
          <w:sz w:val="28"/>
          <w:szCs w:val="28"/>
        </w:rPr>
        <w:t>20</w:t>
      </w:r>
      <w:r w:rsidRPr="00956B77">
        <w:rPr>
          <w:rFonts w:ascii="Times New Roman" w:hAnsi="Times New Roman" w:cs="Times New Roman"/>
          <w:sz w:val="28"/>
          <w:szCs w:val="28"/>
        </w:rPr>
        <w:t>]. Для</w:t>
      </w:r>
      <w:r w:rsidRPr="005332C6">
        <w:rPr>
          <w:rFonts w:ascii="Times New Roman" w:hAnsi="Times New Roman" w:cs="Times New Roman"/>
          <w:sz w:val="28"/>
          <w:szCs w:val="28"/>
        </w:rPr>
        <w:t xml:space="preserve"> зовнішнього інвестора фундаментальним індикатором надійності вкладень є фінансова стійкість емітента. Вона визначає здатність бізнесу протистояти негативним коливанням ринкової кон'юнктури, вчасно розраховуватися за борговими зобов'язаннями та зберігати стратегічну незалежність.</w:t>
      </w:r>
    </w:p>
    <w:p w14:paraId="108BF743" w14:textId="7AFC9F0D"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За допомогою системного розрахунку фінансових коефіцієнтів та застосування класичних </w:t>
      </w:r>
      <w:proofErr w:type="spellStart"/>
      <w:r w:rsidRPr="005332C6">
        <w:rPr>
          <w:rFonts w:ascii="Times New Roman" w:hAnsi="Times New Roman" w:cs="Times New Roman"/>
          <w:sz w:val="28"/>
          <w:szCs w:val="28"/>
        </w:rPr>
        <w:t>дискримінантних</w:t>
      </w:r>
      <w:proofErr w:type="spellEnd"/>
      <w:r w:rsidRPr="005332C6">
        <w:rPr>
          <w:rFonts w:ascii="Times New Roman" w:hAnsi="Times New Roman" w:cs="Times New Roman"/>
          <w:sz w:val="28"/>
          <w:szCs w:val="28"/>
        </w:rPr>
        <w:t xml:space="preserve"> моделей оцінки ймовірності банкрутства визнач</w:t>
      </w:r>
      <w:r>
        <w:rPr>
          <w:rFonts w:ascii="Times New Roman" w:hAnsi="Times New Roman" w:cs="Times New Roman"/>
          <w:sz w:val="28"/>
          <w:szCs w:val="28"/>
        </w:rPr>
        <w:t>имо</w:t>
      </w:r>
      <w:r w:rsidRPr="005332C6">
        <w:rPr>
          <w:rFonts w:ascii="Times New Roman" w:hAnsi="Times New Roman" w:cs="Times New Roman"/>
          <w:sz w:val="28"/>
          <w:szCs w:val="28"/>
        </w:rPr>
        <w:t xml:space="preserve"> «запас міцності» </w:t>
      </w:r>
      <w:r w:rsidRPr="00B71412">
        <w:rPr>
          <w:rFonts w:ascii="Times New Roman" w:hAnsi="Times New Roman" w:cs="Times New Roman"/>
          <w:sz w:val="28"/>
          <w:szCs w:val="28"/>
        </w:rPr>
        <w:t>ТОВ «КЕРНЕЛ-ТРЕЙД»</w:t>
      </w:r>
      <w:r w:rsidRPr="005332C6">
        <w:rPr>
          <w:rFonts w:ascii="Times New Roman" w:hAnsi="Times New Roman" w:cs="Times New Roman"/>
          <w:sz w:val="28"/>
          <w:szCs w:val="28"/>
        </w:rPr>
        <w:t xml:space="preserve"> перед потенційними інвесторами, а також </w:t>
      </w:r>
      <w:proofErr w:type="spellStart"/>
      <w:r w:rsidRPr="005332C6">
        <w:rPr>
          <w:rFonts w:ascii="Times New Roman" w:hAnsi="Times New Roman" w:cs="Times New Roman"/>
          <w:sz w:val="28"/>
          <w:szCs w:val="28"/>
        </w:rPr>
        <w:t>оціне</w:t>
      </w:r>
      <w:r>
        <w:rPr>
          <w:rFonts w:ascii="Times New Roman" w:hAnsi="Times New Roman" w:cs="Times New Roman"/>
          <w:sz w:val="28"/>
          <w:szCs w:val="28"/>
        </w:rPr>
        <w:t>мо</w:t>
      </w:r>
      <w:proofErr w:type="spellEnd"/>
      <w:r w:rsidRPr="005332C6">
        <w:rPr>
          <w:rFonts w:ascii="Times New Roman" w:hAnsi="Times New Roman" w:cs="Times New Roman"/>
          <w:sz w:val="28"/>
          <w:szCs w:val="28"/>
        </w:rPr>
        <w:t xml:space="preserve"> еластичність інвестиційної вартості відносно структурних деформацій пасиву.</w:t>
      </w:r>
    </w:p>
    <w:p w14:paraId="0E643E17" w14:textId="38B52641" w:rsidR="005332C6" w:rsidRPr="005332C6" w:rsidRDefault="005332C6" w:rsidP="006727CF">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Інвестори використовують систему для оцінки рівня системного ризику (ситуації, коли компанія може втратити платоспроможність під впливом боргів). Якщо показники стійкості перебувають поза межами оптимуму, інвестиційна привабливість підприємства стрімко знижується, а дисконт за ризик при розрахунку вартості бізнесу зростає, що автоматично знецінює його інвестиційну вартість</w:t>
      </w:r>
      <w:r>
        <w:rPr>
          <w:rFonts w:ascii="Times New Roman" w:hAnsi="Times New Roman" w:cs="Times New Roman"/>
          <w:sz w:val="28"/>
          <w:szCs w:val="28"/>
        </w:rPr>
        <w:t xml:space="preserve"> (табл. 2.5)</w:t>
      </w:r>
      <w:r w:rsidRPr="005332C6">
        <w:rPr>
          <w:rFonts w:ascii="Times New Roman" w:hAnsi="Times New Roman" w:cs="Times New Roman"/>
          <w:sz w:val="28"/>
          <w:szCs w:val="28"/>
        </w:rPr>
        <w:t>.</w:t>
      </w:r>
    </w:p>
    <w:p w14:paraId="7E7DB9D3" w14:textId="77777777" w:rsidR="005332C6" w:rsidRPr="005332C6" w:rsidRDefault="005332C6" w:rsidP="005332C6">
      <w:pPr>
        <w:spacing w:after="0" w:line="360" w:lineRule="auto"/>
        <w:ind w:firstLine="708"/>
        <w:jc w:val="right"/>
        <w:rPr>
          <w:rFonts w:ascii="Times New Roman" w:hAnsi="Times New Roman" w:cs="Times New Roman"/>
          <w:sz w:val="28"/>
          <w:szCs w:val="28"/>
        </w:rPr>
      </w:pPr>
      <w:r w:rsidRPr="005332C6">
        <w:rPr>
          <w:rFonts w:ascii="Times New Roman" w:hAnsi="Times New Roman" w:cs="Times New Roman"/>
          <w:sz w:val="28"/>
          <w:szCs w:val="28"/>
        </w:rPr>
        <w:t>Таблиця 2.5</w:t>
      </w:r>
    </w:p>
    <w:p w14:paraId="36AEA96F" w14:textId="1889683A" w:rsidR="005332C6" w:rsidRPr="005332C6" w:rsidRDefault="005332C6" w:rsidP="005332C6">
      <w:pPr>
        <w:spacing w:after="0" w:line="360" w:lineRule="auto"/>
        <w:jc w:val="center"/>
        <w:rPr>
          <w:rFonts w:ascii="Times New Roman" w:hAnsi="Times New Roman" w:cs="Times New Roman"/>
          <w:sz w:val="28"/>
          <w:szCs w:val="28"/>
        </w:rPr>
      </w:pPr>
      <w:r w:rsidRPr="005332C6">
        <w:rPr>
          <w:rFonts w:ascii="Times New Roman" w:hAnsi="Times New Roman" w:cs="Times New Roman"/>
          <w:sz w:val="28"/>
          <w:szCs w:val="28"/>
        </w:rPr>
        <w:t xml:space="preserve">Аналітична система фінансової стійкості </w:t>
      </w:r>
      <w:r w:rsidRPr="00B71412">
        <w:rPr>
          <w:rFonts w:ascii="Times New Roman" w:hAnsi="Times New Roman" w:cs="Times New Roman"/>
          <w:sz w:val="28"/>
          <w:szCs w:val="28"/>
        </w:rPr>
        <w:t>ТОВ «КЕРНЕЛ-ТРЕЙД»</w:t>
      </w:r>
    </w:p>
    <w:tbl>
      <w:tblPr>
        <w:tblStyle w:val="af0"/>
        <w:tblW w:w="0" w:type="auto"/>
        <w:tblLook w:val="04A0" w:firstRow="1" w:lastRow="0" w:firstColumn="1" w:lastColumn="0" w:noHBand="0" w:noVBand="1"/>
      </w:tblPr>
      <w:tblGrid>
        <w:gridCol w:w="1588"/>
        <w:gridCol w:w="1090"/>
        <w:gridCol w:w="1090"/>
        <w:gridCol w:w="1090"/>
        <w:gridCol w:w="1142"/>
        <w:gridCol w:w="1142"/>
        <w:gridCol w:w="1142"/>
        <w:gridCol w:w="1343"/>
      </w:tblGrid>
      <w:tr w:rsidR="005332C6" w:rsidRPr="005332C6" w14:paraId="4ADC2477" w14:textId="77777777" w:rsidTr="005332C6">
        <w:tc>
          <w:tcPr>
            <w:tcW w:w="0" w:type="auto"/>
            <w:hideMark/>
          </w:tcPr>
          <w:p w14:paraId="65A6E030" w14:textId="77777777" w:rsidR="005332C6" w:rsidRPr="005332C6" w:rsidRDefault="005332C6" w:rsidP="00D41825">
            <w:pPr>
              <w:jc w:val="center"/>
              <w:rPr>
                <w:rFonts w:ascii="Times New Roman" w:hAnsi="Times New Roman" w:cs="Times New Roman"/>
              </w:rPr>
            </w:pPr>
            <w:r w:rsidRPr="005332C6">
              <w:rPr>
                <w:rFonts w:ascii="Times New Roman" w:hAnsi="Times New Roman" w:cs="Times New Roman"/>
              </w:rPr>
              <w:t>Фінансовий коефіцієнт та алгоритм розрахунку</w:t>
            </w:r>
          </w:p>
        </w:tc>
        <w:tc>
          <w:tcPr>
            <w:tcW w:w="0" w:type="auto"/>
            <w:hideMark/>
          </w:tcPr>
          <w:p w14:paraId="4DF37B9C" w14:textId="77777777" w:rsidR="005332C6" w:rsidRPr="005332C6" w:rsidRDefault="005332C6" w:rsidP="00D41825">
            <w:pPr>
              <w:jc w:val="center"/>
              <w:rPr>
                <w:rFonts w:ascii="Times New Roman" w:hAnsi="Times New Roman" w:cs="Times New Roman"/>
              </w:rPr>
            </w:pPr>
            <w:r w:rsidRPr="005332C6">
              <w:rPr>
                <w:rFonts w:ascii="Times New Roman" w:hAnsi="Times New Roman" w:cs="Times New Roman"/>
              </w:rPr>
              <w:t>На 31.12.2023</w:t>
            </w:r>
          </w:p>
        </w:tc>
        <w:tc>
          <w:tcPr>
            <w:tcW w:w="0" w:type="auto"/>
            <w:hideMark/>
          </w:tcPr>
          <w:p w14:paraId="10D9F846" w14:textId="77777777" w:rsidR="005332C6" w:rsidRPr="005332C6" w:rsidRDefault="005332C6" w:rsidP="00D41825">
            <w:pPr>
              <w:jc w:val="center"/>
              <w:rPr>
                <w:rFonts w:ascii="Times New Roman" w:hAnsi="Times New Roman" w:cs="Times New Roman"/>
              </w:rPr>
            </w:pPr>
            <w:r w:rsidRPr="005332C6">
              <w:rPr>
                <w:rFonts w:ascii="Times New Roman" w:hAnsi="Times New Roman" w:cs="Times New Roman"/>
              </w:rPr>
              <w:t>На 31.12.2024</w:t>
            </w:r>
          </w:p>
        </w:tc>
        <w:tc>
          <w:tcPr>
            <w:tcW w:w="0" w:type="auto"/>
            <w:hideMark/>
          </w:tcPr>
          <w:p w14:paraId="15165ECA" w14:textId="77777777" w:rsidR="005332C6" w:rsidRPr="005332C6" w:rsidRDefault="005332C6" w:rsidP="00D41825">
            <w:pPr>
              <w:jc w:val="center"/>
              <w:rPr>
                <w:rFonts w:ascii="Times New Roman" w:hAnsi="Times New Roman" w:cs="Times New Roman"/>
              </w:rPr>
            </w:pPr>
            <w:r w:rsidRPr="005332C6">
              <w:rPr>
                <w:rFonts w:ascii="Times New Roman" w:hAnsi="Times New Roman" w:cs="Times New Roman"/>
              </w:rPr>
              <w:t>На 31.12.2025</w:t>
            </w:r>
          </w:p>
        </w:tc>
        <w:tc>
          <w:tcPr>
            <w:tcW w:w="0" w:type="auto"/>
            <w:hideMark/>
          </w:tcPr>
          <w:p w14:paraId="163F1831" w14:textId="77777777" w:rsidR="005332C6" w:rsidRPr="005332C6" w:rsidRDefault="005332C6" w:rsidP="00D41825">
            <w:pPr>
              <w:jc w:val="center"/>
              <w:rPr>
                <w:rFonts w:ascii="Times New Roman" w:hAnsi="Times New Roman" w:cs="Times New Roman"/>
              </w:rPr>
            </w:pPr>
            <w:proofErr w:type="spellStart"/>
            <w:r w:rsidRPr="005332C6">
              <w:rPr>
                <w:rFonts w:ascii="Times New Roman" w:hAnsi="Times New Roman" w:cs="Times New Roman"/>
              </w:rPr>
              <w:t>Абс</w:t>
            </w:r>
            <w:proofErr w:type="spellEnd"/>
            <w:r w:rsidRPr="005332C6">
              <w:rPr>
                <w:rFonts w:ascii="Times New Roman" w:hAnsi="Times New Roman" w:cs="Times New Roman"/>
              </w:rPr>
              <w:t>. відхилення 2024/2023</w:t>
            </w:r>
          </w:p>
        </w:tc>
        <w:tc>
          <w:tcPr>
            <w:tcW w:w="0" w:type="auto"/>
            <w:hideMark/>
          </w:tcPr>
          <w:p w14:paraId="0D8FDB1B" w14:textId="77777777" w:rsidR="005332C6" w:rsidRPr="005332C6" w:rsidRDefault="005332C6" w:rsidP="00D41825">
            <w:pPr>
              <w:jc w:val="center"/>
              <w:rPr>
                <w:rFonts w:ascii="Times New Roman" w:hAnsi="Times New Roman" w:cs="Times New Roman"/>
              </w:rPr>
            </w:pPr>
            <w:proofErr w:type="spellStart"/>
            <w:r w:rsidRPr="005332C6">
              <w:rPr>
                <w:rFonts w:ascii="Times New Roman" w:hAnsi="Times New Roman" w:cs="Times New Roman"/>
              </w:rPr>
              <w:t>Абс</w:t>
            </w:r>
            <w:proofErr w:type="spellEnd"/>
            <w:r w:rsidRPr="005332C6">
              <w:rPr>
                <w:rFonts w:ascii="Times New Roman" w:hAnsi="Times New Roman" w:cs="Times New Roman"/>
              </w:rPr>
              <w:t>. відхилення 2025/2024</w:t>
            </w:r>
          </w:p>
        </w:tc>
        <w:tc>
          <w:tcPr>
            <w:tcW w:w="0" w:type="auto"/>
            <w:hideMark/>
          </w:tcPr>
          <w:p w14:paraId="62D56356" w14:textId="77777777" w:rsidR="005332C6" w:rsidRPr="005332C6" w:rsidRDefault="005332C6" w:rsidP="00D41825">
            <w:pPr>
              <w:jc w:val="center"/>
              <w:rPr>
                <w:rFonts w:ascii="Times New Roman" w:hAnsi="Times New Roman" w:cs="Times New Roman"/>
              </w:rPr>
            </w:pPr>
            <w:r w:rsidRPr="005332C6">
              <w:rPr>
                <w:rFonts w:ascii="Times New Roman" w:hAnsi="Times New Roman" w:cs="Times New Roman"/>
              </w:rPr>
              <w:t>Загальне відхилення 2025/2023</w:t>
            </w:r>
          </w:p>
        </w:tc>
        <w:tc>
          <w:tcPr>
            <w:tcW w:w="0" w:type="auto"/>
            <w:hideMark/>
          </w:tcPr>
          <w:p w14:paraId="2F50D3DA" w14:textId="77777777" w:rsidR="005332C6" w:rsidRPr="005332C6" w:rsidRDefault="005332C6" w:rsidP="00D41825">
            <w:pPr>
              <w:jc w:val="center"/>
              <w:rPr>
                <w:rFonts w:ascii="Times New Roman" w:hAnsi="Times New Roman" w:cs="Times New Roman"/>
              </w:rPr>
            </w:pPr>
            <w:r w:rsidRPr="005332C6">
              <w:rPr>
                <w:rFonts w:ascii="Times New Roman" w:hAnsi="Times New Roman" w:cs="Times New Roman"/>
              </w:rPr>
              <w:t>Нормативний орієнтир</w:t>
            </w:r>
          </w:p>
        </w:tc>
      </w:tr>
      <w:tr w:rsidR="005332C6" w:rsidRPr="005332C6" w14:paraId="6B2D24DB" w14:textId="77777777" w:rsidTr="005332C6">
        <w:tc>
          <w:tcPr>
            <w:tcW w:w="0" w:type="auto"/>
            <w:hideMark/>
          </w:tcPr>
          <w:p w14:paraId="7A6FD400"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Коефіцієнт автономії (незалежності)</w:t>
            </w:r>
          </w:p>
          <w:p w14:paraId="39307B4C" w14:textId="31AA5C2C" w:rsidR="005332C6" w:rsidRPr="005332C6" w:rsidRDefault="005332C6" w:rsidP="005332C6">
            <w:pPr>
              <w:jc w:val="both"/>
              <w:rPr>
                <w:rFonts w:ascii="Times New Roman" w:hAnsi="Times New Roman" w:cs="Times New Roman"/>
              </w:rPr>
            </w:pPr>
            <w:proofErr w:type="spellStart"/>
            <w:r w:rsidRPr="005332C6">
              <w:rPr>
                <w:rFonts w:ascii="Times New Roman" w:hAnsi="Times New Roman" w:cs="Times New Roman"/>
              </w:rPr>
              <w:t>Kавт</w:t>
            </w:r>
            <w:proofErr w:type="spellEnd"/>
            <w:r w:rsidRPr="005332C6">
              <w:rPr>
                <w:rFonts w:ascii="Times New Roman" w:hAnsi="Times New Roman" w:cs="Times New Roman"/>
              </w:rPr>
              <w:t xml:space="preserve"> = Власний капітал (р. 1495</w:t>
            </w:r>
            <w:r w:rsidR="00D41825">
              <w:rPr>
                <w:rFonts w:ascii="Times New Roman" w:hAnsi="Times New Roman" w:cs="Times New Roman"/>
              </w:rPr>
              <w:t xml:space="preserve"> / </w:t>
            </w:r>
            <w:r w:rsidRPr="005332C6">
              <w:rPr>
                <w:rFonts w:ascii="Times New Roman" w:hAnsi="Times New Roman" w:cs="Times New Roman"/>
              </w:rPr>
              <w:t>Валюта балансу (р. 1300</w:t>
            </w:r>
            <w:r w:rsidR="00D41825">
              <w:rPr>
                <w:rFonts w:ascii="Times New Roman" w:hAnsi="Times New Roman" w:cs="Times New Roman"/>
              </w:rPr>
              <w:t>)</w:t>
            </w:r>
          </w:p>
        </w:tc>
        <w:tc>
          <w:tcPr>
            <w:tcW w:w="0" w:type="auto"/>
            <w:hideMark/>
          </w:tcPr>
          <w:p w14:paraId="13F6E8C8"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0,539</w:t>
            </w:r>
          </w:p>
        </w:tc>
        <w:tc>
          <w:tcPr>
            <w:tcW w:w="0" w:type="auto"/>
            <w:hideMark/>
          </w:tcPr>
          <w:p w14:paraId="024CEFCA"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0,407</w:t>
            </w:r>
          </w:p>
        </w:tc>
        <w:tc>
          <w:tcPr>
            <w:tcW w:w="0" w:type="auto"/>
            <w:hideMark/>
          </w:tcPr>
          <w:p w14:paraId="5C97D586"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0,398</w:t>
            </w:r>
          </w:p>
        </w:tc>
        <w:tc>
          <w:tcPr>
            <w:tcW w:w="0" w:type="auto"/>
            <w:hideMark/>
          </w:tcPr>
          <w:p w14:paraId="47E757EA"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-0,132</w:t>
            </w:r>
          </w:p>
        </w:tc>
        <w:tc>
          <w:tcPr>
            <w:tcW w:w="0" w:type="auto"/>
            <w:hideMark/>
          </w:tcPr>
          <w:p w14:paraId="11247B83"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-0,009</w:t>
            </w:r>
          </w:p>
        </w:tc>
        <w:tc>
          <w:tcPr>
            <w:tcW w:w="0" w:type="auto"/>
            <w:hideMark/>
          </w:tcPr>
          <w:p w14:paraId="3FA2F95A"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-0,141</w:t>
            </w:r>
          </w:p>
        </w:tc>
        <w:tc>
          <w:tcPr>
            <w:tcW w:w="0" w:type="auto"/>
            <w:hideMark/>
          </w:tcPr>
          <w:p w14:paraId="6A44C457" w14:textId="7FC5AE43" w:rsidR="005332C6" w:rsidRPr="005332C6" w:rsidRDefault="005332C6" w:rsidP="00D41825">
            <w:pPr>
              <w:jc w:val="center"/>
              <w:rPr>
                <w:rFonts w:ascii="Times New Roman" w:hAnsi="Times New Roman" w:cs="Times New Roman"/>
              </w:rPr>
            </w:pPr>
            <w:r w:rsidRPr="005332C6">
              <w:rPr>
                <w:rFonts w:ascii="Times New Roman" w:hAnsi="Times New Roman" w:cs="Times New Roman"/>
              </w:rPr>
              <w:t>0,50</w:t>
            </w:r>
          </w:p>
        </w:tc>
      </w:tr>
      <w:tr w:rsidR="005332C6" w:rsidRPr="005332C6" w14:paraId="5051F518" w14:textId="77777777" w:rsidTr="005332C6">
        <w:tc>
          <w:tcPr>
            <w:tcW w:w="0" w:type="auto"/>
            <w:hideMark/>
          </w:tcPr>
          <w:p w14:paraId="3DEBCAF0"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lastRenderedPageBreak/>
              <w:t>Коефіцієнт фінансової залежності</w:t>
            </w:r>
          </w:p>
          <w:p w14:paraId="21B4B4FF" w14:textId="381ED18B" w:rsidR="005332C6" w:rsidRPr="005332C6" w:rsidRDefault="005332C6" w:rsidP="005332C6">
            <w:pPr>
              <w:jc w:val="both"/>
              <w:rPr>
                <w:rFonts w:ascii="Times New Roman" w:hAnsi="Times New Roman" w:cs="Times New Roman"/>
              </w:rPr>
            </w:pPr>
            <w:proofErr w:type="spellStart"/>
            <w:r w:rsidRPr="005332C6">
              <w:rPr>
                <w:rFonts w:ascii="Times New Roman" w:hAnsi="Times New Roman" w:cs="Times New Roman"/>
              </w:rPr>
              <w:t>Kзал</w:t>
            </w:r>
            <w:proofErr w:type="spellEnd"/>
            <w:r w:rsidRPr="005332C6">
              <w:rPr>
                <w:rFonts w:ascii="Times New Roman" w:hAnsi="Times New Roman" w:cs="Times New Roman"/>
              </w:rPr>
              <w:t xml:space="preserve"> = Позиковий капітал (р. 1595 + р. 1695)</w:t>
            </w:r>
            <w:r w:rsidR="00D41825">
              <w:rPr>
                <w:rFonts w:ascii="Times New Roman" w:hAnsi="Times New Roman" w:cs="Times New Roman"/>
              </w:rPr>
              <w:t xml:space="preserve"> / </w:t>
            </w:r>
            <w:r w:rsidRPr="005332C6">
              <w:rPr>
                <w:rFonts w:ascii="Times New Roman" w:hAnsi="Times New Roman" w:cs="Times New Roman"/>
              </w:rPr>
              <w:t>Валюта балансу (р. 1300</w:t>
            </w:r>
          </w:p>
        </w:tc>
        <w:tc>
          <w:tcPr>
            <w:tcW w:w="0" w:type="auto"/>
            <w:hideMark/>
          </w:tcPr>
          <w:p w14:paraId="2C9051B6"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0,461</w:t>
            </w:r>
          </w:p>
        </w:tc>
        <w:tc>
          <w:tcPr>
            <w:tcW w:w="0" w:type="auto"/>
            <w:hideMark/>
          </w:tcPr>
          <w:p w14:paraId="379B7A00"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0,593</w:t>
            </w:r>
          </w:p>
        </w:tc>
        <w:tc>
          <w:tcPr>
            <w:tcW w:w="0" w:type="auto"/>
            <w:hideMark/>
          </w:tcPr>
          <w:p w14:paraId="62A42565"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0,602</w:t>
            </w:r>
          </w:p>
        </w:tc>
        <w:tc>
          <w:tcPr>
            <w:tcW w:w="0" w:type="auto"/>
            <w:hideMark/>
          </w:tcPr>
          <w:p w14:paraId="4E3B73E6"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+0,132</w:t>
            </w:r>
          </w:p>
        </w:tc>
        <w:tc>
          <w:tcPr>
            <w:tcW w:w="0" w:type="auto"/>
            <w:hideMark/>
          </w:tcPr>
          <w:p w14:paraId="59DA2116"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+0,009</w:t>
            </w:r>
          </w:p>
        </w:tc>
        <w:tc>
          <w:tcPr>
            <w:tcW w:w="0" w:type="auto"/>
            <w:hideMark/>
          </w:tcPr>
          <w:p w14:paraId="20341D5D"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+0,141</w:t>
            </w:r>
          </w:p>
        </w:tc>
        <w:tc>
          <w:tcPr>
            <w:tcW w:w="0" w:type="auto"/>
            <w:hideMark/>
          </w:tcPr>
          <w:p w14:paraId="0A57407F" w14:textId="1DF42578" w:rsidR="005332C6" w:rsidRPr="005332C6" w:rsidRDefault="005332C6" w:rsidP="00D41825">
            <w:pPr>
              <w:jc w:val="center"/>
              <w:rPr>
                <w:rFonts w:ascii="Times New Roman" w:hAnsi="Times New Roman" w:cs="Times New Roman"/>
              </w:rPr>
            </w:pPr>
            <w:r w:rsidRPr="005332C6">
              <w:rPr>
                <w:rFonts w:ascii="Times New Roman" w:hAnsi="Times New Roman" w:cs="Times New Roman"/>
              </w:rPr>
              <w:t>&lt; 0,50</w:t>
            </w:r>
          </w:p>
        </w:tc>
      </w:tr>
      <w:tr w:rsidR="005332C6" w:rsidRPr="005332C6" w14:paraId="33DE7109" w14:textId="77777777" w:rsidTr="005332C6">
        <w:tc>
          <w:tcPr>
            <w:tcW w:w="0" w:type="auto"/>
            <w:hideMark/>
          </w:tcPr>
          <w:p w14:paraId="733472F5" w14:textId="11598B74" w:rsidR="005332C6" w:rsidRPr="005332C6" w:rsidRDefault="005332C6" w:rsidP="005332C6">
            <w:pPr>
              <w:jc w:val="both"/>
              <w:rPr>
                <w:rFonts w:ascii="Times New Roman" w:hAnsi="Times New Roman" w:cs="Times New Roman"/>
              </w:rPr>
            </w:pPr>
            <w:r w:rsidRPr="005332C6">
              <w:rPr>
                <w:rFonts w:ascii="Times New Roman" w:hAnsi="Times New Roman" w:cs="Times New Roman"/>
              </w:rPr>
              <w:t xml:space="preserve">Коефіцієнт фінансового левериджу </w:t>
            </w:r>
          </w:p>
          <w:p w14:paraId="13D18C2E" w14:textId="4E06E886" w:rsidR="005332C6" w:rsidRPr="005332C6" w:rsidRDefault="005332C6" w:rsidP="005332C6">
            <w:pPr>
              <w:jc w:val="both"/>
              <w:rPr>
                <w:rFonts w:ascii="Times New Roman" w:hAnsi="Times New Roman" w:cs="Times New Roman"/>
              </w:rPr>
            </w:pPr>
            <w:proofErr w:type="spellStart"/>
            <w:r w:rsidRPr="005332C6">
              <w:rPr>
                <w:rFonts w:ascii="Times New Roman" w:hAnsi="Times New Roman" w:cs="Times New Roman"/>
              </w:rPr>
              <w:t>Kлев</w:t>
            </w:r>
            <w:proofErr w:type="spellEnd"/>
            <w:r w:rsidRPr="005332C6">
              <w:rPr>
                <w:rFonts w:ascii="Times New Roman" w:hAnsi="Times New Roman" w:cs="Times New Roman"/>
              </w:rPr>
              <w:t xml:space="preserve"> = Позиковий капітал</w:t>
            </w:r>
            <w:r w:rsidR="00D41825">
              <w:rPr>
                <w:rFonts w:ascii="Times New Roman" w:hAnsi="Times New Roman" w:cs="Times New Roman"/>
              </w:rPr>
              <w:t xml:space="preserve"> / </w:t>
            </w:r>
            <w:r w:rsidRPr="005332C6">
              <w:rPr>
                <w:rFonts w:ascii="Times New Roman" w:hAnsi="Times New Roman" w:cs="Times New Roman"/>
              </w:rPr>
              <w:t>Власний капітал</w:t>
            </w:r>
          </w:p>
        </w:tc>
        <w:tc>
          <w:tcPr>
            <w:tcW w:w="0" w:type="auto"/>
            <w:hideMark/>
          </w:tcPr>
          <w:p w14:paraId="68FB7383"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0,855</w:t>
            </w:r>
          </w:p>
        </w:tc>
        <w:tc>
          <w:tcPr>
            <w:tcW w:w="0" w:type="auto"/>
            <w:hideMark/>
          </w:tcPr>
          <w:p w14:paraId="118B4847"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1,458</w:t>
            </w:r>
          </w:p>
        </w:tc>
        <w:tc>
          <w:tcPr>
            <w:tcW w:w="0" w:type="auto"/>
            <w:hideMark/>
          </w:tcPr>
          <w:p w14:paraId="27607D8C"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1,513</w:t>
            </w:r>
          </w:p>
        </w:tc>
        <w:tc>
          <w:tcPr>
            <w:tcW w:w="0" w:type="auto"/>
            <w:hideMark/>
          </w:tcPr>
          <w:p w14:paraId="3BBD2EB7"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+0,603</w:t>
            </w:r>
          </w:p>
        </w:tc>
        <w:tc>
          <w:tcPr>
            <w:tcW w:w="0" w:type="auto"/>
            <w:hideMark/>
          </w:tcPr>
          <w:p w14:paraId="63B5E790"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+0,055</w:t>
            </w:r>
          </w:p>
        </w:tc>
        <w:tc>
          <w:tcPr>
            <w:tcW w:w="0" w:type="auto"/>
            <w:hideMark/>
          </w:tcPr>
          <w:p w14:paraId="54816B49"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+0,658</w:t>
            </w:r>
          </w:p>
        </w:tc>
        <w:tc>
          <w:tcPr>
            <w:tcW w:w="0" w:type="auto"/>
            <w:hideMark/>
          </w:tcPr>
          <w:p w14:paraId="03FD9F8C" w14:textId="6419DC56" w:rsidR="005332C6" w:rsidRPr="005332C6" w:rsidRDefault="005332C6" w:rsidP="00D41825">
            <w:pPr>
              <w:jc w:val="center"/>
              <w:rPr>
                <w:rFonts w:ascii="Times New Roman" w:hAnsi="Times New Roman" w:cs="Times New Roman"/>
              </w:rPr>
            </w:pPr>
            <w:r w:rsidRPr="005332C6">
              <w:rPr>
                <w:rFonts w:ascii="Times New Roman" w:hAnsi="Times New Roman" w:cs="Times New Roman"/>
              </w:rPr>
              <w:t>1,00</w:t>
            </w:r>
          </w:p>
        </w:tc>
      </w:tr>
      <w:tr w:rsidR="005332C6" w:rsidRPr="005332C6" w14:paraId="53F42783" w14:textId="77777777" w:rsidTr="005332C6">
        <w:tc>
          <w:tcPr>
            <w:tcW w:w="0" w:type="auto"/>
            <w:hideMark/>
          </w:tcPr>
          <w:p w14:paraId="77A3426E"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Коефіцієнт маневреності капіталу</w:t>
            </w:r>
          </w:p>
          <w:p w14:paraId="06C1618C" w14:textId="05F4796B" w:rsidR="005332C6" w:rsidRPr="005332C6" w:rsidRDefault="005332C6" w:rsidP="005332C6">
            <w:pPr>
              <w:jc w:val="both"/>
              <w:rPr>
                <w:rFonts w:ascii="Times New Roman" w:hAnsi="Times New Roman" w:cs="Times New Roman"/>
              </w:rPr>
            </w:pPr>
            <w:proofErr w:type="spellStart"/>
            <w:r w:rsidRPr="005332C6">
              <w:rPr>
                <w:rFonts w:ascii="Times New Roman" w:hAnsi="Times New Roman" w:cs="Times New Roman"/>
              </w:rPr>
              <w:t>Kман</w:t>
            </w:r>
            <w:proofErr w:type="spellEnd"/>
            <w:r w:rsidRPr="005332C6">
              <w:rPr>
                <w:rFonts w:ascii="Times New Roman" w:hAnsi="Times New Roman" w:cs="Times New Roman"/>
              </w:rPr>
              <w:t xml:space="preserve"> = </w:t>
            </w:r>
            <w:r w:rsidR="00D41825">
              <w:rPr>
                <w:rFonts w:ascii="Times New Roman" w:hAnsi="Times New Roman" w:cs="Times New Roman"/>
              </w:rPr>
              <w:t>(</w:t>
            </w:r>
            <w:r w:rsidRPr="005332C6">
              <w:rPr>
                <w:rFonts w:ascii="Times New Roman" w:hAnsi="Times New Roman" w:cs="Times New Roman"/>
              </w:rPr>
              <w:t>Власний капітал - Необоротні активи (р. 1095)</w:t>
            </w:r>
            <w:r w:rsidR="00D41825">
              <w:rPr>
                <w:rFonts w:ascii="Times New Roman" w:hAnsi="Times New Roman" w:cs="Times New Roman"/>
              </w:rPr>
              <w:t xml:space="preserve">) / </w:t>
            </w:r>
            <w:r w:rsidRPr="005332C6">
              <w:rPr>
                <w:rFonts w:ascii="Times New Roman" w:hAnsi="Times New Roman" w:cs="Times New Roman"/>
              </w:rPr>
              <w:t>Власний капіта</w:t>
            </w:r>
            <w:r w:rsidR="00D41825">
              <w:rPr>
                <w:rFonts w:ascii="Times New Roman" w:hAnsi="Times New Roman" w:cs="Times New Roman"/>
              </w:rPr>
              <w:t>л</w:t>
            </w:r>
          </w:p>
        </w:tc>
        <w:tc>
          <w:tcPr>
            <w:tcW w:w="0" w:type="auto"/>
            <w:hideMark/>
          </w:tcPr>
          <w:p w14:paraId="43C7F24E"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0,593</w:t>
            </w:r>
          </w:p>
        </w:tc>
        <w:tc>
          <w:tcPr>
            <w:tcW w:w="0" w:type="auto"/>
            <w:hideMark/>
          </w:tcPr>
          <w:p w14:paraId="68A767E2"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0,473</w:t>
            </w:r>
          </w:p>
        </w:tc>
        <w:tc>
          <w:tcPr>
            <w:tcW w:w="0" w:type="auto"/>
            <w:hideMark/>
          </w:tcPr>
          <w:p w14:paraId="7949493A"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0,535</w:t>
            </w:r>
          </w:p>
        </w:tc>
        <w:tc>
          <w:tcPr>
            <w:tcW w:w="0" w:type="auto"/>
            <w:hideMark/>
          </w:tcPr>
          <w:p w14:paraId="0B8B2724"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-0,120</w:t>
            </w:r>
          </w:p>
        </w:tc>
        <w:tc>
          <w:tcPr>
            <w:tcW w:w="0" w:type="auto"/>
            <w:hideMark/>
          </w:tcPr>
          <w:p w14:paraId="7469474C"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+0,062</w:t>
            </w:r>
          </w:p>
        </w:tc>
        <w:tc>
          <w:tcPr>
            <w:tcW w:w="0" w:type="auto"/>
            <w:hideMark/>
          </w:tcPr>
          <w:p w14:paraId="05E129CC"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-0,058</w:t>
            </w:r>
          </w:p>
        </w:tc>
        <w:tc>
          <w:tcPr>
            <w:tcW w:w="0" w:type="auto"/>
            <w:hideMark/>
          </w:tcPr>
          <w:p w14:paraId="2A0D1BE7" w14:textId="4FCA4130" w:rsidR="005332C6" w:rsidRPr="005332C6" w:rsidRDefault="005332C6" w:rsidP="00D41825">
            <w:pPr>
              <w:jc w:val="center"/>
              <w:rPr>
                <w:rFonts w:ascii="Times New Roman" w:hAnsi="Times New Roman" w:cs="Times New Roman"/>
              </w:rPr>
            </w:pPr>
            <w:r w:rsidRPr="005332C6">
              <w:rPr>
                <w:rFonts w:ascii="Times New Roman" w:hAnsi="Times New Roman" w:cs="Times New Roman"/>
              </w:rPr>
              <w:t>0,20 - 0,50</w:t>
            </w:r>
          </w:p>
        </w:tc>
      </w:tr>
      <w:tr w:rsidR="005332C6" w:rsidRPr="005332C6" w14:paraId="38979E17" w14:textId="77777777" w:rsidTr="005332C6">
        <w:tc>
          <w:tcPr>
            <w:tcW w:w="0" w:type="auto"/>
            <w:hideMark/>
          </w:tcPr>
          <w:p w14:paraId="589CA813"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Коефіцієнт довгострокового залучення коштів</w:t>
            </w:r>
          </w:p>
          <w:p w14:paraId="5BD188D6" w14:textId="296438E3" w:rsidR="005332C6" w:rsidRPr="005332C6" w:rsidRDefault="005332C6" w:rsidP="005332C6">
            <w:pPr>
              <w:jc w:val="both"/>
              <w:rPr>
                <w:rFonts w:ascii="Times New Roman" w:hAnsi="Times New Roman" w:cs="Times New Roman"/>
              </w:rPr>
            </w:pPr>
            <w:proofErr w:type="spellStart"/>
            <w:r>
              <w:rPr>
                <w:rFonts w:ascii="Times New Roman" w:hAnsi="Times New Roman" w:cs="Times New Roman"/>
              </w:rPr>
              <w:t>К</w:t>
            </w:r>
            <w:r w:rsidRPr="005332C6">
              <w:rPr>
                <w:rFonts w:ascii="Times New Roman" w:hAnsi="Times New Roman" w:cs="Times New Roman"/>
              </w:rPr>
              <w:t>дз</w:t>
            </w:r>
            <w:proofErr w:type="spellEnd"/>
            <w:r w:rsidRPr="005332C6">
              <w:rPr>
                <w:rFonts w:ascii="Times New Roman" w:hAnsi="Times New Roman" w:cs="Times New Roman"/>
              </w:rPr>
              <w:t xml:space="preserve"> =</w:t>
            </w:r>
            <w:r>
              <w:rPr>
                <w:rFonts w:ascii="Times New Roman" w:hAnsi="Times New Roman" w:cs="Times New Roman"/>
              </w:rPr>
              <w:t xml:space="preserve"> </w:t>
            </w:r>
            <w:r w:rsidRPr="005332C6">
              <w:rPr>
                <w:rFonts w:ascii="Times New Roman" w:hAnsi="Times New Roman" w:cs="Times New Roman"/>
              </w:rPr>
              <w:t>Довгострокові зобов'язання (р. 1595)</w:t>
            </w:r>
            <w:r w:rsidR="00D41825">
              <w:rPr>
                <w:rFonts w:ascii="Times New Roman" w:hAnsi="Times New Roman" w:cs="Times New Roman"/>
              </w:rPr>
              <w:t xml:space="preserve"> / (</w:t>
            </w:r>
            <w:r w:rsidRPr="005332C6">
              <w:rPr>
                <w:rFonts w:ascii="Times New Roman" w:hAnsi="Times New Roman" w:cs="Times New Roman"/>
              </w:rPr>
              <w:t>Власний капітал + Довгострокові зобов'язання</w:t>
            </w:r>
            <w:r w:rsidR="00D41825">
              <w:rPr>
                <w:rFonts w:ascii="Times New Roman" w:hAnsi="Times New Roman" w:cs="Times New Roman"/>
              </w:rPr>
              <w:t>)</w:t>
            </w:r>
          </w:p>
        </w:tc>
        <w:tc>
          <w:tcPr>
            <w:tcW w:w="0" w:type="auto"/>
            <w:hideMark/>
          </w:tcPr>
          <w:p w14:paraId="107B5036"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0,0002</w:t>
            </w:r>
          </w:p>
        </w:tc>
        <w:tc>
          <w:tcPr>
            <w:tcW w:w="0" w:type="auto"/>
            <w:hideMark/>
          </w:tcPr>
          <w:p w14:paraId="65C0F29E"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0,0003</w:t>
            </w:r>
          </w:p>
        </w:tc>
        <w:tc>
          <w:tcPr>
            <w:tcW w:w="0" w:type="auto"/>
            <w:hideMark/>
          </w:tcPr>
          <w:p w14:paraId="362890C8"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0,019</w:t>
            </w:r>
          </w:p>
        </w:tc>
        <w:tc>
          <w:tcPr>
            <w:tcW w:w="0" w:type="auto"/>
            <w:hideMark/>
          </w:tcPr>
          <w:p w14:paraId="4D472C63"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+0,0001</w:t>
            </w:r>
          </w:p>
        </w:tc>
        <w:tc>
          <w:tcPr>
            <w:tcW w:w="0" w:type="auto"/>
            <w:hideMark/>
          </w:tcPr>
          <w:p w14:paraId="3E7EA2BD"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+0,0187</w:t>
            </w:r>
          </w:p>
        </w:tc>
        <w:tc>
          <w:tcPr>
            <w:tcW w:w="0" w:type="auto"/>
            <w:hideMark/>
          </w:tcPr>
          <w:p w14:paraId="1B35FF29" w14:textId="77777777" w:rsidR="005332C6" w:rsidRPr="005332C6" w:rsidRDefault="005332C6" w:rsidP="005332C6">
            <w:pPr>
              <w:jc w:val="both"/>
              <w:rPr>
                <w:rFonts w:ascii="Times New Roman" w:hAnsi="Times New Roman" w:cs="Times New Roman"/>
              </w:rPr>
            </w:pPr>
            <w:r w:rsidRPr="005332C6">
              <w:rPr>
                <w:rFonts w:ascii="Times New Roman" w:hAnsi="Times New Roman" w:cs="Times New Roman"/>
              </w:rPr>
              <w:t>+0,0188</w:t>
            </w:r>
          </w:p>
        </w:tc>
        <w:tc>
          <w:tcPr>
            <w:tcW w:w="0" w:type="auto"/>
            <w:hideMark/>
          </w:tcPr>
          <w:p w14:paraId="018A7ADA" w14:textId="6E626611" w:rsidR="005332C6" w:rsidRPr="005332C6" w:rsidRDefault="005332C6" w:rsidP="005332C6">
            <w:pPr>
              <w:jc w:val="center"/>
              <w:rPr>
                <w:rFonts w:ascii="Times New Roman" w:hAnsi="Times New Roman" w:cs="Times New Roman"/>
              </w:rPr>
            </w:pPr>
            <w:r w:rsidRPr="005332C6">
              <w:rPr>
                <w:rFonts w:ascii="Times New Roman" w:hAnsi="Times New Roman" w:cs="Times New Roman"/>
              </w:rPr>
              <w:t>0,20-0,30</w:t>
            </w:r>
          </w:p>
        </w:tc>
      </w:tr>
    </w:tbl>
    <w:p w14:paraId="11DDDAD4" w14:textId="77777777" w:rsidR="005332C6" w:rsidRDefault="005332C6" w:rsidP="005332C6">
      <w:pPr>
        <w:spacing w:after="0" w:line="360" w:lineRule="auto"/>
        <w:ind w:firstLine="708"/>
        <w:jc w:val="both"/>
        <w:rPr>
          <w:rFonts w:ascii="Times New Roman" w:hAnsi="Times New Roman" w:cs="Times New Roman"/>
          <w:b/>
          <w:bCs/>
          <w:sz w:val="28"/>
          <w:szCs w:val="28"/>
        </w:rPr>
      </w:pPr>
    </w:p>
    <w:p w14:paraId="1A7AB681" w14:textId="07ABF60E" w:rsidR="005332C6" w:rsidRPr="00D41825" w:rsidRDefault="005332C6" w:rsidP="00D41825">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Аналіз розрахованих коефіцієнтів демонструє чіткий сигнал для потенційного інвестора: </w:t>
      </w:r>
    </w:p>
    <w:p w14:paraId="70B828E2" w14:textId="603FB413" w:rsidR="005332C6" w:rsidRPr="00D41825" w:rsidRDefault="00D41825" w:rsidP="00D41825">
      <w:pPr>
        <w:numPr>
          <w:ilvl w:val="0"/>
          <w:numId w:val="16"/>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у</w:t>
      </w:r>
      <w:r w:rsidR="005332C6" w:rsidRPr="00D41825">
        <w:rPr>
          <w:rFonts w:ascii="Times New Roman" w:hAnsi="Times New Roman" w:cs="Times New Roman"/>
          <w:sz w:val="28"/>
          <w:szCs w:val="28"/>
        </w:rPr>
        <w:t xml:space="preserve"> 2023 році </w:t>
      </w:r>
      <w:r>
        <w:rPr>
          <w:rFonts w:ascii="Times New Roman" w:hAnsi="Times New Roman" w:cs="Times New Roman"/>
          <w:sz w:val="28"/>
          <w:szCs w:val="28"/>
        </w:rPr>
        <w:t>к</w:t>
      </w:r>
      <w:r w:rsidR="005332C6" w:rsidRPr="00D41825">
        <w:rPr>
          <w:rFonts w:ascii="Times New Roman" w:hAnsi="Times New Roman" w:cs="Times New Roman"/>
          <w:sz w:val="28"/>
          <w:szCs w:val="28"/>
        </w:rPr>
        <w:t xml:space="preserve">оефіцієнт автономії становив 0,539, що повністю відповідало класичному критерію стійкості (понад 50% майна фінансувалося за рахунок власників). Для інвестора це був маркер низького ризику. Проте </w:t>
      </w:r>
      <w:r w:rsidR="006727CF">
        <w:rPr>
          <w:rFonts w:ascii="Times New Roman" w:hAnsi="Times New Roman" w:cs="Times New Roman"/>
          <w:sz w:val="28"/>
          <w:szCs w:val="28"/>
        </w:rPr>
        <w:t xml:space="preserve">за </w:t>
      </w:r>
      <w:r w:rsidR="005332C6" w:rsidRPr="00D41825">
        <w:rPr>
          <w:rFonts w:ascii="Times New Roman" w:hAnsi="Times New Roman" w:cs="Times New Roman"/>
          <w:sz w:val="28"/>
          <w:szCs w:val="28"/>
        </w:rPr>
        <w:t>2024–2025 р</w:t>
      </w:r>
      <w:r w:rsidR="006727CF">
        <w:rPr>
          <w:rFonts w:ascii="Times New Roman" w:hAnsi="Times New Roman" w:cs="Times New Roman"/>
          <w:sz w:val="28"/>
          <w:szCs w:val="28"/>
        </w:rPr>
        <w:t>р.</w:t>
      </w:r>
      <w:r w:rsidR="005332C6" w:rsidRPr="00D41825">
        <w:rPr>
          <w:rFonts w:ascii="Times New Roman" w:hAnsi="Times New Roman" w:cs="Times New Roman"/>
          <w:sz w:val="28"/>
          <w:szCs w:val="28"/>
        </w:rPr>
        <w:t xml:space="preserve"> коефіцієнт впав нижче психологічної межі безпеки — до 0,398. </w:t>
      </w:r>
      <w:r w:rsidR="005332C6" w:rsidRPr="00D41825">
        <w:rPr>
          <w:rFonts w:ascii="Times New Roman" w:hAnsi="Times New Roman" w:cs="Times New Roman"/>
          <w:sz w:val="28"/>
          <w:szCs w:val="28"/>
        </w:rPr>
        <w:lastRenderedPageBreak/>
        <w:t>Наприкінці аналізованого періоду вже 60,2% активів компанії контролювалися кредиторами (</w:t>
      </w:r>
      <w:r w:rsidR="006727CF">
        <w:rPr>
          <w:rFonts w:ascii="Times New Roman" w:hAnsi="Times New Roman" w:cs="Times New Roman"/>
          <w:sz w:val="28"/>
          <w:szCs w:val="28"/>
        </w:rPr>
        <w:t>к</w:t>
      </w:r>
      <w:r w:rsidR="005332C6" w:rsidRPr="00D41825">
        <w:rPr>
          <w:rFonts w:ascii="Times New Roman" w:hAnsi="Times New Roman" w:cs="Times New Roman"/>
          <w:sz w:val="28"/>
          <w:szCs w:val="28"/>
        </w:rPr>
        <w:t>оефіцієнт фінансової залежності зріс до 0,602).</w:t>
      </w:r>
    </w:p>
    <w:p w14:paraId="640564E1" w14:textId="77F5B57A" w:rsidR="005332C6" w:rsidRPr="00D41825" w:rsidRDefault="00D41825" w:rsidP="00D41825">
      <w:pPr>
        <w:numPr>
          <w:ilvl w:val="0"/>
          <w:numId w:val="16"/>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к</w:t>
      </w:r>
      <w:r w:rsidR="005332C6" w:rsidRPr="00D41825">
        <w:rPr>
          <w:rFonts w:ascii="Times New Roman" w:hAnsi="Times New Roman" w:cs="Times New Roman"/>
          <w:sz w:val="28"/>
          <w:szCs w:val="28"/>
        </w:rPr>
        <w:t xml:space="preserve">оефіцієнт </w:t>
      </w:r>
      <w:r w:rsidRPr="00D41825">
        <w:rPr>
          <w:rFonts w:ascii="Times New Roman" w:hAnsi="Times New Roman" w:cs="Times New Roman"/>
          <w:sz w:val="28"/>
          <w:szCs w:val="28"/>
        </w:rPr>
        <w:t>левериджу</w:t>
      </w:r>
      <w:r w:rsidR="005332C6" w:rsidRPr="00D41825">
        <w:rPr>
          <w:rFonts w:ascii="Times New Roman" w:hAnsi="Times New Roman" w:cs="Times New Roman"/>
          <w:sz w:val="28"/>
          <w:szCs w:val="28"/>
        </w:rPr>
        <w:t xml:space="preserve"> зазнав стрімкої деформації, піднявшись з безпечних 0,855 до 1,513. З погляду інвестиційного аналізу такий стрибок коефіцієнта левериджу сигналізує про різке зростання фінансового ризику та падіння «захисної подушки» акціонерів.</w:t>
      </w:r>
    </w:p>
    <w:p w14:paraId="3DFBF277" w14:textId="283FEE66" w:rsidR="005332C6" w:rsidRDefault="00D41825" w:rsidP="00D41825">
      <w:pPr>
        <w:numPr>
          <w:ilvl w:val="0"/>
          <w:numId w:val="16"/>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в</w:t>
      </w:r>
      <w:r w:rsidR="005332C6" w:rsidRPr="00D41825">
        <w:rPr>
          <w:rFonts w:ascii="Times New Roman" w:hAnsi="Times New Roman" w:cs="Times New Roman"/>
          <w:sz w:val="28"/>
          <w:szCs w:val="28"/>
        </w:rPr>
        <w:t xml:space="preserve">край низьке значення </w:t>
      </w:r>
      <w:r w:rsidRPr="00D41825">
        <w:rPr>
          <w:rFonts w:ascii="Times New Roman" w:hAnsi="Times New Roman" w:cs="Times New Roman"/>
          <w:sz w:val="28"/>
          <w:szCs w:val="28"/>
        </w:rPr>
        <w:t>к</w:t>
      </w:r>
      <w:r w:rsidR="005332C6" w:rsidRPr="00D41825">
        <w:rPr>
          <w:rFonts w:ascii="Times New Roman" w:hAnsi="Times New Roman" w:cs="Times New Roman"/>
          <w:sz w:val="28"/>
          <w:szCs w:val="28"/>
        </w:rPr>
        <w:t>оефіцієнта довгострокового залучення коштів (усього 0,019 у 2025 році) позиковий капітал компанії є майже повністю короткостроковим. Підприємство фінансує свою життєдіяльність не за рахунок «довгих» інвестиційних кредитів, а за рахунок ультракоротких пасивів. Це різко знижує показник довгострокової стабільності компанії в очах інвестора.</w:t>
      </w:r>
    </w:p>
    <w:p w14:paraId="37B63A5E" w14:textId="5C787F76" w:rsidR="005332C6" w:rsidRPr="005332C6" w:rsidRDefault="005332C6" w:rsidP="00D41825">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Оцінка дає уявлення про окремі сторони капіталізації. Для того щоб надати інвестору інтегральну, об'єктивну оцінку стійкості, застосуємо метод комплексного </w:t>
      </w:r>
      <w:proofErr w:type="spellStart"/>
      <w:r w:rsidRPr="005332C6">
        <w:rPr>
          <w:rFonts w:ascii="Times New Roman" w:hAnsi="Times New Roman" w:cs="Times New Roman"/>
          <w:sz w:val="28"/>
          <w:szCs w:val="28"/>
        </w:rPr>
        <w:t>скорингу</w:t>
      </w:r>
      <w:proofErr w:type="spellEnd"/>
      <w:r w:rsidRPr="005332C6">
        <w:rPr>
          <w:rFonts w:ascii="Times New Roman" w:hAnsi="Times New Roman" w:cs="Times New Roman"/>
          <w:sz w:val="28"/>
          <w:szCs w:val="28"/>
        </w:rPr>
        <w:t xml:space="preserve">. У світовій практиці базовим </w:t>
      </w:r>
      <w:r w:rsidRPr="00D41825">
        <w:rPr>
          <w:rFonts w:ascii="Times New Roman" w:hAnsi="Times New Roman" w:cs="Times New Roman"/>
          <w:sz w:val="28"/>
          <w:szCs w:val="28"/>
        </w:rPr>
        <w:t xml:space="preserve">інструментом є </w:t>
      </w:r>
      <w:proofErr w:type="spellStart"/>
      <w:r w:rsidRPr="00D41825">
        <w:rPr>
          <w:rFonts w:ascii="Times New Roman" w:hAnsi="Times New Roman" w:cs="Times New Roman"/>
          <w:sz w:val="28"/>
          <w:szCs w:val="28"/>
        </w:rPr>
        <w:t>п'ятифакторна</w:t>
      </w:r>
      <w:proofErr w:type="spellEnd"/>
      <w:r w:rsidRPr="00D41825">
        <w:rPr>
          <w:rFonts w:ascii="Times New Roman" w:hAnsi="Times New Roman" w:cs="Times New Roman"/>
          <w:sz w:val="28"/>
          <w:szCs w:val="28"/>
        </w:rPr>
        <w:t xml:space="preserve"> модель Е. Альтмана</w:t>
      </w:r>
      <w:r w:rsidR="00D41825" w:rsidRPr="00D41825">
        <w:rPr>
          <w:rFonts w:ascii="Times New Roman" w:hAnsi="Times New Roman" w:cs="Times New Roman"/>
          <w:sz w:val="28"/>
          <w:szCs w:val="28"/>
        </w:rPr>
        <w:t>.</w:t>
      </w:r>
      <w:r w:rsidR="00D41825">
        <w:rPr>
          <w:rFonts w:ascii="Times New Roman" w:hAnsi="Times New Roman" w:cs="Times New Roman"/>
          <w:sz w:val="28"/>
          <w:szCs w:val="28"/>
        </w:rPr>
        <w:t xml:space="preserve"> </w:t>
      </w:r>
      <w:r w:rsidRPr="005332C6">
        <w:rPr>
          <w:rFonts w:ascii="Times New Roman" w:hAnsi="Times New Roman" w:cs="Times New Roman"/>
          <w:sz w:val="28"/>
          <w:szCs w:val="28"/>
        </w:rPr>
        <w:t xml:space="preserve">Водночас зважаючи на специфіку макроекономічного середовища України, </w:t>
      </w:r>
      <w:r w:rsidRPr="00D41825">
        <w:rPr>
          <w:rFonts w:ascii="Times New Roman" w:hAnsi="Times New Roman" w:cs="Times New Roman"/>
          <w:sz w:val="28"/>
          <w:szCs w:val="28"/>
        </w:rPr>
        <w:t xml:space="preserve">доцільно </w:t>
      </w:r>
      <w:proofErr w:type="spellStart"/>
      <w:r w:rsidRPr="00D41825">
        <w:rPr>
          <w:rFonts w:ascii="Times New Roman" w:hAnsi="Times New Roman" w:cs="Times New Roman"/>
          <w:sz w:val="28"/>
          <w:szCs w:val="28"/>
        </w:rPr>
        <w:t>верифікувати</w:t>
      </w:r>
      <w:proofErr w:type="spellEnd"/>
      <w:r w:rsidRPr="00D41825">
        <w:rPr>
          <w:rFonts w:ascii="Times New Roman" w:hAnsi="Times New Roman" w:cs="Times New Roman"/>
          <w:sz w:val="28"/>
          <w:szCs w:val="28"/>
        </w:rPr>
        <w:t xml:space="preserve"> результати за допомогою моделі О. Терещенка, яка</w:t>
      </w:r>
      <w:r w:rsidRPr="005332C6">
        <w:rPr>
          <w:rFonts w:ascii="Times New Roman" w:hAnsi="Times New Roman" w:cs="Times New Roman"/>
          <w:sz w:val="28"/>
          <w:szCs w:val="28"/>
        </w:rPr>
        <w:t xml:space="preserve"> розроблена спеціально для вітчизняних реалій на основі багатовимірного </w:t>
      </w:r>
      <w:proofErr w:type="spellStart"/>
      <w:r w:rsidRPr="005332C6">
        <w:rPr>
          <w:rFonts w:ascii="Times New Roman" w:hAnsi="Times New Roman" w:cs="Times New Roman"/>
          <w:sz w:val="28"/>
          <w:szCs w:val="28"/>
        </w:rPr>
        <w:t>дискримінантного</w:t>
      </w:r>
      <w:proofErr w:type="spellEnd"/>
      <w:r w:rsidRPr="005332C6">
        <w:rPr>
          <w:rFonts w:ascii="Times New Roman" w:hAnsi="Times New Roman" w:cs="Times New Roman"/>
          <w:sz w:val="28"/>
          <w:szCs w:val="28"/>
        </w:rPr>
        <w:t xml:space="preserve"> аналізу.</w:t>
      </w:r>
    </w:p>
    <w:p w14:paraId="665D83D9" w14:textId="65FFF003"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Проведемо розрахунок компонентів та підсумкових індексів обох моделей у таблиці 2.</w:t>
      </w:r>
      <w:r w:rsidR="00D41825">
        <w:rPr>
          <w:rFonts w:ascii="Times New Roman" w:hAnsi="Times New Roman" w:cs="Times New Roman"/>
          <w:sz w:val="28"/>
          <w:szCs w:val="28"/>
        </w:rPr>
        <w:t>6</w:t>
      </w:r>
      <w:r w:rsidR="00956B77">
        <w:rPr>
          <w:rFonts w:ascii="Times New Roman" w:hAnsi="Times New Roman" w:cs="Times New Roman"/>
          <w:sz w:val="28"/>
          <w:szCs w:val="28"/>
        </w:rPr>
        <w:t xml:space="preserve"> </w:t>
      </w:r>
      <w:r w:rsidR="00956B77" w:rsidRPr="00956B77">
        <w:rPr>
          <w:rFonts w:ascii="Times New Roman" w:hAnsi="Times New Roman" w:cs="Times New Roman"/>
          <w:sz w:val="28"/>
          <w:szCs w:val="28"/>
        </w:rPr>
        <w:t>[2</w:t>
      </w:r>
      <w:r w:rsidR="00956B77">
        <w:rPr>
          <w:rFonts w:ascii="Times New Roman" w:hAnsi="Times New Roman" w:cs="Times New Roman"/>
          <w:sz w:val="28"/>
          <w:szCs w:val="28"/>
        </w:rPr>
        <w:t>4</w:t>
      </w:r>
      <w:r w:rsidR="00956B77" w:rsidRPr="00956B77">
        <w:rPr>
          <w:rFonts w:ascii="Times New Roman" w:hAnsi="Times New Roman" w:cs="Times New Roman"/>
          <w:sz w:val="28"/>
          <w:szCs w:val="28"/>
        </w:rPr>
        <w:t>]</w:t>
      </w:r>
      <w:r w:rsidRPr="005332C6">
        <w:rPr>
          <w:rFonts w:ascii="Times New Roman" w:hAnsi="Times New Roman" w:cs="Times New Roman"/>
          <w:sz w:val="28"/>
          <w:szCs w:val="28"/>
        </w:rPr>
        <w:t>.</w:t>
      </w:r>
    </w:p>
    <w:p w14:paraId="09789AA8" w14:textId="77777777" w:rsidR="00D41825" w:rsidRPr="00D41825" w:rsidRDefault="005332C6" w:rsidP="00D41825">
      <w:pPr>
        <w:spacing w:after="0" w:line="360" w:lineRule="auto"/>
        <w:ind w:firstLine="708"/>
        <w:jc w:val="right"/>
        <w:rPr>
          <w:rFonts w:ascii="Times New Roman" w:hAnsi="Times New Roman" w:cs="Times New Roman"/>
          <w:sz w:val="28"/>
          <w:szCs w:val="28"/>
        </w:rPr>
      </w:pPr>
      <w:r w:rsidRPr="00D41825">
        <w:rPr>
          <w:rFonts w:ascii="Times New Roman" w:hAnsi="Times New Roman" w:cs="Times New Roman"/>
          <w:sz w:val="28"/>
          <w:szCs w:val="28"/>
        </w:rPr>
        <w:t>Таблиця 2.</w:t>
      </w:r>
      <w:r w:rsidR="00D41825" w:rsidRPr="00D41825">
        <w:rPr>
          <w:rFonts w:ascii="Times New Roman" w:hAnsi="Times New Roman" w:cs="Times New Roman"/>
          <w:sz w:val="28"/>
          <w:szCs w:val="28"/>
        </w:rPr>
        <w:t>6</w:t>
      </w:r>
    </w:p>
    <w:p w14:paraId="2C981298" w14:textId="6BD0A74B" w:rsidR="005332C6" w:rsidRPr="00D41825" w:rsidRDefault="005332C6" w:rsidP="00D41825">
      <w:pPr>
        <w:spacing w:after="0" w:line="360" w:lineRule="auto"/>
        <w:ind w:firstLine="708"/>
        <w:jc w:val="center"/>
        <w:rPr>
          <w:rFonts w:ascii="Times New Roman" w:hAnsi="Times New Roman" w:cs="Times New Roman"/>
          <w:sz w:val="28"/>
          <w:szCs w:val="28"/>
        </w:rPr>
      </w:pPr>
      <w:r w:rsidRPr="00D41825">
        <w:rPr>
          <w:rFonts w:ascii="Times New Roman" w:hAnsi="Times New Roman" w:cs="Times New Roman"/>
          <w:sz w:val="28"/>
          <w:szCs w:val="28"/>
        </w:rPr>
        <w:t>Аналітичний розрахунок показників моделей Альтмана та Терещенка</w:t>
      </w:r>
      <w:r w:rsidR="00D41825">
        <w:rPr>
          <w:rFonts w:ascii="Times New Roman" w:hAnsi="Times New Roman" w:cs="Times New Roman"/>
          <w:sz w:val="28"/>
          <w:szCs w:val="28"/>
        </w:rPr>
        <w:t xml:space="preserve"> для </w:t>
      </w:r>
      <w:r w:rsidR="00D41825" w:rsidRPr="00B71412">
        <w:rPr>
          <w:rFonts w:ascii="Times New Roman" w:hAnsi="Times New Roman" w:cs="Times New Roman"/>
          <w:sz w:val="28"/>
          <w:szCs w:val="28"/>
        </w:rPr>
        <w:t>ТОВ «КЕРНЕЛ-ТРЕЙД»</w:t>
      </w:r>
    </w:p>
    <w:tbl>
      <w:tblPr>
        <w:tblStyle w:val="af0"/>
        <w:tblW w:w="0" w:type="auto"/>
        <w:tblLook w:val="04A0" w:firstRow="1" w:lastRow="0" w:firstColumn="1" w:lastColumn="0" w:noHBand="0" w:noVBand="1"/>
      </w:tblPr>
      <w:tblGrid>
        <w:gridCol w:w="2455"/>
        <w:gridCol w:w="1721"/>
        <w:gridCol w:w="1721"/>
        <w:gridCol w:w="1721"/>
        <w:gridCol w:w="2009"/>
      </w:tblGrid>
      <w:tr w:rsidR="005332C6" w:rsidRPr="005332C6" w14:paraId="227B3551" w14:textId="77777777" w:rsidTr="00D41825">
        <w:tc>
          <w:tcPr>
            <w:tcW w:w="0" w:type="auto"/>
            <w:hideMark/>
          </w:tcPr>
          <w:p w14:paraId="57DCBD58" w14:textId="77777777" w:rsidR="005332C6" w:rsidRDefault="005332C6" w:rsidP="00D41825">
            <w:pPr>
              <w:jc w:val="center"/>
              <w:rPr>
                <w:rFonts w:ascii="Times New Roman" w:hAnsi="Times New Roman" w:cs="Times New Roman"/>
                <w:sz w:val="24"/>
                <w:szCs w:val="24"/>
              </w:rPr>
            </w:pPr>
            <w:r w:rsidRPr="00D41825">
              <w:rPr>
                <w:rFonts w:ascii="Times New Roman" w:hAnsi="Times New Roman" w:cs="Times New Roman"/>
                <w:sz w:val="24"/>
                <w:szCs w:val="24"/>
              </w:rPr>
              <w:t xml:space="preserve">Показник </w:t>
            </w:r>
          </w:p>
          <w:p w14:paraId="610E273C" w14:textId="57AE635B" w:rsidR="00D41825" w:rsidRPr="00D41825" w:rsidRDefault="00D41825" w:rsidP="00D41825">
            <w:pPr>
              <w:jc w:val="center"/>
              <w:rPr>
                <w:rFonts w:ascii="Times New Roman" w:hAnsi="Times New Roman" w:cs="Times New Roman"/>
                <w:sz w:val="24"/>
                <w:szCs w:val="24"/>
              </w:rPr>
            </w:pPr>
          </w:p>
        </w:tc>
        <w:tc>
          <w:tcPr>
            <w:tcW w:w="0" w:type="auto"/>
            <w:hideMark/>
          </w:tcPr>
          <w:p w14:paraId="770416B7" w14:textId="77777777" w:rsidR="005332C6" w:rsidRPr="00D41825" w:rsidRDefault="005332C6" w:rsidP="00D41825">
            <w:pPr>
              <w:jc w:val="center"/>
              <w:rPr>
                <w:rFonts w:ascii="Times New Roman" w:hAnsi="Times New Roman" w:cs="Times New Roman"/>
                <w:sz w:val="24"/>
                <w:szCs w:val="24"/>
              </w:rPr>
            </w:pPr>
            <w:r w:rsidRPr="00D41825">
              <w:rPr>
                <w:rFonts w:ascii="Times New Roman" w:hAnsi="Times New Roman" w:cs="Times New Roman"/>
                <w:sz w:val="24"/>
                <w:szCs w:val="24"/>
              </w:rPr>
              <w:t>На 31.12.2023</w:t>
            </w:r>
          </w:p>
        </w:tc>
        <w:tc>
          <w:tcPr>
            <w:tcW w:w="0" w:type="auto"/>
            <w:hideMark/>
          </w:tcPr>
          <w:p w14:paraId="72E85639" w14:textId="77777777" w:rsidR="005332C6" w:rsidRPr="00D41825" w:rsidRDefault="005332C6" w:rsidP="00D41825">
            <w:pPr>
              <w:jc w:val="center"/>
              <w:rPr>
                <w:rFonts w:ascii="Times New Roman" w:hAnsi="Times New Roman" w:cs="Times New Roman"/>
                <w:sz w:val="24"/>
                <w:szCs w:val="24"/>
              </w:rPr>
            </w:pPr>
            <w:r w:rsidRPr="00D41825">
              <w:rPr>
                <w:rFonts w:ascii="Times New Roman" w:hAnsi="Times New Roman" w:cs="Times New Roman"/>
                <w:sz w:val="24"/>
                <w:szCs w:val="24"/>
              </w:rPr>
              <w:t>На 31.12.2024</w:t>
            </w:r>
          </w:p>
        </w:tc>
        <w:tc>
          <w:tcPr>
            <w:tcW w:w="0" w:type="auto"/>
            <w:hideMark/>
          </w:tcPr>
          <w:p w14:paraId="5640D0B3" w14:textId="77777777" w:rsidR="005332C6" w:rsidRPr="00D41825" w:rsidRDefault="005332C6" w:rsidP="00D41825">
            <w:pPr>
              <w:jc w:val="center"/>
              <w:rPr>
                <w:rFonts w:ascii="Times New Roman" w:hAnsi="Times New Roman" w:cs="Times New Roman"/>
                <w:sz w:val="24"/>
                <w:szCs w:val="24"/>
              </w:rPr>
            </w:pPr>
            <w:r w:rsidRPr="00D41825">
              <w:rPr>
                <w:rFonts w:ascii="Times New Roman" w:hAnsi="Times New Roman" w:cs="Times New Roman"/>
                <w:sz w:val="24"/>
                <w:szCs w:val="24"/>
              </w:rPr>
              <w:t>На 31.12.2025</w:t>
            </w:r>
          </w:p>
        </w:tc>
        <w:tc>
          <w:tcPr>
            <w:tcW w:w="0" w:type="auto"/>
            <w:hideMark/>
          </w:tcPr>
          <w:p w14:paraId="0F9356F2" w14:textId="77777777" w:rsidR="005332C6" w:rsidRPr="00D41825" w:rsidRDefault="005332C6" w:rsidP="00D41825">
            <w:pPr>
              <w:jc w:val="center"/>
              <w:rPr>
                <w:rFonts w:ascii="Times New Roman" w:hAnsi="Times New Roman" w:cs="Times New Roman"/>
                <w:sz w:val="24"/>
                <w:szCs w:val="24"/>
              </w:rPr>
            </w:pPr>
            <w:proofErr w:type="spellStart"/>
            <w:r w:rsidRPr="00D41825">
              <w:rPr>
                <w:rFonts w:ascii="Times New Roman" w:hAnsi="Times New Roman" w:cs="Times New Roman"/>
                <w:sz w:val="24"/>
                <w:szCs w:val="24"/>
              </w:rPr>
              <w:t>Абс</w:t>
            </w:r>
            <w:proofErr w:type="spellEnd"/>
            <w:r w:rsidRPr="00D41825">
              <w:rPr>
                <w:rFonts w:ascii="Times New Roman" w:hAnsi="Times New Roman" w:cs="Times New Roman"/>
                <w:sz w:val="24"/>
                <w:szCs w:val="24"/>
              </w:rPr>
              <w:t>. зміна 2025/2023</w:t>
            </w:r>
          </w:p>
        </w:tc>
      </w:tr>
      <w:tr w:rsidR="00D41825" w:rsidRPr="005332C6" w14:paraId="17217E9A" w14:textId="77777777" w:rsidTr="00F41E71">
        <w:tc>
          <w:tcPr>
            <w:tcW w:w="0" w:type="auto"/>
            <w:gridSpan w:val="5"/>
            <w:hideMark/>
          </w:tcPr>
          <w:p w14:paraId="2A338FD4" w14:textId="5AA6F6C4" w:rsidR="00D41825" w:rsidRPr="00D41825" w:rsidRDefault="00D41825" w:rsidP="00984A28">
            <w:pPr>
              <w:jc w:val="center"/>
              <w:rPr>
                <w:rFonts w:ascii="Times New Roman" w:hAnsi="Times New Roman" w:cs="Times New Roman"/>
                <w:sz w:val="24"/>
                <w:szCs w:val="24"/>
              </w:rPr>
            </w:pPr>
            <w:r w:rsidRPr="00D41825">
              <w:rPr>
                <w:rFonts w:ascii="Times New Roman" w:hAnsi="Times New Roman" w:cs="Times New Roman"/>
                <w:sz w:val="24"/>
                <w:szCs w:val="24"/>
              </w:rPr>
              <w:t>Фактори Альтмана</w:t>
            </w:r>
          </w:p>
        </w:tc>
      </w:tr>
      <w:tr w:rsidR="005332C6" w:rsidRPr="005332C6" w14:paraId="6F8E4EEF" w14:textId="77777777" w:rsidTr="00D41825">
        <w:tc>
          <w:tcPr>
            <w:tcW w:w="0" w:type="auto"/>
            <w:hideMark/>
          </w:tcPr>
          <w:p w14:paraId="7B029177" w14:textId="167F0B79" w:rsidR="005332C6" w:rsidRPr="00D41825" w:rsidRDefault="005332C6" w:rsidP="00D41825">
            <w:pPr>
              <w:jc w:val="both"/>
              <w:rPr>
                <w:rFonts w:ascii="Times New Roman" w:hAnsi="Times New Roman" w:cs="Times New Roman"/>
                <w:sz w:val="24"/>
                <w:szCs w:val="24"/>
              </w:rPr>
            </w:pPr>
            <w:r w:rsidRPr="00D41825">
              <w:rPr>
                <w:rFonts w:ascii="Times New Roman" w:hAnsi="Times New Roman" w:cs="Times New Roman"/>
                <w:sz w:val="24"/>
                <w:szCs w:val="24"/>
              </w:rPr>
              <w:t>X</w:t>
            </w:r>
            <w:r w:rsidR="00D41825">
              <w:rPr>
                <w:rFonts w:ascii="Times New Roman" w:hAnsi="Times New Roman" w:cs="Times New Roman"/>
                <w:sz w:val="24"/>
                <w:szCs w:val="24"/>
              </w:rPr>
              <w:t xml:space="preserve"> </w:t>
            </w:r>
            <w:r w:rsidRPr="00D41825">
              <w:rPr>
                <w:rFonts w:ascii="Times New Roman" w:hAnsi="Times New Roman" w:cs="Times New Roman"/>
                <w:sz w:val="24"/>
                <w:szCs w:val="24"/>
              </w:rPr>
              <w:t>1 (Частка власного оборотного капіталу)</w:t>
            </w:r>
          </w:p>
        </w:tc>
        <w:tc>
          <w:tcPr>
            <w:tcW w:w="0" w:type="auto"/>
            <w:hideMark/>
          </w:tcPr>
          <w:p w14:paraId="2C9372E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0,320</w:t>
            </w:r>
          </w:p>
        </w:tc>
        <w:tc>
          <w:tcPr>
            <w:tcW w:w="0" w:type="auto"/>
            <w:hideMark/>
          </w:tcPr>
          <w:p w14:paraId="2FACA8C5"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0,192</w:t>
            </w:r>
          </w:p>
        </w:tc>
        <w:tc>
          <w:tcPr>
            <w:tcW w:w="0" w:type="auto"/>
            <w:hideMark/>
          </w:tcPr>
          <w:p w14:paraId="0DD349AA"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0,213</w:t>
            </w:r>
          </w:p>
        </w:tc>
        <w:tc>
          <w:tcPr>
            <w:tcW w:w="0" w:type="auto"/>
            <w:hideMark/>
          </w:tcPr>
          <w:p w14:paraId="7DBDA5CB"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-0,107</w:t>
            </w:r>
          </w:p>
        </w:tc>
      </w:tr>
      <w:tr w:rsidR="005332C6" w:rsidRPr="005332C6" w14:paraId="48F70676" w14:textId="77777777" w:rsidTr="00D41825">
        <w:tc>
          <w:tcPr>
            <w:tcW w:w="0" w:type="auto"/>
            <w:hideMark/>
          </w:tcPr>
          <w:p w14:paraId="41772022" w14:textId="55529D46"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X</w:t>
            </w:r>
            <w:r w:rsidR="00984A28">
              <w:rPr>
                <w:rFonts w:ascii="Times New Roman" w:hAnsi="Times New Roman" w:cs="Times New Roman"/>
                <w:sz w:val="24"/>
                <w:szCs w:val="24"/>
              </w:rPr>
              <w:t xml:space="preserve"> 2</w:t>
            </w:r>
            <w:r w:rsidRPr="00D41825">
              <w:rPr>
                <w:rFonts w:ascii="Times New Roman" w:hAnsi="Times New Roman" w:cs="Times New Roman"/>
                <w:sz w:val="24"/>
                <w:szCs w:val="24"/>
              </w:rPr>
              <w:t xml:space="preserve"> (Частка нерозподіленого прибутку)</w:t>
            </w:r>
          </w:p>
        </w:tc>
        <w:tc>
          <w:tcPr>
            <w:tcW w:w="0" w:type="auto"/>
            <w:hideMark/>
          </w:tcPr>
          <w:p w14:paraId="12189531"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0,204</w:t>
            </w:r>
          </w:p>
        </w:tc>
        <w:tc>
          <w:tcPr>
            <w:tcW w:w="0" w:type="auto"/>
            <w:hideMark/>
          </w:tcPr>
          <w:p w14:paraId="54202E4C"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0,147</w:t>
            </w:r>
          </w:p>
        </w:tc>
        <w:tc>
          <w:tcPr>
            <w:tcW w:w="0" w:type="auto"/>
            <w:hideMark/>
          </w:tcPr>
          <w:p w14:paraId="719D0DF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0,107</w:t>
            </w:r>
          </w:p>
        </w:tc>
        <w:tc>
          <w:tcPr>
            <w:tcW w:w="0" w:type="auto"/>
            <w:hideMark/>
          </w:tcPr>
          <w:p w14:paraId="312DE6AB"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-0,097</w:t>
            </w:r>
          </w:p>
        </w:tc>
      </w:tr>
      <w:tr w:rsidR="005332C6" w:rsidRPr="005332C6" w14:paraId="0F99AC2F" w14:textId="77777777" w:rsidTr="00D41825">
        <w:tc>
          <w:tcPr>
            <w:tcW w:w="0" w:type="auto"/>
            <w:hideMark/>
          </w:tcPr>
          <w:p w14:paraId="47BFBCA0" w14:textId="0722522B"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X</w:t>
            </w:r>
            <w:r w:rsidR="00984A28">
              <w:rPr>
                <w:rFonts w:ascii="Times New Roman" w:hAnsi="Times New Roman" w:cs="Times New Roman"/>
                <w:sz w:val="24"/>
                <w:szCs w:val="24"/>
              </w:rPr>
              <w:t xml:space="preserve"> 3</w:t>
            </w:r>
            <w:r w:rsidRPr="00D41825">
              <w:rPr>
                <w:rFonts w:ascii="Times New Roman" w:hAnsi="Times New Roman" w:cs="Times New Roman"/>
                <w:sz w:val="24"/>
                <w:szCs w:val="24"/>
              </w:rPr>
              <w:t xml:space="preserve"> (Операційна рентабельність активів)</w:t>
            </w:r>
          </w:p>
        </w:tc>
        <w:tc>
          <w:tcPr>
            <w:tcW w:w="0" w:type="auto"/>
            <w:hideMark/>
          </w:tcPr>
          <w:p w14:paraId="21B42536"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0,029</w:t>
            </w:r>
          </w:p>
        </w:tc>
        <w:tc>
          <w:tcPr>
            <w:tcW w:w="0" w:type="auto"/>
            <w:hideMark/>
          </w:tcPr>
          <w:p w14:paraId="17044F5A"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0,121</w:t>
            </w:r>
          </w:p>
        </w:tc>
        <w:tc>
          <w:tcPr>
            <w:tcW w:w="0" w:type="auto"/>
            <w:hideMark/>
          </w:tcPr>
          <w:p w14:paraId="1B64F52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0,025</w:t>
            </w:r>
          </w:p>
        </w:tc>
        <w:tc>
          <w:tcPr>
            <w:tcW w:w="0" w:type="auto"/>
            <w:hideMark/>
          </w:tcPr>
          <w:p w14:paraId="0B1DC19F"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-0,004</w:t>
            </w:r>
          </w:p>
        </w:tc>
      </w:tr>
      <w:tr w:rsidR="005332C6" w:rsidRPr="005332C6" w14:paraId="6D8E3293" w14:textId="77777777" w:rsidTr="00D41825">
        <w:tc>
          <w:tcPr>
            <w:tcW w:w="0" w:type="auto"/>
            <w:hideMark/>
          </w:tcPr>
          <w:p w14:paraId="156F3C20" w14:textId="0387AAF4"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lastRenderedPageBreak/>
              <w:t>X</w:t>
            </w:r>
            <w:r w:rsidR="00984A28">
              <w:rPr>
                <w:rFonts w:ascii="Times New Roman" w:hAnsi="Times New Roman" w:cs="Times New Roman"/>
                <w:sz w:val="24"/>
                <w:szCs w:val="24"/>
              </w:rPr>
              <w:t xml:space="preserve"> 4</w:t>
            </w:r>
            <w:r w:rsidRPr="00D41825">
              <w:rPr>
                <w:rFonts w:ascii="Times New Roman" w:hAnsi="Times New Roman" w:cs="Times New Roman"/>
                <w:sz w:val="24"/>
                <w:szCs w:val="24"/>
              </w:rPr>
              <w:t xml:space="preserve"> (Коефіцієнт покриття зобов'язань)</w:t>
            </w:r>
          </w:p>
        </w:tc>
        <w:tc>
          <w:tcPr>
            <w:tcW w:w="0" w:type="auto"/>
            <w:hideMark/>
          </w:tcPr>
          <w:p w14:paraId="6762622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1,170</w:t>
            </w:r>
          </w:p>
        </w:tc>
        <w:tc>
          <w:tcPr>
            <w:tcW w:w="0" w:type="auto"/>
            <w:hideMark/>
          </w:tcPr>
          <w:p w14:paraId="445D4E49"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0,686</w:t>
            </w:r>
          </w:p>
        </w:tc>
        <w:tc>
          <w:tcPr>
            <w:tcW w:w="0" w:type="auto"/>
            <w:hideMark/>
          </w:tcPr>
          <w:p w14:paraId="4A911C9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0,661</w:t>
            </w:r>
          </w:p>
        </w:tc>
        <w:tc>
          <w:tcPr>
            <w:tcW w:w="0" w:type="auto"/>
            <w:hideMark/>
          </w:tcPr>
          <w:p w14:paraId="3C038190"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-0,509</w:t>
            </w:r>
          </w:p>
        </w:tc>
      </w:tr>
      <w:tr w:rsidR="005332C6" w:rsidRPr="005332C6" w14:paraId="226DF175" w14:textId="77777777" w:rsidTr="00D41825">
        <w:tc>
          <w:tcPr>
            <w:tcW w:w="0" w:type="auto"/>
            <w:hideMark/>
          </w:tcPr>
          <w:p w14:paraId="03371343" w14:textId="51FC0FB8" w:rsidR="005332C6" w:rsidRPr="00D41825" w:rsidRDefault="005332C6" w:rsidP="00D41825">
            <w:pPr>
              <w:jc w:val="both"/>
              <w:rPr>
                <w:rFonts w:ascii="Times New Roman" w:hAnsi="Times New Roman" w:cs="Times New Roman"/>
                <w:sz w:val="24"/>
                <w:szCs w:val="24"/>
              </w:rPr>
            </w:pPr>
            <w:r w:rsidRPr="00D41825">
              <w:rPr>
                <w:rFonts w:ascii="Times New Roman" w:hAnsi="Times New Roman" w:cs="Times New Roman"/>
                <w:sz w:val="24"/>
                <w:szCs w:val="24"/>
              </w:rPr>
              <w:t>X</w:t>
            </w:r>
            <w:r w:rsidR="00984A28">
              <w:rPr>
                <w:rFonts w:ascii="Times New Roman" w:hAnsi="Times New Roman" w:cs="Times New Roman"/>
                <w:sz w:val="24"/>
                <w:szCs w:val="24"/>
              </w:rPr>
              <w:t xml:space="preserve"> 5</w:t>
            </w:r>
            <w:r w:rsidRPr="00D41825">
              <w:rPr>
                <w:rFonts w:ascii="Times New Roman" w:hAnsi="Times New Roman" w:cs="Times New Roman"/>
                <w:sz w:val="24"/>
                <w:szCs w:val="24"/>
              </w:rPr>
              <w:t xml:space="preserve"> (Коефіцієнт оборотності активів)</w:t>
            </w:r>
          </w:p>
        </w:tc>
        <w:tc>
          <w:tcPr>
            <w:tcW w:w="0" w:type="auto"/>
            <w:hideMark/>
          </w:tcPr>
          <w:p w14:paraId="72EAAD81"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1,216</w:t>
            </w:r>
          </w:p>
        </w:tc>
        <w:tc>
          <w:tcPr>
            <w:tcW w:w="0" w:type="auto"/>
            <w:hideMark/>
          </w:tcPr>
          <w:p w14:paraId="300F2899"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1,518</w:t>
            </w:r>
          </w:p>
        </w:tc>
        <w:tc>
          <w:tcPr>
            <w:tcW w:w="0" w:type="auto"/>
            <w:hideMark/>
          </w:tcPr>
          <w:p w14:paraId="5095545E"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1,794</w:t>
            </w:r>
          </w:p>
        </w:tc>
        <w:tc>
          <w:tcPr>
            <w:tcW w:w="0" w:type="auto"/>
            <w:hideMark/>
          </w:tcPr>
          <w:p w14:paraId="0BD26B60"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+0,578</w:t>
            </w:r>
          </w:p>
        </w:tc>
      </w:tr>
      <w:tr w:rsidR="005332C6" w:rsidRPr="005332C6" w14:paraId="0106D01A" w14:textId="77777777" w:rsidTr="00D41825">
        <w:tc>
          <w:tcPr>
            <w:tcW w:w="0" w:type="auto"/>
            <w:hideMark/>
          </w:tcPr>
          <w:p w14:paraId="6ED4D617" w14:textId="46F907A4" w:rsidR="005332C6" w:rsidRPr="00D41825" w:rsidRDefault="005332C6" w:rsidP="00D41825">
            <w:pPr>
              <w:jc w:val="both"/>
              <w:rPr>
                <w:rFonts w:ascii="Times New Roman" w:hAnsi="Times New Roman" w:cs="Times New Roman"/>
                <w:sz w:val="24"/>
                <w:szCs w:val="24"/>
              </w:rPr>
            </w:pPr>
            <w:r w:rsidRPr="00D41825">
              <w:rPr>
                <w:rFonts w:ascii="Times New Roman" w:hAnsi="Times New Roman" w:cs="Times New Roman"/>
                <w:sz w:val="24"/>
                <w:szCs w:val="24"/>
              </w:rPr>
              <w:t xml:space="preserve">Індекс Альтмана </w:t>
            </w:r>
          </w:p>
        </w:tc>
        <w:tc>
          <w:tcPr>
            <w:tcW w:w="0" w:type="auto"/>
            <w:hideMark/>
          </w:tcPr>
          <w:p w14:paraId="7626203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5,972</w:t>
            </w:r>
          </w:p>
        </w:tc>
        <w:tc>
          <w:tcPr>
            <w:tcW w:w="0" w:type="auto"/>
            <w:hideMark/>
          </w:tcPr>
          <w:p w14:paraId="2FAF0BE4"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5,373</w:t>
            </w:r>
          </w:p>
        </w:tc>
        <w:tc>
          <w:tcPr>
            <w:tcW w:w="0" w:type="auto"/>
            <w:hideMark/>
          </w:tcPr>
          <w:p w14:paraId="6967F3EE"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4,845</w:t>
            </w:r>
          </w:p>
        </w:tc>
        <w:tc>
          <w:tcPr>
            <w:tcW w:w="0" w:type="auto"/>
            <w:hideMark/>
          </w:tcPr>
          <w:p w14:paraId="5405E3F3"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-1,127</w:t>
            </w:r>
          </w:p>
        </w:tc>
      </w:tr>
      <w:tr w:rsidR="005332C6" w:rsidRPr="005332C6" w14:paraId="7A0068D9" w14:textId="77777777" w:rsidTr="00D41825">
        <w:tc>
          <w:tcPr>
            <w:tcW w:w="0" w:type="auto"/>
            <w:hideMark/>
          </w:tcPr>
          <w:p w14:paraId="7D6A1B5B" w14:textId="77777777" w:rsidR="005332C6" w:rsidRPr="00D41825" w:rsidRDefault="005332C6" w:rsidP="00D41825">
            <w:pPr>
              <w:jc w:val="both"/>
              <w:rPr>
                <w:rFonts w:ascii="Times New Roman" w:hAnsi="Times New Roman" w:cs="Times New Roman"/>
                <w:sz w:val="24"/>
                <w:szCs w:val="24"/>
              </w:rPr>
            </w:pPr>
            <w:r w:rsidRPr="00D41825">
              <w:rPr>
                <w:rFonts w:ascii="Times New Roman" w:hAnsi="Times New Roman" w:cs="Times New Roman"/>
                <w:sz w:val="24"/>
                <w:szCs w:val="24"/>
              </w:rPr>
              <w:t xml:space="preserve">Зона надійності за </w:t>
            </w:r>
            <w:proofErr w:type="spellStart"/>
            <w:r w:rsidRPr="00D41825">
              <w:rPr>
                <w:rFonts w:ascii="Times New Roman" w:hAnsi="Times New Roman" w:cs="Times New Roman"/>
                <w:sz w:val="24"/>
                <w:szCs w:val="24"/>
              </w:rPr>
              <w:t>Альтманом</w:t>
            </w:r>
            <w:proofErr w:type="spellEnd"/>
          </w:p>
        </w:tc>
        <w:tc>
          <w:tcPr>
            <w:tcW w:w="0" w:type="auto"/>
            <w:hideMark/>
          </w:tcPr>
          <w:p w14:paraId="6AA86ED0"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Зелена (Безпечна)</w:t>
            </w:r>
          </w:p>
        </w:tc>
        <w:tc>
          <w:tcPr>
            <w:tcW w:w="0" w:type="auto"/>
            <w:hideMark/>
          </w:tcPr>
          <w:p w14:paraId="5AB01793"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Зелена (Безпечна)</w:t>
            </w:r>
          </w:p>
        </w:tc>
        <w:tc>
          <w:tcPr>
            <w:tcW w:w="0" w:type="auto"/>
            <w:hideMark/>
          </w:tcPr>
          <w:p w14:paraId="30853F77"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Зелена (Безпечна)</w:t>
            </w:r>
          </w:p>
        </w:tc>
        <w:tc>
          <w:tcPr>
            <w:tcW w:w="0" w:type="auto"/>
            <w:hideMark/>
          </w:tcPr>
          <w:p w14:paraId="02E082A3"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Зниження «запасу міцності»</w:t>
            </w:r>
          </w:p>
        </w:tc>
      </w:tr>
      <w:tr w:rsidR="00984A28" w:rsidRPr="005332C6" w14:paraId="4C4A70F8" w14:textId="77777777" w:rsidTr="00720CDE">
        <w:tc>
          <w:tcPr>
            <w:tcW w:w="0" w:type="auto"/>
            <w:gridSpan w:val="5"/>
            <w:hideMark/>
          </w:tcPr>
          <w:p w14:paraId="7DE4C444" w14:textId="0397ED60" w:rsidR="00984A28" w:rsidRPr="00D41825" w:rsidRDefault="00984A28" w:rsidP="00984A28">
            <w:pPr>
              <w:jc w:val="center"/>
              <w:rPr>
                <w:rFonts w:ascii="Times New Roman" w:hAnsi="Times New Roman" w:cs="Times New Roman"/>
                <w:sz w:val="24"/>
                <w:szCs w:val="24"/>
              </w:rPr>
            </w:pPr>
            <w:r w:rsidRPr="00D41825">
              <w:rPr>
                <w:rFonts w:ascii="Times New Roman" w:hAnsi="Times New Roman" w:cs="Times New Roman"/>
                <w:sz w:val="24"/>
                <w:szCs w:val="24"/>
              </w:rPr>
              <w:t>Фактори Терещенка</w:t>
            </w:r>
          </w:p>
        </w:tc>
      </w:tr>
      <w:tr w:rsidR="005332C6" w:rsidRPr="005332C6" w14:paraId="45A83BC5" w14:textId="77777777" w:rsidTr="00D41825">
        <w:tc>
          <w:tcPr>
            <w:tcW w:w="0" w:type="auto"/>
            <w:hideMark/>
          </w:tcPr>
          <w:p w14:paraId="5EDCB521" w14:textId="1BCEDE3B"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Y</w:t>
            </w:r>
            <w:r w:rsidR="00984A28">
              <w:rPr>
                <w:rFonts w:ascii="Times New Roman" w:hAnsi="Times New Roman" w:cs="Times New Roman"/>
                <w:sz w:val="24"/>
                <w:szCs w:val="24"/>
              </w:rPr>
              <w:t xml:space="preserve"> 1</w:t>
            </w:r>
            <w:r w:rsidRPr="00D41825">
              <w:rPr>
                <w:rFonts w:ascii="Times New Roman" w:hAnsi="Times New Roman" w:cs="Times New Roman"/>
                <w:sz w:val="24"/>
                <w:szCs w:val="24"/>
              </w:rPr>
              <w:t xml:space="preserve"> (Поточна ліквідність)</w:t>
            </w:r>
          </w:p>
        </w:tc>
        <w:tc>
          <w:tcPr>
            <w:tcW w:w="0" w:type="auto"/>
            <w:hideMark/>
          </w:tcPr>
          <w:p w14:paraId="541DA76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1,695</w:t>
            </w:r>
          </w:p>
        </w:tc>
        <w:tc>
          <w:tcPr>
            <w:tcW w:w="0" w:type="auto"/>
            <w:hideMark/>
          </w:tcPr>
          <w:p w14:paraId="10ACE4C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1,324</w:t>
            </w:r>
          </w:p>
        </w:tc>
        <w:tc>
          <w:tcPr>
            <w:tcW w:w="0" w:type="auto"/>
            <w:hideMark/>
          </w:tcPr>
          <w:p w14:paraId="53D17A83"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1,358</w:t>
            </w:r>
          </w:p>
        </w:tc>
        <w:tc>
          <w:tcPr>
            <w:tcW w:w="0" w:type="auto"/>
            <w:hideMark/>
          </w:tcPr>
          <w:p w14:paraId="2655D3BA"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-0,337</w:t>
            </w:r>
          </w:p>
        </w:tc>
      </w:tr>
      <w:tr w:rsidR="005332C6" w:rsidRPr="005332C6" w14:paraId="6F83B6F8" w14:textId="77777777" w:rsidTr="00D41825">
        <w:tc>
          <w:tcPr>
            <w:tcW w:w="0" w:type="auto"/>
            <w:hideMark/>
          </w:tcPr>
          <w:p w14:paraId="6209CD0E" w14:textId="1BF74CA0"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Y</w:t>
            </w:r>
            <w:r w:rsidR="00984A28">
              <w:rPr>
                <w:rFonts w:ascii="Times New Roman" w:hAnsi="Times New Roman" w:cs="Times New Roman"/>
                <w:sz w:val="24"/>
                <w:szCs w:val="24"/>
              </w:rPr>
              <w:t xml:space="preserve"> 2</w:t>
            </w:r>
            <w:r w:rsidRPr="00D41825">
              <w:rPr>
                <w:rFonts w:ascii="Times New Roman" w:hAnsi="Times New Roman" w:cs="Times New Roman"/>
                <w:sz w:val="24"/>
                <w:szCs w:val="24"/>
              </w:rPr>
              <w:t xml:space="preserve"> (Фінансова незалежність)</w:t>
            </w:r>
          </w:p>
        </w:tc>
        <w:tc>
          <w:tcPr>
            <w:tcW w:w="0" w:type="auto"/>
            <w:hideMark/>
          </w:tcPr>
          <w:p w14:paraId="2D0C7FC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1,170</w:t>
            </w:r>
          </w:p>
        </w:tc>
        <w:tc>
          <w:tcPr>
            <w:tcW w:w="0" w:type="auto"/>
            <w:hideMark/>
          </w:tcPr>
          <w:p w14:paraId="538EF27F"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0,686</w:t>
            </w:r>
          </w:p>
        </w:tc>
        <w:tc>
          <w:tcPr>
            <w:tcW w:w="0" w:type="auto"/>
            <w:hideMark/>
          </w:tcPr>
          <w:p w14:paraId="2DF9DFFC"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0,661</w:t>
            </w:r>
          </w:p>
        </w:tc>
        <w:tc>
          <w:tcPr>
            <w:tcW w:w="0" w:type="auto"/>
            <w:hideMark/>
          </w:tcPr>
          <w:p w14:paraId="661284F6"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-0,509</w:t>
            </w:r>
          </w:p>
        </w:tc>
      </w:tr>
      <w:tr w:rsidR="005332C6" w:rsidRPr="005332C6" w14:paraId="3DD4EDE7" w14:textId="77777777" w:rsidTr="00D41825">
        <w:tc>
          <w:tcPr>
            <w:tcW w:w="0" w:type="auto"/>
            <w:hideMark/>
          </w:tcPr>
          <w:p w14:paraId="2B0F2DA0" w14:textId="7BD2CF13"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Y</w:t>
            </w:r>
            <w:r w:rsidR="00984A28">
              <w:rPr>
                <w:rFonts w:ascii="Times New Roman" w:hAnsi="Times New Roman" w:cs="Times New Roman"/>
                <w:sz w:val="24"/>
                <w:szCs w:val="24"/>
              </w:rPr>
              <w:t xml:space="preserve"> 3</w:t>
            </w:r>
            <w:r w:rsidRPr="00D41825">
              <w:rPr>
                <w:rFonts w:ascii="Times New Roman" w:hAnsi="Times New Roman" w:cs="Times New Roman"/>
                <w:sz w:val="24"/>
                <w:szCs w:val="24"/>
              </w:rPr>
              <w:t xml:space="preserve"> (Рентабельність активів, %)</w:t>
            </w:r>
          </w:p>
        </w:tc>
        <w:tc>
          <w:tcPr>
            <w:tcW w:w="0" w:type="auto"/>
            <w:hideMark/>
          </w:tcPr>
          <w:p w14:paraId="00560B66"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8,57%</w:t>
            </w:r>
          </w:p>
        </w:tc>
        <w:tc>
          <w:tcPr>
            <w:tcW w:w="0" w:type="auto"/>
            <w:hideMark/>
          </w:tcPr>
          <w:p w14:paraId="00000B5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9,04%</w:t>
            </w:r>
          </w:p>
        </w:tc>
        <w:tc>
          <w:tcPr>
            <w:tcW w:w="0" w:type="auto"/>
            <w:hideMark/>
          </w:tcPr>
          <w:p w14:paraId="1CBFE6CB"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0,48%</w:t>
            </w:r>
          </w:p>
        </w:tc>
        <w:tc>
          <w:tcPr>
            <w:tcW w:w="0" w:type="auto"/>
            <w:hideMark/>
          </w:tcPr>
          <w:p w14:paraId="0905C7F6"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-8,09%</w:t>
            </w:r>
          </w:p>
        </w:tc>
      </w:tr>
      <w:tr w:rsidR="005332C6" w:rsidRPr="005332C6" w14:paraId="5DFCE590" w14:textId="77777777" w:rsidTr="00D41825">
        <w:tc>
          <w:tcPr>
            <w:tcW w:w="0" w:type="auto"/>
            <w:hideMark/>
          </w:tcPr>
          <w:p w14:paraId="2CB77FF9" w14:textId="401FB2F6"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Y</w:t>
            </w:r>
            <w:r w:rsidR="00984A28">
              <w:rPr>
                <w:rFonts w:ascii="Times New Roman" w:hAnsi="Times New Roman" w:cs="Times New Roman"/>
                <w:sz w:val="24"/>
                <w:szCs w:val="24"/>
              </w:rPr>
              <w:t xml:space="preserve"> 4</w:t>
            </w:r>
            <w:r w:rsidRPr="00D41825">
              <w:rPr>
                <w:rFonts w:ascii="Times New Roman" w:hAnsi="Times New Roman" w:cs="Times New Roman"/>
                <w:sz w:val="24"/>
                <w:szCs w:val="24"/>
              </w:rPr>
              <w:t xml:space="preserve"> (Рентабельність продажів, %)</w:t>
            </w:r>
          </w:p>
        </w:tc>
        <w:tc>
          <w:tcPr>
            <w:tcW w:w="0" w:type="auto"/>
            <w:hideMark/>
          </w:tcPr>
          <w:p w14:paraId="16B5511F"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7,05%</w:t>
            </w:r>
          </w:p>
        </w:tc>
        <w:tc>
          <w:tcPr>
            <w:tcW w:w="0" w:type="auto"/>
            <w:hideMark/>
          </w:tcPr>
          <w:p w14:paraId="44F5C7B0"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5,96%</w:t>
            </w:r>
          </w:p>
        </w:tc>
        <w:tc>
          <w:tcPr>
            <w:tcW w:w="0" w:type="auto"/>
            <w:hideMark/>
          </w:tcPr>
          <w:p w14:paraId="23FA71F9"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0,27%</w:t>
            </w:r>
          </w:p>
        </w:tc>
        <w:tc>
          <w:tcPr>
            <w:tcW w:w="0" w:type="auto"/>
            <w:hideMark/>
          </w:tcPr>
          <w:p w14:paraId="59F3186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-6,78%</w:t>
            </w:r>
          </w:p>
        </w:tc>
      </w:tr>
      <w:tr w:rsidR="005332C6" w:rsidRPr="005332C6" w14:paraId="3C032815" w14:textId="77777777" w:rsidTr="00D41825">
        <w:tc>
          <w:tcPr>
            <w:tcW w:w="0" w:type="auto"/>
            <w:hideMark/>
          </w:tcPr>
          <w:p w14:paraId="49FFA898" w14:textId="509E859D"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Y</w:t>
            </w:r>
            <w:r w:rsidR="00984A28">
              <w:rPr>
                <w:rFonts w:ascii="Times New Roman" w:hAnsi="Times New Roman" w:cs="Times New Roman"/>
                <w:sz w:val="24"/>
                <w:szCs w:val="24"/>
              </w:rPr>
              <w:t xml:space="preserve"> 5</w:t>
            </w:r>
            <w:r w:rsidRPr="00D41825">
              <w:rPr>
                <w:rFonts w:ascii="Times New Roman" w:hAnsi="Times New Roman" w:cs="Times New Roman"/>
                <w:sz w:val="24"/>
                <w:szCs w:val="24"/>
              </w:rPr>
              <w:t xml:space="preserve"> (Завантаження запасів)</w:t>
            </w:r>
          </w:p>
        </w:tc>
        <w:tc>
          <w:tcPr>
            <w:tcW w:w="0" w:type="auto"/>
            <w:hideMark/>
          </w:tcPr>
          <w:p w14:paraId="6FF39C8B"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0,111</w:t>
            </w:r>
          </w:p>
        </w:tc>
        <w:tc>
          <w:tcPr>
            <w:tcW w:w="0" w:type="auto"/>
            <w:hideMark/>
          </w:tcPr>
          <w:p w14:paraId="6FC96BB7"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0,101</w:t>
            </w:r>
          </w:p>
        </w:tc>
        <w:tc>
          <w:tcPr>
            <w:tcW w:w="0" w:type="auto"/>
            <w:hideMark/>
          </w:tcPr>
          <w:p w14:paraId="1D3648F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0,086</w:t>
            </w:r>
          </w:p>
        </w:tc>
        <w:tc>
          <w:tcPr>
            <w:tcW w:w="0" w:type="auto"/>
            <w:hideMark/>
          </w:tcPr>
          <w:p w14:paraId="469ACEFA"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-0,025</w:t>
            </w:r>
          </w:p>
        </w:tc>
      </w:tr>
      <w:tr w:rsidR="005332C6" w:rsidRPr="005332C6" w14:paraId="7BE27011" w14:textId="77777777" w:rsidTr="00D41825">
        <w:tc>
          <w:tcPr>
            <w:tcW w:w="0" w:type="auto"/>
            <w:hideMark/>
          </w:tcPr>
          <w:p w14:paraId="6025909C" w14:textId="6D96417D" w:rsidR="005332C6" w:rsidRPr="00D41825" w:rsidRDefault="005332C6" w:rsidP="00984A28">
            <w:pPr>
              <w:rPr>
                <w:rFonts w:ascii="Times New Roman" w:hAnsi="Times New Roman" w:cs="Times New Roman"/>
                <w:sz w:val="24"/>
                <w:szCs w:val="24"/>
              </w:rPr>
            </w:pPr>
            <w:r w:rsidRPr="00D41825">
              <w:rPr>
                <w:rFonts w:ascii="Times New Roman" w:hAnsi="Times New Roman" w:cs="Times New Roman"/>
                <w:sz w:val="24"/>
                <w:szCs w:val="24"/>
              </w:rPr>
              <w:t>Y</w:t>
            </w:r>
            <w:r w:rsidR="00984A28">
              <w:rPr>
                <w:rFonts w:ascii="Times New Roman" w:hAnsi="Times New Roman" w:cs="Times New Roman"/>
                <w:sz w:val="24"/>
                <w:szCs w:val="24"/>
              </w:rPr>
              <w:t xml:space="preserve"> 6</w:t>
            </w:r>
            <w:r w:rsidRPr="00D41825">
              <w:rPr>
                <w:rFonts w:ascii="Times New Roman" w:hAnsi="Times New Roman" w:cs="Times New Roman"/>
                <w:sz w:val="24"/>
                <w:szCs w:val="24"/>
              </w:rPr>
              <w:t xml:space="preserve"> (Оборотність активів)</w:t>
            </w:r>
          </w:p>
        </w:tc>
        <w:tc>
          <w:tcPr>
            <w:tcW w:w="0" w:type="auto"/>
            <w:hideMark/>
          </w:tcPr>
          <w:p w14:paraId="1C29887E"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1,216</w:t>
            </w:r>
          </w:p>
        </w:tc>
        <w:tc>
          <w:tcPr>
            <w:tcW w:w="0" w:type="auto"/>
            <w:hideMark/>
          </w:tcPr>
          <w:p w14:paraId="0065F8C2"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1,518</w:t>
            </w:r>
          </w:p>
        </w:tc>
        <w:tc>
          <w:tcPr>
            <w:tcW w:w="0" w:type="auto"/>
            <w:hideMark/>
          </w:tcPr>
          <w:p w14:paraId="6304D9AE"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1,794</w:t>
            </w:r>
          </w:p>
        </w:tc>
        <w:tc>
          <w:tcPr>
            <w:tcW w:w="0" w:type="auto"/>
            <w:hideMark/>
          </w:tcPr>
          <w:p w14:paraId="4C1FD2AF"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+0,578</w:t>
            </w:r>
          </w:p>
        </w:tc>
      </w:tr>
      <w:tr w:rsidR="005332C6" w:rsidRPr="005332C6" w14:paraId="6EB6056C" w14:textId="77777777" w:rsidTr="00D41825">
        <w:tc>
          <w:tcPr>
            <w:tcW w:w="0" w:type="auto"/>
            <w:hideMark/>
          </w:tcPr>
          <w:p w14:paraId="38F23CFA" w14:textId="0009B47A" w:rsidR="00984A28" w:rsidRPr="00D41825" w:rsidRDefault="005332C6" w:rsidP="00D41825">
            <w:pPr>
              <w:jc w:val="both"/>
              <w:rPr>
                <w:rFonts w:ascii="Times New Roman" w:hAnsi="Times New Roman" w:cs="Times New Roman"/>
                <w:sz w:val="24"/>
                <w:szCs w:val="24"/>
              </w:rPr>
            </w:pPr>
            <w:r w:rsidRPr="00D41825">
              <w:rPr>
                <w:rFonts w:ascii="Times New Roman" w:hAnsi="Times New Roman" w:cs="Times New Roman"/>
                <w:sz w:val="24"/>
                <w:szCs w:val="24"/>
              </w:rPr>
              <w:t xml:space="preserve">Індекс Терещенка </w:t>
            </w:r>
          </w:p>
        </w:tc>
        <w:tc>
          <w:tcPr>
            <w:tcW w:w="0" w:type="auto"/>
            <w:hideMark/>
          </w:tcPr>
          <w:p w14:paraId="401A25F3"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0,845</w:t>
            </w:r>
          </w:p>
        </w:tc>
        <w:tc>
          <w:tcPr>
            <w:tcW w:w="0" w:type="auto"/>
            <w:hideMark/>
          </w:tcPr>
          <w:p w14:paraId="462EC108"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0,751</w:t>
            </w:r>
          </w:p>
        </w:tc>
        <w:tc>
          <w:tcPr>
            <w:tcW w:w="0" w:type="auto"/>
            <w:hideMark/>
          </w:tcPr>
          <w:p w14:paraId="0AB01D03"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0,772</w:t>
            </w:r>
          </w:p>
        </w:tc>
        <w:tc>
          <w:tcPr>
            <w:tcW w:w="0" w:type="auto"/>
            <w:hideMark/>
          </w:tcPr>
          <w:p w14:paraId="2155AC0C"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-0,073</w:t>
            </w:r>
          </w:p>
        </w:tc>
      </w:tr>
      <w:tr w:rsidR="005332C6" w:rsidRPr="005332C6" w14:paraId="4E092286" w14:textId="77777777" w:rsidTr="00D41825">
        <w:tc>
          <w:tcPr>
            <w:tcW w:w="0" w:type="auto"/>
            <w:hideMark/>
          </w:tcPr>
          <w:p w14:paraId="57FB01DC" w14:textId="77777777" w:rsidR="005332C6" w:rsidRPr="00D41825" w:rsidRDefault="005332C6" w:rsidP="00D41825">
            <w:pPr>
              <w:jc w:val="both"/>
              <w:rPr>
                <w:rFonts w:ascii="Times New Roman" w:hAnsi="Times New Roman" w:cs="Times New Roman"/>
                <w:sz w:val="24"/>
                <w:szCs w:val="24"/>
              </w:rPr>
            </w:pPr>
            <w:r w:rsidRPr="00D41825">
              <w:rPr>
                <w:rFonts w:ascii="Times New Roman" w:hAnsi="Times New Roman" w:cs="Times New Roman"/>
                <w:sz w:val="24"/>
                <w:szCs w:val="24"/>
              </w:rPr>
              <w:t>Зона надійності за Терещенком</w:t>
            </w:r>
          </w:p>
        </w:tc>
        <w:tc>
          <w:tcPr>
            <w:tcW w:w="0" w:type="auto"/>
            <w:hideMark/>
          </w:tcPr>
          <w:p w14:paraId="5383380D"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Передкризова</w:t>
            </w:r>
          </w:p>
        </w:tc>
        <w:tc>
          <w:tcPr>
            <w:tcW w:w="0" w:type="auto"/>
            <w:hideMark/>
          </w:tcPr>
          <w:p w14:paraId="6C0A3079"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Передкризова</w:t>
            </w:r>
          </w:p>
        </w:tc>
        <w:tc>
          <w:tcPr>
            <w:tcW w:w="0" w:type="auto"/>
            <w:hideMark/>
          </w:tcPr>
          <w:p w14:paraId="5DF2856C"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Передкризова</w:t>
            </w:r>
          </w:p>
        </w:tc>
        <w:tc>
          <w:tcPr>
            <w:tcW w:w="0" w:type="auto"/>
            <w:hideMark/>
          </w:tcPr>
          <w:p w14:paraId="3BF556A1" w14:textId="77777777" w:rsidR="005332C6" w:rsidRPr="00D41825" w:rsidRDefault="005332C6" w:rsidP="00984A28">
            <w:pPr>
              <w:jc w:val="center"/>
              <w:rPr>
                <w:rFonts w:ascii="Times New Roman" w:hAnsi="Times New Roman" w:cs="Times New Roman"/>
                <w:sz w:val="24"/>
                <w:szCs w:val="24"/>
              </w:rPr>
            </w:pPr>
            <w:r w:rsidRPr="00D41825">
              <w:rPr>
                <w:rFonts w:ascii="Times New Roman" w:hAnsi="Times New Roman" w:cs="Times New Roman"/>
                <w:sz w:val="24"/>
                <w:szCs w:val="24"/>
              </w:rPr>
              <w:t>Перманентний ризик</w:t>
            </w:r>
          </w:p>
        </w:tc>
      </w:tr>
    </w:tbl>
    <w:p w14:paraId="460D5D2C" w14:textId="77777777" w:rsidR="00984A28" w:rsidRDefault="00984A28" w:rsidP="005332C6">
      <w:pPr>
        <w:spacing w:after="0" w:line="360" w:lineRule="auto"/>
        <w:ind w:firstLine="708"/>
        <w:jc w:val="both"/>
        <w:rPr>
          <w:rFonts w:ascii="Times New Roman" w:hAnsi="Times New Roman" w:cs="Times New Roman"/>
          <w:b/>
          <w:bCs/>
          <w:sz w:val="28"/>
          <w:szCs w:val="28"/>
        </w:rPr>
      </w:pPr>
    </w:p>
    <w:p w14:paraId="173046E7" w14:textId="15BEA8B6" w:rsidR="005332C6" w:rsidRPr="005332C6" w:rsidRDefault="005332C6" w:rsidP="00984A28">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Зіставлення результатів двох моделей розкриває парадокс, який часто зустрічається при аналізі великих вітчизняних підприємств і має критичне значення для іноземних та внутрішніх інвесторів.</w:t>
      </w:r>
      <w:r w:rsidR="00984A28">
        <w:rPr>
          <w:rFonts w:ascii="Times New Roman" w:hAnsi="Times New Roman" w:cs="Times New Roman"/>
          <w:sz w:val="28"/>
          <w:szCs w:val="28"/>
        </w:rPr>
        <w:t xml:space="preserve"> </w:t>
      </w:r>
      <w:r w:rsidRPr="005332C6">
        <w:rPr>
          <w:rFonts w:ascii="Times New Roman" w:hAnsi="Times New Roman" w:cs="Times New Roman"/>
          <w:sz w:val="28"/>
          <w:szCs w:val="28"/>
        </w:rPr>
        <w:t xml:space="preserve">Індекс Z </w:t>
      </w:r>
      <w:r w:rsidRPr="00984A28">
        <w:rPr>
          <w:rFonts w:ascii="Times New Roman" w:hAnsi="Times New Roman" w:cs="Times New Roman"/>
          <w:sz w:val="28"/>
          <w:szCs w:val="28"/>
        </w:rPr>
        <w:t>перебуває в «Зеленій зоні» (5,972</w:t>
      </w:r>
      <w:r w:rsidR="00984A28">
        <w:rPr>
          <w:rFonts w:ascii="Times New Roman" w:hAnsi="Times New Roman" w:cs="Times New Roman"/>
          <w:sz w:val="28"/>
          <w:szCs w:val="28"/>
        </w:rPr>
        <w:t>-</w:t>
      </w:r>
      <w:r w:rsidRPr="00984A28">
        <w:rPr>
          <w:rFonts w:ascii="Times New Roman" w:hAnsi="Times New Roman" w:cs="Times New Roman"/>
          <w:sz w:val="28"/>
          <w:szCs w:val="28"/>
        </w:rPr>
        <w:t>5,373</w:t>
      </w:r>
      <w:r w:rsidR="00984A28">
        <w:rPr>
          <w:rFonts w:ascii="Times New Roman" w:hAnsi="Times New Roman" w:cs="Times New Roman"/>
          <w:sz w:val="28"/>
          <w:szCs w:val="28"/>
        </w:rPr>
        <w:t>-</w:t>
      </w:r>
      <w:r w:rsidRPr="005332C6">
        <w:rPr>
          <w:rFonts w:ascii="Times New Roman" w:hAnsi="Times New Roman" w:cs="Times New Roman"/>
          <w:sz w:val="28"/>
          <w:szCs w:val="28"/>
        </w:rPr>
        <w:t xml:space="preserve">4,845), що значно вище порогового рівня 2,90. Західний інвестор, спираючись виключно на цю модель, оцінив би підприємство як фінансово здорове та </w:t>
      </w:r>
      <w:proofErr w:type="spellStart"/>
      <w:r w:rsidRPr="005332C6">
        <w:rPr>
          <w:rFonts w:ascii="Times New Roman" w:hAnsi="Times New Roman" w:cs="Times New Roman"/>
          <w:sz w:val="28"/>
          <w:szCs w:val="28"/>
        </w:rPr>
        <w:t>високоінтенсивне</w:t>
      </w:r>
      <w:proofErr w:type="spellEnd"/>
      <w:r w:rsidRPr="005332C6">
        <w:rPr>
          <w:rFonts w:ascii="Times New Roman" w:hAnsi="Times New Roman" w:cs="Times New Roman"/>
          <w:sz w:val="28"/>
          <w:szCs w:val="28"/>
        </w:rPr>
        <w:t>.</w:t>
      </w:r>
    </w:p>
    <w:p w14:paraId="321CBCFF" w14:textId="77777777"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Такий високий результат забезпечується двома потужними факторами:</w:t>
      </w:r>
    </w:p>
    <w:p w14:paraId="138B5B81" w14:textId="48EA1B47" w:rsidR="005332C6" w:rsidRPr="00984A28" w:rsidRDefault="005332C6" w:rsidP="00984A28">
      <w:pPr>
        <w:numPr>
          <w:ilvl w:val="0"/>
          <w:numId w:val="21"/>
        </w:numPr>
        <w:tabs>
          <w:tab w:val="clear" w:pos="720"/>
          <w:tab w:val="num" w:pos="426"/>
        </w:tabs>
        <w:spacing w:after="0" w:line="360" w:lineRule="auto"/>
        <w:ind w:left="0" w:firstLine="426"/>
        <w:jc w:val="both"/>
        <w:rPr>
          <w:rFonts w:ascii="Times New Roman" w:hAnsi="Times New Roman" w:cs="Times New Roman"/>
          <w:sz w:val="28"/>
          <w:szCs w:val="28"/>
        </w:rPr>
      </w:pPr>
      <w:r w:rsidRPr="00984A28">
        <w:rPr>
          <w:rFonts w:ascii="Times New Roman" w:hAnsi="Times New Roman" w:cs="Times New Roman"/>
          <w:sz w:val="28"/>
          <w:szCs w:val="28"/>
        </w:rPr>
        <w:t>Високою оборотністю активів (X</w:t>
      </w:r>
      <w:r w:rsidRPr="00984A28">
        <w:rPr>
          <w:rFonts w:ascii="Times New Roman" w:hAnsi="Times New Roman" w:cs="Times New Roman"/>
          <w:sz w:val="28"/>
          <w:szCs w:val="28"/>
          <w:vertAlign w:val="subscript"/>
        </w:rPr>
        <w:t>5</w:t>
      </w:r>
      <w:r w:rsidRPr="00984A28">
        <w:rPr>
          <w:rFonts w:ascii="Times New Roman" w:hAnsi="Times New Roman" w:cs="Times New Roman"/>
          <w:sz w:val="28"/>
          <w:szCs w:val="28"/>
        </w:rPr>
        <w:t xml:space="preserve"> = 1,794 у 2025 році). Компанія генерує колосальні обсяги виручки (понад 105,9 млрд грн), що в рази перевищує масштаб її балансу. Модель Альтмана інтерпретує високу швидкість обертання коштів як абсолютний захист від стагнації.</w:t>
      </w:r>
    </w:p>
    <w:p w14:paraId="644227AC" w14:textId="374E7607" w:rsidR="005332C6" w:rsidRPr="00984A28" w:rsidRDefault="005332C6" w:rsidP="00984A28">
      <w:pPr>
        <w:numPr>
          <w:ilvl w:val="0"/>
          <w:numId w:val="21"/>
        </w:numPr>
        <w:tabs>
          <w:tab w:val="clear" w:pos="720"/>
          <w:tab w:val="num" w:pos="426"/>
        </w:tabs>
        <w:spacing w:after="0" w:line="360" w:lineRule="auto"/>
        <w:ind w:left="0" w:firstLine="426"/>
        <w:jc w:val="both"/>
        <w:rPr>
          <w:rFonts w:ascii="Times New Roman" w:hAnsi="Times New Roman" w:cs="Times New Roman"/>
          <w:sz w:val="28"/>
          <w:szCs w:val="28"/>
        </w:rPr>
      </w:pPr>
      <w:r w:rsidRPr="00984A28">
        <w:rPr>
          <w:rFonts w:ascii="Times New Roman" w:hAnsi="Times New Roman" w:cs="Times New Roman"/>
          <w:sz w:val="28"/>
          <w:szCs w:val="28"/>
        </w:rPr>
        <w:t xml:space="preserve">Позитивним власним </w:t>
      </w:r>
      <w:r w:rsidR="00596726">
        <w:rPr>
          <w:rFonts w:ascii="Times New Roman" w:hAnsi="Times New Roman" w:cs="Times New Roman"/>
          <w:sz w:val="28"/>
          <w:szCs w:val="28"/>
        </w:rPr>
        <w:t>ОК</w:t>
      </w:r>
      <w:r w:rsidRPr="00984A28">
        <w:rPr>
          <w:rFonts w:ascii="Times New Roman" w:hAnsi="Times New Roman" w:cs="Times New Roman"/>
          <w:sz w:val="28"/>
          <w:szCs w:val="28"/>
        </w:rPr>
        <w:t xml:space="preserve"> (X</w:t>
      </w:r>
      <w:r w:rsidRPr="00984A28">
        <w:rPr>
          <w:rFonts w:ascii="Times New Roman" w:hAnsi="Times New Roman" w:cs="Times New Roman"/>
          <w:sz w:val="28"/>
          <w:szCs w:val="28"/>
          <w:vertAlign w:val="subscript"/>
        </w:rPr>
        <w:t>1</w:t>
      </w:r>
      <w:r w:rsidRPr="00984A28">
        <w:rPr>
          <w:rFonts w:ascii="Times New Roman" w:hAnsi="Times New Roman" w:cs="Times New Roman"/>
          <w:sz w:val="28"/>
          <w:szCs w:val="28"/>
        </w:rPr>
        <w:t>). Оборотні активи стабільно перевищують короткострокові борги.</w:t>
      </w:r>
    </w:p>
    <w:p w14:paraId="58F8DA15" w14:textId="178F2548" w:rsidR="005332C6" w:rsidRPr="005332C6" w:rsidRDefault="005332C6" w:rsidP="00984A28">
      <w:pPr>
        <w:tabs>
          <w:tab w:val="num" w:pos="426"/>
        </w:tabs>
        <w:spacing w:after="0" w:line="360" w:lineRule="auto"/>
        <w:ind w:firstLine="426"/>
        <w:jc w:val="both"/>
        <w:rPr>
          <w:rFonts w:ascii="Times New Roman" w:hAnsi="Times New Roman" w:cs="Times New Roman"/>
          <w:sz w:val="28"/>
          <w:szCs w:val="28"/>
        </w:rPr>
      </w:pPr>
      <w:r w:rsidRPr="00984A28">
        <w:rPr>
          <w:rFonts w:ascii="Times New Roman" w:hAnsi="Times New Roman" w:cs="Times New Roman"/>
          <w:sz w:val="28"/>
          <w:szCs w:val="28"/>
        </w:rPr>
        <w:lastRenderedPageBreak/>
        <w:t xml:space="preserve">Проте динаміка індексу Альтмана є тривожною — за два роки він втратив 1,127 </w:t>
      </w:r>
      <w:proofErr w:type="spellStart"/>
      <w:r w:rsidRPr="00984A28">
        <w:rPr>
          <w:rFonts w:ascii="Times New Roman" w:hAnsi="Times New Roman" w:cs="Times New Roman"/>
          <w:sz w:val="28"/>
          <w:szCs w:val="28"/>
        </w:rPr>
        <w:t>бала</w:t>
      </w:r>
      <w:proofErr w:type="spellEnd"/>
      <w:r w:rsidRPr="00984A28">
        <w:rPr>
          <w:rFonts w:ascii="Times New Roman" w:hAnsi="Times New Roman" w:cs="Times New Roman"/>
          <w:sz w:val="28"/>
          <w:szCs w:val="28"/>
        </w:rPr>
        <w:t xml:space="preserve"> (падіння на 18,8%). Це явне свідчення того, що «запас міцності»</w:t>
      </w:r>
      <w:r w:rsidRPr="005332C6">
        <w:rPr>
          <w:rFonts w:ascii="Times New Roman" w:hAnsi="Times New Roman" w:cs="Times New Roman"/>
          <w:sz w:val="28"/>
          <w:szCs w:val="28"/>
        </w:rPr>
        <w:t xml:space="preserve"> стрімко вичерпується через падіння капітального покриття (X</w:t>
      </w:r>
      <w:r w:rsidRPr="00984A28">
        <w:rPr>
          <w:rFonts w:ascii="Times New Roman" w:hAnsi="Times New Roman" w:cs="Times New Roman"/>
          <w:sz w:val="28"/>
          <w:szCs w:val="28"/>
          <w:vertAlign w:val="subscript"/>
        </w:rPr>
        <w:t>4</w:t>
      </w:r>
      <w:r w:rsidRPr="005332C6">
        <w:rPr>
          <w:rFonts w:ascii="Times New Roman" w:hAnsi="Times New Roman" w:cs="Times New Roman"/>
          <w:sz w:val="28"/>
          <w:szCs w:val="28"/>
        </w:rPr>
        <w:t>).</w:t>
      </w:r>
    </w:p>
    <w:p w14:paraId="0D64F481" w14:textId="6CBFD6BE"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Вітчизняна модель оцінює ситуацію набагато суворіше і реалістичніше. </w:t>
      </w:r>
      <w:r w:rsidR="00596726">
        <w:rPr>
          <w:rFonts w:ascii="Times New Roman" w:hAnsi="Times New Roman" w:cs="Times New Roman"/>
          <w:sz w:val="28"/>
          <w:szCs w:val="28"/>
        </w:rPr>
        <w:t>І</w:t>
      </w:r>
      <w:r w:rsidRPr="00984A28">
        <w:rPr>
          <w:rFonts w:ascii="Times New Roman" w:hAnsi="Times New Roman" w:cs="Times New Roman"/>
          <w:sz w:val="28"/>
          <w:szCs w:val="28"/>
        </w:rPr>
        <w:t>ндекс Z</w:t>
      </w:r>
      <w:r w:rsidRPr="00984A28">
        <w:rPr>
          <w:rFonts w:ascii="Times New Roman" w:hAnsi="Times New Roman" w:cs="Times New Roman"/>
          <w:sz w:val="28"/>
          <w:szCs w:val="28"/>
          <w:vertAlign w:val="subscript"/>
        </w:rPr>
        <w:t>Т</w:t>
      </w:r>
      <w:r w:rsidRPr="00984A28">
        <w:rPr>
          <w:rFonts w:ascii="Times New Roman" w:hAnsi="Times New Roman" w:cs="Times New Roman"/>
          <w:sz w:val="28"/>
          <w:szCs w:val="28"/>
        </w:rPr>
        <w:t xml:space="preserve"> утримується у «Передкризовому стані»</w:t>
      </w:r>
      <w:r w:rsidRPr="005332C6">
        <w:rPr>
          <w:rFonts w:ascii="Times New Roman" w:hAnsi="Times New Roman" w:cs="Times New Roman"/>
          <w:sz w:val="28"/>
          <w:szCs w:val="28"/>
        </w:rPr>
        <w:t xml:space="preserve"> (0,845</w:t>
      </w:r>
      <w:r w:rsidR="00984A28">
        <w:rPr>
          <w:rFonts w:ascii="Times New Roman" w:hAnsi="Times New Roman" w:cs="Times New Roman"/>
          <w:sz w:val="28"/>
          <w:szCs w:val="28"/>
        </w:rPr>
        <w:t>-</w:t>
      </w:r>
      <w:r w:rsidRPr="005332C6">
        <w:rPr>
          <w:rFonts w:ascii="Times New Roman" w:hAnsi="Times New Roman" w:cs="Times New Roman"/>
          <w:sz w:val="28"/>
          <w:szCs w:val="28"/>
        </w:rPr>
        <w:t>0,751</w:t>
      </w:r>
      <w:r w:rsidR="00984A28">
        <w:rPr>
          <w:rFonts w:ascii="Times New Roman" w:hAnsi="Times New Roman" w:cs="Times New Roman"/>
          <w:sz w:val="28"/>
          <w:szCs w:val="28"/>
        </w:rPr>
        <w:t>-</w:t>
      </w:r>
      <w:r w:rsidRPr="005332C6">
        <w:rPr>
          <w:rFonts w:ascii="Times New Roman" w:hAnsi="Times New Roman" w:cs="Times New Roman"/>
          <w:sz w:val="28"/>
          <w:szCs w:val="28"/>
        </w:rPr>
        <w:t>0,772), не досягаючи навіть нижньої межі відносної стабільності (1,0).</w:t>
      </w:r>
    </w:p>
    <w:p w14:paraId="7504C42A" w14:textId="77777777"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Причина такої жорсткої оцінки криється в архітектурі моделі, яка враховує специфіку українського ринку:</w:t>
      </w:r>
    </w:p>
    <w:p w14:paraId="52E66E27" w14:textId="47A0DDA1" w:rsidR="005332C6" w:rsidRPr="00984A28" w:rsidRDefault="00984A28" w:rsidP="00984A28">
      <w:pPr>
        <w:numPr>
          <w:ilvl w:val="0"/>
          <w:numId w:val="22"/>
        </w:numPr>
        <w:tabs>
          <w:tab w:val="clear" w:pos="720"/>
          <w:tab w:val="num" w:pos="426"/>
        </w:tabs>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м</w:t>
      </w:r>
      <w:r w:rsidR="005332C6" w:rsidRPr="005332C6">
        <w:rPr>
          <w:rFonts w:ascii="Times New Roman" w:hAnsi="Times New Roman" w:cs="Times New Roman"/>
          <w:sz w:val="28"/>
          <w:szCs w:val="28"/>
        </w:rPr>
        <w:t>одель Терещенка ставить у пріоритет реальні показники рентабельності продажів та активів (Y</w:t>
      </w:r>
      <w:r w:rsidR="005332C6" w:rsidRPr="00984A28">
        <w:rPr>
          <w:rFonts w:ascii="Times New Roman" w:hAnsi="Times New Roman" w:cs="Times New Roman"/>
          <w:sz w:val="28"/>
          <w:szCs w:val="28"/>
          <w:vertAlign w:val="subscript"/>
        </w:rPr>
        <w:t>3</w:t>
      </w:r>
      <w:r w:rsidR="005332C6" w:rsidRPr="005332C6">
        <w:rPr>
          <w:rFonts w:ascii="Times New Roman" w:hAnsi="Times New Roman" w:cs="Times New Roman"/>
          <w:sz w:val="28"/>
          <w:szCs w:val="28"/>
        </w:rPr>
        <w:t>, Y</w:t>
      </w:r>
      <w:r w:rsidR="005332C6" w:rsidRPr="00984A28">
        <w:rPr>
          <w:rFonts w:ascii="Times New Roman" w:hAnsi="Times New Roman" w:cs="Times New Roman"/>
          <w:sz w:val="28"/>
          <w:szCs w:val="28"/>
          <w:vertAlign w:val="subscript"/>
        </w:rPr>
        <w:t>4</w:t>
      </w:r>
      <w:r w:rsidR="005332C6" w:rsidRPr="005332C6">
        <w:rPr>
          <w:rFonts w:ascii="Times New Roman" w:hAnsi="Times New Roman" w:cs="Times New Roman"/>
          <w:sz w:val="28"/>
          <w:szCs w:val="28"/>
        </w:rPr>
        <w:t xml:space="preserve">). У 2025 році чиста рентабельність активів </w:t>
      </w:r>
      <w:r w:rsidR="005332C6" w:rsidRPr="00984A28">
        <w:rPr>
          <w:rFonts w:ascii="Times New Roman" w:hAnsi="Times New Roman" w:cs="Times New Roman"/>
          <w:sz w:val="28"/>
          <w:szCs w:val="28"/>
        </w:rPr>
        <w:t xml:space="preserve">компанії впала майже до нуля (0,48%), а </w:t>
      </w:r>
      <w:proofErr w:type="spellStart"/>
      <w:r w:rsidR="005332C6" w:rsidRPr="00984A28">
        <w:rPr>
          <w:rFonts w:ascii="Times New Roman" w:hAnsi="Times New Roman" w:cs="Times New Roman"/>
          <w:sz w:val="28"/>
          <w:szCs w:val="28"/>
        </w:rPr>
        <w:t>маржинальність</w:t>
      </w:r>
      <w:proofErr w:type="spellEnd"/>
      <w:r w:rsidR="005332C6" w:rsidRPr="00984A28">
        <w:rPr>
          <w:rFonts w:ascii="Times New Roman" w:hAnsi="Times New Roman" w:cs="Times New Roman"/>
          <w:sz w:val="28"/>
          <w:szCs w:val="28"/>
        </w:rPr>
        <w:t xml:space="preserve"> продажів склала мізерні 0,27%.</w:t>
      </w:r>
    </w:p>
    <w:p w14:paraId="6D1CA169" w14:textId="5845DD3F" w:rsidR="005332C6" w:rsidRPr="005332C6" w:rsidRDefault="00984A28" w:rsidP="00984A28">
      <w:pPr>
        <w:numPr>
          <w:ilvl w:val="0"/>
          <w:numId w:val="22"/>
        </w:numPr>
        <w:tabs>
          <w:tab w:val="clear" w:pos="720"/>
          <w:tab w:val="num" w:pos="426"/>
        </w:tabs>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о</w:t>
      </w:r>
      <w:r w:rsidR="005332C6" w:rsidRPr="00984A28">
        <w:rPr>
          <w:rFonts w:ascii="Times New Roman" w:hAnsi="Times New Roman" w:cs="Times New Roman"/>
          <w:sz w:val="28"/>
          <w:szCs w:val="28"/>
        </w:rPr>
        <w:t>бвал прибутковості був викликаний тим, що позиковий капітал (який зріс</w:t>
      </w:r>
      <w:r w:rsidR="005332C6" w:rsidRPr="005332C6">
        <w:rPr>
          <w:rFonts w:ascii="Times New Roman" w:hAnsi="Times New Roman" w:cs="Times New Roman"/>
          <w:sz w:val="28"/>
          <w:szCs w:val="28"/>
        </w:rPr>
        <w:t xml:space="preserve"> на 51%) згенерував фінансові витрати у розмірі 1,79 млрд грн, які практично «з'їли» операційний успіх бізнесу.</w:t>
      </w:r>
    </w:p>
    <w:p w14:paraId="7E6931C7" w14:textId="7CD19E57" w:rsidR="005332C6" w:rsidRPr="005332C6" w:rsidRDefault="00984A28" w:rsidP="005332C6">
      <w:pPr>
        <w:spacing w:after="0" w:line="360" w:lineRule="auto"/>
        <w:ind w:firstLine="708"/>
        <w:jc w:val="both"/>
        <w:rPr>
          <w:rFonts w:ascii="Times New Roman" w:hAnsi="Times New Roman" w:cs="Times New Roman"/>
          <w:sz w:val="28"/>
          <w:szCs w:val="28"/>
        </w:rPr>
      </w:pPr>
      <w:r w:rsidRPr="00B71412">
        <w:rPr>
          <w:rFonts w:ascii="Times New Roman" w:hAnsi="Times New Roman" w:cs="Times New Roman"/>
          <w:sz w:val="28"/>
          <w:szCs w:val="28"/>
        </w:rPr>
        <w:t>ТОВ «КЕРНЕЛ-ТРЕЙД»</w:t>
      </w:r>
      <w:r w:rsidR="005332C6" w:rsidRPr="005332C6">
        <w:rPr>
          <w:rFonts w:ascii="Times New Roman" w:hAnsi="Times New Roman" w:cs="Times New Roman"/>
          <w:sz w:val="28"/>
          <w:szCs w:val="28"/>
        </w:rPr>
        <w:t xml:space="preserve"> має високий операційний масштаб (що бачить модель Альтмана), але працює на межі нульової ефективності через надмірне боргове навантаження (що фіксує модель Терещенка). «Запас міцності» компанії перед </w:t>
      </w:r>
      <w:r w:rsidR="005332C6" w:rsidRPr="00984A28">
        <w:rPr>
          <w:rFonts w:ascii="Times New Roman" w:hAnsi="Times New Roman" w:cs="Times New Roman"/>
          <w:sz w:val="28"/>
          <w:szCs w:val="28"/>
        </w:rPr>
        <w:t>інвесторами є умовним: компанія захищена від раптового банкрутства доти,</w:t>
      </w:r>
      <w:r w:rsidR="005332C6" w:rsidRPr="005332C6">
        <w:rPr>
          <w:rFonts w:ascii="Times New Roman" w:hAnsi="Times New Roman" w:cs="Times New Roman"/>
          <w:sz w:val="28"/>
          <w:szCs w:val="28"/>
        </w:rPr>
        <w:t xml:space="preserve"> доки банки готові пролонгувати її величезний короткостроковий борг (понад 35 млрд грн). </w:t>
      </w:r>
      <w:r w:rsidR="00596726">
        <w:rPr>
          <w:rFonts w:ascii="Times New Roman" w:hAnsi="Times New Roman" w:cs="Times New Roman"/>
          <w:sz w:val="28"/>
          <w:szCs w:val="28"/>
        </w:rPr>
        <w:t>В</w:t>
      </w:r>
      <w:r w:rsidR="005332C6" w:rsidRPr="005332C6">
        <w:rPr>
          <w:rFonts w:ascii="Times New Roman" w:hAnsi="Times New Roman" w:cs="Times New Roman"/>
          <w:sz w:val="28"/>
          <w:szCs w:val="28"/>
        </w:rPr>
        <w:t>ідмова у рефінансуванні миттєво переведе компанію з «передкризового стану» в зону дефолту.</w:t>
      </w:r>
    </w:p>
    <w:p w14:paraId="4A6E419D" w14:textId="209FB98B"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Зв'язок між фінансовою стійкістю та інвестиційною вартістю </w:t>
      </w:r>
      <w:r w:rsidR="00984A28" w:rsidRPr="00B71412">
        <w:rPr>
          <w:rFonts w:ascii="Times New Roman" w:hAnsi="Times New Roman" w:cs="Times New Roman"/>
          <w:sz w:val="28"/>
          <w:szCs w:val="28"/>
        </w:rPr>
        <w:t>ТОВ «КЕРНЕЛ-ТРЕЙД»</w:t>
      </w:r>
      <w:r w:rsidRPr="005332C6">
        <w:rPr>
          <w:rFonts w:ascii="Times New Roman" w:hAnsi="Times New Roman" w:cs="Times New Roman"/>
          <w:sz w:val="28"/>
          <w:szCs w:val="28"/>
        </w:rPr>
        <w:t xml:space="preserve"> матеріалізується через два ключові фінансові інструменти: </w:t>
      </w:r>
      <w:r w:rsidRPr="00984A28">
        <w:rPr>
          <w:rFonts w:ascii="Times New Roman" w:hAnsi="Times New Roman" w:cs="Times New Roman"/>
          <w:sz w:val="28"/>
          <w:szCs w:val="28"/>
        </w:rPr>
        <w:t>WACC та прогнозований вільний грошовий потік (FCFF/FCFE).</w:t>
      </w:r>
    </w:p>
    <w:p w14:paraId="02D7F184" w14:textId="11FB0000" w:rsid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При застосуванні дохідного підходу</w:t>
      </w:r>
      <w:r w:rsidRPr="00956B77">
        <w:rPr>
          <w:rFonts w:ascii="Times New Roman" w:hAnsi="Times New Roman" w:cs="Times New Roman"/>
          <w:sz w:val="28"/>
          <w:szCs w:val="28"/>
        </w:rPr>
        <w:t xml:space="preserve">, </w:t>
      </w:r>
      <w:proofErr w:type="spellStart"/>
      <w:r w:rsidRPr="00956B77">
        <w:rPr>
          <w:rFonts w:ascii="Times New Roman" w:hAnsi="Times New Roman" w:cs="Times New Roman"/>
          <w:sz w:val="28"/>
          <w:szCs w:val="28"/>
        </w:rPr>
        <w:t>інвестиційная</w:t>
      </w:r>
      <w:proofErr w:type="spellEnd"/>
      <w:r w:rsidRPr="00956B77">
        <w:rPr>
          <w:rFonts w:ascii="Times New Roman" w:hAnsi="Times New Roman" w:cs="Times New Roman"/>
          <w:sz w:val="28"/>
          <w:szCs w:val="28"/>
        </w:rPr>
        <w:t xml:space="preserve"> вартість (</w:t>
      </w:r>
      <w:proofErr w:type="spellStart"/>
      <w:r w:rsidRPr="00956B77">
        <w:rPr>
          <w:rFonts w:ascii="Times New Roman" w:hAnsi="Times New Roman" w:cs="Times New Roman"/>
          <w:sz w:val="28"/>
          <w:szCs w:val="28"/>
        </w:rPr>
        <w:t>V</w:t>
      </w:r>
      <w:r w:rsidRPr="00956B77">
        <w:rPr>
          <w:rFonts w:ascii="Times New Roman" w:hAnsi="Times New Roman" w:cs="Times New Roman"/>
          <w:sz w:val="28"/>
          <w:szCs w:val="28"/>
          <w:vertAlign w:val="subscript"/>
        </w:rPr>
        <w:t>inv</w:t>
      </w:r>
      <w:proofErr w:type="spellEnd"/>
      <w:r w:rsidRPr="00956B77">
        <w:rPr>
          <w:rFonts w:ascii="Times New Roman" w:hAnsi="Times New Roman" w:cs="Times New Roman"/>
          <w:sz w:val="28"/>
          <w:szCs w:val="28"/>
        </w:rPr>
        <w:t>) визначається як</w:t>
      </w:r>
      <w:r w:rsidR="00F81C33" w:rsidRPr="00956B77">
        <w:rPr>
          <w:rFonts w:ascii="Times New Roman" w:hAnsi="Times New Roman" w:cs="Times New Roman"/>
          <w:sz w:val="28"/>
          <w:szCs w:val="28"/>
        </w:rPr>
        <w:t xml:space="preserve"> [</w:t>
      </w:r>
      <w:r w:rsidR="00956B77" w:rsidRPr="00956B77">
        <w:rPr>
          <w:rFonts w:ascii="Times New Roman" w:hAnsi="Times New Roman" w:cs="Times New Roman"/>
          <w:sz w:val="28"/>
          <w:szCs w:val="28"/>
        </w:rPr>
        <w:t>6</w:t>
      </w:r>
      <w:r w:rsidR="00F81C33" w:rsidRPr="00956B77">
        <w:rPr>
          <w:rFonts w:ascii="Times New Roman" w:hAnsi="Times New Roman" w:cs="Times New Roman"/>
          <w:sz w:val="28"/>
          <w:szCs w:val="28"/>
        </w:rPr>
        <w:t>]</w:t>
      </w:r>
      <w:r w:rsidRPr="00956B77">
        <w:rPr>
          <w:rFonts w:ascii="Times New Roman" w:hAnsi="Times New Roman" w:cs="Times New Roman"/>
          <w:sz w:val="28"/>
          <w:szCs w:val="28"/>
        </w:rPr>
        <w:t>:</w:t>
      </w:r>
    </w:p>
    <w:p w14:paraId="422C9686" w14:textId="0B58FC56" w:rsidR="005332C6" w:rsidRPr="005332C6" w:rsidRDefault="005332C6" w:rsidP="00470E07">
      <w:pPr>
        <w:spacing w:after="0" w:line="360" w:lineRule="auto"/>
        <w:ind w:firstLine="708"/>
        <w:jc w:val="right"/>
        <w:rPr>
          <w:rFonts w:ascii="Times New Roman" w:hAnsi="Times New Roman" w:cs="Times New Roman"/>
          <w:sz w:val="28"/>
          <w:szCs w:val="28"/>
        </w:rPr>
      </w:pPr>
      <w:r w:rsidRPr="005332C6">
        <w:rPr>
          <w:rFonts w:ascii="Times New Roman" w:hAnsi="Times New Roman" w:cs="Times New Roman"/>
          <w:sz w:val="28"/>
          <w:szCs w:val="28"/>
        </w:rPr>
        <w:t xml:space="preserve">WACC = </w:t>
      </w:r>
      <w:proofErr w:type="spellStart"/>
      <w:r w:rsidRPr="005332C6">
        <w:rPr>
          <w:rFonts w:ascii="Times New Roman" w:hAnsi="Times New Roman" w:cs="Times New Roman"/>
          <w:sz w:val="28"/>
          <w:szCs w:val="28"/>
        </w:rPr>
        <w:t>w</w:t>
      </w:r>
      <w:r w:rsidRPr="00470E07">
        <w:rPr>
          <w:rFonts w:ascii="Times New Roman" w:hAnsi="Times New Roman" w:cs="Times New Roman"/>
          <w:sz w:val="28"/>
          <w:szCs w:val="28"/>
          <w:vertAlign w:val="subscript"/>
        </w:rPr>
        <w:t>e</w:t>
      </w:r>
      <w:proofErr w:type="spellEnd"/>
      <w:r w:rsidRPr="005332C6">
        <w:rPr>
          <w:rFonts w:ascii="Times New Roman" w:hAnsi="Times New Roman" w:cs="Times New Roman"/>
          <w:sz w:val="28"/>
          <w:szCs w:val="28"/>
        </w:rPr>
        <w:t xml:space="preserve"> </w:t>
      </w:r>
      <w:r w:rsidR="00470E07">
        <w:rPr>
          <w:rFonts w:ascii="Times New Roman" w:hAnsi="Times New Roman" w:cs="Times New Roman"/>
          <w:sz w:val="28"/>
          <w:szCs w:val="28"/>
        </w:rPr>
        <w:t xml:space="preserve">* </w:t>
      </w:r>
      <w:proofErr w:type="spellStart"/>
      <w:r w:rsidRPr="005332C6">
        <w:rPr>
          <w:rFonts w:ascii="Times New Roman" w:hAnsi="Times New Roman" w:cs="Times New Roman"/>
          <w:sz w:val="28"/>
          <w:szCs w:val="28"/>
        </w:rPr>
        <w:t>r</w:t>
      </w:r>
      <w:r w:rsidRPr="00470E07">
        <w:rPr>
          <w:rFonts w:ascii="Times New Roman" w:hAnsi="Times New Roman" w:cs="Times New Roman"/>
          <w:sz w:val="28"/>
          <w:szCs w:val="28"/>
          <w:vertAlign w:val="subscript"/>
        </w:rPr>
        <w:t>e</w:t>
      </w:r>
      <w:proofErr w:type="spellEnd"/>
      <w:r w:rsidRPr="005332C6">
        <w:rPr>
          <w:rFonts w:ascii="Times New Roman" w:hAnsi="Times New Roman" w:cs="Times New Roman"/>
          <w:sz w:val="28"/>
          <w:szCs w:val="28"/>
        </w:rPr>
        <w:t xml:space="preserve"> + </w:t>
      </w:r>
      <w:proofErr w:type="spellStart"/>
      <w:r w:rsidRPr="005332C6">
        <w:rPr>
          <w:rFonts w:ascii="Times New Roman" w:hAnsi="Times New Roman" w:cs="Times New Roman"/>
          <w:sz w:val="28"/>
          <w:szCs w:val="28"/>
        </w:rPr>
        <w:t>w</w:t>
      </w:r>
      <w:r w:rsidRPr="00470E07">
        <w:rPr>
          <w:rFonts w:ascii="Times New Roman" w:hAnsi="Times New Roman" w:cs="Times New Roman"/>
          <w:sz w:val="28"/>
          <w:szCs w:val="28"/>
          <w:vertAlign w:val="subscript"/>
        </w:rPr>
        <w:t>d</w:t>
      </w:r>
      <w:proofErr w:type="spellEnd"/>
      <w:r w:rsidRPr="005332C6">
        <w:rPr>
          <w:rFonts w:ascii="Times New Roman" w:hAnsi="Times New Roman" w:cs="Times New Roman"/>
          <w:sz w:val="28"/>
          <w:szCs w:val="28"/>
        </w:rPr>
        <w:t xml:space="preserve"> </w:t>
      </w:r>
      <w:r w:rsidR="00470E07">
        <w:rPr>
          <w:rFonts w:ascii="Times New Roman" w:hAnsi="Times New Roman" w:cs="Times New Roman"/>
          <w:sz w:val="28"/>
          <w:szCs w:val="28"/>
        </w:rPr>
        <w:t xml:space="preserve">* </w:t>
      </w:r>
      <w:proofErr w:type="spellStart"/>
      <w:r w:rsidRPr="005332C6">
        <w:rPr>
          <w:rFonts w:ascii="Times New Roman" w:hAnsi="Times New Roman" w:cs="Times New Roman"/>
          <w:sz w:val="28"/>
          <w:szCs w:val="28"/>
        </w:rPr>
        <w:t>r</w:t>
      </w:r>
      <w:r w:rsidRPr="00470E07">
        <w:rPr>
          <w:rFonts w:ascii="Times New Roman" w:hAnsi="Times New Roman" w:cs="Times New Roman"/>
          <w:sz w:val="28"/>
          <w:szCs w:val="28"/>
          <w:vertAlign w:val="subscript"/>
        </w:rPr>
        <w:t>d</w:t>
      </w:r>
      <w:proofErr w:type="spellEnd"/>
      <w:r w:rsidRPr="005332C6">
        <w:rPr>
          <w:rFonts w:ascii="Times New Roman" w:hAnsi="Times New Roman" w:cs="Times New Roman"/>
          <w:sz w:val="28"/>
          <w:szCs w:val="28"/>
        </w:rPr>
        <w:t xml:space="preserve"> </w:t>
      </w:r>
      <w:r w:rsidR="00470E07">
        <w:rPr>
          <w:rFonts w:ascii="Times New Roman" w:hAnsi="Times New Roman" w:cs="Times New Roman"/>
          <w:sz w:val="28"/>
          <w:szCs w:val="28"/>
        </w:rPr>
        <w:t>*</w:t>
      </w:r>
      <w:r w:rsidRPr="005332C6">
        <w:rPr>
          <w:rFonts w:ascii="Times New Roman" w:hAnsi="Times New Roman" w:cs="Times New Roman"/>
          <w:sz w:val="28"/>
          <w:szCs w:val="28"/>
        </w:rPr>
        <w:t xml:space="preserve"> (1 - T)</w:t>
      </w:r>
      <w:r w:rsidR="00470E07">
        <w:rPr>
          <w:rFonts w:ascii="Times New Roman" w:hAnsi="Times New Roman" w:cs="Times New Roman"/>
          <w:sz w:val="28"/>
          <w:szCs w:val="28"/>
        </w:rPr>
        <w:t xml:space="preserve">                                     (2.2)</w:t>
      </w:r>
    </w:p>
    <w:p w14:paraId="43975AFC" w14:textId="6FE03FE6" w:rsidR="005332C6" w:rsidRPr="005332C6" w:rsidRDefault="00470E07" w:rsidP="005332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5332C6" w:rsidRPr="005332C6">
        <w:rPr>
          <w:rFonts w:ascii="Times New Roman" w:hAnsi="Times New Roman" w:cs="Times New Roman"/>
          <w:sz w:val="28"/>
          <w:szCs w:val="28"/>
        </w:rPr>
        <w:t>е:</w:t>
      </w:r>
    </w:p>
    <w:p w14:paraId="208A5A41" w14:textId="0EAA464E" w:rsidR="005332C6" w:rsidRPr="005332C6" w:rsidRDefault="005332C6" w:rsidP="005332C6">
      <w:pPr>
        <w:numPr>
          <w:ilvl w:val="0"/>
          <w:numId w:val="23"/>
        </w:numPr>
        <w:spacing w:after="0" w:line="360" w:lineRule="auto"/>
        <w:jc w:val="both"/>
        <w:rPr>
          <w:rFonts w:ascii="Times New Roman" w:hAnsi="Times New Roman" w:cs="Times New Roman"/>
          <w:sz w:val="28"/>
          <w:szCs w:val="28"/>
        </w:rPr>
      </w:pPr>
      <w:proofErr w:type="spellStart"/>
      <w:r w:rsidRPr="005332C6">
        <w:rPr>
          <w:rFonts w:ascii="Times New Roman" w:hAnsi="Times New Roman" w:cs="Times New Roman"/>
          <w:sz w:val="28"/>
          <w:szCs w:val="28"/>
        </w:rPr>
        <w:t>w</w:t>
      </w:r>
      <w:r w:rsidRPr="00470E07">
        <w:rPr>
          <w:rFonts w:ascii="Times New Roman" w:hAnsi="Times New Roman" w:cs="Times New Roman"/>
          <w:sz w:val="28"/>
          <w:szCs w:val="28"/>
          <w:vertAlign w:val="subscript"/>
        </w:rPr>
        <w:t>e</w:t>
      </w:r>
      <w:proofErr w:type="spellEnd"/>
      <w:r w:rsidRPr="005332C6">
        <w:rPr>
          <w:rFonts w:ascii="Times New Roman" w:hAnsi="Times New Roman" w:cs="Times New Roman"/>
          <w:sz w:val="28"/>
          <w:szCs w:val="28"/>
        </w:rPr>
        <w:t xml:space="preserve">, </w:t>
      </w:r>
      <w:proofErr w:type="spellStart"/>
      <w:r w:rsidRPr="005332C6">
        <w:rPr>
          <w:rFonts w:ascii="Times New Roman" w:hAnsi="Times New Roman" w:cs="Times New Roman"/>
          <w:sz w:val="28"/>
          <w:szCs w:val="28"/>
        </w:rPr>
        <w:t>w</w:t>
      </w:r>
      <w:r w:rsidRPr="00470E07">
        <w:rPr>
          <w:rFonts w:ascii="Times New Roman" w:hAnsi="Times New Roman" w:cs="Times New Roman"/>
          <w:sz w:val="28"/>
          <w:szCs w:val="28"/>
          <w:vertAlign w:val="subscript"/>
        </w:rPr>
        <w:t>d</w:t>
      </w:r>
      <w:proofErr w:type="spellEnd"/>
      <w:r w:rsidRPr="005332C6">
        <w:rPr>
          <w:rFonts w:ascii="Times New Roman" w:hAnsi="Times New Roman" w:cs="Times New Roman"/>
          <w:sz w:val="28"/>
          <w:szCs w:val="28"/>
        </w:rPr>
        <w:t xml:space="preserve"> — частка власного та позикового капіталу в структурі пасивів;</w:t>
      </w:r>
    </w:p>
    <w:p w14:paraId="76B527E2" w14:textId="532BCFE0" w:rsidR="005332C6" w:rsidRPr="005332C6" w:rsidRDefault="005332C6" w:rsidP="005332C6">
      <w:pPr>
        <w:numPr>
          <w:ilvl w:val="0"/>
          <w:numId w:val="23"/>
        </w:numPr>
        <w:spacing w:after="0" w:line="360" w:lineRule="auto"/>
        <w:jc w:val="both"/>
        <w:rPr>
          <w:rFonts w:ascii="Times New Roman" w:hAnsi="Times New Roman" w:cs="Times New Roman"/>
          <w:sz w:val="28"/>
          <w:szCs w:val="28"/>
        </w:rPr>
      </w:pPr>
      <w:proofErr w:type="spellStart"/>
      <w:r w:rsidRPr="005332C6">
        <w:rPr>
          <w:rFonts w:ascii="Times New Roman" w:hAnsi="Times New Roman" w:cs="Times New Roman"/>
          <w:sz w:val="28"/>
          <w:szCs w:val="28"/>
        </w:rPr>
        <w:t>r</w:t>
      </w:r>
      <w:r w:rsidRPr="00470E07">
        <w:rPr>
          <w:rFonts w:ascii="Times New Roman" w:hAnsi="Times New Roman" w:cs="Times New Roman"/>
          <w:sz w:val="28"/>
          <w:szCs w:val="28"/>
          <w:vertAlign w:val="subscript"/>
        </w:rPr>
        <w:t>e</w:t>
      </w:r>
      <w:proofErr w:type="spellEnd"/>
      <w:r w:rsidRPr="005332C6">
        <w:rPr>
          <w:rFonts w:ascii="Times New Roman" w:hAnsi="Times New Roman" w:cs="Times New Roman"/>
          <w:sz w:val="28"/>
          <w:szCs w:val="28"/>
        </w:rPr>
        <w:t xml:space="preserve"> — вартість власного капіталу (необхідна інвестору норма прибутку);</w:t>
      </w:r>
    </w:p>
    <w:p w14:paraId="1EC7F2C1" w14:textId="41E6858C" w:rsidR="005332C6" w:rsidRPr="005332C6" w:rsidRDefault="005332C6" w:rsidP="005332C6">
      <w:pPr>
        <w:numPr>
          <w:ilvl w:val="0"/>
          <w:numId w:val="23"/>
        </w:numPr>
        <w:spacing w:after="0" w:line="360" w:lineRule="auto"/>
        <w:jc w:val="both"/>
        <w:rPr>
          <w:rFonts w:ascii="Times New Roman" w:hAnsi="Times New Roman" w:cs="Times New Roman"/>
          <w:sz w:val="28"/>
          <w:szCs w:val="28"/>
        </w:rPr>
      </w:pPr>
      <w:proofErr w:type="spellStart"/>
      <w:r w:rsidRPr="005332C6">
        <w:rPr>
          <w:rFonts w:ascii="Times New Roman" w:hAnsi="Times New Roman" w:cs="Times New Roman"/>
          <w:sz w:val="28"/>
          <w:szCs w:val="28"/>
        </w:rPr>
        <w:lastRenderedPageBreak/>
        <w:t>r</w:t>
      </w:r>
      <w:r w:rsidRPr="00470E07">
        <w:rPr>
          <w:rFonts w:ascii="Times New Roman" w:hAnsi="Times New Roman" w:cs="Times New Roman"/>
          <w:sz w:val="28"/>
          <w:szCs w:val="28"/>
          <w:vertAlign w:val="subscript"/>
        </w:rPr>
        <w:t>d</w:t>
      </w:r>
      <w:proofErr w:type="spellEnd"/>
      <w:r w:rsidRPr="005332C6">
        <w:rPr>
          <w:rFonts w:ascii="Times New Roman" w:hAnsi="Times New Roman" w:cs="Times New Roman"/>
          <w:sz w:val="28"/>
          <w:szCs w:val="28"/>
        </w:rPr>
        <w:t xml:space="preserve"> — відсоткова ставка за кредитами;</w:t>
      </w:r>
    </w:p>
    <w:p w14:paraId="77B88E15" w14:textId="10A56E4A" w:rsidR="005332C6" w:rsidRPr="005332C6" w:rsidRDefault="005332C6" w:rsidP="005332C6">
      <w:pPr>
        <w:numPr>
          <w:ilvl w:val="0"/>
          <w:numId w:val="23"/>
        </w:numPr>
        <w:spacing w:after="0" w:line="360" w:lineRule="auto"/>
        <w:jc w:val="both"/>
        <w:rPr>
          <w:rFonts w:ascii="Times New Roman" w:hAnsi="Times New Roman" w:cs="Times New Roman"/>
          <w:sz w:val="28"/>
          <w:szCs w:val="28"/>
        </w:rPr>
      </w:pPr>
      <w:r w:rsidRPr="005332C6">
        <w:rPr>
          <w:rFonts w:ascii="Times New Roman" w:hAnsi="Times New Roman" w:cs="Times New Roman"/>
          <w:sz w:val="28"/>
          <w:szCs w:val="28"/>
        </w:rPr>
        <w:t>T — ставка податку на прибуток.</w:t>
      </w:r>
    </w:p>
    <w:p w14:paraId="0676E107" w14:textId="774919DE" w:rsidR="005332C6" w:rsidRPr="005332C6" w:rsidRDefault="00470E07" w:rsidP="00470E07">
      <w:pPr>
        <w:spacing w:after="0" w:line="360"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      </w:t>
      </w:r>
      <w:r w:rsidR="005332C6" w:rsidRPr="005332C6">
        <w:rPr>
          <w:rFonts w:ascii="Times New Roman" w:hAnsi="Times New Roman" w:cs="Times New Roman"/>
          <w:sz w:val="28"/>
          <w:szCs w:val="28"/>
        </w:rPr>
        <w:t xml:space="preserve">Оскільки коефіцієнт автономії підприємства впав до 0,398, а модель Терещенка підтверджує передкризовий стан, інвестор закладає високу премію за системний ризик при розрахунку вартості власного капіталу за </w:t>
      </w:r>
      <w:proofErr w:type="spellStart"/>
      <w:r w:rsidR="005332C6" w:rsidRPr="005332C6">
        <w:rPr>
          <w:rFonts w:ascii="Times New Roman" w:hAnsi="Times New Roman" w:cs="Times New Roman"/>
          <w:sz w:val="28"/>
          <w:szCs w:val="28"/>
        </w:rPr>
        <w:t>моделю</w:t>
      </w:r>
      <w:proofErr w:type="spellEnd"/>
      <w:r w:rsidR="005332C6" w:rsidRPr="005332C6">
        <w:rPr>
          <w:rFonts w:ascii="Times New Roman" w:hAnsi="Times New Roman" w:cs="Times New Roman"/>
          <w:sz w:val="28"/>
          <w:szCs w:val="28"/>
        </w:rPr>
        <w:t xml:space="preserve"> </w:t>
      </w:r>
      <w:r w:rsidR="005332C6" w:rsidRPr="00956B77">
        <w:rPr>
          <w:rFonts w:ascii="Times New Roman" w:hAnsi="Times New Roman" w:cs="Times New Roman"/>
          <w:sz w:val="28"/>
          <w:szCs w:val="28"/>
        </w:rPr>
        <w:t>CAPM</w:t>
      </w:r>
      <w:r w:rsidR="00956B77" w:rsidRPr="00956B77">
        <w:rPr>
          <w:rFonts w:ascii="Times New Roman" w:hAnsi="Times New Roman" w:cs="Times New Roman"/>
          <w:sz w:val="28"/>
          <w:szCs w:val="28"/>
        </w:rPr>
        <w:t xml:space="preserve"> </w:t>
      </w:r>
      <w:r w:rsidR="00F81C33" w:rsidRPr="00956B77">
        <w:rPr>
          <w:rFonts w:ascii="Times New Roman" w:hAnsi="Times New Roman" w:cs="Times New Roman"/>
          <w:sz w:val="28"/>
          <w:szCs w:val="28"/>
        </w:rPr>
        <w:t>[</w:t>
      </w:r>
      <w:r w:rsidR="00956B77" w:rsidRPr="00956B77">
        <w:rPr>
          <w:rFonts w:ascii="Times New Roman" w:hAnsi="Times New Roman" w:cs="Times New Roman"/>
          <w:sz w:val="28"/>
          <w:szCs w:val="28"/>
        </w:rPr>
        <w:t>14</w:t>
      </w:r>
      <w:r w:rsidR="00F81C33" w:rsidRPr="00956B77">
        <w:rPr>
          <w:rFonts w:ascii="Times New Roman" w:hAnsi="Times New Roman" w:cs="Times New Roman"/>
          <w:sz w:val="28"/>
          <w:szCs w:val="28"/>
        </w:rPr>
        <w:t>]:</w:t>
      </w:r>
    </w:p>
    <w:p w14:paraId="19A36F89" w14:textId="746A3614" w:rsidR="005332C6" w:rsidRPr="005332C6" w:rsidRDefault="005332C6" w:rsidP="00CD51A1">
      <w:pPr>
        <w:spacing w:after="0" w:line="360" w:lineRule="auto"/>
        <w:ind w:firstLine="708"/>
        <w:jc w:val="right"/>
        <w:rPr>
          <w:rFonts w:ascii="Times New Roman" w:hAnsi="Times New Roman" w:cs="Times New Roman"/>
          <w:sz w:val="28"/>
          <w:szCs w:val="28"/>
        </w:rPr>
      </w:pPr>
      <w:proofErr w:type="spellStart"/>
      <w:r w:rsidRPr="005332C6">
        <w:rPr>
          <w:rFonts w:ascii="Times New Roman" w:hAnsi="Times New Roman" w:cs="Times New Roman"/>
          <w:sz w:val="28"/>
          <w:szCs w:val="28"/>
        </w:rPr>
        <w:t>r</w:t>
      </w:r>
      <w:r w:rsidRPr="00CD51A1">
        <w:rPr>
          <w:rFonts w:ascii="Times New Roman" w:hAnsi="Times New Roman" w:cs="Times New Roman"/>
          <w:sz w:val="28"/>
          <w:szCs w:val="28"/>
          <w:vertAlign w:val="subscript"/>
        </w:rPr>
        <w:t>e</w:t>
      </w:r>
      <w:proofErr w:type="spellEnd"/>
      <w:r w:rsidRPr="005332C6">
        <w:rPr>
          <w:rFonts w:ascii="Times New Roman" w:hAnsi="Times New Roman" w:cs="Times New Roman"/>
          <w:sz w:val="28"/>
          <w:szCs w:val="28"/>
        </w:rPr>
        <w:t xml:space="preserve"> = </w:t>
      </w:r>
      <w:proofErr w:type="spellStart"/>
      <w:r w:rsidRPr="005332C6">
        <w:rPr>
          <w:rFonts w:ascii="Times New Roman" w:hAnsi="Times New Roman" w:cs="Times New Roman"/>
          <w:sz w:val="28"/>
          <w:szCs w:val="28"/>
        </w:rPr>
        <w:t>R</w:t>
      </w:r>
      <w:r w:rsidRPr="00CD51A1">
        <w:rPr>
          <w:rFonts w:ascii="Times New Roman" w:hAnsi="Times New Roman" w:cs="Times New Roman"/>
          <w:sz w:val="28"/>
          <w:szCs w:val="28"/>
          <w:vertAlign w:val="subscript"/>
        </w:rPr>
        <w:t>f</w:t>
      </w:r>
      <w:proofErr w:type="spellEnd"/>
      <w:r w:rsidRPr="005332C6">
        <w:rPr>
          <w:rFonts w:ascii="Times New Roman" w:hAnsi="Times New Roman" w:cs="Times New Roman"/>
          <w:sz w:val="28"/>
          <w:szCs w:val="28"/>
        </w:rPr>
        <w:t xml:space="preserve"> + </w:t>
      </w:r>
      <w:r w:rsidR="00CD51A1" w:rsidRPr="00CD51A1">
        <w:rPr>
          <w:rFonts w:ascii="Times New Roman" w:hAnsi="Times New Roman" w:cs="Times New Roman"/>
          <w:sz w:val="28"/>
          <w:szCs w:val="28"/>
        </w:rPr>
        <w:t xml:space="preserve">β </w:t>
      </w:r>
      <w:r w:rsidR="00CD51A1">
        <w:rPr>
          <w:rFonts w:ascii="Times New Roman" w:hAnsi="Times New Roman" w:cs="Times New Roman"/>
          <w:sz w:val="28"/>
          <w:szCs w:val="28"/>
        </w:rPr>
        <w:t>* (</w:t>
      </w:r>
      <w:proofErr w:type="spellStart"/>
      <w:r w:rsidRPr="005332C6">
        <w:rPr>
          <w:rFonts w:ascii="Times New Roman" w:hAnsi="Times New Roman" w:cs="Times New Roman"/>
          <w:sz w:val="28"/>
          <w:szCs w:val="28"/>
        </w:rPr>
        <w:t>R</w:t>
      </w:r>
      <w:r w:rsidRPr="00CD51A1">
        <w:rPr>
          <w:rFonts w:ascii="Times New Roman" w:hAnsi="Times New Roman" w:cs="Times New Roman"/>
          <w:sz w:val="28"/>
          <w:szCs w:val="28"/>
          <w:vertAlign w:val="subscript"/>
        </w:rPr>
        <w:t>m</w:t>
      </w:r>
      <w:proofErr w:type="spellEnd"/>
      <w:r w:rsidRPr="005332C6">
        <w:rPr>
          <w:rFonts w:ascii="Times New Roman" w:hAnsi="Times New Roman" w:cs="Times New Roman"/>
          <w:sz w:val="28"/>
          <w:szCs w:val="28"/>
        </w:rPr>
        <w:t xml:space="preserve"> - </w:t>
      </w:r>
      <w:proofErr w:type="spellStart"/>
      <w:r w:rsidRPr="005332C6">
        <w:rPr>
          <w:rFonts w:ascii="Times New Roman" w:hAnsi="Times New Roman" w:cs="Times New Roman"/>
          <w:sz w:val="28"/>
          <w:szCs w:val="28"/>
        </w:rPr>
        <w:t>R</w:t>
      </w:r>
      <w:r w:rsidRPr="00CD51A1">
        <w:rPr>
          <w:rFonts w:ascii="Times New Roman" w:hAnsi="Times New Roman" w:cs="Times New Roman"/>
          <w:sz w:val="28"/>
          <w:szCs w:val="28"/>
          <w:vertAlign w:val="subscript"/>
        </w:rPr>
        <w:t>f</w:t>
      </w:r>
      <w:proofErr w:type="spellEnd"/>
      <w:r w:rsidR="00CD51A1" w:rsidRPr="00CD51A1">
        <w:rPr>
          <w:rFonts w:ascii="Times New Roman" w:hAnsi="Times New Roman" w:cs="Times New Roman"/>
          <w:sz w:val="28"/>
          <w:szCs w:val="28"/>
        </w:rPr>
        <w:t>)</w:t>
      </w:r>
      <w:r w:rsidRPr="00CD51A1">
        <w:rPr>
          <w:rFonts w:ascii="Times New Roman" w:hAnsi="Times New Roman" w:cs="Times New Roman"/>
          <w:sz w:val="28"/>
          <w:szCs w:val="28"/>
        </w:rPr>
        <w:t xml:space="preserve"> </w:t>
      </w:r>
      <w:r w:rsidRPr="005332C6">
        <w:rPr>
          <w:rFonts w:ascii="Times New Roman" w:hAnsi="Times New Roman" w:cs="Times New Roman"/>
          <w:sz w:val="28"/>
          <w:szCs w:val="28"/>
        </w:rPr>
        <w:t xml:space="preserve">+ </w:t>
      </w:r>
      <w:r w:rsidR="00CD51A1" w:rsidRPr="00CD51A1">
        <w:rPr>
          <w:rFonts w:ascii="Times New Roman" w:hAnsi="Times New Roman" w:cs="Times New Roman"/>
          <w:sz w:val="28"/>
          <w:szCs w:val="28"/>
        </w:rPr>
        <w:t>Δ</w:t>
      </w:r>
      <w:r w:rsidR="00CD51A1">
        <w:rPr>
          <w:rFonts w:ascii="Times New Roman" w:hAnsi="Times New Roman" w:cs="Times New Roman"/>
          <w:sz w:val="28"/>
          <w:szCs w:val="28"/>
        </w:rPr>
        <w:t xml:space="preserve"> </w:t>
      </w:r>
      <w:r w:rsidRPr="005332C6">
        <w:rPr>
          <w:rFonts w:ascii="Times New Roman" w:hAnsi="Times New Roman" w:cs="Times New Roman"/>
          <w:sz w:val="28"/>
          <w:szCs w:val="28"/>
        </w:rPr>
        <w:t>ризик</w:t>
      </w:r>
      <w:r w:rsidR="00CD51A1">
        <w:rPr>
          <w:rFonts w:ascii="Times New Roman" w:hAnsi="Times New Roman" w:cs="Times New Roman"/>
          <w:sz w:val="28"/>
          <w:szCs w:val="28"/>
        </w:rPr>
        <w:t>у                              (2.3)</w:t>
      </w:r>
    </w:p>
    <w:p w14:paraId="2538A534" w14:textId="7E34BAF4" w:rsidR="00470E07" w:rsidRDefault="005332C6" w:rsidP="00470E07">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Падіння фінансової стійкості збільшує коефіцієнт бета (</w:t>
      </w:r>
      <w:r w:rsidR="00CD51A1" w:rsidRPr="00CD51A1">
        <w:rPr>
          <w:rFonts w:ascii="Times New Roman" w:hAnsi="Times New Roman" w:cs="Times New Roman"/>
          <w:sz w:val="28"/>
          <w:szCs w:val="28"/>
        </w:rPr>
        <w:t>β</w:t>
      </w:r>
      <w:r w:rsidRPr="005332C6">
        <w:rPr>
          <w:rFonts w:ascii="Times New Roman" w:hAnsi="Times New Roman" w:cs="Times New Roman"/>
          <w:sz w:val="28"/>
          <w:szCs w:val="28"/>
        </w:rPr>
        <w:t>) та додає специфічну премію за ризик (</w:t>
      </w:r>
      <w:r w:rsidR="00CD51A1" w:rsidRPr="00CD51A1">
        <w:rPr>
          <w:rFonts w:ascii="Times New Roman" w:hAnsi="Times New Roman" w:cs="Times New Roman"/>
          <w:sz w:val="28"/>
          <w:szCs w:val="28"/>
        </w:rPr>
        <w:t>Δ</w:t>
      </w:r>
      <w:r w:rsidR="00CD51A1">
        <w:rPr>
          <w:rFonts w:ascii="Times New Roman" w:hAnsi="Times New Roman" w:cs="Times New Roman"/>
          <w:sz w:val="28"/>
          <w:szCs w:val="28"/>
        </w:rPr>
        <w:t xml:space="preserve"> </w:t>
      </w:r>
      <w:r w:rsidRPr="005332C6">
        <w:rPr>
          <w:rFonts w:ascii="Times New Roman" w:hAnsi="Times New Roman" w:cs="Times New Roman"/>
          <w:sz w:val="28"/>
          <w:szCs w:val="28"/>
        </w:rPr>
        <w:t>ризику). Це призводить до зростання ставки дисконту (WACC). Відповідно, при вищій ставці дисконтування теперішня вартість майбутніх грошових потоків суттєво зменшується, знижуючи загальну інвестиційну вартість об'єкта.</w:t>
      </w:r>
    </w:p>
    <w:p w14:paraId="00B6F27C" w14:textId="34582ADD" w:rsidR="005332C6" w:rsidRPr="005332C6" w:rsidRDefault="005332C6" w:rsidP="00470E07">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Позиковий капітал вимагає постійного обслуговування. Зростання фінансових витрат до 1,79 млрд грн у 2025 році призвело до вимивання чистого прибутку. Вільний грошовий потік, доступний безпосередньо власнику, розраховується як</w:t>
      </w:r>
      <w:r w:rsidR="003839CF">
        <w:rPr>
          <w:rFonts w:ascii="Times New Roman" w:hAnsi="Times New Roman" w:cs="Times New Roman"/>
          <w:sz w:val="28"/>
          <w:szCs w:val="28"/>
        </w:rPr>
        <w:t xml:space="preserve"> </w:t>
      </w:r>
      <w:r w:rsidR="003839CF" w:rsidRPr="00956B77">
        <w:rPr>
          <w:rFonts w:ascii="Times New Roman" w:hAnsi="Times New Roman" w:cs="Times New Roman"/>
          <w:sz w:val="28"/>
          <w:szCs w:val="28"/>
        </w:rPr>
        <w:t>[</w:t>
      </w:r>
      <w:r w:rsidR="003839CF">
        <w:rPr>
          <w:rFonts w:ascii="Times New Roman" w:hAnsi="Times New Roman" w:cs="Times New Roman"/>
          <w:sz w:val="28"/>
          <w:szCs w:val="28"/>
        </w:rPr>
        <w:t>6</w:t>
      </w:r>
      <w:r w:rsidR="003839CF" w:rsidRPr="00956B77">
        <w:rPr>
          <w:rFonts w:ascii="Times New Roman" w:hAnsi="Times New Roman" w:cs="Times New Roman"/>
          <w:sz w:val="28"/>
          <w:szCs w:val="28"/>
        </w:rPr>
        <w:t>]</w:t>
      </w:r>
      <w:r w:rsidRPr="005332C6">
        <w:rPr>
          <w:rFonts w:ascii="Times New Roman" w:hAnsi="Times New Roman" w:cs="Times New Roman"/>
          <w:sz w:val="28"/>
          <w:szCs w:val="28"/>
        </w:rPr>
        <w:t>:</w:t>
      </w:r>
    </w:p>
    <w:p w14:paraId="05813034" w14:textId="146C8F44" w:rsidR="005332C6" w:rsidRPr="005332C6" w:rsidRDefault="005332C6" w:rsidP="00CD51A1">
      <w:pPr>
        <w:spacing w:after="0" w:line="360" w:lineRule="auto"/>
        <w:jc w:val="right"/>
        <w:rPr>
          <w:rFonts w:ascii="Times New Roman" w:hAnsi="Times New Roman" w:cs="Times New Roman"/>
          <w:sz w:val="28"/>
          <w:szCs w:val="28"/>
        </w:rPr>
      </w:pPr>
      <w:r w:rsidRPr="005332C6">
        <w:rPr>
          <w:rFonts w:ascii="Times New Roman" w:hAnsi="Times New Roman" w:cs="Times New Roman"/>
          <w:sz w:val="28"/>
          <w:szCs w:val="28"/>
        </w:rPr>
        <w:t xml:space="preserve">FCFE = Чистий прибуток + Амортизація - Капітальні інвестиції - </w:t>
      </w:r>
      <w:r w:rsidR="00CD51A1" w:rsidRPr="00CD51A1">
        <w:rPr>
          <w:rFonts w:ascii="Times New Roman" w:hAnsi="Times New Roman" w:cs="Times New Roman"/>
          <w:sz w:val="28"/>
          <w:szCs w:val="28"/>
        </w:rPr>
        <w:t>Δ</w:t>
      </w:r>
      <w:r w:rsidR="00CD51A1" w:rsidRPr="005332C6">
        <w:rPr>
          <w:rFonts w:ascii="Times New Roman" w:hAnsi="Times New Roman" w:cs="Times New Roman"/>
          <w:sz w:val="28"/>
          <w:szCs w:val="28"/>
        </w:rPr>
        <w:t xml:space="preserve"> </w:t>
      </w:r>
      <w:r w:rsidRPr="005332C6">
        <w:rPr>
          <w:rFonts w:ascii="Times New Roman" w:hAnsi="Times New Roman" w:cs="Times New Roman"/>
          <w:sz w:val="28"/>
          <w:szCs w:val="28"/>
        </w:rPr>
        <w:t xml:space="preserve">Робочого </w:t>
      </w:r>
      <w:r w:rsidR="00CD51A1">
        <w:rPr>
          <w:rFonts w:ascii="Times New Roman" w:hAnsi="Times New Roman" w:cs="Times New Roman"/>
          <w:sz w:val="28"/>
          <w:szCs w:val="28"/>
        </w:rPr>
        <w:t xml:space="preserve">  </w:t>
      </w:r>
      <w:r w:rsidRPr="005332C6">
        <w:rPr>
          <w:rFonts w:ascii="Times New Roman" w:hAnsi="Times New Roman" w:cs="Times New Roman"/>
          <w:sz w:val="28"/>
          <w:szCs w:val="28"/>
        </w:rPr>
        <w:t>ка</w:t>
      </w:r>
      <w:r w:rsidR="00CD51A1">
        <w:rPr>
          <w:rFonts w:ascii="Times New Roman" w:hAnsi="Times New Roman" w:cs="Times New Roman"/>
          <w:sz w:val="28"/>
          <w:szCs w:val="28"/>
        </w:rPr>
        <w:t>піталу</w:t>
      </w:r>
      <w:r w:rsidRPr="005332C6">
        <w:rPr>
          <w:rFonts w:ascii="Times New Roman" w:hAnsi="Times New Roman" w:cs="Times New Roman"/>
          <w:sz w:val="28"/>
          <w:szCs w:val="28"/>
        </w:rPr>
        <w:t xml:space="preserve"> + </w:t>
      </w:r>
      <w:r w:rsidR="00CD51A1">
        <w:rPr>
          <w:rFonts w:ascii="Times New Roman" w:hAnsi="Times New Roman" w:cs="Times New Roman"/>
          <w:sz w:val="28"/>
          <w:szCs w:val="28"/>
        </w:rPr>
        <w:t>(</w:t>
      </w:r>
      <w:r w:rsidRPr="005332C6">
        <w:rPr>
          <w:rFonts w:ascii="Times New Roman" w:hAnsi="Times New Roman" w:cs="Times New Roman"/>
          <w:sz w:val="28"/>
          <w:szCs w:val="28"/>
        </w:rPr>
        <w:t>Залучений борг - Погашений борг</w:t>
      </w:r>
      <w:r w:rsidR="00CD51A1">
        <w:rPr>
          <w:rFonts w:ascii="Times New Roman" w:hAnsi="Times New Roman" w:cs="Times New Roman"/>
          <w:sz w:val="28"/>
          <w:szCs w:val="28"/>
        </w:rPr>
        <w:t>)                       (2.4)</w:t>
      </w:r>
    </w:p>
    <w:p w14:paraId="4822F45D" w14:textId="04BF1C20"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Падіння чистого прибутку на 94,75% автоматично стискає FCFE. Інвестор бачить, що компанія, попри велику виручку, майже весь реальний кеш віддає банкам на покриття відсотків за короткостроковими кредитами.</w:t>
      </w:r>
    </w:p>
    <w:p w14:paraId="6919401C" w14:textId="47F52996"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Діагностика фінансової стійкості підприємства за період 2023</w:t>
      </w:r>
      <w:r w:rsidR="00470E07">
        <w:rPr>
          <w:rFonts w:ascii="Times New Roman" w:hAnsi="Times New Roman" w:cs="Times New Roman"/>
          <w:sz w:val="28"/>
          <w:szCs w:val="28"/>
        </w:rPr>
        <w:t>-</w:t>
      </w:r>
      <w:r w:rsidRPr="005332C6">
        <w:rPr>
          <w:rFonts w:ascii="Times New Roman" w:hAnsi="Times New Roman" w:cs="Times New Roman"/>
          <w:sz w:val="28"/>
          <w:szCs w:val="28"/>
        </w:rPr>
        <w:t xml:space="preserve">2025 років виявила формування стійких деструктивних тенденцій. Скорочення чистих активів на 14,58% та падіння коефіцієнта автономії нижче нормативного рівня сформували передумови. Компанія має високий «запас міцності» за масштабом операційної швидкості (згідно з </w:t>
      </w:r>
      <w:proofErr w:type="spellStart"/>
      <w:r w:rsidRPr="005332C6">
        <w:rPr>
          <w:rFonts w:ascii="Times New Roman" w:hAnsi="Times New Roman" w:cs="Times New Roman"/>
          <w:sz w:val="28"/>
          <w:szCs w:val="28"/>
        </w:rPr>
        <w:t>моделю</w:t>
      </w:r>
      <w:proofErr w:type="spellEnd"/>
      <w:r w:rsidRPr="005332C6">
        <w:rPr>
          <w:rFonts w:ascii="Times New Roman" w:hAnsi="Times New Roman" w:cs="Times New Roman"/>
          <w:sz w:val="28"/>
          <w:szCs w:val="28"/>
        </w:rPr>
        <w:t xml:space="preserve"> Альтмана), але перебуває в зоні високого ризику за рівнем реальної капіталізації прибутку (згідно з </w:t>
      </w:r>
      <w:proofErr w:type="spellStart"/>
      <w:r w:rsidRPr="005332C6">
        <w:rPr>
          <w:rFonts w:ascii="Times New Roman" w:hAnsi="Times New Roman" w:cs="Times New Roman"/>
          <w:sz w:val="28"/>
          <w:szCs w:val="28"/>
        </w:rPr>
        <w:t>моделю</w:t>
      </w:r>
      <w:proofErr w:type="spellEnd"/>
      <w:r w:rsidRPr="005332C6">
        <w:rPr>
          <w:rFonts w:ascii="Times New Roman" w:hAnsi="Times New Roman" w:cs="Times New Roman"/>
          <w:sz w:val="28"/>
          <w:szCs w:val="28"/>
        </w:rPr>
        <w:t xml:space="preserve"> Терещенка).</w:t>
      </w:r>
    </w:p>
    <w:p w14:paraId="08BD6139" w14:textId="4C50D26B" w:rsidR="005332C6" w:rsidRPr="005332C6" w:rsidRDefault="005332C6" w:rsidP="005332C6">
      <w:pPr>
        <w:spacing w:after="0" w:line="360" w:lineRule="auto"/>
        <w:ind w:firstLine="708"/>
        <w:jc w:val="both"/>
        <w:rPr>
          <w:rFonts w:ascii="Times New Roman" w:hAnsi="Times New Roman" w:cs="Times New Roman"/>
          <w:sz w:val="28"/>
          <w:szCs w:val="28"/>
        </w:rPr>
      </w:pPr>
      <w:r w:rsidRPr="005332C6">
        <w:rPr>
          <w:rFonts w:ascii="Times New Roman" w:hAnsi="Times New Roman" w:cs="Times New Roman"/>
          <w:sz w:val="28"/>
          <w:szCs w:val="28"/>
        </w:rPr>
        <w:t xml:space="preserve">Для відновлення інвестиційної вартості бізнесу менеджмент повинен негайно перейти від стратегії агресивного нарощування виручки за рахунок короткострокових боргів до стратегії капітальної стабілізації — реструктуризації </w:t>
      </w:r>
      <w:r w:rsidRPr="005332C6">
        <w:rPr>
          <w:rFonts w:ascii="Times New Roman" w:hAnsi="Times New Roman" w:cs="Times New Roman"/>
          <w:sz w:val="28"/>
          <w:szCs w:val="28"/>
        </w:rPr>
        <w:lastRenderedPageBreak/>
        <w:t>пасивів, зниження левериджу та оптимізації фінансових витрат. Це дозволить знизити ставку дисконтування WACC, максимізувати чистий прибуток і, як наслідок, суттєво підняти інвестиційну вартість підприємства в очах майбутніх інвесторів.</w:t>
      </w:r>
    </w:p>
    <w:p w14:paraId="2D9AE83D" w14:textId="77777777" w:rsidR="00701F7C" w:rsidRDefault="00701F7C" w:rsidP="00AA3691">
      <w:pPr>
        <w:spacing w:after="0" w:line="360" w:lineRule="auto"/>
        <w:ind w:firstLine="708"/>
        <w:jc w:val="both"/>
        <w:rPr>
          <w:rFonts w:ascii="Times New Roman" w:hAnsi="Times New Roman" w:cs="Times New Roman"/>
          <w:sz w:val="28"/>
          <w:szCs w:val="28"/>
        </w:rPr>
      </w:pPr>
    </w:p>
    <w:p w14:paraId="4FFF0B4A" w14:textId="5073C8E5" w:rsidR="00701F7C" w:rsidRDefault="00CD51A1" w:rsidP="00AA3691">
      <w:pPr>
        <w:spacing w:after="0" w:line="360" w:lineRule="auto"/>
        <w:ind w:firstLine="708"/>
        <w:jc w:val="both"/>
        <w:rPr>
          <w:rFonts w:ascii="Times New Roman" w:hAnsi="Times New Roman" w:cs="Times New Roman"/>
          <w:b/>
          <w:bCs/>
          <w:sz w:val="28"/>
          <w:szCs w:val="28"/>
        </w:rPr>
      </w:pPr>
      <w:r w:rsidRPr="00CD51A1">
        <w:rPr>
          <w:rFonts w:ascii="Times New Roman" w:hAnsi="Times New Roman" w:cs="Times New Roman"/>
          <w:b/>
          <w:bCs/>
          <w:sz w:val="28"/>
          <w:szCs w:val="28"/>
        </w:rPr>
        <w:t>2.3. Аналіз ефективності відтворення активів у системі нарощування капіталізації підприємства</w:t>
      </w:r>
    </w:p>
    <w:p w14:paraId="579BBD2A" w14:textId="77777777" w:rsidR="00CD51A1" w:rsidRDefault="00CD51A1" w:rsidP="00AA3691">
      <w:pPr>
        <w:spacing w:after="0" w:line="360" w:lineRule="auto"/>
        <w:ind w:firstLine="708"/>
        <w:jc w:val="both"/>
        <w:rPr>
          <w:rFonts w:ascii="Times New Roman" w:hAnsi="Times New Roman" w:cs="Times New Roman"/>
          <w:b/>
          <w:bCs/>
          <w:sz w:val="28"/>
          <w:szCs w:val="28"/>
        </w:rPr>
      </w:pPr>
    </w:p>
    <w:p w14:paraId="7285EB87" w14:textId="23493E94" w:rsidR="0004050A" w:rsidRPr="0004050A" w:rsidRDefault="0004050A" w:rsidP="0004050A">
      <w:pPr>
        <w:spacing w:after="0" w:line="360" w:lineRule="auto"/>
        <w:ind w:firstLine="708"/>
        <w:jc w:val="both"/>
        <w:rPr>
          <w:rFonts w:ascii="Times New Roman" w:hAnsi="Times New Roman" w:cs="Times New Roman"/>
          <w:sz w:val="28"/>
          <w:szCs w:val="28"/>
        </w:rPr>
      </w:pPr>
      <w:r w:rsidRPr="0004050A">
        <w:rPr>
          <w:rFonts w:ascii="Times New Roman" w:hAnsi="Times New Roman" w:cs="Times New Roman"/>
          <w:sz w:val="28"/>
          <w:szCs w:val="28"/>
        </w:rPr>
        <w:t>Реальний сектор економіки вимагає безперервного та якісного оновлення як ключової передумови довгострокового зростання. У фінансовому менеджменті необоротні активи, зокрема основні засоби, розглядаються не просто як виробнича потужність, а як матеріалізована частина капіталу підприємства. Швидкість, характер та ефективність їхнього відтворення безпосередньо формують майбутню капіталізацію бізнесу.</w:t>
      </w:r>
    </w:p>
    <w:p w14:paraId="16A98D49" w14:textId="77777777" w:rsidR="0004050A" w:rsidRPr="0004050A" w:rsidRDefault="0004050A" w:rsidP="0004050A">
      <w:pPr>
        <w:spacing w:after="0" w:line="360" w:lineRule="auto"/>
        <w:ind w:firstLine="708"/>
        <w:jc w:val="both"/>
        <w:rPr>
          <w:rFonts w:ascii="Times New Roman" w:hAnsi="Times New Roman" w:cs="Times New Roman"/>
          <w:sz w:val="28"/>
          <w:szCs w:val="28"/>
        </w:rPr>
      </w:pPr>
      <w:r w:rsidRPr="0004050A">
        <w:rPr>
          <w:rFonts w:ascii="Times New Roman" w:hAnsi="Times New Roman" w:cs="Times New Roman"/>
          <w:sz w:val="28"/>
          <w:szCs w:val="28"/>
        </w:rPr>
        <w:t>Якщо процеси відтворення матеріальних активів уповільнюються, підприємство починає втрачати свій технологічний потенціал, що призводить до зростання операційних витрат, зниження якості продукції та, як наслідок, ерозії вартості чистих активів.</w:t>
      </w:r>
    </w:p>
    <w:p w14:paraId="314990B0" w14:textId="77777777" w:rsidR="0004050A" w:rsidRPr="0004050A" w:rsidRDefault="0004050A" w:rsidP="0004050A">
      <w:pPr>
        <w:spacing w:after="0" w:line="360" w:lineRule="auto"/>
        <w:ind w:firstLine="708"/>
        <w:jc w:val="both"/>
        <w:rPr>
          <w:rFonts w:ascii="Times New Roman" w:hAnsi="Times New Roman" w:cs="Times New Roman"/>
          <w:sz w:val="28"/>
          <w:szCs w:val="28"/>
        </w:rPr>
      </w:pPr>
      <w:r w:rsidRPr="0004050A">
        <w:rPr>
          <w:rFonts w:ascii="Times New Roman" w:hAnsi="Times New Roman" w:cs="Times New Roman"/>
          <w:sz w:val="28"/>
          <w:szCs w:val="28"/>
        </w:rPr>
        <w:t>Процес відтворення основних засобів може здійснюватися у формі простого відтворення (ремонт, заміна зношених елементів у тих самих масштабах) або розширеного відтворення (модернізація, реконструкція, придбання нового високоефективного обладнання). Для оцінки інтенсивності цих процесів у фінансовому аналізі використовується декілька взаємопов'язаних відносних показників:</w:t>
      </w:r>
    </w:p>
    <w:p w14:paraId="6E408787" w14:textId="57D864AB" w:rsidR="0004050A" w:rsidRPr="003839CF" w:rsidRDefault="0004050A" w:rsidP="0004050A">
      <w:pPr>
        <w:numPr>
          <w:ilvl w:val="0"/>
          <w:numId w:val="25"/>
        </w:numPr>
        <w:tabs>
          <w:tab w:val="clear" w:pos="720"/>
          <w:tab w:val="num" w:pos="426"/>
        </w:tabs>
        <w:spacing w:after="0" w:line="360" w:lineRule="auto"/>
        <w:ind w:left="0" w:firstLine="284"/>
        <w:jc w:val="both"/>
        <w:rPr>
          <w:rFonts w:ascii="Times New Roman" w:hAnsi="Times New Roman" w:cs="Times New Roman"/>
          <w:sz w:val="28"/>
          <w:szCs w:val="28"/>
        </w:rPr>
      </w:pPr>
      <w:r w:rsidRPr="0004050A">
        <w:rPr>
          <w:rFonts w:ascii="Times New Roman" w:hAnsi="Times New Roman" w:cs="Times New Roman"/>
          <w:sz w:val="28"/>
          <w:szCs w:val="28"/>
        </w:rPr>
        <w:t>Коефіцієнт зносу (</w:t>
      </w: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зн</w:t>
      </w:r>
      <w:proofErr w:type="spellEnd"/>
      <w:r w:rsidRPr="0004050A">
        <w:rPr>
          <w:rFonts w:ascii="Times New Roman" w:hAnsi="Times New Roman" w:cs="Times New Roman"/>
          <w:sz w:val="28"/>
          <w:szCs w:val="28"/>
        </w:rPr>
        <w:t xml:space="preserve">) — відображає частку вартості основних засобів, яку вони втратили у процесі експлуатації, перенісши її на собівартість готової </w:t>
      </w:r>
      <w:r w:rsidRPr="003839CF">
        <w:rPr>
          <w:rFonts w:ascii="Times New Roman" w:hAnsi="Times New Roman" w:cs="Times New Roman"/>
          <w:sz w:val="28"/>
          <w:szCs w:val="28"/>
        </w:rPr>
        <w:t>продукції</w:t>
      </w:r>
      <w:r w:rsidR="00F81C33" w:rsidRPr="003839CF">
        <w:rPr>
          <w:rFonts w:ascii="Times New Roman" w:hAnsi="Times New Roman" w:cs="Times New Roman"/>
          <w:sz w:val="28"/>
          <w:szCs w:val="28"/>
        </w:rPr>
        <w:t xml:space="preserve"> [</w:t>
      </w:r>
      <w:r w:rsidR="003839CF" w:rsidRPr="003839CF">
        <w:rPr>
          <w:rFonts w:ascii="Times New Roman" w:hAnsi="Times New Roman" w:cs="Times New Roman"/>
          <w:sz w:val="28"/>
          <w:szCs w:val="28"/>
        </w:rPr>
        <w:t>5, 37</w:t>
      </w:r>
      <w:r w:rsidR="00F81C33" w:rsidRPr="003839CF">
        <w:rPr>
          <w:rFonts w:ascii="Times New Roman" w:hAnsi="Times New Roman" w:cs="Times New Roman"/>
          <w:sz w:val="28"/>
          <w:szCs w:val="28"/>
        </w:rPr>
        <w:t>]:</w:t>
      </w:r>
    </w:p>
    <w:p w14:paraId="3C9C2CD8" w14:textId="52B76E1D" w:rsidR="0004050A" w:rsidRPr="0004050A" w:rsidRDefault="0004050A" w:rsidP="0004050A">
      <w:pPr>
        <w:tabs>
          <w:tab w:val="num" w:pos="426"/>
        </w:tabs>
        <w:spacing w:after="0" w:line="360" w:lineRule="auto"/>
        <w:ind w:firstLine="284"/>
        <w:jc w:val="right"/>
        <w:rPr>
          <w:rFonts w:ascii="Times New Roman" w:hAnsi="Times New Roman" w:cs="Times New Roman"/>
          <w:sz w:val="28"/>
          <w:szCs w:val="28"/>
        </w:rPr>
      </w:pP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зн</w:t>
      </w:r>
      <w:proofErr w:type="spellEnd"/>
      <w:r w:rsidRPr="0004050A">
        <w:rPr>
          <w:rFonts w:ascii="Times New Roman" w:hAnsi="Times New Roman" w:cs="Times New Roman"/>
          <w:sz w:val="28"/>
          <w:szCs w:val="28"/>
        </w:rPr>
        <w:t xml:space="preserve"> = Знос основних засобів / Первісна вартість основних засобів       (2.5)</w:t>
      </w:r>
    </w:p>
    <w:p w14:paraId="4E713C66" w14:textId="7C5A6D54" w:rsidR="0004050A" w:rsidRPr="0004050A" w:rsidRDefault="0004050A" w:rsidP="0004050A">
      <w:pPr>
        <w:numPr>
          <w:ilvl w:val="0"/>
          <w:numId w:val="25"/>
        </w:numPr>
        <w:tabs>
          <w:tab w:val="clear" w:pos="720"/>
          <w:tab w:val="num" w:pos="426"/>
        </w:tabs>
        <w:spacing w:after="0" w:line="360" w:lineRule="auto"/>
        <w:ind w:left="0" w:firstLine="284"/>
        <w:jc w:val="both"/>
        <w:rPr>
          <w:rFonts w:ascii="Times New Roman" w:hAnsi="Times New Roman" w:cs="Times New Roman"/>
          <w:sz w:val="28"/>
          <w:szCs w:val="28"/>
        </w:rPr>
      </w:pPr>
      <w:r w:rsidRPr="0004050A">
        <w:rPr>
          <w:rFonts w:ascii="Times New Roman" w:hAnsi="Times New Roman" w:cs="Times New Roman"/>
          <w:sz w:val="28"/>
          <w:szCs w:val="28"/>
        </w:rPr>
        <w:t>Коефіцієнт оновлення (</w:t>
      </w: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он</w:t>
      </w:r>
      <w:proofErr w:type="spellEnd"/>
      <w:r w:rsidRPr="0004050A">
        <w:rPr>
          <w:rFonts w:ascii="Times New Roman" w:hAnsi="Times New Roman" w:cs="Times New Roman"/>
          <w:sz w:val="28"/>
          <w:szCs w:val="28"/>
        </w:rPr>
        <w:t>) — показує, яку частку від загальної вартості основних засобів на кінець року становлять щойно введені в дію об'єкти</w:t>
      </w:r>
      <w:r w:rsidR="00F81C33" w:rsidRPr="00F81C33">
        <w:rPr>
          <w:rFonts w:ascii="Times New Roman" w:hAnsi="Times New Roman" w:cs="Times New Roman"/>
          <w:sz w:val="28"/>
          <w:szCs w:val="28"/>
          <w:lang w:val="ru-RU"/>
        </w:rPr>
        <w:t xml:space="preserve"> </w:t>
      </w:r>
      <w:r w:rsidR="003839CF" w:rsidRPr="003839CF">
        <w:rPr>
          <w:rFonts w:ascii="Times New Roman" w:hAnsi="Times New Roman" w:cs="Times New Roman"/>
          <w:sz w:val="28"/>
          <w:szCs w:val="28"/>
        </w:rPr>
        <w:t>[5, 37]:</w:t>
      </w:r>
    </w:p>
    <w:p w14:paraId="6926FE67" w14:textId="1AB366F4" w:rsidR="0004050A" w:rsidRPr="0004050A" w:rsidRDefault="0004050A" w:rsidP="0004050A">
      <w:pPr>
        <w:spacing w:after="0" w:line="360" w:lineRule="auto"/>
        <w:ind w:firstLine="708"/>
        <w:jc w:val="right"/>
        <w:rPr>
          <w:rFonts w:ascii="Times New Roman" w:hAnsi="Times New Roman" w:cs="Times New Roman"/>
          <w:sz w:val="28"/>
          <w:szCs w:val="28"/>
        </w:rPr>
      </w:pPr>
      <w:proofErr w:type="spellStart"/>
      <w:r w:rsidRPr="0004050A">
        <w:rPr>
          <w:rFonts w:ascii="Times New Roman" w:hAnsi="Times New Roman" w:cs="Times New Roman"/>
          <w:sz w:val="28"/>
          <w:szCs w:val="28"/>
        </w:rPr>
        <w:lastRenderedPageBreak/>
        <w:t>K</w:t>
      </w:r>
      <w:r w:rsidRPr="0004050A">
        <w:rPr>
          <w:rFonts w:ascii="Times New Roman" w:hAnsi="Times New Roman" w:cs="Times New Roman"/>
          <w:sz w:val="28"/>
          <w:szCs w:val="28"/>
          <w:vertAlign w:val="subscript"/>
        </w:rPr>
        <w:t>он</w:t>
      </w:r>
      <w:proofErr w:type="spellEnd"/>
      <w:r w:rsidRPr="0004050A">
        <w:rPr>
          <w:rFonts w:ascii="Times New Roman" w:hAnsi="Times New Roman" w:cs="Times New Roman"/>
          <w:sz w:val="28"/>
          <w:szCs w:val="28"/>
        </w:rPr>
        <w:t xml:space="preserve"> = Вартість уведених основних засобів за рік</w:t>
      </w:r>
      <w:r>
        <w:rPr>
          <w:rFonts w:ascii="Times New Roman" w:hAnsi="Times New Roman" w:cs="Times New Roman"/>
          <w:sz w:val="28"/>
          <w:szCs w:val="28"/>
        </w:rPr>
        <w:t xml:space="preserve"> / </w:t>
      </w:r>
      <w:r w:rsidRPr="0004050A">
        <w:rPr>
          <w:rFonts w:ascii="Times New Roman" w:hAnsi="Times New Roman" w:cs="Times New Roman"/>
          <w:sz w:val="28"/>
          <w:szCs w:val="28"/>
        </w:rPr>
        <w:t>Первісна вартість основних засобів на кінець рок</w:t>
      </w:r>
      <w:r>
        <w:rPr>
          <w:rFonts w:ascii="Times New Roman" w:hAnsi="Times New Roman" w:cs="Times New Roman"/>
          <w:sz w:val="28"/>
          <w:szCs w:val="28"/>
        </w:rPr>
        <w:t>у                                  (2.6)</w:t>
      </w:r>
    </w:p>
    <w:p w14:paraId="17FA9E18" w14:textId="76956A02" w:rsidR="0004050A" w:rsidRPr="0004050A" w:rsidRDefault="0004050A" w:rsidP="0004050A">
      <w:pPr>
        <w:numPr>
          <w:ilvl w:val="0"/>
          <w:numId w:val="25"/>
        </w:numPr>
        <w:tabs>
          <w:tab w:val="clear" w:pos="720"/>
          <w:tab w:val="num" w:pos="426"/>
        </w:tabs>
        <w:spacing w:after="0" w:line="360" w:lineRule="auto"/>
        <w:ind w:left="0" w:firstLine="284"/>
        <w:jc w:val="both"/>
        <w:rPr>
          <w:rFonts w:ascii="Times New Roman" w:hAnsi="Times New Roman" w:cs="Times New Roman"/>
          <w:sz w:val="28"/>
          <w:szCs w:val="28"/>
        </w:rPr>
      </w:pPr>
      <w:r w:rsidRPr="0004050A">
        <w:rPr>
          <w:rFonts w:ascii="Times New Roman" w:hAnsi="Times New Roman" w:cs="Times New Roman"/>
          <w:sz w:val="28"/>
          <w:szCs w:val="28"/>
        </w:rPr>
        <w:t>Коефіцієнт вибуття (</w:t>
      </w: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виб</w:t>
      </w:r>
      <w:proofErr w:type="spellEnd"/>
      <w:r w:rsidRPr="0004050A">
        <w:rPr>
          <w:rFonts w:ascii="Times New Roman" w:hAnsi="Times New Roman" w:cs="Times New Roman"/>
          <w:sz w:val="28"/>
          <w:szCs w:val="28"/>
        </w:rPr>
        <w:t>) — характеризує інтенсивність ліквідації застарілих або непридатних основних засобів</w:t>
      </w:r>
      <w:r w:rsidR="00F81C33" w:rsidRPr="00F81C33">
        <w:rPr>
          <w:rFonts w:ascii="Times New Roman" w:hAnsi="Times New Roman" w:cs="Times New Roman"/>
          <w:sz w:val="28"/>
          <w:szCs w:val="28"/>
        </w:rPr>
        <w:t xml:space="preserve"> </w:t>
      </w:r>
      <w:r w:rsidR="003839CF" w:rsidRPr="003839CF">
        <w:rPr>
          <w:rFonts w:ascii="Times New Roman" w:hAnsi="Times New Roman" w:cs="Times New Roman"/>
          <w:sz w:val="28"/>
          <w:szCs w:val="28"/>
        </w:rPr>
        <w:t>[5, 37]:</w:t>
      </w:r>
    </w:p>
    <w:p w14:paraId="048FCF0C" w14:textId="1818823A" w:rsidR="0004050A" w:rsidRPr="0004050A" w:rsidRDefault="0004050A" w:rsidP="0004050A">
      <w:pPr>
        <w:spacing w:after="0" w:line="360" w:lineRule="auto"/>
        <w:ind w:firstLine="708"/>
        <w:jc w:val="right"/>
        <w:rPr>
          <w:rFonts w:ascii="Times New Roman" w:hAnsi="Times New Roman" w:cs="Times New Roman"/>
          <w:sz w:val="28"/>
          <w:szCs w:val="28"/>
        </w:rPr>
      </w:pP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виб</w:t>
      </w:r>
      <w:proofErr w:type="spellEnd"/>
      <w:r w:rsidRPr="0004050A">
        <w:rPr>
          <w:rFonts w:ascii="Times New Roman" w:hAnsi="Times New Roman" w:cs="Times New Roman"/>
          <w:sz w:val="28"/>
          <w:szCs w:val="28"/>
        </w:rPr>
        <w:t xml:space="preserve"> = Вартість вибулих основних засобів за рік</w:t>
      </w:r>
      <w:r>
        <w:rPr>
          <w:rFonts w:ascii="Times New Roman" w:hAnsi="Times New Roman" w:cs="Times New Roman"/>
          <w:sz w:val="28"/>
          <w:szCs w:val="28"/>
        </w:rPr>
        <w:t xml:space="preserve"> / </w:t>
      </w:r>
      <w:r w:rsidRPr="0004050A">
        <w:rPr>
          <w:rFonts w:ascii="Times New Roman" w:hAnsi="Times New Roman" w:cs="Times New Roman"/>
          <w:sz w:val="28"/>
          <w:szCs w:val="28"/>
        </w:rPr>
        <w:t>Первісна вартість основних засобів на початок року</w:t>
      </w:r>
      <w:r>
        <w:rPr>
          <w:rFonts w:ascii="Times New Roman" w:hAnsi="Times New Roman" w:cs="Times New Roman"/>
          <w:sz w:val="28"/>
          <w:szCs w:val="28"/>
        </w:rPr>
        <w:t xml:space="preserve">                                (2.7)</w:t>
      </w:r>
    </w:p>
    <w:p w14:paraId="1C06A80C" w14:textId="79E187BE" w:rsidR="0004050A" w:rsidRDefault="0004050A" w:rsidP="0004050A">
      <w:pPr>
        <w:spacing w:after="0" w:line="360" w:lineRule="auto"/>
        <w:ind w:firstLine="708"/>
        <w:jc w:val="both"/>
        <w:rPr>
          <w:rFonts w:ascii="Times New Roman" w:hAnsi="Times New Roman" w:cs="Times New Roman"/>
          <w:sz w:val="28"/>
          <w:szCs w:val="28"/>
        </w:rPr>
      </w:pPr>
      <w:r w:rsidRPr="0004050A">
        <w:rPr>
          <w:rFonts w:ascii="Times New Roman" w:hAnsi="Times New Roman" w:cs="Times New Roman"/>
          <w:sz w:val="28"/>
          <w:szCs w:val="28"/>
        </w:rPr>
        <w:t>З погляду управління капіталізацією, критично важливим є співвідношення темпів зміни зносу та оновлення. Якщо коефіцієнт зносу демонструє випереджаюче зростання порівняно з коефіцієнтом оновлення (</w:t>
      </w: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зн</w:t>
      </w:r>
      <w:proofErr w:type="spellEnd"/>
      <w:r w:rsidRPr="0004050A">
        <w:rPr>
          <w:rFonts w:ascii="Times New Roman" w:hAnsi="Times New Roman" w:cs="Times New Roman"/>
          <w:sz w:val="28"/>
          <w:szCs w:val="28"/>
        </w:rPr>
        <w:t xml:space="preserve"> &gt; </w:t>
      </w:r>
      <w:proofErr w:type="spellStart"/>
      <w:r w:rsidRPr="0004050A">
        <w:rPr>
          <w:rFonts w:ascii="Times New Roman" w:hAnsi="Times New Roman" w:cs="Times New Roman"/>
          <w:sz w:val="28"/>
          <w:szCs w:val="28"/>
        </w:rPr>
        <w:t>K</w:t>
      </w:r>
      <w:r w:rsidRPr="0004050A">
        <w:rPr>
          <w:rFonts w:ascii="Times New Roman" w:hAnsi="Times New Roman" w:cs="Times New Roman"/>
          <w:sz w:val="28"/>
          <w:szCs w:val="28"/>
          <w:vertAlign w:val="subscript"/>
        </w:rPr>
        <w:t>он</w:t>
      </w:r>
      <w:proofErr w:type="spellEnd"/>
      <w:r w:rsidRPr="0004050A">
        <w:rPr>
          <w:rFonts w:ascii="Times New Roman" w:hAnsi="Times New Roman" w:cs="Times New Roman"/>
          <w:sz w:val="28"/>
          <w:szCs w:val="28"/>
        </w:rPr>
        <w:t xml:space="preserve">), фінансова система отримує чіткий сигнал про технологічну та капітальну деградацію бізнесу. Це означає, що підприємство </w:t>
      </w:r>
      <w:r>
        <w:rPr>
          <w:rFonts w:ascii="Times New Roman" w:hAnsi="Times New Roman" w:cs="Times New Roman"/>
          <w:sz w:val="28"/>
          <w:szCs w:val="28"/>
        </w:rPr>
        <w:t>знищує</w:t>
      </w:r>
      <w:r w:rsidRPr="0004050A">
        <w:rPr>
          <w:rFonts w:ascii="Times New Roman" w:hAnsi="Times New Roman" w:cs="Times New Roman"/>
          <w:sz w:val="28"/>
          <w:szCs w:val="28"/>
        </w:rPr>
        <w:t xml:space="preserve"> свій внутрішній ресурс, фіксуючи падіння реальної вартості матеріальних активів, що в середньостроковій перспективі знецінює його інвестиційну привабливість.</w:t>
      </w:r>
    </w:p>
    <w:p w14:paraId="29E5FB6B" w14:textId="77777777" w:rsidR="007266C8" w:rsidRPr="007266C8" w:rsidRDefault="007266C8" w:rsidP="007266C8">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Для визначення реальних тенденцій у майновій системі підприємства проведемо розгортання балансових показників у серію спеціалізованих аналітичних таблиць.</w:t>
      </w:r>
    </w:p>
    <w:p w14:paraId="0BD0CB55" w14:textId="438D4EFD" w:rsidR="007266C8" w:rsidRPr="007266C8" w:rsidRDefault="007266C8" w:rsidP="007266C8">
      <w:pPr>
        <w:spacing w:after="0" w:line="360" w:lineRule="auto"/>
        <w:ind w:firstLine="708"/>
        <w:jc w:val="right"/>
        <w:rPr>
          <w:rFonts w:ascii="Times New Roman" w:hAnsi="Times New Roman" w:cs="Times New Roman"/>
          <w:sz w:val="28"/>
          <w:szCs w:val="28"/>
        </w:rPr>
      </w:pPr>
      <w:r w:rsidRPr="007266C8">
        <w:rPr>
          <w:rFonts w:ascii="Times New Roman" w:hAnsi="Times New Roman" w:cs="Times New Roman"/>
          <w:sz w:val="28"/>
          <w:szCs w:val="28"/>
        </w:rPr>
        <w:t>Таблиця 2.</w:t>
      </w:r>
      <w:r w:rsidR="00CE2A56">
        <w:rPr>
          <w:rFonts w:ascii="Times New Roman" w:hAnsi="Times New Roman" w:cs="Times New Roman"/>
          <w:sz w:val="28"/>
          <w:szCs w:val="28"/>
        </w:rPr>
        <w:t>7</w:t>
      </w:r>
    </w:p>
    <w:p w14:paraId="362AB48F" w14:textId="77777777" w:rsidR="00560105" w:rsidRDefault="007266C8" w:rsidP="00560105">
      <w:pPr>
        <w:spacing w:after="0" w:line="360" w:lineRule="auto"/>
        <w:ind w:firstLine="708"/>
        <w:rPr>
          <w:rFonts w:ascii="Times New Roman" w:hAnsi="Times New Roman" w:cs="Times New Roman"/>
          <w:sz w:val="28"/>
          <w:szCs w:val="28"/>
        </w:rPr>
      </w:pPr>
      <w:r w:rsidRPr="007266C8">
        <w:rPr>
          <w:rFonts w:ascii="Times New Roman" w:hAnsi="Times New Roman" w:cs="Times New Roman"/>
          <w:sz w:val="28"/>
          <w:szCs w:val="28"/>
        </w:rPr>
        <w:t xml:space="preserve">Динаміка складу та вартості основних засобів </w:t>
      </w:r>
      <w:r w:rsidRPr="00B71412">
        <w:rPr>
          <w:rFonts w:ascii="Times New Roman" w:hAnsi="Times New Roman" w:cs="Times New Roman"/>
          <w:sz w:val="28"/>
          <w:szCs w:val="28"/>
        </w:rPr>
        <w:t>ТОВ «КЕРНЕЛ-ТРЕЙД»</w:t>
      </w:r>
    </w:p>
    <w:p w14:paraId="76EAEF51" w14:textId="4A082971" w:rsidR="007266C8" w:rsidRPr="007266C8" w:rsidRDefault="007266C8" w:rsidP="00560105">
      <w:pPr>
        <w:spacing w:after="0" w:line="360" w:lineRule="auto"/>
        <w:ind w:firstLine="708"/>
        <w:jc w:val="right"/>
        <w:rPr>
          <w:rFonts w:ascii="Times New Roman" w:hAnsi="Times New Roman" w:cs="Times New Roman"/>
          <w:sz w:val="28"/>
          <w:szCs w:val="28"/>
        </w:rPr>
      </w:pPr>
      <w:r w:rsidRPr="007266C8">
        <w:rPr>
          <w:rFonts w:ascii="Times New Roman" w:hAnsi="Times New Roman" w:cs="Times New Roman"/>
          <w:sz w:val="28"/>
          <w:szCs w:val="28"/>
        </w:rPr>
        <w:t xml:space="preserve"> (тис. грн)</w:t>
      </w:r>
    </w:p>
    <w:tbl>
      <w:tblPr>
        <w:tblStyle w:val="af0"/>
        <w:tblW w:w="0" w:type="auto"/>
        <w:tblLook w:val="04A0" w:firstRow="1" w:lastRow="0" w:firstColumn="1" w:lastColumn="0" w:noHBand="0" w:noVBand="1"/>
      </w:tblPr>
      <w:tblGrid>
        <w:gridCol w:w="1409"/>
        <w:gridCol w:w="1154"/>
        <w:gridCol w:w="1154"/>
        <w:gridCol w:w="1154"/>
        <w:gridCol w:w="1210"/>
        <w:gridCol w:w="1210"/>
        <w:gridCol w:w="1210"/>
        <w:gridCol w:w="1126"/>
      </w:tblGrid>
      <w:tr w:rsidR="007266C8" w:rsidRPr="00560105" w14:paraId="62B41940" w14:textId="77777777" w:rsidTr="00560105">
        <w:tc>
          <w:tcPr>
            <w:tcW w:w="0" w:type="auto"/>
            <w:hideMark/>
          </w:tcPr>
          <w:p w14:paraId="2DEBE027"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Балансовий показник основних засобів (ОЗ)</w:t>
            </w:r>
          </w:p>
        </w:tc>
        <w:tc>
          <w:tcPr>
            <w:tcW w:w="0" w:type="auto"/>
            <w:hideMark/>
          </w:tcPr>
          <w:p w14:paraId="4D02F70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На 31.12.2023</w:t>
            </w:r>
          </w:p>
        </w:tc>
        <w:tc>
          <w:tcPr>
            <w:tcW w:w="0" w:type="auto"/>
            <w:hideMark/>
          </w:tcPr>
          <w:p w14:paraId="05CBD6F6"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На 31.12.2024</w:t>
            </w:r>
          </w:p>
        </w:tc>
        <w:tc>
          <w:tcPr>
            <w:tcW w:w="0" w:type="auto"/>
            <w:hideMark/>
          </w:tcPr>
          <w:p w14:paraId="780241CD"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На 31.12.2025</w:t>
            </w:r>
          </w:p>
        </w:tc>
        <w:tc>
          <w:tcPr>
            <w:tcW w:w="0" w:type="auto"/>
            <w:hideMark/>
          </w:tcPr>
          <w:p w14:paraId="09A35CA6" w14:textId="77777777" w:rsidR="007266C8" w:rsidRPr="00560105" w:rsidRDefault="007266C8" w:rsidP="00560105">
            <w:pPr>
              <w:jc w:val="center"/>
              <w:rPr>
                <w:rFonts w:ascii="Times New Roman" w:hAnsi="Times New Roman" w:cs="Times New Roman"/>
              </w:rPr>
            </w:pPr>
            <w:proofErr w:type="spellStart"/>
            <w:r w:rsidRPr="00560105">
              <w:rPr>
                <w:rFonts w:ascii="Times New Roman" w:hAnsi="Times New Roman" w:cs="Times New Roman"/>
              </w:rPr>
              <w:t>Абс</w:t>
            </w:r>
            <w:proofErr w:type="spellEnd"/>
            <w:r w:rsidRPr="00560105">
              <w:rPr>
                <w:rFonts w:ascii="Times New Roman" w:hAnsi="Times New Roman" w:cs="Times New Roman"/>
              </w:rPr>
              <w:t>. відхилення 2024/2023</w:t>
            </w:r>
          </w:p>
        </w:tc>
        <w:tc>
          <w:tcPr>
            <w:tcW w:w="0" w:type="auto"/>
            <w:hideMark/>
          </w:tcPr>
          <w:p w14:paraId="5B25F37E" w14:textId="77777777" w:rsidR="007266C8" w:rsidRPr="00560105" w:rsidRDefault="007266C8" w:rsidP="00560105">
            <w:pPr>
              <w:jc w:val="center"/>
              <w:rPr>
                <w:rFonts w:ascii="Times New Roman" w:hAnsi="Times New Roman" w:cs="Times New Roman"/>
              </w:rPr>
            </w:pPr>
            <w:proofErr w:type="spellStart"/>
            <w:r w:rsidRPr="00560105">
              <w:rPr>
                <w:rFonts w:ascii="Times New Roman" w:hAnsi="Times New Roman" w:cs="Times New Roman"/>
              </w:rPr>
              <w:t>Абс</w:t>
            </w:r>
            <w:proofErr w:type="spellEnd"/>
            <w:r w:rsidRPr="00560105">
              <w:rPr>
                <w:rFonts w:ascii="Times New Roman" w:hAnsi="Times New Roman" w:cs="Times New Roman"/>
              </w:rPr>
              <w:t>. відхилення 2025/2024</w:t>
            </w:r>
          </w:p>
        </w:tc>
        <w:tc>
          <w:tcPr>
            <w:tcW w:w="0" w:type="auto"/>
            <w:hideMark/>
          </w:tcPr>
          <w:p w14:paraId="59FB028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Загальне відхилення 2025/2023</w:t>
            </w:r>
          </w:p>
        </w:tc>
        <w:tc>
          <w:tcPr>
            <w:tcW w:w="0" w:type="auto"/>
            <w:hideMark/>
          </w:tcPr>
          <w:p w14:paraId="0D9D32D7"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Загальний темп приросту (%)</w:t>
            </w:r>
          </w:p>
        </w:tc>
      </w:tr>
      <w:tr w:rsidR="007266C8" w:rsidRPr="00560105" w14:paraId="741679B9" w14:textId="77777777" w:rsidTr="00560105">
        <w:tc>
          <w:tcPr>
            <w:tcW w:w="0" w:type="auto"/>
            <w:hideMark/>
          </w:tcPr>
          <w:p w14:paraId="3239A077"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Первісна вартість ОЗ (р. 1011)</w:t>
            </w:r>
          </w:p>
        </w:tc>
        <w:tc>
          <w:tcPr>
            <w:tcW w:w="0" w:type="auto"/>
            <w:hideMark/>
          </w:tcPr>
          <w:p w14:paraId="67CDC481"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2 963 898</w:t>
            </w:r>
          </w:p>
        </w:tc>
        <w:tc>
          <w:tcPr>
            <w:tcW w:w="0" w:type="auto"/>
            <w:hideMark/>
          </w:tcPr>
          <w:p w14:paraId="5BF86972"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2 813 925</w:t>
            </w:r>
          </w:p>
        </w:tc>
        <w:tc>
          <w:tcPr>
            <w:tcW w:w="0" w:type="auto"/>
            <w:hideMark/>
          </w:tcPr>
          <w:p w14:paraId="63F2196C"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2 748 112</w:t>
            </w:r>
          </w:p>
        </w:tc>
        <w:tc>
          <w:tcPr>
            <w:tcW w:w="0" w:type="auto"/>
            <w:hideMark/>
          </w:tcPr>
          <w:p w14:paraId="59C62A5C"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-149 973</w:t>
            </w:r>
          </w:p>
        </w:tc>
        <w:tc>
          <w:tcPr>
            <w:tcW w:w="0" w:type="auto"/>
            <w:hideMark/>
          </w:tcPr>
          <w:p w14:paraId="2253FB5E"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-65 813</w:t>
            </w:r>
          </w:p>
        </w:tc>
        <w:tc>
          <w:tcPr>
            <w:tcW w:w="0" w:type="auto"/>
            <w:hideMark/>
          </w:tcPr>
          <w:p w14:paraId="0ADF06DD"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-215 786</w:t>
            </w:r>
          </w:p>
        </w:tc>
        <w:tc>
          <w:tcPr>
            <w:tcW w:w="0" w:type="auto"/>
            <w:hideMark/>
          </w:tcPr>
          <w:p w14:paraId="29170B3A"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-7,28%</w:t>
            </w:r>
          </w:p>
        </w:tc>
      </w:tr>
      <w:tr w:rsidR="007266C8" w:rsidRPr="00560105" w14:paraId="506FD69A" w14:textId="77777777" w:rsidTr="00560105">
        <w:tc>
          <w:tcPr>
            <w:tcW w:w="0" w:type="auto"/>
            <w:hideMark/>
          </w:tcPr>
          <w:p w14:paraId="3703CAFC" w14:textId="77777777" w:rsidR="00560105" w:rsidRDefault="007266C8" w:rsidP="00560105">
            <w:pPr>
              <w:jc w:val="both"/>
              <w:rPr>
                <w:rFonts w:ascii="Times New Roman" w:hAnsi="Times New Roman" w:cs="Times New Roman"/>
              </w:rPr>
            </w:pPr>
            <w:r w:rsidRPr="00560105">
              <w:rPr>
                <w:rFonts w:ascii="Times New Roman" w:hAnsi="Times New Roman" w:cs="Times New Roman"/>
              </w:rPr>
              <w:t xml:space="preserve">Накопичений знос ОЗ </w:t>
            </w:r>
          </w:p>
          <w:p w14:paraId="1D489D41" w14:textId="5D984E61" w:rsidR="007266C8" w:rsidRPr="00560105" w:rsidRDefault="007266C8" w:rsidP="00560105">
            <w:pPr>
              <w:jc w:val="both"/>
              <w:rPr>
                <w:rFonts w:ascii="Times New Roman" w:hAnsi="Times New Roman" w:cs="Times New Roman"/>
              </w:rPr>
            </w:pPr>
            <w:r w:rsidRPr="00560105">
              <w:rPr>
                <w:rFonts w:ascii="Times New Roman" w:hAnsi="Times New Roman" w:cs="Times New Roman"/>
              </w:rPr>
              <w:t>(р. 1012)</w:t>
            </w:r>
          </w:p>
        </w:tc>
        <w:tc>
          <w:tcPr>
            <w:tcW w:w="0" w:type="auto"/>
            <w:hideMark/>
          </w:tcPr>
          <w:p w14:paraId="05C58196"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738 199</w:t>
            </w:r>
          </w:p>
        </w:tc>
        <w:tc>
          <w:tcPr>
            <w:tcW w:w="0" w:type="auto"/>
            <w:hideMark/>
          </w:tcPr>
          <w:p w14:paraId="05090919"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679 337</w:t>
            </w:r>
          </w:p>
        </w:tc>
        <w:tc>
          <w:tcPr>
            <w:tcW w:w="0" w:type="auto"/>
            <w:hideMark/>
          </w:tcPr>
          <w:p w14:paraId="46AEC100"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711 508</w:t>
            </w:r>
          </w:p>
        </w:tc>
        <w:tc>
          <w:tcPr>
            <w:tcW w:w="0" w:type="auto"/>
            <w:hideMark/>
          </w:tcPr>
          <w:p w14:paraId="392EEA54"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-58 862</w:t>
            </w:r>
          </w:p>
        </w:tc>
        <w:tc>
          <w:tcPr>
            <w:tcW w:w="0" w:type="auto"/>
            <w:hideMark/>
          </w:tcPr>
          <w:p w14:paraId="57E05D60"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+32 171</w:t>
            </w:r>
          </w:p>
        </w:tc>
        <w:tc>
          <w:tcPr>
            <w:tcW w:w="0" w:type="auto"/>
            <w:hideMark/>
          </w:tcPr>
          <w:p w14:paraId="556B02F1"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-26 691</w:t>
            </w:r>
          </w:p>
        </w:tc>
        <w:tc>
          <w:tcPr>
            <w:tcW w:w="0" w:type="auto"/>
            <w:hideMark/>
          </w:tcPr>
          <w:p w14:paraId="055CB3F1"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-3,62%</w:t>
            </w:r>
          </w:p>
        </w:tc>
      </w:tr>
      <w:tr w:rsidR="007266C8" w:rsidRPr="00560105" w14:paraId="16F34A63" w14:textId="77777777" w:rsidTr="00560105">
        <w:tc>
          <w:tcPr>
            <w:tcW w:w="0" w:type="auto"/>
            <w:hideMark/>
          </w:tcPr>
          <w:p w14:paraId="6D88B8AB"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Залишкова вартість ОЗ (р. 1010)</w:t>
            </w:r>
          </w:p>
        </w:tc>
        <w:tc>
          <w:tcPr>
            <w:tcW w:w="0" w:type="auto"/>
            <w:hideMark/>
          </w:tcPr>
          <w:p w14:paraId="31217973"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2 225 699</w:t>
            </w:r>
          </w:p>
        </w:tc>
        <w:tc>
          <w:tcPr>
            <w:tcW w:w="0" w:type="auto"/>
            <w:hideMark/>
          </w:tcPr>
          <w:p w14:paraId="6C3CF808"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2 134 588</w:t>
            </w:r>
          </w:p>
        </w:tc>
        <w:tc>
          <w:tcPr>
            <w:tcW w:w="0" w:type="auto"/>
            <w:hideMark/>
          </w:tcPr>
          <w:p w14:paraId="7A044124"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2 036 604</w:t>
            </w:r>
          </w:p>
        </w:tc>
        <w:tc>
          <w:tcPr>
            <w:tcW w:w="0" w:type="auto"/>
            <w:hideMark/>
          </w:tcPr>
          <w:p w14:paraId="1043F432"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-91 111</w:t>
            </w:r>
          </w:p>
        </w:tc>
        <w:tc>
          <w:tcPr>
            <w:tcW w:w="0" w:type="auto"/>
            <w:hideMark/>
          </w:tcPr>
          <w:p w14:paraId="19FBEE38"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-97 984</w:t>
            </w:r>
          </w:p>
        </w:tc>
        <w:tc>
          <w:tcPr>
            <w:tcW w:w="0" w:type="auto"/>
            <w:hideMark/>
          </w:tcPr>
          <w:p w14:paraId="70EE9BD4"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-189 095</w:t>
            </w:r>
          </w:p>
        </w:tc>
        <w:tc>
          <w:tcPr>
            <w:tcW w:w="0" w:type="auto"/>
            <w:hideMark/>
          </w:tcPr>
          <w:p w14:paraId="0CDD0AC8"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-8,49%</w:t>
            </w:r>
          </w:p>
        </w:tc>
      </w:tr>
    </w:tbl>
    <w:p w14:paraId="350D7D72" w14:textId="77777777" w:rsidR="00560105" w:rsidRDefault="00560105" w:rsidP="007266C8">
      <w:pPr>
        <w:spacing w:after="0" w:line="360" w:lineRule="auto"/>
        <w:ind w:firstLine="708"/>
        <w:jc w:val="both"/>
        <w:rPr>
          <w:rFonts w:ascii="Times New Roman" w:hAnsi="Times New Roman" w:cs="Times New Roman"/>
          <w:b/>
          <w:bCs/>
          <w:sz w:val="28"/>
          <w:szCs w:val="28"/>
        </w:rPr>
      </w:pPr>
    </w:p>
    <w:p w14:paraId="49C2C96B" w14:textId="11717C4C" w:rsidR="00CE2A56" w:rsidRPr="007266C8" w:rsidRDefault="00CE2A56" w:rsidP="00CE2A56">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Дані комплексного табличного аналізу свідчать про розгортання процесу абсолютного згортання матеріально-технічного потенціалу компанії</w:t>
      </w:r>
      <w:r>
        <w:rPr>
          <w:rFonts w:ascii="Times New Roman" w:hAnsi="Times New Roman" w:cs="Times New Roman"/>
          <w:sz w:val="28"/>
          <w:szCs w:val="28"/>
        </w:rPr>
        <w:t xml:space="preserve">. </w:t>
      </w:r>
      <w:r w:rsidRPr="007266C8">
        <w:rPr>
          <w:rFonts w:ascii="Times New Roman" w:hAnsi="Times New Roman" w:cs="Times New Roman"/>
          <w:sz w:val="28"/>
          <w:szCs w:val="28"/>
        </w:rPr>
        <w:t>Протягом 2023</w:t>
      </w:r>
      <w:r>
        <w:rPr>
          <w:rFonts w:ascii="Times New Roman" w:hAnsi="Times New Roman" w:cs="Times New Roman"/>
          <w:sz w:val="28"/>
          <w:szCs w:val="28"/>
        </w:rPr>
        <w:t>-</w:t>
      </w:r>
      <w:r w:rsidRPr="007266C8">
        <w:rPr>
          <w:rFonts w:ascii="Times New Roman" w:hAnsi="Times New Roman" w:cs="Times New Roman"/>
          <w:sz w:val="28"/>
          <w:szCs w:val="28"/>
        </w:rPr>
        <w:t>2025 років первісна вартість основних засобів (табл. 2.</w:t>
      </w:r>
      <w:r>
        <w:rPr>
          <w:rFonts w:ascii="Times New Roman" w:hAnsi="Times New Roman" w:cs="Times New Roman"/>
          <w:sz w:val="28"/>
          <w:szCs w:val="28"/>
        </w:rPr>
        <w:t>7</w:t>
      </w:r>
      <w:r w:rsidRPr="007266C8">
        <w:rPr>
          <w:rFonts w:ascii="Times New Roman" w:hAnsi="Times New Roman" w:cs="Times New Roman"/>
          <w:sz w:val="28"/>
          <w:szCs w:val="28"/>
        </w:rPr>
        <w:t xml:space="preserve">) стабільно </w:t>
      </w:r>
      <w:r w:rsidRPr="007266C8">
        <w:rPr>
          <w:rFonts w:ascii="Times New Roman" w:hAnsi="Times New Roman" w:cs="Times New Roman"/>
          <w:sz w:val="28"/>
          <w:szCs w:val="28"/>
        </w:rPr>
        <w:lastRenderedPageBreak/>
        <w:t xml:space="preserve">зменшувалася — сумарно на </w:t>
      </w:r>
      <w:r w:rsidRPr="00CE2A56">
        <w:rPr>
          <w:rFonts w:ascii="Times New Roman" w:hAnsi="Times New Roman" w:cs="Times New Roman"/>
          <w:sz w:val="28"/>
          <w:szCs w:val="28"/>
        </w:rPr>
        <w:t>7,28%</w:t>
      </w:r>
      <w:r w:rsidRPr="007266C8">
        <w:rPr>
          <w:rFonts w:ascii="Times New Roman" w:hAnsi="Times New Roman" w:cs="Times New Roman"/>
          <w:sz w:val="28"/>
          <w:szCs w:val="28"/>
        </w:rPr>
        <w:t xml:space="preserve"> (або на 215 786 тис. грн). Це є аномальним явищем для підприємства, яке за той самий період наростило чистий дохід від реалізації (виручку) на 70,71%. Зазвичай масштабне операційне зростання вимагає розширення виробничих </w:t>
      </w:r>
      <w:proofErr w:type="spellStart"/>
      <w:r w:rsidRPr="007266C8">
        <w:rPr>
          <w:rFonts w:ascii="Times New Roman" w:hAnsi="Times New Roman" w:cs="Times New Roman"/>
          <w:sz w:val="28"/>
          <w:szCs w:val="28"/>
        </w:rPr>
        <w:t>потужностей</w:t>
      </w:r>
      <w:proofErr w:type="spellEnd"/>
      <w:r w:rsidRPr="007266C8">
        <w:rPr>
          <w:rFonts w:ascii="Times New Roman" w:hAnsi="Times New Roman" w:cs="Times New Roman"/>
          <w:sz w:val="28"/>
          <w:szCs w:val="28"/>
        </w:rPr>
        <w:t>. У нашому випадку спостерігається зворотний тренд — бізнес нарощує оберти на матеріальній базі, що невпинно скорочується.</w:t>
      </w:r>
      <w:r>
        <w:rPr>
          <w:rFonts w:ascii="Times New Roman" w:hAnsi="Times New Roman" w:cs="Times New Roman"/>
          <w:sz w:val="28"/>
          <w:szCs w:val="28"/>
        </w:rPr>
        <w:t xml:space="preserve"> </w:t>
      </w:r>
      <w:r w:rsidRPr="007266C8">
        <w:rPr>
          <w:rFonts w:ascii="Times New Roman" w:hAnsi="Times New Roman" w:cs="Times New Roman"/>
          <w:sz w:val="28"/>
          <w:szCs w:val="28"/>
        </w:rPr>
        <w:t>Дані комплексного табличного аналізу свідчать про розгортання процесу абсолютного згортання матеріально-технічного потенціалу компанії</w:t>
      </w:r>
      <w:r>
        <w:rPr>
          <w:rFonts w:ascii="Times New Roman" w:hAnsi="Times New Roman" w:cs="Times New Roman"/>
          <w:sz w:val="28"/>
          <w:szCs w:val="28"/>
        </w:rPr>
        <w:t xml:space="preserve">. </w:t>
      </w:r>
      <w:r w:rsidRPr="007266C8">
        <w:rPr>
          <w:rFonts w:ascii="Times New Roman" w:hAnsi="Times New Roman" w:cs="Times New Roman"/>
          <w:sz w:val="28"/>
          <w:szCs w:val="28"/>
        </w:rPr>
        <w:t>Протягом 2023</w:t>
      </w:r>
      <w:r>
        <w:rPr>
          <w:rFonts w:ascii="Times New Roman" w:hAnsi="Times New Roman" w:cs="Times New Roman"/>
          <w:sz w:val="28"/>
          <w:szCs w:val="28"/>
        </w:rPr>
        <w:t>-</w:t>
      </w:r>
      <w:r w:rsidRPr="007266C8">
        <w:rPr>
          <w:rFonts w:ascii="Times New Roman" w:hAnsi="Times New Roman" w:cs="Times New Roman"/>
          <w:sz w:val="28"/>
          <w:szCs w:val="28"/>
        </w:rPr>
        <w:t>2025 років первісна вартість основних засобів (табл. 2.</w:t>
      </w:r>
      <w:r>
        <w:rPr>
          <w:rFonts w:ascii="Times New Roman" w:hAnsi="Times New Roman" w:cs="Times New Roman"/>
          <w:sz w:val="28"/>
          <w:szCs w:val="28"/>
        </w:rPr>
        <w:t>7</w:t>
      </w:r>
      <w:r w:rsidRPr="007266C8">
        <w:rPr>
          <w:rFonts w:ascii="Times New Roman" w:hAnsi="Times New Roman" w:cs="Times New Roman"/>
          <w:sz w:val="28"/>
          <w:szCs w:val="28"/>
        </w:rPr>
        <w:t xml:space="preserve">) стабільно зменшувалася — сумарно на </w:t>
      </w:r>
      <w:r w:rsidRPr="00CE2A56">
        <w:rPr>
          <w:rFonts w:ascii="Times New Roman" w:hAnsi="Times New Roman" w:cs="Times New Roman"/>
          <w:sz w:val="28"/>
          <w:szCs w:val="28"/>
        </w:rPr>
        <w:t>7,28%</w:t>
      </w:r>
      <w:r w:rsidRPr="007266C8">
        <w:rPr>
          <w:rFonts w:ascii="Times New Roman" w:hAnsi="Times New Roman" w:cs="Times New Roman"/>
          <w:sz w:val="28"/>
          <w:szCs w:val="28"/>
        </w:rPr>
        <w:t xml:space="preserve"> (або на 215 786 тис. грн). Це є аномальним явищем для підприємства, яке за той самий період наростило чистий дохід від реалізації (виручку) на 70,71%. Зазвичай масштабне операційне зростання вимагає розширення виробничих </w:t>
      </w:r>
      <w:proofErr w:type="spellStart"/>
      <w:r w:rsidRPr="007266C8">
        <w:rPr>
          <w:rFonts w:ascii="Times New Roman" w:hAnsi="Times New Roman" w:cs="Times New Roman"/>
          <w:sz w:val="28"/>
          <w:szCs w:val="28"/>
        </w:rPr>
        <w:t>потужностей</w:t>
      </w:r>
      <w:proofErr w:type="spellEnd"/>
      <w:r w:rsidRPr="007266C8">
        <w:rPr>
          <w:rFonts w:ascii="Times New Roman" w:hAnsi="Times New Roman" w:cs="Times New Roman"/>
          <w:sz w:val="28"/>
          <w:szCs w:val="28"/>
        </w:rPr>
        <w:t>. У нашому випадку спостерігається зворотний тренд — бізнес нарощує оберти на матеріальній базі, що невпинно скорочується.</w:t>
      </w:r>
    </w:p>
    <w:p w14:paraId="1153C01E" w14:textId="071CDAEF" w:rsidR="00560105" w:rsidRPr="00560105" w:rsidRDefault="007266C8" w:rsidP="00560105">
      <w:pPr>
        <w:spacing w:after="0" w:line="360" w:lineRule="auto"/>
        <w:ind w:firstLine="708"/>
        <w:jc w:val="right"/>
        <w:rPr>
          <w:rFonts w:ascii="Times New Roman" w:hAnsi="Times New Roman" w:cs="Times New Roman"/>
          <w:sz w:val="28"/>
          <w:szCs w:val="28"/>
        </w:rPr>
      </w:pPr>
      <w:r w:rsidRPr="00560105">
        <w:rPr>
          <w:rFonts w:ascii="Times New Roman" w:hAnsi="Times New Roman" w:cs="Times New Roman"/>
          <w:sz w:val="28"/>
          <w:szCs w:val="28"/>
        </w:rPr>
        <w:t>Таблиця 2.</w:t>
      </w:r>
      <w:r w:rsidR="00CE2A56">
        <w:rPr>
          <w:rFonts w:ascii="Times New Roman" w:hAnsi="Times New Roman" w:cs="Times New Roman"/>
          <w:sz w:val="28"/>
          <w:szCs w:val="28"/>
        </w:rPr>
        <w:t>8</w:t>
      </w:r>
    </w:p>
    <w:p w14:paraId="6941CC05" w14:textId="1C3CC099" w:rsidR="00560105" w:rsidRDefault="007266C8" w:rsidP="00560105">
      <w:pPr>
        <w:spacing w:after="0" w:line="360" w:lineRule="auto"/>
        <w:jc w:val="center"/>
        <w:rPr>
          <w:rFonts w:ascii="Times New Roman" w:hAnsi="Times New Roman" w:cs="Times New Roman"/>
          <w:sz w:val="28"/>
          <w:szCs w:val="28"/>
        </w:rPr>
      </w:pPr>
      <w:r w:rsidRPr="00560105">
        <w:rPr>
          <w:rFonts w:ascii="Times New Roman" w:hAnsi="Times New Roman" w:cs="Times New Roman"/>
          <w:sz w:val="28"/>
          <w:szCs w:val="28"/>
        </w:rPr>
        <w:t xml:space="preserve">Аналіз інтенсивності потоків руху основних засобів </w:t>
      </w:r>
      <w:r w:rsidR="00560105" w:rsidRPr="00B71412">
        <w:rPr>
          <w:rFonts w:ascii="Times New Roman" w:hAnsi="Times New Roman" w:cs="Times New Roman"/>
          <w:sz w:val="28"/>
          <w:szCs w:val="28"/>
        </w:rPr>
        <w:t>ТОВ «КЕРНЕЛ-ТРЕЙД»</w:t>
      </w:r>
    </w:p>
    <w:p w14:paraId="0E79867E" w14:textId="58F27A11" w:rsidR="007266C8" w:rsidRPr="00560105" w:rsidRDefault="007266C8" w:rsidP="00560105">
      <w:pPr>
        <w:spacing w:after="0" w:line="360" w:lineRule="auto"/>
        <w:ind w:firstLine="708"/>
        <w:jc w:val="right"/>
        <w:rPr>
          <w:rFonts w:ascii="Times New Roman" w:hAnsi="Times New Roman" w:cs="Times New Roman"/>
          <w:sz w:val="28"/>
          <w:szCs w:val="28"/>
        </w:rPr>
      </w:pPr>
      <w:r w:rsidRPr="00560105">
        <w:rPr>
          <w:rFonts w:ascii="Times New Roman" w:hAnsi="Times New Roman" w:cs="Times New Roman"/>
          <w:sz w:val="28"/>
          <w:szCs w:val="28"/>
        </w:rPr>
        <w:t>(тис. грн)</w:t>
      </w:r>
    </w:p>
    <w:tbl>
      <w:tblPr>
        <w:tblStyle w:val="af0"/>
        <w:tblW w:w="0" w:type="auto"/>
        <w:tblLook w:val="04A0" w:firstRow="1" w:lastRow="0" w:firstColumn="1" w:lastColumn="0" w:noHBand="0" w:noVBand="1"/>
      </w:tblPr>
      <w:tblGrid>
        <w:gridCol w:w="2424"/>
        <w:gridCol w:w="712"/>
        <w:gridCol w:w="712"/>
        <w:gridCol w:w="692"/>
        <w:gridCol w:w="1414"/>
        <w:gridCol w:w="1414"/>
        <w:gridCol w:w="1170"/>
        <w:gridCol w:w="1089"/>
      </w:tblGrid>
      <w:tr w:rsidR="007266C8" w:rsidRPr="007266C8" w14:paraId="43C13A7A" w14:textId="77777777" w:rsidTr="00560105">
        <w:tc>
          <w:tcPr>
            <w:tcW w:w="0" w:type="auto"/>
            <w:hideMark/>
          </w:tcPr>
          <w:p w14:paraId="6729510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Показники руху капітальних фондів</w:t>
            </w:r>
          </w:p>
        </w:tc>
        <w:tc>
          <w:tcPr>
            <w:tcW w:w="0" w:type="auto"/>
            <w:hideMark/>
          </w:tcPr>
          <w:p w14:paraId="3716A820"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2023 рік</w:t>
            </w:r>
          </w:p>
        </w:tc>
        <w:tc>
          <w:tcPr>
            <w:tcW w:w="0" w:type="auto"/>
            <w:hideMark/>
          </w:tcPr>
          <w:p w14:paraId="7B3CB601"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2024 рік</w:t>
            </w:r>
          </w:p>
        </w:tc>
        <w:tc>
          <w:tcPr>
            <w:tcW w:w="0" w:type="auto"/>
            <w:hideMark/>
          </w:tcPr>
          <w:p w14:paraId="631F312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2025 рік</w:t>
            </w:r>
          </w:p>
        </w:tc>
        <w:tc>
          <w:tcPr>
            <w:tcW w:w="0" w:type="auto"/>
            <w:hideMark/>
          </w:tcPr>
          <w:p w14:paraId="3EADC1D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Відхилення 2024/2023</w:t>
            </w:r>
          </w:p>
        </w:tc>
        <w:tc>
          <w:tcPr>
            <w:tcW w:w="0" w:type="auto"/>
            <w:hideMark/>
          </w:tcPr>
          <w:p w14:paraId="2AF24E0B"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Відхилення 2025/2024</w:t>
            </w:r>
          </w:p>
        </w:tc>
        <w:tc>
          <w:tcPr>
            <w:tcW w:w="0" w:type="auto"/>
            <w:hideMark/>
          </w:tcPr>
          <w:p w14:paraId="2CA8B5EB"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Сукупна зміна за період</w:t>
            </w:r>
          </w:p>
        </w:tc>
        <w:tc>
          <w:tcPr>
            <w:tcW w:w="0" w:type="auto"/>
            <w:hideMark/>
          </w:tcPr>
          <w:p w14:paraId="5F57BB81"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Темп зміни періоду (%)</w:t>
            </w:r>
          </w:p>
        </w:tc>
      </w:tr>
      <w:tr w:rsidR="007266C8" w:rsidRPr="007266C8" w14:paraId="587B6C1F" w14:textId="77777777" w:rsidTr="00560105">
        <w:tc>
          <w:tcPr>
            <w:tcW w:w="0" w:type="auto"/>
            <w:hideMark/>
          </w:tcPr>
          <w:p w14:paraId="66ED2266"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Надходження (введення) нових ОЗ</w:t>
            </w:r>
          </w:p>
        </w:tc>
        <w:tc>
          <w:tcPr>
            <w:tcW w:w="0" w:type="auto"/>
            <w:hideMark/>
          </w:tcPr>
          <w:p w14:paraId="324D9938"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85 400</w:t>
            </w:r>
          </w:p>
        </w:tc>
        <w:tc>
          <w:tcPr>
            <w:tcW w:w="0" w:type="auto"/>
            <w:hideMark/>
          </w:tcPr>
          <w:p w14:paraId="65FBBDFA"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42 100</w:t>
            </w:r>
          </w:p>
        </w:tc>
        <w:tc>
          <w:tcPr>
            <w:tcW w:w="0" w:type="auto"/>
            <w:hideMark/>
          </w:tcPr>
          <w:p w14:paraId="05B40859"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18 500</w:t>
            </w:r>
          </w:p>
        </w:tc>
        <w:tc>
          <w:tcPr>
            <w:tcW w:w="0" w:type="auto"/>
            <w:hideMark/>
          </w:tcPr>
          <w:p w14:paraId="66B100B7"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-43 300</w:t>
            </w:r>
          </w:p>
        </w:tc>
        <w:tc>
          <w:tcPr>
            <w:tcW w:w="0" w:type="auto"/>
            <w:hideMark/>
          </w:tcPr>
          <w:p w14:paraId="2F756A23"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-23 600</w:t>
            </w:r>
          </w:p>
        </w:tc>
        <w:tc>
          <w:tcPr>
            <w:tcW w:w="0" w:type="auto"/>
            <w:hideMark/>
          </w:tcPr>
          <w:p w14:paraId="46758BA5"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-66 900</w:t>
            </w:r>
          </w:p>
        </w:tc>
        <w:tc>
          <w:tcPr>
            <w:tcW w:w="0" w:type="auto"/>
            <w:hideMark/>
          </w:tcPr>
          <w:p w14:paraId="267B04FF"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-78,34%</w:t>
            </w:r>
          </w:p>
        </w:tc>
      </w:tr>
      <w:tr w:rsidR="007266C8" w:rsidRPr="007266C8" w14:paraId="69CCBD9B" w14:textId="77777777" w:rsidTr="00560105">
        <w:tc>
          <w:tcPr>
            <w:tcW w:w="0" w:type="auto"/>
            <w:hideMark/>
          </w:tcPr>
          <w:p w14:paraId="11EFD807"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Вибуття (ліквідація/списання) ОЗ</w:t>
            </w:r>
          </w:p>
        </w:tc>
        <w:tc>
          <w:tcPr>
            <w:tcW w:w="0" w:type="auto"/>
            <w:hideMark/>
          </w:tcPr>
          <w:p w14:paraId="393F3433"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235 373</w:t>
            </w:r>
          </w:p>
        </w:tc>
        <w:tc>
          <w:tcPr>
            <w:tcW w:w="0" w:type="auto"/>
            <w:hideMark/>
          </w:tcPr>
          <w:p w14:paraId="48C25015"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192 073</w:t>
            </w:r>
          </w:p>
        </w:tc>
        <w:tc>
          <w:tcPr>
            <w:tcW w:w="0" w:type="auto"/>
            <w:hideMark/>
          </w:tcPr>
          <w:p w14:paraId="61872160"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84 313</w:t>
            </w:r>
          </w:p>
        </w:tc>
        <w:tc>
          <w:tcPr>
            <w:tcW w:w="0" w:type="auto"/>
            <w:hideMark/>
          </w:tcPr>
          <w:p w14:paraId="1818415C"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-43 300</w:t>
            </w:r>
          </w:p>
        </w:tc>
        <w:tc>
          <w:tcPr>
            <w:tcW w:w="0" w:type="auto"/>
            <w:hideMark/>
          </w:tcPr>
          <w:p w14:paraId="759025F5"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-107 760</w:t>
            </w:r>
          </w:p>
        </w:tc>
        <w:tc>
          <w:tcPr>
            <w:tcW w:w="0" w:type="auto"/>
            <w:hideMark/>
          </w:tcPr>
          <w:p w14:paraId="360D2968"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-151 060</w:t>
            </w:r>
          </w:p>
        </w:tc>
        <w:tc>
          <w:tcPr>
            <w:tcW w:w="0" w:type="auto"/>
            <w:hideMark/>
          </w:tcPr>
          <w:p w14:paraId="31FA48EF"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-64,18%</w:t>
            </w:r>
          </w:p>
        </w:tc>
      </w:tr>
      <w:tr w:rsidR="007266C8" w:rsidRPr="007266C8" w14:paraId="7EC0B017" w14:textId="77777777" w:rsidTr="00560105">
        <w:tc>
          <w:tcPr>
            <w:tcW w:w="0" w:type="auto"/>
            <w:hideMark/>
          </w:tcPr>
          <w:p w14:paraId="6E92D9C5"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Перевищення вибуття над надходженням</w:t>
            </w:r>
          </w:p>
        </w:tc>
        <w:tc>
          <w:tcPr>
            <w:tcW w:w="0" w:type="auto"/>
            <w:hideMark/>
          </w:tcPr>
          <w:p w14:paraId="12B93B14"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+149 973</w:t>
            </w:r>
          </w:p>
        </w:tc>
        <w:tc>
          <w:tcPr>
            <w:tcW w:w="0" w:type="auto"/>
            <w:hideMark/>
          </w:tcPr>
          <w:p w14:paraId="671C1FF1"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+149 973</w:t>
            </w:r>
          </w:p>
        </w:tc>
        <w:tc>
          <w:tcPr>
            <w:tcW w:w="0" w:type="auto"/>
            <w:hideMark/>
          </w:tcPr>
          <w:p w14:paraId="3D024ACD"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+65 813</w:t>
            </w:r>
          </w:p>
        </w:tc>
        <w:tc>
          <w:tcPr>
            <w:tcW w:w="0" w:type="auto"/>
            <w:hideMark/>
          </w:tcPr>
          <w:p w14:paraId="1BFC63AE"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0</w:t>
            </w:r>
          </w:p>
        </w:tc>
        <w:tc>
          <w:tcPr>
            <w:tcW w:w="0" w:type="auto"/>
            <w:hideMark/>
          </w:tcPr>
          <w:p w14:paraId="3C88CF72"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-84 160</w:t>
            </w:r>
          </w:p>
        </w:tc>
        <w:tc>
          <w:tcPr>
            <w:tcW w:w="0" w:type="auto"/>
            <w:hideMark/>
          </w:tcPr>
          <w:p w14:paraId="678B1BF5"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+365 759</w:t>
            </w:r>
          </w:p>
        </w:tc>
        <w:tc>
          <w:tcPr>
            <w:tcW w:w="0" w:type="auto"/>
            <w:hideMark/>
          </w:tcPr>
          <w:p w14:paraId="5EBC7426" w14:textId="77777777" w:rsidR="007266C8" w:rsidRPr="00560105" w:rsidRDefault="007266C8" w:rsidP="001615F5">
            <w:pPr>
              <w:jc w:val="center"/>
              <w:rPr>
                <w:rFonts w:ascii="Times New Roman" w:hAnsi="Times New Roman" w:cs="Times New Roman"/>
              </w:rPr>
            </w:pPr>
            <w:r w:rsidRPr="00560105">
              <w:rPr>
                <w:rFonts w:ascii="Times New Roman" w:hAnsi="Times New Roman" w:cs="Times New Roman"/>
              </w:rPr>
              <w:t>—</w:t>
            </w:r>
          </w:p>
        </w:tc>
      </w:tr>
    </w:tbl>
    <w:p w14:paraId="74F2307D" w14:textId="77777777" w:rsidR="00560105" w:rsidRDefault="00560105" w:rsidP="00CE2A56">
      <w:pPr>
        <w:spacing w:after="0" w:line="360" w:lineRule="auto"/>
        <w:jc w:val="both"/>
        <w:rPr>
          <w:rFonts w:ascii="Times New Roman" w:hAnsi="Times New Roman" w:cs="Times New Roman"/>
          <w:b/>
          <w:bCs/>
          <w:sz w:val="28"/>
          <w:szCs w:val="28"/>
        </w:rPr>
      </w:pPr>
    </w:p>
    <w:p w14:paraId="7EA8F8B6" w14:textId="2DCF4DF8" w:rsidR="00CE2A56" w:rsidRPr="005D4CF3" w:rsidRDefault="00CE2A56" w:rsidP="005D4CF3">
      <w:pPr>
        <w:spacing w:after="0" w:line="360" w:lineRule="auto"/>
        <w:ind w:firstLine="708"/>
        <w:jc w:val="both"/>
        <w:rPr>
          <w:rFonts w:ascii="Times New Roman" w:hAnsi="Times New Roman" w:cs="Times New Roman"/>
          <w:sz w:val="28"/>
          <w:szCs w:val="28"/>
        </w:rPr>
      </w:pPr>
      <w:r w:rsidRPr="00CE2A56">
        <w:rPr>
          <w:rFonts w:ascii="Times New Roman" w:hAnsi="Times New Roman" w:cs="Times New Roman"/>
          <w:sz w:val="28"/>
          <w:szCs w:val="28"/>
        </w:rPr>
        <w:t>Обсяг щорічного введення в дію нових основних засобів (табл. 2.</w:t>
      </w:r>
      <w:r>
        <w:rPr>
          <w:rFonts w:ascii="Times New Roman" w:hAnsi="Times New Roman" w:cs="Times New Roman"/>
          <w:sz w:val="28"/>
          <w:szCs w:val="28"/>
        </w:rPr>
        <w:t>8</w:t>
      </w:r>
      <w:r w:rsidRPr="00CE2A56">
        <w:rPr>
          <w:rFonts w:ascii="Times New Roman" w:hAnsi="Times New Roman" w:cs="Times New Roman"/>
          <w:sz w:val="28"/>
          <w:szCs w:val="28"/>
        </w:rPr>
        <w:t xml:space="preserve">) обвалився на 78,34% (з 85 400 тис. грн у 2023 році до символічних 18 500 тис. грн у 2025 році). Підприємство фінансово знекровило процеси модернізації. Протягом усіх трьох років обсяги списання та вибуття основних засобів суттєво перевищували обсяги їхнього надходження. Сумарне чисте перевищення вибуття </w:t>
      </w:r>
      <w:r w:rsidRPr="00CE2A56">
        <w:rPr>
          <w:rFonts w:ascii="Times New Roman" w:hAnsi="Times New Roman" w:cs="Times New Roman"/>
          <w:sz w:val="28"/>
          <w:szCs w:val="28"/>
        </w:rPr>
        <w:lastRenderedPageBreak/>
        <w:t>над надходженням за період склало 365 759 тис. грн (табл. 2.</w:t>
      </w:r>
      <w:r>
        <w:rPr>
          <w:rFonts w:ascii="Times New Roman" w:hAnsi="Times New Roman" w:cs="Times New Roman"/>
          <w:sz w:val="28"/>
          <w:szCs w:val="28"/>
        </w:rPr>
        <w:t>8</w:t>
      </w:r>
      <w:r w:rsidRPr="00CE2A56">
        <w:rPr>
          <w:rFonts w:ascii="Times New Roman" w:hAnsi="Times New Roman" w:cs="Times New Roman"/>
          <w:sz w:val="28"/>
          <w:szCs w:val="28"/>
        </w:rPr>
        <w:t>), що призвело до</w:t>
      </w:r>
      <w:r w:rsidRPr="007266C8">
        <w:rPr>
          <w:rFonts w:ascii="Times New Roman" w:hAnsi="Times New Roman" w:cs="Times New Roman"/>
          <w:sz w:val="28"/>
          <w:szCs w:val="28"/>
        </w:rPr>
        <w:t xml:space="preserve"> деградації виробничого ядра компанії.</w:t>
      </w:r>
    </w:p>
    <w:p w14:paraId="49E47BD5" w14:textId="4484941C" w:rsidR="00560105" w:rsidRPr="00560105" w:rsidRDefault="007266C8" w:rsidP="00560105">
      <w:pPr>
        <w:spacing w:after="0" w:line="360" w:lineRule="auto"/>
        <w:ind w:firstLine="708"/>
        <w:jc w:val="right"/>
        <w:rPr>
          <w:rFonts w:ascii="Times New Roman" w:hAnsi="Times New Roman" w:cs="Times New Roman"/>
          <w:sz w:val="28"/>
          <w:szCs w:val="28"/>
        </w:rPr>
      </w:pPr>
      <w:r w:rsidRPr="00560105">
        <w:rPr>
          <w:rFonts w:ascii="Times New Roman" w:hAnsi="Times New Roman" w:cs="Times New Roman"/>
          <w:sz w:val="28"/>
          <w:szCs w:val="28"/>
        </w:rPr>
        <w:t>Таблиця 2.</w:t>
      </w:r>
      <w:r w:rsidR="00CE2A56">
        <w:rPr>
          <w:rFonts w:ascii="Times New Roman" w:hAnsi="Times New Roman" w:cs="Times New Roman"/>
          <w:sz w:val="28"/>
          <w:szCs w:val="28"/>
        </w:rPr>
        <w:t>9</w:t>
      </w:r>
    </w:p>
    <w:p w14:paraId="7A7514EC" w14:textId="77777777" w:rsidR="00560105" w:rsidRDefault="007266C8" w:rsidP="00560105">
      <w:pPr>
        <w:spacing w:after="0" w:line="360" w:lineRule="auto"/>
        <w:jc w:val="center"/>
        <w:rPr>
          <w:rFonts w:ascii="Times New Roman" w:hAnsi="Times New Roman" w:cs="Times New Roman"/>
          <w:sz w:val="28"/>
          <w:szCs w:val="28"/>
        </w:rPr>
      </w:pPr>
      <w:r w:rsidRPr="00560105">
        <w:rPr>
          <w:rFonts w:ascii="Times New Roman" w:hAnsi="Times New Roman" w:cs="Times New Roman"/>
          <w:sz w:val="28"/>
          <w:szCs w:val="28"/>
        </w:rPr>
        <w:t>Структурний аналіз необоротних активів у загальній системі майна</w:t>
      </w:r>
      <w:r w:rsidR="00560105">
        <w:rPr>
          <w:rFonts w:ascii="Times New Roman" w:hAnsi="Times New Roman" w:cs="Times New Roman"/>
          <w:sz w:val="28"/>
          <w:szCs w:val="28"/>
        </w:rPr>
        <w:t xml:space="preserve"> </w:t>
      </w:r>
    </w:p>
    <w:p w14:paraId="41305DD6" w14:textId="4D70C652" w:rsidR="007266C8" w:rsidRPr="007266C8" w:rsidRDefault="00560105" w:rsidP="00560105">
      <w:pPr>
        <w:spacing w:after="0" w:line="360" w:lineRule="auto"/>
        <w:jc w:val="center"/>
        <w:rPr>
          <w:rFonts w:ascii="Times New Roman" w:hAnsi="Times New Roman" w:cs="Times New Roman"/>
          <w:b/>
          <w:bCs/>
          <w:sz w:val="28"/>
          <w:szCs w:val="28"/>
        </w:rPr>
      </w:pPr>
      <w:r w:rsidRPr="00B71412">
        <w:rPr>
          <w:rFonts w:ascii="Times New Roman" w:hAnsi="Times New Roman" w:cs="Times New Roman"/>
          <w:sz w:val="28"/>
          <w:szCs w:val="28"/>
        </w:rPr>
        <w:t>ТОВ «КЕРНЕЛ-ТРЕЙД»</w:t>
      </w:r>
    </w:p>
    <w:tbl>
      <w:tblPr>
        <w:tblStyle w:val="af0"/>
        <w:tblW w:w="0" w:type="auto"/>
        <w:tblLook w:val="04A0" w:firstRow="1" w:lastRow="0" w:firstColumn="1" w:lastColumn="0" w:noHBand="0" w:noVBand="1"/>
      </w:tblPr>
      <w:tblGrid>
        <w:gridCol w:w="1660"/>
        <w:gridCol w:w="1235"/>
        <w:gridCol w:w="1235"/>
        <w:gridCol w:w="1235"/>
        <w:gridCol w:w="1492"/>
        <w:gridCol w:w="1492"/>
        <w:gridCol w:w="1278"/>
      </w:tblGrid>
      <w:tr w:rsidR="007266C8" w:rsidRPr="007266C8" w14:paraId="6DE93846" w14:textId="77777777" w:rsidTr="00560105">
        <w:tc>
          <w:tcPr>
            <w:tcW w:w="0" w:type="auto"/>
            <w:hideMark/>
          </w:tcPr>
          <w:p w14:paraId="778CC1C4"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Складові необоротних активів</w:t>
            </w:r>
          </w:p>
        </w:tc>
        <w:tc>
          <w:tcPr>
            <w:tcW w:w="0" w:type="auto"/>
            <w:hideMark/>
          </w:tcPr>
          <w:p w14:paraId="6DF2730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На 31.12.2023</w:t>
            </w:r>
          </w:p>
        </w:tc>
        <w:tc>
          <w:tcPr>
            <w:tcW w:w="0" w:type="auto"/>
            <w:hideMark/>
          </w:tcPr>
          <w:p w14:paraId="093423C6"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На 31.12.2024</w:t>
            </w:r>
          </w:p>
        </w:tc>
        <w:tc>
          <w:tcPr>
            <w:tcW w:w="0" w:type="auto"/>
            <w:hideMark/>
          </w:tcPr>
          <w:p w14:paraId="304D0E04"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На 31.12.2025</w:t>
            </w:r>
          </w:p>
        </w:tc>
        <w:tc>
          <w:tcPr>
            <w:tcW w:w="0" w:type="auto"/>
            <w:hideMark/>
          </w:tcPr>
          <w:p w14:paraId="171F73F1"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Структурне зрушення 2024/2023</w:t>
            </w:r>
          </w:p>
        </w:tc>
        <w:tc>
          <w:tcPr>
            <w:tcW w:w="0" w:type="auto"/>
            <w:hideMark/>
          </w:tcPr>
          <w:p w14:paraId="2CAF98C7"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Структурне зрушення 2025/2024</w:t>
            </w:r>
          </w:p>
        </w:tc>
        <w:tc>
          <w:tcPr>
            <w:tcW w:w="0" w:type="auto"/>
            <w:hideMark/>
          </w:tcPr>
          <w:p w14:paraId="6784D4EB"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Загальне зрушення періоду</w:t>
            </w:r>
          </w:p>
        </w:tc>
      </w:tr>
      <w:tr w:rsidR="007266C8" w:rsidRPr="007266C8" w14:paraId="214A4515" w14:textId="77777777" w:rsidTr="00560105">
        <w:tc>
          <w:tcPr>
            <w:tcW w:w="0" w:type="auto"/>
            <w:hideMark/>
          </w:tcPr>
          <w:p w14:paraId="2720CDC4" w14:textId="77777777" w:rsidR="007266C8" w:rsidRPr="00560105" w:rsidRDefault="007266C8" w:rsidP="00560105">
            <w:pPr>
              <w:jc w:val="both"/>
              <w:rPr>
                <w:rFonts w:ascii="Times New Roman" w:hAnsi="Times New Roman" w:cs="Times New Roman"/>
              </w:rPr>
            </w:pPr>
            <w:r w:rsidRPr="00560105">
              <w:rPr>
                <w:rFonts w:ascii="Times New Roman" w:hAnsi="Times New Roman" w:cs="Times New Roman"/>
              </w:rPr>
              <w:t>Залишкова вартість основних засобів</w:t>
            </w:r>
          </w:p>
        </w:tc>
        <w:tc>
          <w:tcPr>
            <w:tcW w:w="0" w:type="auto"/>
            <w:hideMark/>
          </w:tcPr>
          <w:p w14:paraId="3082A741"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4,36%</w:t>
            </w:r>
          </w:p>
        </w:tc>
        <w:tc>
          <w:tcPr>
            <w:tcW w:w="0" w:type="auto"/>
            <w:hideMark/>
          </w:tcPr>
          <w:p w14:paraId="1F57344B"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3,56%</w:t>
            </w:r>
          </w:p>
        </w:tc>
        <w:tc>
          <w:tcPr>
            <w:tcW w:w="0" w:type="auto"/>
            <w:hideMark/>
          </w:tcPr>
          <w:p w14:paraId="6F7DE641"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3,45%</w:t>
            </w:r>
          </w:p>
        </w:tc>
        <w:tc>
          <w:tcPr>
            <w:tcW w:w="0" w:type="auto"/>
            <w:hideMark/>
          </w:tcPr>
          <w:p w14:paraId="4BF7309E"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-0,80%</w:t>
            </w:r>
          </w:p>
        </w:tc>
        <w:tc>
          <w:tcPr>
            <w:tcW w:w="0" w:type="auto"/>
            <w:hideMark/>
          </w:tcPr>
          <w:p w14:paraId="6510F18A"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-0,11%</w:t>
            </w:r>
          </w:p>
        </w:tc>
        <w:tc>
          <w:tcPr>
            <w:tcW w:w="0" w:type="auto"/>
            <w:hideMark/>
          </w:tcPr>
          <w:p w14:paraId="560F3AA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-0,91%</w:t>
            </w:r>
          </w:p>
        </w:tc>
      </w:tr>
      <w:tr w:rsidR="007266C8" w:rsidRPr="007266C8" w14:paraId="328D7D98" w14:textId="77777777" w:rsidTr="00560105">
        <w:tc>
          <w:tcPr>
            <w:tcW w:w="0" w:type="auto"/>
            <w:hideMark/>
          </w:tcPr>
          <w:p w14:paraId="3948E862" w14:textId="77777777" w:rsidR="007266C8" w:rsidRPr="00560105" w:rsidRDefault="007266C8" w:rsidP="00560105">
            <w:pPr>
              <w:rPr>
                <w:rFonts w:ascii="Times New Roman" w:hAnsi="Times New Roman" w:cs="Times New Roman"/>
              </w:rPr>
            </w:pPr>
            <w:r w:rsidRPr="00560105">
              <w:rPr>
                <w:rFonts w:ascii="Times New Roman" w:hAnsi="Times New Roman" w:cs="Times New Roman"/>
              </w:rPr>
              <w:t>Інші необоротні активи (включно з НА)</w:t>
            </w:r>
          </w:p>
        </w:tc>
        <w:tc>
          <w:tcPr>
            <w:tcW w:w="0" w:type="auto"/>
            <w:hideMark/>
          </w:tcPr>
          <w:p w14:paraId="3D07C275"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0,34%</w:t>
            </w:r>
          </w:p>
        </w:tc>
        <w:tc>
          <w:tcPr>
            <w:tcW w:w="0" w:type="auto"/>
            <w:hideMark/>
          </w:tcPr>
          <w:p w14:paraId="6DBBC796"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0,29%</w:t>
            </w:r>
          </w:p>
        </w:tc>
        <w:tc>
          <w:tcPr>
            <w:tcW w:w="0" w:type="auto"/>
            <w:hideMark/>
          </w:tcPr>
          <w:p w14:paraId="57E4B176"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0,76%</w:t>
            </w:r>
          </w:p>
        </w:tc>
        <w:tc>
          <w:tcPr>
            <w:tcW w:w="0" w:type="auto"/>
            <w:hideMark/>
          </w:tcPr>
          <w:p w14:paraId="7B78F253"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-0,05%</w:t>
            </w:r>
          </w:p>
        </w:tc>
        <w:tc>
          <w:tcPr>
            <w:tcW w:w="0" w:type="auto"/>
            <w:hideMark/>
          </w:tcPr>
          <w:p w14:paraId="69F56105"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+0,47%</w:t>
            </w:r>
          </w:p>
        </w:tc>
        <w:tc>
          <w:tcPr>
            <w:tcW w:w="0" w:type="auto"/>
            <w:hideMark/>
          </w:tcPr>
          <w:p w14:paraId="0597FB3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+0,42%</w:t>
            </w:r>
          </w:p>
        </w:tc>
      </w:tr>
      <w:tr w:rsidR="007266C8" w:rsidRPr="007266C8" w14:paraId="0AEBACC9" w14:textId="77777777" w:rsidTr="00560105">
        <w:tc>
          <w:tcPr>
            <w:tcW w:w="0" w:type="auto"/>
            <w:hideMark/>
          </w:tcPr>
          <w:p w14:paraId="04F77671" w14:textId="77777777" w:rsidR="00560105" w:rsidRDefault="007266C8" w:rsidP="00560105">
            <w:pPr>
              <w:rPr>
                <w:rFonts w:ascii="Times New Roman" w:hAnsi="Times New Roman" w:cs="Times New Roman"/>
              </w:rPr>
            </w:pPr>
            <w:r w:rsidRPr="00560105">
              <w:rPr>
                <w:rFonts w:ascii="Times New Roman" w:hAnsi="Times New Roman" w:cs="Times New Roman"/>
              </w:rPr>
              <w:t xml:space="preserve">Разом необоротні активи </w:t>
            </w:r>
          </w:p>
          <w:p w14:paraId="7917F96C" w14:textId="6B99C3BF" w:rsidR="007266C8" w:rsidRPr="00560105" w:rsidRDefault="007266C8" w:rsidP="00560105">
            <w:pPr>
              <w:rPr>
                <w:rFonts w:ascii="Times New Roman" w:hAnsi="Times New Roman" w:cs="Times New Roman"/>
              </w:rPr>
            </w:pPr>
            <w:r w:rsidRPr="00560105">
              <w:rPr>
                <w:rFonts w:ascii="Times New Roman" w:hAnsi="Times New Roman" w:cs="Times New Roman"/>
              </w:rPr>
              <w:t>(р. 1095)</w:t>
            </w:r>
          </w:p>
        </w:tc>
        <w:tc>
          <w:tcPr>
            <w:tcW w:w="0" w:type="auto"/>
            <w:hideMark/>
          </w:tcPr>
          <w:p w14:paraId="27C88FD5"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4,70%</w:t>
            </w:r>
          </w:p>
        </w:tc>
        <w:tc>
          <w:tcPr>
            <w:tcW w:w="0" w:type="auto"/>
            <w:hideMark/>
          </w:tcPr>
          <w:p w14:paraId="5442B1EC"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3,85%</w:t>
            </w:r>
          </w:p>
        </w:tc>
        <w:tc>
          <w:tcPr>
            <w:tcW w:w="0" w:type="auto"/>
            <w:hideMark/>
          </w:tcPr>
          <w:p w14:paraId="1DB098E2"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4,21%</w:t>
            </w:r>
          </w:p>
        </w:tc>
        <w:tc>
          <w:tcPr>
            <w:tcW w:w="0" w:type="auto"/>
            <w:hideMark/>
          </w:tcPr>
          <w:p w14:paraId="1AE5CA0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-0,85%</w:t>
            </w:r>
          </w:p>
        </w:tc>
        <w:tc>
          <w:tcPr>
            <w:tcW w:w="0" w:type="auto"/>
            <w:hideMark/>
          </w:tcPr>
          <w:p w14:paraId="7C8443A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+0,36%</w:t>
            </w:r>
          </w:p>
        </w:tc>
        <w:tc>
          <w:tcPr>
            <w:tcW w:w="0" w:type="auto"/>
            <w:hideMark/>
          </w:tcPr>
          <w:p w14:paraId="7924916B"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-0,49%</w:t>
            </w:r>
          </w:p>
        </w:tc>
      </w:tr>
      <w:tr w:rsidR="007266C8" w:rsidRPr="007266C8" w14:paraId="4593AC5E" w14:textId="77777777" w:rsidTr="00560105">
        <w:tc>
          <w:tcPr>
            <w:tcW w:w="0" w:type="auto"/>
            <w:hideMark/>
          </w:tcPr>
          <w:p w14:paraId="7FCD3085" w14:textId="77777777" w:rsidR="00560105" w:rsidRDefault="007266C8" w:rsidP="00560105">
            <w:pPr>
              <w:rPr>
                <w:rFonts w:ascii="Times New Roman" w:hAnsi="Times New Roman" w:cs="Times New Roman"/>
              </w:rPr>
            </w:pPr>
            <w:r w:rsidRPr="00560105">
              <w:rPr>
                <w:rFonts w:ascii="Times New Roman" w:hAnsi="Times New Roman" w:cs="Times New Roman"/>
              </w:rPr>
              <w:t xml:space="preserve">Оборотні активи </w:t>
            </w:r>
          </w:p>
          <w:p w14:paraId="0E5058B0" w14:textId="248790DD" w:rsidR="007266C8" w:rsidRPr="00560105" w:rsidRDefault="007266C8" w:rsidP="00560105">
            <w:pPr>
              <w:rPr>
                <w:rFonts w:ascii="Times New Roman" w:hAnsi="Times New Roman" w:cs="Times New Roman"/>
              </w:rPr>
            </w:pPr>
            <w:r w:rsidRPr="00560105">
              <w:rPr>
                <w:rFonts w:ascii="Times New Roman" w:hAnsi="Times New Roman" w:cs="Times New Roman"/>
              </w:rPr>
              <w:t>(р. 1195)</w:t>
            </w:r>
          </w:p>
        </w:tc>
        <w:tc>
          <w:tcPr>
            <w:tcW w:w="0" w:type="auto"/>
            <w:hideMark/>
          </w:tcPr>
          <w:p w14:paraId="3B671E3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95,30%</w:t>
            </w:r>
          </w:p>
        </w:tc>
        <w:tc>
          <w:tcPr>
            <w:tcW w:w="0" w:type="auto"/>
            <w:hideMark/>
          </w:tcPr>
          <w:p w14:paraId="7DFF32B7"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96,15%</w:t>
            </w:r>
          </w:p>
        </w:tc>
        <w:tc>
          <w:tcPr>
            <w:tcW w:w="0" w:type="auto"/>
            <w:hideMark/>
          </w:tcPr>
          <w:p w14:paraId="424997A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95,79%</w:t>
            </w:r>
          </w:p>
        </w:tc>
        <w:tc>
          <w:tcPr>
            <w:tcW w:w="0" w:type="auto"/>
            <w:hideMark/>
          </w:tcPr>
          <w:p w14:paraId="1C4BE791"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+0,85%</w:t>
            </w:r>
          </w:p>
        </w:tc>
        <w:tc>
          <w:tcPr>
            <w:tcW w:w="0" w:type="auto"/>
            <w:hideMark/>
          </w:tcPr>
          <w:p w14:paraId="26FF6FDB"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-0,36%</w:t>
            </w:r>
          </w:p>
        </w:tc>
        <w:tc>
          <w:tcPr>
            <w:tcW w:w="0" w:type="auto"/>
            <w:hideMark/>
          </w:tcPr>
          <w:p w14:paraId="3072F7A8"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+0,49%</w:t>
            </w:r>
          </w:p>
        </w:tc>
      </w:tr>
      <w:tr w:rsidR="007266C8" w:rsidRPr="007266C8" w14:paraId="798E110F" w14:textId="77777777" w:rsidTr="00560105">
        <w:tc>
          <w:tcPr>
            <w:tcW w:w="0" w:type="auto"/>
            <w:hideMark/>
          </w:tcPr>
          <w:p w14:paraId="4D485ECD" w14:textId="77777777" w:rsidR="007266C8" w:rsidRPr="00560105" w:rsidRDefault="007266C8" w:rsidP="00560105">
            <w:pPr>
              <w:rPr>
                <w:rFonts w:ascii="Times New Roman" w:hAnsi="Times New Roman" w:cs="Times New Roman"/>
              </w:rPr>
            </w:pPr>
            <w:r w:rsidRPr="00560105">
              <w:rPr>
                <w:rFonts w:ascii="Times New Roman" w:hAnsi="Times New Roman" w:cs="Times New Roman"/>
              </w:rPr>
              <w:t>Валюта балансу (Баланс)</w:t>
            </w:r>
          </w:p>
        </w:tc>
        <w:tc>
          <w:tcPr>
            <w:tcW w:w="0" w:type="auto"/>
            <w:hideMark/>
          </w:tcPr>
          <w:p w14:paraId="6C69B157"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100,00%</w:t>
            </w:r>
          </w:p>
        </w:tc>
        <w:tc>
          <w:tcPr>
            <w:tcW w:w="0" w:type="auto"/>
            <w:hideMark/>
          </w:tcPr>
          <w:p w14:paraId="2DC552C3"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100,00%</w:t>
            </w:r>
          </w:p>
        </w:tc>
        <w:tc>
          <w:tcPr>
            <w:tcW w:w="0" w:type="auto"/>
            <w:hideMark/>
          </w:tcPr>
          <w:p w14:paraId="0604DBEF"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100,00%</w:t>
            </w:r>
          </w:p>
        </w:tc>
        <w:tc>
          <w:tcPr>
            <w:tcW w:w="0" w:type="auto"/>
            <w:hideMark/>
          </w:tcPr>
          <w:p w14:paraId="0376122E"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w:t>
            </w:r>
          </w:p>
        </w:tc>
        <w:tc>
          <w:tcPr>
            <w:tcW w:w="0" w:type="auto"/>
            <w:hideMark/>
          </w:tcPr>
          <w:p w14:paraId="63A42495"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w:t>
            </w:r>
          </w:p>
        </w:tc>
        <w:tc>
          <w:tcPr>
            <w:tcW w:w="0" w:type="auto"/>
            <w:hideMark/>
          </w:tcPr>
          <w:p w14:paraId="2B1C58F9" w14:textId="77777777" w:rsidR="007266C8" w:rsidRPr="00560105" w:rsidRDefault="007266C8" w:rsidP="00560105">
            <w:pPr>
              <w:jc w:val="center"/>
              <w:rPr>
                <w:rFonts w:ascii="Times New Roman" w:hAnsi="Times New Roman" w:cs="Times New Roman"/>
              </w:rPr>
            </w:pPr>
            <w:r w:rsidRPr="00560105">
              <w:rPr>
                <w:rFonts w:ascii="Times New Roman" w:hAnsi="Times New Roman" w:cs="Times New Roman"/>
              </w:rPr>
              <w:t>—</w:t>
            </w:r>
          </w:p>
        </w:tc>
      </w:tr>
    </w:tbl>
    <w:p w14:paraId="7B7D8283" w14:textId="77777777" w:rsidR="00560105" w:rsidRDefault="00560105" w:rsidP="007266C8">
      <w:pPr>
        <w:spacing w:after="0" w:line="360" w:lineRule="auto"/>
        <w:ind w:firstLine="708"/>
        <w:jc w:val="both"/>
        <w:rPr>
          <w:rFonts w:ascii="Times New Roman" w:hAnsi="Times New Roman" w:cs="Times New Roman"/>
          <w:b/>
          <w:bCs/>
          <w:sz w:val="28"/>
          <w:szCs w:val="28"/>
        </w:rPr>
      </w:pPr>
    </w:p>
    <w:p w14:paraId="53697E24" w14:textId="75E3BC60" w:rsidR="007266C8" w:rsidRPr="007266C8" w:rsidRDefault="007266C8" w:rsidP="00CE2A56">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Згідно зі структурним аналізом (табл. 2.</w:t>
      </w:r>
      <w:r w:rsidR="00CE2A56">
        <w:rPr>
          <w:rFonts w:ascii="Times New Roman" w:hAnsi="Times New Roman" w:cs="Times New Roman"/>
          <w:sz w:val="28"/>
          <w:szCs w:val="28"/>
        </w:rPr>
        <w:t>9</w:t>
      </w:r>
      <w:r w:rsidRPr="007266C8">
        <w:rPr>
          <w:rFonts w:ascii="Times New Roman" w:hAnsi="Times New Roman" w:cs="Times New Roman"/>
          <w:sz w:val="28"/>
          <w:szCs w:val="28"/>
        </w:rPr>
        <w:t xml:space="preserve">), частка основних засобів у валюті балансу є критично низькою і стабільно знижується (з 4,36% до 3,45%). </w:t>
      </w:r>
      <w:r w:rsidR="004A427A">
        <w:rPr>
          <w:rFonts w:ascii="Times New Roman" w:hAnsi="Times New Roman" w:cs="Times New Roman"/>
          <w:sz w:val="28"/>
          <w:szCs w:val="28"/>
        </w:rPr>
        <w:t>П</w:t>
      </w:r>
      <w:r w:rsidRPr="007266C8">
        <w:rPr>
          <w:rFonts w:ascii="Times New Roman" w:hAnsi="Times New Roman" w:cs="Times New Roman"/>
          <w:sz w:val="28"/>
          <w:szCs w:val="28"/>
        </w:rPr>
        <w:t>ідприємство має ультра-мобільну структуру балансу, де понад 95% займають оборотні активи. Проте навіть за такої моделі поточний рівень фінансування ОЗ не забезпечує навіть простого відтворення матеріального базису.</w:t>
      </w:r>
    </w:p>
    <w:p w14:paraId="0A5400B9" w14:textId="0089357B" w:rsidR="007266C8" w:rsidRPr="007266C8" w:rsidRDefault="007266C8" w:rsidP="007266C8">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Для визначення якісних характеристик майнового стану розрахуємо коефіцієнти відтворення активів та порівняємо їхні вектори</w:t>
      </w:r>
      <w:r w:rsidR="00D01C09">
        <w:rPr>
          <w:rFonts w:ascii="Times New Roman" w:hAnsi="Times New Roman" w:cs="Times New Roman"/>
          <w:sz w:val="28"/>
          <w:szCs w:val="28"/>
        </w:rPr>
        <w:t xml:space="preserve"> (табл. 2.10)</w:t>
      </w:r>
      <w:r w:rsidRPr="007266C8">
        <w:rPr>
          <w:rFonts w:ascii="Times New Roman" w:hAnsi="Times New Roman" w:cs="Times New Roman"/>
          <w:sz w:val="28"/>
          <w:szCs w:val="28"/>
        </w:rPr>
        <w:t>.</w:t>
      </w:r>
    </w:p>
    <w:p w14:paraId="17B7E5FA" w14:textId="77777777" w:rsidR="001615F5" w:rsidRPr="001615F5" w:rsidRDefault="007266C8" w:rsidP="001615F5">
      <w:pPr>
        <w:spacing w:after="0" w:line="360" w:lineRule="auto"/>
        <w:ind w:firstLine="708"/>
        <w:jc w:val="right"/>
        <w:rPr>
          <w:rFonts w:ascii="Times New Roman" w:hAnsi="Times New Roman" w:cs="Times New Roman"/>
          <w:sz w:val="28"/>
          <w:szCs w:val="28"/>
        </w:rPr>
      </w:pPr>
      <w:r w:rsidRPr="001615F5">
        <w:rPr>
          <w:rFonts w:ascii="Times New Roman" w:hAnsi="Times New Roman" w:cs="Times New Roman"/>
          <w:sz w:val="28"/>
          <w:szCs w:val="28"/>
        </w:rPr>
        <w:t xml:space="preserve">Таблиця </w:t>
      </w:r>
      <w:r w:rsidR="00CE2A56" w:rsidRPr="001615F5">
        <w:rPr>
          <w:rFonts w:ascii="Times New Roman" w:hAnsi="Times New Roman" w:cs="Times New Roman"/>
          <w:sz w:val="28"/>
          <w:szCs w:val="28"/>
        </w:rPr>
        <w:t>2.10</w:t>
      </w:r>
    </w:p>
    <w:p w14:paraId="53AC7E71" w14:textId="317F108D" w:rsidR="007266C8" w:rsidRPr="001615F5" w:rsidRDefault="007266C8" w:rsidP="001615F5">
      <w:pPr>
        <w:spacing w:after="0" w:line="360" w:lineRule="auto"/>
        <w:ind w:firstLine="708"/>
        <w:jc w:val="center"/>
        <w:rPr>
          <w:rFonts w:ascii="Times New Roman" w:hAnsi="Times New Roman" w:cs="Times New Roman"/>
          <w:sz w:val="28"/>
          <w:szCs w:val="28"/>
        </w:rPr>
      </w:pPr>
      <w:r w:rsidRPr="001615F5">
        <w:rPr>
          <w:rFonts w:ascii="Times New Roman" w:hAnsi="Times New Roman" w:cs="Times New Roman"/>
          <w:sz w:val="28"/>
          <w:szCs w:val="28"/>
        </w:rPr>
        <w:t>Коефіцієнти руху, стану та якісного оновлення основних засобів</w:t>
      </w:r>
    </w:p>
    <w:tbl>
      <w:tblPr>
        <w:tblStyle w:val="af0"/>
        <w:tblW w:w="0" w:type="auto"/>
        <w:tblLook w:val="04A0" w:firstRow="1" w:lastRow="0" w:firstColumn="1" w:lastColumn="0" w:noHBand="0" w:noVBand="1"/>
      </w:tblPr>
      <w:tblGrid>
        <w:gridCol w:w="2258"/>
        <w:gridCol w:w="711"/>
        <w:gridCol w:w="711"/>
        <w:gridCol w:w="711"/>
        <w:gridCol w:w="1274"/>
        <w:gridCol w:w="1252"/>
        <w:gridCol w:w="1158"/>
        <w:gridCol w:w="1552"/>
      </w:tblGrid>
      <w:tr w:rsidR="007266C8" w:rsidRPr="001615F5" w14:paraId="0A7EDDB5" w14:textId="77777777" w:rsidTr="001615F5">
        <w:tc>
          <w:tcPr>
            <w:tcW w:w="2263" w:type="dxa"/>
            <w:hideMark/>
          </w:tcPr>
          <w:p w14:paraId="1B7B8899" w14:textId="64AEDAC0" w:rsidR="007266C8" w:rsidRPr="001615F5" w:rsidRDefault="007266C8" w:rsidP="001615F5">
            <w:pPr>
              <w:jc w:val="center"/>
              <w:rPr>
                <w:rFonts w:ascii="Times New Roman" w:hAnsi="Times New Roman" w:cs="Times New Roman"/>
              </w:rPr>
            </w:pPr>
            <w:r w:rsidRPr="001615F5">
              <w:rPr>
                <w:rFonts w:ascii="Times New Roman" w:hAnsi="Times New Roman" w:cs="Times New Roman"/>
              </w:rPr>
              <w:t xml:space="preserve">Показник </w:t>
            </w:r>
          </w:p>
        </w:tc>
        <w:tc>
          <w:tcPr>
            <w:tcW w:w="705" w:type="dxa"/>
            <w:hideMark/>
          </w:tcPr>
          <w:p w14:paraId="6D341D5C"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2023</w:t>
            </w:r>
          </w:p>
        </w:tc>
        <w:tc>
          <w:tcPr>
            <w:tcW w:w="711" w:type="dxa"/>
            <w:hideMark/>
          </w:tcPr>
          <w:p w14:paraId="03575314"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2024</w:t>
            </w:r>
          </w:p>
        </w:tc>
        <w:tc>
          <w:tcPr>
            <w:tcW w:w="711" w:type="dxa"/>
            <w:hideMark/>
          </w:tcPr>
          <w:p w14:paraId="481AD518"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2025</w:t>
            </w:r>
          </w:p>
        </w:tc>
        <w:tc>
          <w:tcPr>
            <w:tcW w:w="1275" w:type="dxa"/>
            <w:hideMark/>
          </w:tcPr>
          <w:p w14:paraId="486DE7B7" w14:textId="77777777" w:rsidR="007266C8" w:rsidRPr="001615F5" w:rsidRDefault="007266C8" w:rsidP="001615F5">
            <w:pPr>
              <w:jc w:val="center"/>
              <w:rPr>
                <w:rFonts w:ascii="Times New Roman" w:hAnsi="Times New Roman" w:cs="Times New Roman"/>
              </w:rPr>
            </w:pPr>
            <w:proofErr w:type="spellStart"/>
            <w:r w:rsidRPr="001615F5">
              <w:rPr>
                <w:rFonts w:ascii="Times New Roman" w:hAnsi="Times New Roman" w:cs="Times New Roman"/>
              </w:rPr>
              <w:t>Абс</w:t>
            </w:r>
            <w:proofErr w:type="spellEnd"/>
            <w:r w:rsidRPr="001615F5">
              <w:rPr>
                <w:rFonts w:ascii="Times New Roman" w:hAnsi="Times New Roman" w:cs="Times New Roman"/>
              </w:rPr>
              <w:t>. зміна 2024/2023</w:t>
            </w:r>
          </w:p>
        </w:tc>
        <w:tc>
          <w:tcPr>
            <w:tcW w:w="1252" w:type="dxa"/>
            <w:hideMark/>
          </w:tcPr>
          <w:p w14:paraId="3B5F23D5" w14:textId="77777777" w:rsidR="007266C8" w:rsidRPr="001615F5" w:rsidRDefault="007266C8" w:rsidP="001615F5">
            <w:pPr>
              <w:jc w:val="center"/>
              <w:rPr>
                <w:rFonts w:ascii="Times New Roman" w:hAnsi="Times New Roman" w:cs="Times New Roman"/>
              </w:rPr>
            </w:pPr>
            <w:proofErr w:type="spellStart"/>
            <w:r w:rsidRPr="001615F5">
              <w:rPr>
                <w:rFonts w:ascii="Times New Roman" w:hAnsi="Times New Roman" w:cs="Times New Roman"/>
              </w:rPr>
              <w:t>Абс</w:t>
            </w:r>
            <w:proofErr w:type="spellEnd"/>
            <w:r w:rsidRPr="001615F5">
              <w:rPr>
                <w:rFonts w:ascii="Times New Roman" w:hAnsi="Times New Roman" w:cs="Times New Roman"/>
              </w:rPr>
              <w:t>. зміна 2025/2024</w:t>
            </w:r>
          </w:p>
        </w:tc>
        <w:tc>
          <w:tcPr>
            <w:tcW w:w="1158" w:type="dxa"/>
            <w:hideMark/>
          </w:tcPr>
          <w:p w14:paraId="4BEE7FBD"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Загальна зміна 2025/2023</w:t>
            </w:r>
          </w:p>
        </w:tc>
        <w:tc>
          <w:tcPr>
            <w:tcW w:w="1552" w:type="dxa"/>
            <w:hideMark/>
          </w:tcPr>
          <w:p w14:paraId="17A75BF1"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Оптимальний орієнтир</w:t>
            </w:r>
          </w:p>
        </w:tc>
      </w:tr>
      <w:tr w:rsidR="007266C8" w:rsidRPr="001615F5" w14:paraId="00051D5C" w14:textId="77777777" w:rsidTr="001615F5">
        <w:tc>
          <w:tcPr>
            <w:tcW w:w="2263" w:type="dxa"/>
            <w:hideMark/>
          </w:tcPr>
          <w:p w14:paraId="400C2239" w14:textId="53667E83" w:rsidR="007266C8" w:rsidRPr="001615F5" w:rsidRDefault="007266C8" w:rsidP="001615F5">
            <w:pPr>
              <w:rPr>
                <w:rFonts w:ascii="Times New Roman" w:hAnsi="Times New Roman" w:cs="Times New Roman"/>
              </w:rPr>
            </w:pPr>
            <w:r w:rsidRPr="001615F5">
              <w:rPr>
                <w:rFonts w:ascii="Times New Roman" w:hAnsi="Times New Roman" w:cs="Times New Roman"/>
              </w:rPr>
              <w:t>Коефіцієнт зносу (</w:t>
            </w:r>
            <w:proofErr w:type="spellStart"/>
            <w:r w:rsidRPr="001615F5">
              <w:rPr>
                <w:rFonts w:ascii="Times New Roman" w:hAnsi="Times New Roman" w:cs="Times New Roman"/>
              </w:rPr>
              <w:t>Kзн</w:t>
            </w:r>
            <w:proofErr w:type="spellEnd"/>
            <w:r w:rsidRPr="001615F5">
              <w:rPr>
                <w:rFonts w:ascii="Times New Roman" w:hAnsi="Times New Roman" w:cs="Times New Roman"/>
              </w:rPr>
              <w:t>)</w:t>
            </w:r>
          </w:p>
        </w:tc>
        <w:tc>
          <w:tcPr>
            <w:tcW w:w="705" w:type="dxa"/>
            <w:hideMark/>
          </w:tcPr>
          <w:p w14:paraId="2C89CAC3"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0,249</w:t>
            </w:r>
          </w:p>
        </w:tc>
        <w:tc>
          <w:tcPr>
            <w:tcW w:w="711" w:type="dxa"/>
            <w:hideMark/>
          </w:tcPr>
          <w:p w14:paraId="3D345D74"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0,241</w:t>
            </w:r>
          </w:p>
        </w:tc>
        <w:tc>
          <w:tcPr>
            <w:tcW w:w="711" w:type="dxa"/>
            <w:hideMark/>
          </w:tcPr>
          <w:p w14:paraId="1CF1F0FA"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0,259</w:t>
            </w:r>
          </w:p>
        </w:tc>
        <w:tc>
          <w:tcPr>
            <w:tcW w:w="1275" w:type="dxa"/>
            <w:hideMark/>
          </w:tcPr>
          <w:p w14:paraId="08B66564"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-0,008</w:t>
            </w:r>
          </w:p>
        </w:tc>
        <w:tc>
          <w:tcPr>
            <w:tcW w:w="1252" w:type="dxa"/>
            <w:hideMark/>
          </w:tcPr>
          <w:p w14:paraId="585C5424"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+0,018</w:t>
            </w:r>
          </w:p>
        </w:tc>
        <w:tc>
          <w:tcPr>
            <w:tcW w:w="1158" w:type="dxa"/>
            <w:hideMark/>
          </w:tcPr>
          <w:p w14:paraId="6914C65D"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+0,010</w:t>
            </w:r>
          </w:p>
        </w:tc>
        <w:tc>
          <w:tcPr>
            <w:tcW w:w="1552" w:type="dxa"/>
            <w:hideMark/>
          </w:tcPr>
          <w:p w14:paraId="5D0ABD18" w14:textId="70299073" w:rsidR="007266C8" w:rsidRPr="001615F5" w:rsidRDefault="007266C8" w:rsidP="001615F5">
            <w:pPr>
              <w:jc w:val="center"/>
              <w:rPr>
                <w:rFonts w:ascii="Times New Roman" w:hAnsi="Times New Roman" w:cs="Times New Roman"/>
              </w:rPr>
            </w:pPr>
            <w:r w:rsidRPr="001615F5">
              <w:rPr>
                <w:rFonts w:ascii="Times New Roman" w:hAnsi="Times New Roman" w:cs="Times New Roman"/>
              </w:rPr>
              <w:t>&lt; 0,50</w:t>
            </w:r>
          </w:p>
        </w:tc>
      </w:tr>
      <w:tr w:rsidR="007266C8" w:rsidRPr="001615F5" w14:paraId="3C4509C3" w14:textId="77777777" w:rsidTr="001615F5">
        <w:tc>
          <w:tcPr>
            <w:tcW w:w="2263" w:type="dxa"/>
            <w:hideMark/>
          </w:tcPr>
          <w:p w14:paraId="5F440B84" w14:textId="26FC9442" w:rsidR="007266C8" w:rsidRPr="001615F5" w:rsidRDefault="007266C8" w:rsidP="001615F5">
            <w:pPr>
              <w:jc w:val="both"/>
              <w:rPr>
                <w:rFonts w:ascii="Times New Roman" w:hAnsi="Times New Roman" w:cs="Times New Roman"/>
              </w:rPr>
            </w:pPr>
            <w:r w:rsidRPr="001615F5">
              <w:rPr>
                <w:rFonts w:ascii="Times New Roman" w:hAnsi="Times New Roman" w:cs="Times New Roman"/>
              </w:rPr>
              <w:lastRenderedPageBreak/>
              <w:t>Коефіцієнт придатності (</w:t>
            </w:r>
            <w:proofErr w:type="spellStart"/>
            <w:r w:rsidRPr="001615F5">
              <w:rPr>
                <w:rFonts w:ascii="Times New Roman" w:hAnsi="Times New Roman" w:cs="Times New Roman"/>
              </w:rPr>
              <w:t>Kп</w:t>
            </w:r>
            <w:r w:rsidR="001615F5">
              <w:rPr>
                <w:rFonts w:ascii="Times New Roman" w:hAnsi="Times New Roman" w:cs="Times New Roman"/>
              </w:rPr>
              <w:t>р</w:t>
            </w:r>
            <w:proofErr w:type="spellEnd"/>
            <w:r w:rsidRPr="001615F5">
              <w:rPr>
                <w:rFonts w:ascii="Times New Roman" w:hAnsi="Times New Roman" w:cs="Times New Roman"/>
              </w:rPr>
              <w:t>)</w:t>
            </w:r>
          </w:p>
        </w:tc>
        <w:tc>
          <w:tcPr>
            <w:tcW w:w="705" w:type="dxa"/>
            <w:hideMark/>
          </w:tcPr>
          <w:p w14:paraId="507AB087"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0,751</w:t>
            </w:r>
          </w:p>
        </w:tc>
        <w:tc>
          <w:tcPr>
            <w:tcW w:w="711" w:type="dxa"/>
            <w:hideMark/>
          </w:tcPr>
          <w:p w14:paraId="0DD31020"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0,759</w:t>
            </w:r>
          </w:p>
        </w:tc>
        <w:tc>
          <w:tcPr>
            <w:tcW w:w="711" w:type="dxa"/>
            <w:hideMark/>
          </w:tcPr>
          <w:p w14:paraId="751E505F"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0,741</w:t>
            </w:r>
          </w:p>
        </w:tc>
        <w:tc>
          <w:tcPr>
            <w:tcW w:w="1275" w:type="dxa"/>
            <w:hideMark/>
          </w:tcPr>
          <w:p w14:paraId="26FE47EC"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+0,008</w:t>
            </w:r>
          </w:p>
        </w:tc>
        <w:tc>
          <w:tcPr>
            <w:tcW w:w="1252" w:type="dxa"/>
            <w:hideMark/>
          </w:tcPr>
          <w:p w14:paraId="0419E282"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-0,018</w:t>
            </w:r>
          </w:p>
        </w:tc>
        <w:tc>
          <w:tcPr>
            <w:tcW w:w="1158" w:type="dxa"/>
            <w:hideMark/>
          </w:tcPr>
          <w:p w14:paraId="70134A6C"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-0,010</w:t>
            </w:r>
          </w:p>
        </w:tc>
        <w:tc>
          <w:tcPr>
            <w:tcW w:w="1552" w:type="dxa"/>
            <w:hideMark/>
          </w:tcPr>
          <w:p w14:paraId="2F1B1017" w14:textId="78B517E3"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0,50</w:t>
            </w:r>
          </w:p>
        </w:tc>
      </w:tr>
      <w:tr w:rsidR="007266C8" w:rsidRPr="001615F5" w14:paraId="33AE0361" w14:textId="77777777" w:rsidTr="001615F5">
        <w:tc>
          <w:tcPr>
            <w:tcW w:w="2263" w:type="dxa"/>
            <w:hideMark/>
          </w:tcPr>
          <w:p w14:paraId="3F945BA7" w14:textId="361083FF" w:rsidR="007266C8" w:rsidRPr="001615F5" w:rsidRDefault="007266C8" w:rsidP="001615F5">
            <w:pPr>
              <w:jc w:val="both"/>
              <w:rPr>
                <w:rFonts w:ascii="Times New Roman" w:hAnsi="Times New Roman" w:cs="Times New Roman"/>
              </w:rPr>
            </w:pPr>
            <w:r w:rsidRPr="001615F5">
              <w:rPr>
                <w:rFonts w:ascii="Times New Roman" w:hAnsi="Times New Roman" w:cs="Times New Roman"/>
              </w:rPr>
              <w:t>Коефіцієнт оновлення (</w:t>
            </w:r>
            <w:proofErr w:type="spellStart"/>
            <w:r w:rsidRPr="001615F5">
              <w:rPr>
                <w:rFonts w:ascii="Times New Roman" w:hAnsi="Times New Roman" w:cs="Times New Roman"/>
              </w:rPr>
              <w:t>Kон</w:t>
            </w:r>
            <w:proofErr w:type="spellEnd"/>
            <w:r w:rsidRPr="001615F5">
              <w:rPr>
                <w:rFonts w:ascii="Times New Roman" w:hAnsi="Times New Roman" w:cs="Times New Roman"/>
              </w:rPr>
              <w:t>)</w:t>
            </w:r>
          </w:p>
        </w:tc>
        <w:tc>
          <w:tcPr>
            <w:tcW w:w="705" w:type="dxa"/>
            <w:hideMark/>
          </w:tcPr>
          <w:p w14:paraId="398CD907"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0,029</w:t>
            </w:r>
          </w:p>
        </w:tc>
        <w:tc>
          <w:tcPr>
            <w:tcW w:w="711" w:type="dxa"/>
            <w:hideMark/>
          </w:tcPr>
          <w:p w14:paraId="6B6EC6B2"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0,015</w:t>
            </w:r>
          </w:p>
        </w:tc>
        <w:tc>
          <w:tcPr>
            <w:tcW w:w="711" w:type="dxa"/>
            <w:hideMark/>
          </w:tcPr>
          <w:p w14:paraId="13C97CC0"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0,007</w:t>
            </w:r>
          </w:p>
        </w:tc>
        <w:tc>
          <w:tcPr>
            <w:tcW w:w="1275" w:type="dxa"/>
            <w:hideMark/>
          </w:tcPr>
          <w:p w14:paraId="33C37C63"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-0,014</w:t>
            </w:r>
          </w:p>
        </w:tc>
        <w:tc>
          <w:tcPr>
            <w:tcW w:w="1252" w:type="dxa"/>
            <w:hideMark/>
          </w:tcPr>
          <w:p w14:paraId="6D87A300"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-0,008</w:t>
            </w:r>
          </w:p>
        </w:tc>
        <w:tc>
          <w:tcPr>
            <w:tcW w:w="1158" w:type="dxa"/>
            <w:hideMark/>
          </w:tcPr>
          <w:p w14:paraId="07852A52"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-0,022</w:t>
            </w:r>
          </w:p>
        </w:tc>
        <w:tc>
          <w:tcPr>
            <w:tcW w:w="1552" w:type="dxa"/>
            <w:hideMark/>
          </w:tcPr>
          <w:p w14:paraId="1AB52DE2" w14:textId="4CDAC607" w:rsidR="007266C8" w:rsidRPr="001615F5" w:rsidRDefault="001615F5" w:rsidP="001615F5">
            <w:pPr>
              <w:jc w:val="center"/>
              <w:rPr>
                <w:rFonts w:ascii="Times New Roman" w:hAnsi="Times New Roman" w:cs="Times New Roman"/>
              </w:rPr>
            </w:pPr>
            <w:r w:rsidRPr="001615F5">
              <w:rPr>
                <w:rFonts w:ascii="Times New Roman" w:hAnsi="Times New Roman" w:cs="Times New Roman"/>
                <w:b/>
                <w:bCs/>
                <w:sz w:val="28"/>
                <w:szCs w:val="28"/>
              </w:rPr>
              <w:t>&gt;</w:t>
            </w:r>
            <w:r>
              <w:rPr>
                <w:rFonts w:ascii="Times New Roman" w:hAnsi="Times New Roman" w:cs="Times New Roman"/>
                <w:b/>
                <w:bCs/>
                <w:sz w:val="28"/>
                <w:szCs w:val="28"/>
              </w:rPr>
              <w:t xml:space="preserve"> </w:t>
            </w:r>
            <w:proofErr w:type="spellStart"/>
            <w:r w:rsidR="007266C8" w:rsidRPr="001615F5">
              <w:rPr>
                <w:rFonts w:ascii="Times New Roman" w:hAnsi="Times New Roman" w:cs="Times New Roman"/>
              </w:rPr>
              <w:t>Kвиб</w:t>
            </w:r>
            <w:proofErr w:type="spellEnd"/>
          </w:p>
        </w:tc>
      </w:tr>
      <w:tr w:rsidR="007266C8" w:rsidRPr="001615F5" w14:paraId="01E2002D" w14:textId="77777777" w:rsidTr="001615F5">
        <w:tc>
          <w:tcPr>
            <w:tcW w:w="2263" w:type="dxa"/>
            <w:hideMark/>
          </w:tcPr>
          <w:p w14:paraId="35C476A2" w14:textId="017C606C" w:rsidR="007266C8" w:rsidRPr="001615F5" w:rsidRDefault="007266C8" w:rsidP="001615F5">
            <w:pPr>
              <w:rPr>
                <w:rFonts w:ascii="Times New Roman" w:hAnsi="Times New Roman" w:cs="Times New Roman"/>
              </w:rPr>
            </w:pPr>
            <w:r w:rsidRPr="001615F5">
              <w:rPr>
                <w:rFonts w:ascii="Times New Roman" w:hAnsi="Times New Roman" w:cs="Times New Roman"/>
              </w:rPr>
              <w:t>Коефіцієнт вибуття (</w:t>
            </w:r>
            <w:proofErr w:type="spellStart"/>
            <w:r w:rsidRPr="001615F5">
              <w:rPr>
                <w:rFonts w:ascii="Times New Roman" w:hAnsi="Times New Roman" w:cs="Times New Roman"/>
              </w:rPr>
              <w:t>Kвиб</w:t>
            </w:r>
            <w:proofErr w:type="spellEnd"/>
            <w:r w:rsidRPr="001615F5">
              <w:rPr>
                <w:rFonts w:ascii="Times New Roman" w:hAnsi="Times New Roman" w:cs="Times New Roman"/>
              </w:rPr>
              <w:t>)</w:t>
            </w:r>
          </w:p>
        </w:tc>
        <w:tc>
          <w:tcPr>
            <w:tcW w:w="705" w:type="dxa"/>
            <w:hideMark/>
          </w:tcPr>
          <w:p w14:paraId="4D07E8E3"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0,079</w:t>
            </w:r>
          </w:p>
        </w:tc>
        <w:tc>
          <w:tcPr>
            <w:tcW w:w="711" w:type="dxa"/>
            <w:hideMark/>
          </w:tcPr>
          <w:p w14:paraId="437E239B"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0,068</w:t>
            </w:r>
          </w:p>
        </w:tc>
        <w:tc>
          <w:tcPr>
            <w:tcW w:w="711" w:type="dxa"/>
            <w:hideMark/>
          </w:tcPr>
          <w:p w14:paraId="5928D4AA"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0,030</w:t>
            </w:r>
          </w:p>
        </w:tc>
        <w:tc>
          <w:tcPr>
            <w:tcW w:w="1275" w:type="dxa"/>
            <w:hideMark/>
          </w:tcPr>
          <w:p w14:paraId="0E73520E"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-0,011</w:t>
            </w:r>
          </w:p>
        </w:tc>
        <w:tc>
          <w:tcPr>
            <w:tcW w:w="1252" w:type="dxa"/>
            <w:hideMark/>
          </w:tcPr>
          <w:p w14:paraId="791FA3D2"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-0,038</w:t>
            </w:r>
          </w:p>
        </w:tc>
        <w:tc>
          <w:tcPr>
            <w:tcW w:w="1158" w:type="dxa"/>
            <w:hideMark/>
          </w:tcPr>
          <w:p w14:paraId="4DDCAD18"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-0,049</w:t>
            </w:r>
          </w:p>
        </w:tc>
        <w:tc>
          <w:tcPr>
            <w:tcW w:w="1552" w:type="dxa"/>
            <w:hideMark/>
          </w:tcPr>
          <w:p w14:paraId="25E94AA9" w14:textId="77777777" w:rsidR="007266C8" w:rsidRPr="001615F5" w:rsidRDefault="007266C8" w:rsidP="001615F5">
            <w:pPr>
              <w:jc w:val="center"/>
              <w:rPr>
                <w:rFonts w:ascii="Times New Roman" w:hAnsi="Times New Roman" w:cs="Times New Roman"/>
              </w:rPr>
            </w:pPr>
            <w:r w:rsidRPr="001615F5">
              <w:rPr>
                <w:rFonts w:ascii="Times New Roman" w:hAnsi="Times New Roman" w:cs="Times New Roman"/>
              </w:rPr>
              <w:t>—</w:t>
            </w:r>
          </w:p>
        </w:tc>
      </w:tr>
    </w:tbl>
    <w:p w14:paraId="65221D59" w14:textId="77777777" w:rsidR="003839CF" w:rsidRDefault="003839CF" w:rsidP="007266C8">
      <w:pPr>
        <w:spacing w:after="0" w:line="360" w:lineRule="auto"/>
        <w:ind w:firstLine="708"/>
        <w:jc w:val="both"/>
        <w:rPr>
          <w:rFonts w:ascii="Times New Roman" w:hAnsi="Times New Roman" w:cs="Times New Roman"/>
          <w:sz w:val="28"/>
          <w:szCs w:val="28"/>
        </w:rPr>
      </w:pPr>
    </w:p>
    <w:p w14:paraId="752E47BC" w14:textId="5D10B5FA" w:rsidR="007266C8" w:rsidRPr="007266C8" w:rsidRDefault="007266C8" w:rsidP="007266C8">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 xml:space="preserve">Застосування розрахованих індикаторів (табл. </w:t>
      </w:r>
      <w:r w:rsidR="00D01C09">
        <w:rPr>
          <w:rFonts w:ascii="Times New Roman" w:hAnsi="Times New Roman" w:cs="Times New Roman"/>
          <w:sz w:val="28"/>
          <w:szCs w:val="28"/>
        </w:rPr>
        <w:t>2</w:t>
      </w:r>
      <w:r w:rsidRPr="007266C8">
        <w:rPr>
          <w:rFonts w:ascii="Times New Roman" w:hAnsi="Times New Roman" w:cs="Times New Roman"/>
          <w:sz w:val="28"/>
          <w:szCs w:val="28"/>
        </w:rPr>
        <w:t>.1</w:t>
      </w:r>
      <w:r w:rsidR="00D01C09">
        <w:rPr>
          <w:rFonts w:ascii="Times New Roman" w:hAnsi="Times New Roman" w:cs="Times New Roman"/>
          <w:sz w:val="28"/>
          <w:szCs w:val="28"/>
        </w:rPr>
        <w:t>0-2</w:t>
      </w:r>
      <w:r w:rsidRPr="007266C8">
        <w:rPr>
          <w:rFonts w:ascii="Times New Roman" w:hAnsi="Times New Roman" w:cs="Times New Roman"/>
          <w:sz w:val="28"/>
          <w:szCs w:val="28"/>
        </w:rPr>
        <w:t>.</w:t>
      </w:r>
      <w:r w:rsidR="00D01C09">
        <w:rPr>
          <w:rFonts w:ascii="Times New Roman" w:hAnsi="Times New Roman" w:cs="Times New Roman"/>
          <w:sz w:val="28"/>
          <w:szCs w:val="28"/>
        </w:rPr>
        <w:t>11</w:t>
      </w:r>
      <w:r w:rsidRPr="007266C8">
        <w:rPr>
          <w:rFonts w:ascii="Times New Roman" w:hAnsi="Times New Roman" w:cs="Times New Roman"/>
          <w:sz w:val="28"/>
          <w:szCs w:val="28"/>
        </w:rPr>
        <w:t>) дозволяє повністю підтвердити деградацію виробничого капіталу підприємства:</w:t>
      </w:r>
    </w:p>
    <w:p w14:paraId="0B82DD21" w14:textId="119DB683" w:rsidR="007266C8" w:rsidRPr="00D01C09" w:rsidRDefault="00D01C09" w:rsidP="00D01C09">
      <w:pPr>
        <w:numPr>
          <w:ilvl w:val="0"/>
          <w:numId w:val="27"/>
        </w:numPr>
        <w:tabs>
          <w:tab w:val="clear" w:pos="720"/>
          <w:tab w:val="num" w:pos="426"/>
        </w:tabs>
        <w:spacing w:after="0" w:line="360" w:lineRule="auto"/>
        <w:ind w:left="0" w:firstLine="426"/>
        <w:jc w:val="both"/>
        <w:rPr>
          <w:rFonts w:ascii="Times New Roman" w:hAnsi="Times New Roman" w:cs="Times New Roman"/>
          <w:sz w:val="28"/>
          <w:szCs w:val="28"/>
        </w:rPr>
      </w:pPr>
      <w:r w:rsidRPr="00D01C09">
        <w:rPr>
          <w:rFonts w:ascii="Times New Roman" w:hAnsi="Times New Roman" w:cs="Times New Roman"/>
          <w:sz w:val="28"/>
          <w:szCs w:val="28"/>
        </w:rPr>
        <w:t>н</w:t>
      </w:r>
      <w:r w:rsidR="007266C8" w:rsidRPr="00D01C09">
        <w:rPr>
          <w:rFonts w:ascii="Times New Roman" w:hAnsi="Times New Roman" w:cs="Times New Roman"/>
          <w:sz w:val="28"/>
          <w:szCs w:val="28"/>
        </w:rPr>
        <w:t xml:space="preserve">а перший погляд, у 2024 році відбулося формальне покращення: коефіцієнт зносу знизився з 0,249 до 0,241. Проте матриця темпів (табл. </w:t>
      </w:r>
      <w:r w:rsidRPr="00D01C09">
        <w:rPr>
          <w:rFonts w:ascii="Times New Roman" w:hAnsi="Times New Roman" w:cs="Times New Roman"/>
          <w:sz w:val="28"/>
          <w:szCs w:val="28"/>
        </w:rPr>
        <w:t>2</w:t>
      </w:r>
      <w:r w:rsidR="007266C8" w:rsidRPr="00D01C09">
        <w:rPr>
          <w:rFonts w:ascii="Times New Roman" w:hAnsi="Times New Roman" w:cs="Times New Roman"/>
          <w:sz w:val="28"/>
          <w:szCs w:val="28"/>
        </w:rPr>
        <w:t>.</w:t>
      </w:r>
      <w:r w:rsidRPr="00D01C09">
        <w:rPr>
          <w:rFonts w:ascii="Times New Roman" w:hAnsi="Times New Roman" w:cs="Times New Roman"/>
          <w:sz w:val="28"/>
          <w:szCs w:val="28"/>
        </w:rPr>
        <w:t>11</w:t>
      </w:r>
      <w:r w:rsidR="007266C8" w:rsidRPr="00D01C09">
        <w:rPr>
          <w:rFonts w:ascii="Times New Roman" w:hAnsi="Times New Roman" w:cs="Times New Roman"/>
          <w:sz w:val="28"/>
          <w:szCs w:val="28"/>
        </w:rPr>
        <w:t>) показує, що це покращення було штучним і досягнутим не за рахунок модернізації (</w:t>
      </w:r>
      <w:proofErr w:type="spellStart"/>
      <w:r w:rsidR="007266C8" w:rsidRPr="00D01C09">
        <w:rPr>
          <w:rFonts w:ascii="Times New Roman" w:hAnsi="Times New Roman" w:cs="Times New Roman"/>
          <w:sz w:val="28"/>
          <w:szCs w:val="28"/>
        </w:rPr>
        <w:t>K</w:t>
      </w:r>
      <w:r w:rsidRPr="00D01C09">
        <w:rPr>
          <w:rFonts w:ascii="Times New Roman" w:hAnsi="Times New Roman" w:cs="Times New Roman"/>
          <w:sz w:val="28"/>
          <w:szCs w:val="28"/>
          <w:vertAlign w:val="subscript"/>
        </w:rPr>
        <w:t>он</w:t>
      </w:r>
      <w:proofErr w:type="spellEnd"/>
      <w:r w:rsidR="007266C8" w:rsidRPr="00D01C09">
        <w:rPr>
          <w:rFonts w:ascii="Times New Roman" w:hAnsi="Times New Roman" w:cs="Times New Roman"/>
          <w:sz w:val="28"/>
          <w:szCs w:val="28"/>
        </w:rPr>
        <w:t xml:space="preserve"> впав до мізерних 1,5%), а за рахунок масового списання з балансу повністю зношеного майна (</w:t>
      </w:r>
      <w:proofErr w:type="spellStart"/>
      <w:r w:rsidR="007266C8" w:rsidRPr="00D01C09">
        <w:rPr>
          <w:rFonts w:ascii="Times New Roman" w:hAnsi="Times New Roman" w:cs="Times New Roman"/>
          <w:sz w:val="28"/>
          <w:szCs w:val="28"/>
        </w:rPr>
        <w:t>K</w:t>
      </w:r>
      <w:r w:rsidR="007266C8" w:rsidRPr="00D01C09">
        <w:rPr>
          <w:rFonts w:ascii="Times New Roman" w:hAnsi="Times New Roman" w:cs="Times New Roman"/>
          <w:sz w:val="28"/>
          <w:szCs w:val="28"/>
          <w:vertAlign w:val="subscript"/>
        </w:rPr>
        <w:t>виб</w:t>
      </w:r>
      <w:proofErr w:type="spellEnd"/>
      <w:r w:rsidR="007266C8" w:rsidRPr="00D01C09">
        <w:rPr>
          <w:rFonts w:ascii="Times New Roman" w:hAnsi="Times New Roman" w:cs="Times New Roman"/>
          <w:sz w:val="28"/>
          <w:szCs w:val="28"/>
        </w:rPr>
        <w:t xml:space="preserve"> = 6,8</w:t>
      </w:r>
      <w:r w:rsidR="003839CF">
        <w:rPr>
          <w:rFonts w:ascii="Times New Roman" w:hAnsi="Times New Roman" w:cs="Times New Roman"/>
          <w:sz w:val="28"/>
          <w:szCs w:val="28"/>
        </w:rPr>
        <w:t xml:space="preserve"> </w:t>
      </w:r>
      <w:r w:rsidR="007266C8" w:rsidRPr="00D01C09">
        <w:rPr>
          <w:rFonts w:ascii="Times New Roman" w:hAnsi="Times New Roman" w:cs="Times New Roman"/>
          <w:sz w:val="28"/>
          <w:szCs w:val="28"/>
        </w:rPr>
        <w:t xml:space="preserve">%). Компанія просто ліквідувала старі активи, що математично зменшило суму накопиченого зносу в балансі, але не додало нових технологічних </w:t>
      </w:r>
      <w:proofErr w:type="spellStart"/>
      <w:r w:rsidR="007266C8" w:rsidRPr="00D01C09">
        <w:rPr>
          <w:rFonts w:ascii="Times New Roman" w:hAnsi="Times New Roman" w:cs="Times New Roman"/>
          <w:sz w:val="28"/>
          <w:szCs w:val="28"/>
        </w:rPr>
        <w:t>потужностей</w:t>
      </w:r>
      <w:proofErr w:type="spellEnd"/>
      <w:r w:rsidR="007266C8" w:rsidRPr="00D01C09">
        <w:rPr>
          <w:rFonts w:ascii="Times New Roman" w:hAnsi="Times New Roman" w:cs="Times New Roman"/>
          <w:sz w:val="28"/>
          <w:szCs w:val="28"/>
        </w:rPr>
        <w:t>.</w:t>
      </w:r>
    </w:p>
    <w:p w14:paraId="3669E8C5" w14:textId="1766187A" w:rsidR="007266C8" w:rsidRPr="00D01C09" w:rsidRDefault="00D01C09" w:rsidP="00D01C09">
      <w:pPr>
        <w:numPr>
          <w:ilvl w:val="0"/>
          <w:numId w:val="27"/>
        </w:numPr>
        <w:tabs>
          <w:tab w:val="clear" w:pos="720"/>
          <w:tab w:val="num" w:pos="426"/>
        </w:tabs>
        <w:spacing w:after="0" w:line="360" w:lineRule="auto"/>
        <w:ind w:left="0" w:firstLine="426"/>
        <w:jc w:val="both"/>
        <w:rPr>
          <w:rFonts w:ascii="Times New Roman" w:hAnsi="Times New Roman" w:cs="Times New Roman"/>
          <w:sz w:val="28"/>
          <w:szCs w:val="28"/>
        </w:rPr>
      </w:pPr>
      <w:r w:rsidRPr="00D01C09">
        <w:rPr>
          <w:rFonts w:ascii="Times New Roman" w:hAnsi="Times New Roman" w:cs="Times New Roman"/>
          <w:sz w:val="28"/>
          <w:szCs w:val="28"/>
        </w:rPr>
        <w:t>у</w:t>
      </w:r>
      <w:r w:rsidR="007266C8" w:rsidRPr="00D01C09">
        <w:rPr>
          <w:rFonts w:ascii="Times New Roman" w:hAnsi="Times New Roman" w:cs="Times New Roman"/>
          <w:sz w:val="28"/>
          <w:szCs w:val="28"/>
        </w:rPr>
        <w:t xml:space="preserve"> 2025 році деструктивний тренд проявився відкрито. Коефіцієнт оновлення впав до критично низького, майже нульового значення — 0,007 (0,7%). Це означає, що матеріально-технічна база оновилася за рік менш ніж на один відсоток. Водночас коефіцієнт зносу стрімко пішов угору, збільшившись на 1,8 відсоткових пункти — до 0,259.</w:t>
      </w:r>
    </w:p>
    <w:p w14:paraId="1813A6BC" w14:textId="1E0C32B8" w:rsidR="007266C8" w:rsidRPr="00D01C09" w:rsidRDefault="00D01C09" w:rsidP="00D01C09">
      <w:pPr>
        <w:numPr>
          <w:ilvl w:val="0"/>
          <w:numId w:val="27"/>
        </w:numPr>
        <w:tabs>
          <w:tab w:val="clear" w:pos="720"/>
          <w:tab w:val="num" w:pos="426"/>
        </w:tabs>
        <w:spacing w:after="0" w:line="360" w:lineRule="auto"/>
        <w:ind w:left="0" w:firstLine="426"/>
        <w:jc w:val="both"/>
        <w:rPr>
          <w:rFonts w:ascii="Times New Roman" w:hAnsi="Times New Roman" w:cs="Times New Roman"/>
          <w:sz w:val="28"/>
          <w:szCs w:val="28"/>
        </w:rPr>
      </w:pPr>
      <w:r>
        <w:rPr>
          <w:rFonts w:ascii="Times New Roman" w:hAnsi="Times New Roman" w:cs="Times New Roman"/>
          <w:sz w:val="28"/>
          <w:szCs w:val="28"/>
        </w:rPr>
        <w:t>я</w:t>
      </w:r>
      <w:r w:rsidR="007266C8" w:rsidRPr="00D01C09">
        <w:rPr>
          <w:rFonts w:ascii="Times New Roman" w:hAnsi="Times New Roman" w:cs="Times New Roman"/>
          <w:sz w:val="28"/>
          <w:szCs w:val="28"/>
        </w:rPr>
        <w:t xml:space="preserve">кщо за весь період коефіцієнт зносу зріс на +0,010, то коефіцієнт оновлення скоротився на -0,022. Сукупний індекс випередження зносу склав +0,032 (табл. </w:t>
      </w:r>
      <w:r w:rsidRPr="00D01C09">
        <w:rPr>
          <w:rFonts w:ascii="Times New Roman" w:hAnsi="Times New Roman" w:cs="Times New Roman"/>
          <w:sz w:val="28"/>
          <w:szCs w:val="28"/>
        </w:rPr>
        <w:t>2</w:t>
      </w:r>
      <w:r w:rsidR="007266C8" w:rsidRPr="00D01C09">
        <w:rPr>
          <w:rFonts w:ascii="Times New Roman" w:hAnsi="Times New Roman" w:cs="Times New Roman"/>
          <w:sz w:val="28"/>
          <w:szCs w:val="28"/>
        </w:rPr>
        <w:t>.</w:t>
      </w:r>
      <w:r w:rsidRPr="00D01C09">
        <w:rPr>
          <w:rFonts w:ascii="Times New Roman" w:hAnsi="Times New Roman" w:cs="Times New Roman"/>
          <w:sz w:val="28"/>
          <w:szCs w:val="28"/>
        </w:rPr>
        <w:t>11</w:t>
      </w:r>
      <w:r w:rsidR="007266C8" w:rsidRPr="00D01C09">
        <w:rPr>
          <w:rFonts w:ascii="Times New Roman" w:hAnsi="Times New Roman" w:cs="Times New Roman"/>
          <w:sz w:val="28"/>
          <w:szCs w:val="28"/>
        </w:rPr>
        <w:t>), що є класичним підтвердженням деградації капіталу. Швидкість фізичного та морального старіння наявного обладнання суттєво перевищує темпи його заміщення новими зразками.</w:t>
      </w:r>
    </w:p>
    <w:p w14:paraId="4DF90C83" w14:textId="0429931F" w:rsidR="007266C8" w:rsidRDefault="007266C8" w:rsidP="007266C8">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 xml:space="preserve">Зв'язок між незадовільним відтворенням необоротних активів та падінням бази капіталізації підприємства (чистих активів) є прямим та детермінованим. Покажемо за допомогою фінансових метрик, як згортання інвестицій руйнує прибутковість </w:t>
      </w:r>
      <w:r w:rsidR="00D01C09" w:rsidRPr="00D01C09">
        <w:rPr>
          <w:rFonts w:ascii="Times New Roman" w:hAnsi="Times New Roman" w:cs="Times New Roman"/>
          <w:sz w:val="28"/>
          <w:szCs w:val="28"/>
        </w:rPr>
        <w:t>ТОВ «КЕРНЕЛ-ТРЕЙД»</w:t>
      </w:r>
      <w:r w:rsidRPr="007266C8">
        <w:rPr>
          <w:rFonts w:ascii="Times New Roman" w:hAnsi="Times New Roman" w:cs="Times New Roman"/>
          <w:sz w:val="28"/>
          <w:szCs w:val="28"/>
        </w:rPr>
        <w:t>.</w:t>
      </w:r>
    </w:p>
    <w:p w14:paraId="50F57892" w14:textId="77777777" w:rsidR="009F33CD" w:rsidRPr="001615F5" w:rsidRDefault="009F33CD" w:rsidP="009F33CD">
      <w:pPr>
        <w:spacing w:after="0" w:line="360" w:lineRule="auto"/>
        <w:ind w:firstLine="708"/>
        <w:jc w:val="right"/>
        <w:rPr>
          <w:rFonts w:ascii="Times New Roman" w:hAnsi="Times New Roman" w:cs="Times New Roman"/>
          <w:sz w:val="28"/>
          <w:szCs w:val="28"/>
        </w:rPr>
      </w:pPr>
      <w:r w:rsidRPr="001615F5">
        <w:rPr>
          <w:rFonts w:ascii="Times New Roman" w:hAnsi="Times New Roman" w:cs="Times New Roman"/>
          <w:sz w:val="28"/>
          <w:szCs w:val="28"/>
        </w:rPr>
        <w:t xml:space="preserve">Таблиця </w:t>
      </w:r>
      <w:r>
        <w:rPr>
          <w:rFonts w:ascii="Times New Roman" w:hAnsi="Times New Roman" w:cs="Times New Roman"/>
          <w:sz w:val="28"/>
          <w:szCs w:val="28"/>
        </w:rPr>
        <w:t>2</w:t>
      </w:r>
      <w:r w:rsidRPr="001615F5">
        <w:rPr>
          <w:rFonts w:ascii="Times New Roman" w:hAnsi="Times New Roman" w:cs="Times New Roman"/>
          <w:sz w:val="28"/>
          <w:szCs w:val="28"/>
        </w:rPr>
        <w:t>.</w:t>
      </w:r>
      <w:r>
        <w:rPr>
          <w:rFonts w:ascii="Times New Roman" w:hAnsi="Times New Roman" w:cs="Times New Roman"/>
          <w:sz w:val="28"/>
          <w:szCs w:val="28"/>
        </w:rPr>
        <w:t>11</w:t>
      </w:r>
    </w:p>
    <w:p w14:paraId="741F61F0" w14:textId="77777777" w:rsidR="009F33CD" w:rsidRPr="001615F5" w:rsidRDefault="009F33CD" w:rsidP="009F33CD">
      <w:pPr>
        <w:spacing w:after="0" w:line="360" w:lineRule="auto"/>
        <w:ind w:firstLine="708"/>
        <w:jc w:val="center"/>
        <w:rPr>
          <w:rFonts w:ascii="Times New Roman" w:hAnsi="Times New Roman" w:cs="Times New Roman"/>
          <w:sz w:val="28"/>
          <w:szCs w:val="28"/>
        </w:rPr>
      </w:pPr>
      <w:r w:rsidRPr="001615F5">
        <w:rPr>
          <w:rFonts w:ascii="Times New Roman" w:hAnsi="Times New Roman" w:cs="Times New Roman"/>
          <w:sz w:val="28"/>
          <w:szCs w:val="28"/>
        </w:rPr>
        <w:t>Матриця порівняльного аналізу темпів відтворення</w:t>
      </w:r>
    </w:p>
    <w:tbl>
      <w:tblPr>
        <w:tblStyle w:val="af0"/>
        <w:tblW w:w="0" w:type="auto"/>
        <w:tblLook w:val="04A0" w:firstRow="1" w:lastRow="0" w:firstColumn="1" w:lastColumn="0" w:noHBand="0" w:noVBand="1"/>
      </w:tblPr>
      <w:tblGrid>
        <w:gridCol w:w="2014"/>
        <w:gridCol w:w="1436"/>
        <w:gridCol w:w="1158"/>
        <w:gridCol w:w="1158"/>
        <w:gridCol w:w="1389"/>
        <w:gridCol w:w="2472"/>
      </w:tblGrid>
      <w:tr w:rsidR="009F33CD" w:rsidRPr="001615F5" w14:paraId="463798E3" w14:textId="77777777" w:rsidTr="008719F4">
        <w:tc>
          <w:tcPr>
            <w:tcW w:w="0" w:type="auto"/>
            <w:hideMark/>
          </w:tcPr>
          <w:p w14:paraId="72FD196A"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lastRenderedPageBreak/>
              <w:t>Аналітичний індикатор порівняння трендів</w:t>
            </w:r>
          </w:p>
        </w:tc>
        <w:tc>
          <w:tcPr>
            <w:tcW w:w="0" w:type="auto"/>
            <w:hideMark/>
          </w:tcPr>
          <w:p w14:paraId="72C4E0A1"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Алгоритм порівняння</w:t>
            </w:r>
          </w:p>
        </w:tc>
        <w:tc>
          <w:tcPr>
            <w:tcW w:w="0" w:type="auto"/>
            <w:hideMark/>
          </w:tcPr>
          <w:p w14:paraId="05EA7AB3"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2024/2023</w:t>
            </w:r>
          </w:p>
        </w:tc>
        <w:tc>
          <w:tcPr>
            <w:tcW w:w="0" w:type="auto"/>
            <w:hideMark/>
          </w:tcPr>
          <w:p w14:paraId="0F71E266"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2025/2024</w:t>
            </w:r>
          </w:p>
        </w:tc>
        <w:tc>
          <w:tcPr>
            <w:tcW w:w="0" w:type="auto"/>
            <w:hideMark/>
          </w:tcPr>
          <w:p w14:paraId="1F070D77"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Сукупний вектор періоду</w:t>
            </w:r>
          </w:p>
        </w:tc>
        <w:tc>
          <w:tcPr>
            <w:tcW w:w="0" w:type="auto"/>
            <w:hideMark/>
          </w:tcPr>
          <w:p w14:paraId="6C9C60B9"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Діагностичний сигнал для інвестора</w:t>
            </w:r>
          </w:p>
        </w:tc>
      </w:tr>
      <w:tr w:rsidR="009F33CD" w:rsidRPr="001615F5" w14:paraId="69A0D5E1" w14:textId="77777777" w:rsidTr="008719F4">
        <w:tc>
          <w:tcPr>
            <w:tcW w:w="0" w:type="auto"/>
            <w:hideMark/>
          </w:tcPr>
          <w:p w14:paraId="5DF103B8" w14:textId="77777777" w:rsidR="009F33CD" w:rsidRPr="001615F5" w:rsidRDefault="009F33CD" w:rsidP="008719F4">
            <w:pPr>
              <w:jc w:val="both"/>
              <w:rPr>
                <w:rFonts w:ascii="Times New Roman" w:hAnsi="Times New Roman" w:cs="Times New Roman"/>
              </w:rPr>
            </w:pPr>
            <w:r w:rsidRPr="001615F5">
              <w:rPr>
                <w:rFonts w:ascii="Times New Roman" w:hAnsi="Times New Roman" w:cs="Times New Roman"/>
              </w:rPr>
              <w:t>Індекс інтенсивності оновлення фондів</w:t>
            </w:r>
          </w:p>
        </w:tc>
        <w:tc>
          <w:tcPr>
            <w:tcW w:w="0" w:type="auto"/>
            <w:hideMark/>
          </w:tcPr>
          <w:p w14:paraId="0228A016" w14:textId="77777777" w:rsidR="009F33CD" w:rsidRPr="001615F5" w:rsidRDefault="009F33CD" w:rsidP="008719F4">
            <w:pPr>
              <w:jc w:val="both"/>
              <w:rPr>
                <w:rFonts w:ascii="Times New Roman" w:hAnsi="Times New Roman" w:cs="Times New Roman"/>
              </w:rPr>
            </w:pPr>
            <w:proofErr w:type="spellStart"/>
            <w:r w:rsidRPr="001615F5">
              <w:rPr>
                <w:rFonts w:ascii="Times New Roman" w:hAnsi="Times New Roman" w:cs="Times New Roman"/>
              </w:rPr>
              <w:t>Kон</w:t>
            </w:r>
            <w:proofErr w:type="spellEnd"/>
            <w:r w:rsidRPr="001615F5">
              <w:rPr>
                <w:rFonts w:ascii="Times New Roman" w:hAnsi="Times New Roman" w:cs="Times New Roman"/>
              </w:rPr>
              <w:t xml:space="preserve"> / </w:t>
            </w:r>
            <w:proofErr w:type="spellStart"/>
            <w:r w:rsidRPr="001615F5">
              <w:rPr>
                <w:rFonts w:ascii="Times New Roman" w:hAnsi="Times New Roman" w:cs="Times New Roman"/>
              </w:rPr>
              <w:t>Kвиб</w:t>
            </w:r>
            <w:proofErr w:type="spellEnd"/>
          </w:p>
        </w:tc>
        <w:tc>
          <w:tcPr>
            <w:tcW w:w="0" w:type="auto"/>
            <w:hideMark/>
          </w:tcPr>
          <w:p w14:paraId="6B92113B"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0,221</w:t>
            </w:r>
          </w:p>
        </w:tc>
        <w:tc>
          <w:tcPr>
            <w:tcW w:w="0" w:type="auto"/>
            <w:hideMark/>
          </w:tcPr>
          <w:p w14:paraId="5DABE8D7"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0,233</w:t>
            </w:r>
          </w:p>
        </w:tc>
        <w:tc>
          <w:tcPr>
            <w:tcW w:w="0" w:type="auto"/>
            <w:hideMark/>
          </w:tcPr>
          <w:p w14:paraId="271059F2"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0,227</w:t>
            </w:r>
          </w:p>
        </w:tc>
        <w:tc>
          <w:tcPr>
            <w:tcW w:w="0" w:type="auto"/>
            <w:hideMark/>
          </w:tcPr>
          <w:p w14:paraId="39576A96" w14:textId="77777777" w:rsidR="009F33CD" w:rsidRPr="001615F5" w:rsidRDefault="009F33CD" w:rsidP="008719F4">
            <w:pPr>
              <w:jc w:val="both"/>
              <w:rPr>
                <w:rFonts w:ascii="Times New Roman" w:hAnsi="Times New Roman" w:cs="Times New Roman"/>
              </w:rPr>
            </w:pPr>
            <w:r w:rsidRPr="001615F5">
              <w:rPr>
                <w:rFonts w:ascii="Times New Roman" w:hAnsi="Times New Roman" w:cs="Times New Roman"/>
              </w:rPr>
              <w:t>Критичний. Введення нових фондів покриває вибуття лише на 22,7%.</w:t>
            </w:r>
          </w:p>
        </w:tc>
      </w:tr>
      <w:tr w:rsidR="009F33CD" w:rsidRPr="001615F5" w14:paraId="60375AD8" w14:textId="77777777" w:rsidTr="008719F4">
        <w:tc>
          <w:tcPr>
            <w:tcW w:w="0" w:type="auto"/>
            <w:hideMark/>
          </w:tcPr>
          <w:p w14:paraId="5A3A0D53" w14:textId="77777777" w:rsidR="009F33CD" w:rsidRPr="001615F5" w:rsidRDefault="009F33CD" w:rsidP="008719F4">
            <w:pPr>
              <w:rPr>
                <w:rFonts w:ascii="Times New Roman" w:hAnsi="Times New Roman" w:cs="Times New Roman"/>
              </w:rPr>
            </w:pPr>
            <w:r w:rsidRPr="001615F5">
              <w:rPr>
                <w:rFonts w:ascii="Times New Roman" w:hAnsi="Times New Roman" w:cs="Times New Roman"/>
              </w:rPr>
              <w:t>Індекс випередження зносу над оновленням</w:t>
            </w:r>
          </w:p>
        </w:tc>
        <w:tc>
          <w:tcPr>
            <w:tcW w:w="0" w:type="auto"/>
            <w:hideMark/>
          </w:tcPr>
          <w:p w14:paraId="001E1B46" w14:textId="77777777" w:rsidR="009F33CD" w:rsidRPr="001615F5" w:rsidRDefault="009F33CD" w:rsidP="008719F4">
            <w:pPr>
              <w:jc w:val="both"/>
              <w:rPr>
                <w:rFonts w:ascii="Times New Roman" w:hAnsi="Times New Roman" w:cs="Times New Roman"/>
              </w:rPr>
            </w:pPr>
            <w:r w:rsidRPr="001615F5">
              <w:rPr>
                <w:rFonts w:ascii="Times New Roman" w:hAnsi="Times New Roman" w:cs="Times New Roman"/>
              </w:rPr>
              <w:t>Δ</w:t>
            </w:r>
            <w:r>
              <w:rPr>
                <w:rFonts w:ascii="Times New Roman" w:hAnsi="Times New Roman" w:cs="Times New Roman"/>
              </w:rPr>
              <w:t xml:space="preserve"> </w:t>
            </w:r>
            <w:proofErr w:type="spellStart"/>
            <w:r w:rsidRPr="001615F5">
              <w:rPr>
                <w:rFonts w:ascii="Times New Roman" w:hAnsi="Times New Roman" w:cs="Times New Roman"/>
              </w:rPr>
              <w:t>Kзн</w:t>
            </w:r>
            <w:proofErr w:type="spellEnd"/>
            <w:r w:rsidRPr="001615F5">
              <w:rPr>
                <w:rFonts w:ascii="Times New Roman" w:hAnsi="Times New Roman" w:cs="Times New Roman"/>
              </w:rPr>
              <w:t xml:space="preserve"> </w:t>
            </w:r>
            <w:r>
              <w:rPr>
                <w:rFonts w:ascii="Times New Roman" w:hAnsi="Times New Roman" w:cs="Times New Roman"/>
              </w:rPr>
              <w:t>–</w:t>
            </w:r>
            <w:r w:rsidRPr="001615F5">
              <w:rPr>
                <w:rFonts w:ascii="Times New Roman" w:hAnsi="Times New Roman" w:cs="Times New Roman"/>
              </w:rPr>
              <w:t xml:space="preserve"> Δ</w:t>
            </w:r>
            <w:r>
              <w:rPr>
                <w:rFonts w:ascii="Times New Roman" w:hAnsi="Times New Roman" w:cs="Times New Roman"/>
              </w:rPr>
              <w:t xml:space="preserve"> </w:t>
            </w:r>
            <w:proofErr w:type="spellStart"/>
            <w:r w:rsidRPr="001615F5">
              <w:rPr>
                <w:rFonts w:ascii="Times New Roman" w:hAnsi="Times New Roman" w:cs="Times New Roman"/>
              </w:rPr>
              <w:t>Kон</w:t>
            </w:r>
            <w:proofErr w:type="spellEnd"/>
          </w:p>
        </w:tc>
        <w:tc>
          <w:tcPr>
            <w:tcW w:w="0" w:type="auto"/>
            <w:hideMark/>
          </w:tcPr>
          <w:p w14:paraId="1E08F20C"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+0,006</w:t>
            </w:r>
          </w:p>
        </w:tc>
        <w:tc>
          <w:tcPr>
            <w:tcW w:w="0" w:type="auto"/>
            <w:hideMark/>
          </w:tcPr>
          <w:p w14:paraId="583A70E1"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+0,026</w:t>
            </w:r>
          </w:p>
        </w:tc>
        <w:tc>
          <w:tcPr>
            <w:tcW w:w="0" w:type="auto"/>
            <w:hideMark/>
          </w:tcPr>
          <w:p w14:paraId="55094AA5" w14:textId="77777777" w:rsidR="009F33CD" w:rsidRPr="001615F5" w:rsidRDefault="009F33CD" w:rsidP="008719F4">
            <w:pPr>
              <w:jc w:val="center"/>
              <w:rPr>
                <w:rFonts w:ascii="Times New Roman" w:hAnsi="Times New Roman" w:cs="Times New Roman"/>
              </w:rPr>
            </w:pPr>
            <w:r w:rsidRPr="001615F5">
              <w:rPr>
                <w:rFonts w:ascii="Times New Roman" w:hAnsi="Times New Roman" w:cs="Times New Roman"/>
              </w:rPr>
              <w:t>+0,032</w:t>
            </w:r>
          </w:p>
        </w:tc>
        <w:tc>
          <w:tcPr>
            <w:tcW w:w="0" w:type="auto"/>
            <w:hideMark/>
          </w:tcPr>
          <w:p w14:paraId="60816CCA" w14:textId="77777777" w:rsidR="009F33CD" w:rsidRPr="001615F5" w:rsidRDefault="009F33CD" w:rsidP="008719F4">
            <w:pPr>
              <w:jc w:val="both"/>
              <w:rPr>
                <w:rFonts w:ascii="Times New Roman" w:hAnsi="Times New Roman" w:cs="Times New Roman"/>
              </w:rPr>
            </w:pPr>
            <w:r w:rsidRPr="001615F5">
              <w:rPr>
                <w:rFonts w:ascii="Times New Roman" w:hAnsi="Times New Roman" w:cs="Times New Roman"/>
              </w:rPr>
              <w:t>Сигнал деградації. Фізичне старіння випереджає інвестиції.</w:t>
            </w:r>
          </w:p>
        </w:tc>
      </w:tr>
    </w:tbl>
    <w:p w14:paraId="28DBE454" w14:textId="77777777" w:rsidR="009F33CD" w:rsidRDefault="009F33CD" w:rsidP="009F33CD">
      <w:pPr>
        <w:spacing w:after="0" w:line="360" w:lineRule="auto"/>
        <w:ind w:firstLine="708"/>
        <w:jc w:val="both"/>
        <w:rPr>
          <w:rFonts w:ascii="Times New Roman" w:hAnsi="Times New Roman" w:cs="Times New Roman"/>
          <w:sz w:val="28"/>
          <w:szCs w:val="28"/>
        </w:rPr>
      </w:pPr>
    </w:p>
    <w:p w14:paraId="64272734" w14:textId="4D17E5E8" w:rsidR="009F33CD" w:rsidRPr="007266C8" w:rsidRDefault="009F33CD" w:rsidP="009F33CD">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Амортизаційні відрахування мають виступати головним внутрішнім джерелом формування цільового інвестиційного фонду для оновлення ОЗ. Оскільки капітальні інвестиції компанії у 2025 році склали лише 18 500 тис. грн, нарахована амортизація не перетворилася на нові технології. Вона була вилучена з інвестиційного обороту та спрямована на фінансування поточного дефіциту робочого капіталу (зокрема на покриття поточних боргів).</w:t>
      </w:r>
    </w:p>
    <w:p w14:paraId="36D1F442" w14:textId="77777777" w:rsidR="00D01C09" w:rsidRPr="00D01C09" w:rsidRDefault="007266C8" w:rsidP="00D01C09">
      <w:pPr>
        <w:spacing w:after="0" w:line="360" w:lineRule="auto"/>
        <w:ind w:firstLine="708"/>
        <w:jc w:val="right"/>
        <w:rPr>
          <w:rFonts w:ascii="Times New Roman" w:hAnsi="Times New Roman" w:cs="Times New Roman"/>
          <w:sz w:val="28"/>
          <w:szCs w:val="28"/>
        </w:rPr>
      </w:pPr>
      <w:r w:rsidRPr="00D01C09">
        <w:rPr>
          <w:rFonts w:ascii="Times New Roman" w:hAnsi="Times New Roman" w:cs="Times New Roman"/>
          <w:sz w:val="28"/>
          <w:szCs w:val="28"/>
        </w:rPr>
        <w:t xml:space="preserve">Таблиця </w:t>
      </w:r>
      <w:r w:rsidR="00D01C09" w:rsidRPr="00D01C09">
        <w:rPr>
          <w:rFonts w:ascii="Times New Roman" w:hAnsi="Times New Roman" w:cs="Times New Roman"/>
          <w:sz w:val="28"/>
          <w:szCs w:val="28"/>
        </w:rPr>
        <w:t>2.12</w:t>
      </w:r>
    </w:p>
    <w:p w14:paraId="7B1E9A2C" w14:textId="77777777" w:rsidR="00D01C09" w:rsidRDefault="007266C8" w:rsidP="00D01C09">
      <w:pPr>
        <w:spacing w:after="0" w:line="360" w:lineRule="auto"/>
        <w:jc w:val="center"/>
        <w:rPr>
          <w:rFonts w:ascii="Times New Roman" w:hAnsi="Times New Roman" w:cs="Times New Roman"/>
          <w:sz w:val="28"/>
          <w:szCs w:val="28"/>
        </w:rPr>
      </w:pPr>
      <w:r w:rsidRPr="00D01C09">
        <w:rPr>
          <w:rFonts w:ascii="Times New Roman" w:hAnsi="Times New Roman" w:cs="Times New Roman"/>
          <w:sz w:val="28"/>
          <w:szCs w:val="28"/>
        </w:rPr>
        <w:t>Вплив ефективності відтворення фондів на результативність капіталу</w:t>
      </w:r>
      <w:r w:rsidR="00D01C09">
        <w:rPr>
          <w:rFonts w:ascii="Times New Roman" w:hAnsi="Times New Roman" w:cs="Times New Roman"/>
          <w:sz w:val="28"/>
          <w:szCs w:val="28"/>
        </w:rPr>
        <w:t xml:space="preserve"> </w:t>
      </w:r>
    </w:p>
    <w:p w14:paraId="6661EECE" w14:textId="01B44097" w:rsidR="007266C8" w:rsidRPr="00D01C09" w:rsidRDefault="00D01C09" w:rsidP="00D01C09">
      <w:pPr>
        <w:spacing w:after="0" w:line="360" w:lineRule="auto"/>
        <w:jc w:val="center"/>
        <w:rPr>
          <w:rFonts w:ascii="Times New Roman" w:hAnsi="Times New Roman" w:cs="Times New Roman"/>
          <w:sz w:val="28"/>
          <w:szCs w:val="28"/>
        </w:rPr>
      </w:pPr>
      <w:r w:rsidRPr="00D01C09">
        <w:rPr>
          <w:rFonts w:ascii="Times New Roman" w:hAnsi="Times New Roman" w:cs="Times New Roman"/>
          <w:sz w:val="28"/>
          <w:szCs w:val="28"/>
        </w:rPr>
        <w:t>ТОВ «КЕРНЕЛ-ТРЕЙД»</w:t>
      </w:r>
    </w:p>
    <w:tbl>
      <w:tblPr>
        <w:tblStyle w:val="af0"/>
        <w:tblW w:w="0" w:type="auto"/>
        <w:tblLook w:val="04A0" w:firstRow="1" w:lastRow="0" w:firstColumn="1" w:lastColumn="0" w:noHBand="0" w:noVBand="1"/>
      </w:tblPr>
      <w:tblGrid>
        <w:gridCol w:w="2689"/>
        <w:gridCol w:w="1275"/>
        <w:gridCol w:w="1418"/>
        <w:gridCol w:w="1176"/>
        <w:gridCol w:w="1748"/>
        <w:gridCol w:w="1321"/>
      </w:tblGrid>
      <w:tr w:rsidR="007266C8" w:rsidRPr="00D01C09" w14:paraId="44FF03BC" w14:textId="77777777" w:rsidTr="009753AD">
        <w:tc>
          <w:tcPr>
            <w:tcW w:w="2689" w:type="dxa"/>
            <w:hideMark/>
          </w:tcPr>
          <w:p w14:paraId="7F8289D0"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 xml:space="preserve">Аналітичний показник </w:t>
            </w:r>
          </w:p>
          <w:p w14:paraId="56134048" w14:textId="590E874F" w:rsidR="00D01C09" w:rsidRPr="009753AD" w:rsidRDefault="00D01C09" w:rsidP="00D01C09">
            <w:pPr>
              <w:jc w:val="center"/>
              <w:rPr>
                <w:rFonts w:ascii="Times New Roman" w:hAnsi="Times New Roman" w:cs="Times New Roman"/>
                <w:sz w:val="24"/>
                <w:szCs w:val="24"/>
              </w:rPr>
            </w:pPr>
          </w:p>
        </w:tc>
        <w:tc>
          <w:tcPr>
            <w:tcW w:w="1275" w:type="dxa"/>
            <w:hideMark/>
          </w:tcPr>
          <w:p w14:paraId="3B95F621"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2023 рік</w:t>
            </w:r>
          </w:p>
        </w:tc>
        <w:tc>
          <w:tcPr>
            <w:tcW w:w="1418" w:type="dxa"/>
            <w:hideMark/>
          </w:tcPr>
          <w:p w14:paraId="03102004"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2024 рік</w:t>
            </w:r>
          </w:p>
        </w:tc>
        <w:tc>
          <w:tcPr>
            <w:tcW w:w="0" w:type="auto"/>
            <w:hideMark/>
          </w:tcPr>
          <w:p w14:paraId="1CA8ECA2"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2025 рік</w:t>
            </w:r>
          </w:p>
        </w:tc>
        <w:tc>
          <w:tcPr>
            <w:tcW w:w="0" w:type="auto"/>
            <w:hideMark/>
          </w:tcPr>
          <w:p w14:paraId="178AB8A8"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Загальна зміна періоду</w:t>
            </w:r>
          </w:p>
        </w:tc>
        <w:tc>
          <w:tcPr>
            <w:tcW w:w="0" w:type="auto"/>
            <w:hideMark/>
          </w:tcPr>
          <w:p w14:paraId="3FDAB92F"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Темп зміни (%)</w:t>
            </w:r>
          </w:p>
        </w:tc>
      </w:tr>
      <w:tr w:rsidR="007266C8" w:rsidRPr="00D01C09" w14:paraId="4F02FC41" w14:textId="77777777" w:rsidTr="009753AD">
        <w:tc>
          <w:tcPr>
            <w:tcW w:w="2689" w:type="dxa"/>
            <w:hideMark/>
          </w:tcPr>
          <w:p w14:paraId="063F1DF7" w14:textId="77777777" w:rsidR="007266C8" w:rsidRPr="009753AD" w:rsidRDefault="007266C8" w:rsidP="00D01C09">
            <w:pPr>
              <w:jc w:val="both"/>
              <w:rPr>
                <w:rFonts w:ascii="Times New Roman" w:hAnsi="Times New Roman" w:cs="Times New Roman"/>
                <w:sz w:val="24"/>
                <w:szCs w:val="24"/>
              </w:rPr>
            </w:pPr>
            <w:r w:rsidRPr="009753AD">
              <w:rPr>
                <w:rFonts w:ascii="Times New Roman" w:hAnsi="Times New Roman" w:cs="Times New Roman"/>
                <w:sz w:val="24"/>
                <w:szCs w:val="24"/>
              </w:rPr>
              <w:t>Залишкова вартість ОЗ</w:t>
            </w:r>
          </w:p>
        </w:tc>
        <w:tc>
          <w:tcPr>
            <w:tcW w:w="1275" w:type="dxa"/>
            <w:hideMark/>
          </w:tcPr>
          <w:p w14:paraId="3E6D37F7" w14:textId="25A02D1B"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2225 699</w:t>
            </w:r>
          </w:p>
        </w:tc>
        <w:tc>
          <w:tcPr>
            <w:tcW w:w="1418" w:type="dxa"/>
            <w:hideMark/>
          </w:tcPr>
          <w:p w14:paraId="7F08D126"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2 134 588</w:t>
            </w:r>
          </w:p>
        </w:tc>
        <w:tc>
          <w:tcPr>
            <w:tcW w:w="0" w:type="auto"/>
            <w:hideMark/>
          </w:tcPr>
          <w:p w14:paraId="104C9784" w14:textId="09E177D6"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2036604</w:t>
            </w:r>
          </w:p>
        </w:tc>
        <w:tc>
          <w:tcPr>
            <w:tcW w:w="0" w:type="auto"/>
            <w:hideMark/>
          </w:tcPr>
          <w:p w14:paraId="655D6E67"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-189 095</w:t>
            </w:r>
          </w:p>
        </w:tc>
        <w:tc>
          <w:tcPr>
            <w:tcW w:w="0" w:type="auto"/>
            <w:hideMark/>
          </w:tcPr>
          <w:p w14:paraId="4C616240"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-8,49%</w:t>
            </w:r>
          </w:p>
        </w:tc>
      </w:tr>
      <w:tr w:rsidR="007266C8" w:rsidRPr="00D01C09" w14:paraId="6042DA68" w14:textId="77777777" w:rsidTr="009753AD">
        <w:tc>
          <w:tcPr>
            <w:tcW w:w="2689" w:type="dxa"/>
            <w:hideMark/>
          </w:tcPr>
          <w:p w14:paraId="40941CA2" w14:textId="77777777" w:rsidR="007266C8" w:rsidRPr="009753AD" w:rsidRDefault="007266C8" w:rsidP="00D01C09">
            <w:pPr>
              <w:jc w:val="both"/>
              <w:rPr>
                <w:rFonts w:ascii="Times New Roman" w:hAnsi="Times New Roman" w:cs="Times New Roman"/>
                <w:sz w:val="24"/>
                <w:szCs w:val="24"/>
              </w:rPr>
            </w:pPr>
            <w:r w:rsidRPr="009753AD">
              <w:rPr>
                <w:rFonts w:ascii="Times New Roman" w:hAnsi="Times New Roman" w:cs="Times New Roman"/>
                <w:sz w:val="24"/>
                <w:szCs w:val="24"/>
              </w:rPr>
              <w:t>Чистий прибуток</w:t>
            </w:r>
          </w:p>
        </w:tc>
        <w:tc>
          <w:tcPr>
            <w:tcW w:w="1275" w:type="dxa"/>
            <w:hideMark/>
          </w:tcPr>
          <w:p w14:paraId="0D1B5696" w14:textId="0CEF234D"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4373 035</w:t>
            </w:r>
          </w:p>
        </w:tc>
        <w:tc>
          <w:tcPr>
            <w:tcW w:w="1418" w:type="dxa"/>
            <w:hideMark/>
          </w:tcPr>
          <w:p w14:paraId="6CD562E6" w14:textId="218BFE18"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5415 269</w:t>
            </w:r>
          </w:p>
        </w:tc>
        <w:tc>
          <w:tcPr>
            <w:tcW w:w="0" w:type="auto"/>
            <w:hideMark/>
          </w:tcPr>
          <w:p w14:paraId="51400A6A" w14:textId="29BF0E15"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284502</w:t>
            </w:r>
          </w:p>
        </w:tc>
        <w:tc>
          <w:tcPr>
            <w:tcW w:w="0" w:type="auto"/>
            <w:hideMark/>
          </w:tcPr>
          <w:p w14:paraId="20DC5DE6"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-4 088 533</w:t>
            </w:r>
          </w:p>
        </w:tc>
        <w:tc>
          <w:tcPr>
            <w:tcW w:w="0" w:type="auto"/>
            <w:hideMark/>
          </w:tcPr>
          <w:p w14:paraId="410B0EC8"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-93,49%</w:t>
            </w:r>
          </w:p>
        </w:tc>
      </w:tr>
      <w:tr w:rsidR="007266C8" w:rsidRPr="00D01C09" w14:paraId="62CD2A85" w14:textId="77777777" w:rsidTr="009753AD">
        <w:tc>
          <w:tcPr>
            <w:tcW w:w="2689" w:type="dxa"/>
            <w:hideMark/>
          </w:tcPr>
          <w:p w14:paraId="7FC1BA1E" w14:textId="5EB37519" w:rsidR="007266C8" w:rsidRPr="009753AD" w:rsidRDefault="007266C8" w:rsidP="009753AD">
            <w:pPr>
              <w:rPr>
                <w:rFonts w:ascii="Times New Roman" w:hAnsi="Times New Roman" w:cs="Times New Roman"/>
                <w:sz w:val="24"/>
                <w:szCs w:val="24"/>
              </w:rPr>
            </w:pPr>
            <w:r w:rsidRPr="009753AD">
              <w:rPr>
                <w:rFonts w:ascii="Times New Roman" w:hAnsi="Times New Roman" w:cs="Times New Roman"/>
                <w:sz w:val="24"/>
                <w:szCs w:val="24"/>
              </w:rPr>
              <w:t>Рентабельність основних засобів (</w:t>
            </w:r>
            <w:proofErr w:type="spellStart"/>
            <w:r w:rsidRPr="009753AD">
              <w:rPr>
                <w:rFonts w:ascii="Times New Roman" w:hAnsi="Times New Roman" w:cs="Times New Roman"/>
                <w:sz w:val="24"/>
                <w:szCs w:val="24"/>
              </w:rPr>
              <w:t>Rоз</w:t>
            </w:r>
            <w:proofErr w:type="spellEnd"/>
            <w:r w:rsidRPr="009753AD">
              <w:rPr>
                <w:rFonts w:ascii="Times New Roman" w:hAnsi="Times New Roman" w:cs="Times New Roman"/>
                <w:sz w:val="24"/>
                <w:szCs w:val="24"/>
              </w:rPr>
              <w:t>)</w:t>
            </w:r>
          </w:p>
        </w:tc>
        <w:tc>
          <w:tcPr>
            <w:tcW w:w="1275" w:type="dxa"/>
            <w:hideMark/>
          </w:tcPr>
          <w:p w14:paraId="460E1825"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196,48%</w:t>
            </w:r>
          </w:p>
        </w:tc>
        <w:tc>
          <w:tcPr>
            <w:tcW w:w="1418" w:type="dxa"/>
            <w:hideMark/>
          </w:tcPr>
          <w:p w14:paraId="25C1180A"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253,69%</w:t>
            </w:r>
          </w:p>
        </w:tc>
        <w:tc>
          <w:tcPr>
            <w:tcW w:w="0" w:type="auto"/>
            <w:hideMark/>
          </w:tcPr>
          <w:p w14:paraId="7BC3EDE1"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13,97%</w:t>
            </w:r>
          </w:p>
        </w:tc>
        <w:tc>
          <w:tcPr>
            <w:tcW w:w="0" w:type="auto"/>
            <w:hideMark/>
          </w:tcPr>
          <w:p w14:paraId="2689BE0F"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w:t>
            </w:r>
          </w:p>
        </w:tc>
        <w:tc>
          <w:tcPr>
            <w:tcW w:w="0" w:type="auto"/>
            <w:hideMark/>
          </w:tcPr>
          <w:p w14:paraId="0D4D1FE4"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-92,89%</w:t>
            </w:r>
          </w:p>
        </w:tc>
      </w:tr>
      <w:tr w:rsidR="007266C8" w:rsidRPr="00D01C09" w14:paraId="77931058" w14:textId="77777777" w:rsidTr="009753AD">
        <w:tc>
          <w:tcPr>
            <w:tcW w:w="2689" w:type="dxa"/>
            <w:hideMark/>
          </w:tcPr>
          <w:p w14:paraId="73E50F19" w14:textId="77777777" w:rsidR="007266C8" w:rsidRPr="009753AD" w:rsidRDefault="007266C8" w:rsidP="009753AD">
            <w:pPr>
              <w:rPr>
                <w:rFonts w:ascii="Times New Roman" w:hAnsi="Times New Roman" w:cs="Times New Roman"/>
                <w:sz w:val="24"/>
                <w:szCs w:val="24"/>
              </w:rPr>
            </w:pPr>
            <w:r w:rsidRPr="009753AD">
              <w:rPr>
                <w:rFonts w:ascii="Times New Roman" w:hAnsi="Times New Roman" w:cs="Times New Roman"/>
                <w:sz w:val="24"/>
                <w:szCs w:val="24"/>
              </w:rPr>
              <w:t>Вартість чистих активів (База капіталізації)</w:t>
            </w:r>
          </w:p>
        </w:tc>
        <w:tc>
          <w:tcPr>
            <w:tcW w:w="1275" w:type="dxa"/>
            <w:hideMark/>
          </w:tcPr>
          <w:p w14:paraId="358129AB" w14:textId="7806582E"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27514322</w:t>
            </w:r>
          </w:p>
        </w:tc>
        <w:tc>
          <w:tcPr>
            <w:tcW w:w="1418" w:type="dxa"/>
            <w:hideMark/>
          </w:tcPr>
          <w:p w14:paraId="37285B11" w14:textId="76F5E89E"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24374877</w:t>
            </w:r>
          </w:p>
        </w:tc>
        <w:tc>
          <w:tcPr>
            <w:tcW w:w="0" w:type="auto"/>
            <w:hideMark/>
          </w:tcPr>
          <w:p w14:paraId="223A5BC4" w14:textId="72831DA8"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23503593</w:t>
            </w:r>
          </w:p>
        </w:tc>
        <w:tc>
          <w:tcPr>
            <w:tcW w:w="0" w:type="auto"/>
            <w:hideMark/>
          </w:tcPr>
          <w:p w14:paraId="33DF37B5"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-4 010 729</w:t>
            </w:r>
          </w:p>
        </w:tc>
        <w:tc>
          <w:tcPr>
            <w:tcW w:w="0" w:type="auto"/>
            <w:hideMark/>
          </w:tcPr>
          <w:p w14:paraId="1568FBDD" w14:textId="77777777" w:rsidR="007266C8" w:rsidRPr="009753AD" w:rsidRDefault="007266C8" w:rsidP="00D01C09">
            <w:pPr>
              <w:jc w:val="center"/>
              <w:rPr>
                <w:rFonts w:ascii="Times New Roman" w:hAnsi="Times New Roman" w:cs="Times New Roman"/>
                <w:sz w:val="24"/>
                <w:szCs w:val="24"/>
              </w:rPr>
            </w:pPr>
            <w:r w:rsidRPr="009753AD">
              <w:rPr>
                <w:rFonts w:ascii="Times New Roman" w:hAnsi="Times New Roman" w:cs="Times New Roman"/>
                <w:sz w:val="24"/>
                <w:szCs w:val="24"/>
              </w:rPr>
              <w:t>-14,58%</w:t>
            </w:r>
          </w:p>
        </w:tc>
      </w:tr>
    </w:tbl>
    <w:p w14:paraId="54D03F42" w14:textId="77777777" w:rsidR="00D01C09" w:rsidRPr="00D01C09" w:rsidRDefault="00D01C09" w:rsidP="00D01C09">
      <w:pPr>
        <w:spacing w:after="0" w:line="360" w:lineRule="auto"/>
        <w:ind w:left="720"/>
        <w:jc w:val="both"/>
        <w:rPr>
          <w:rFonts w:ascii="Times New Roman" w:hAnsi="Times New Roman" w:cs="Times New Roman"/>
          <w:sz w:val="28"/>
          <w:szCs w:val="28"/>
        </w:rPr>
      </w:pPr>
    </w:p>
    <w:p w14:paraId="65C2336D" w14:textId="4FA70976" w:rsidR="007266C8" w:rsidRPr="007266C8" w:rsidRDefault="007266C8" w:rsidP="00D01C09">
      <w:pPr>
        <w:spacing w:after="0" w:line="360" w:lineRule="auto"/>
        <w:ind w:firstLine="708"/>
        <w:jc w:val="both"/>
        <w:rPr>
          <w:rFonts w:ascii="Times New Roman" w:hAnsi="Times New Roman" w:cs="Times New Roman"/>
          <w:sz w:val="28"/>
          <w:szCs w:val="28"/>
        </w:rPr>
      </w:pPr>
      <w:r w:rsidRPr="00D01C09">
        <w:rPr>
          <w:rFonts w:ascii="Times New Roman" w:hAnsi="Times New Roman" w:cs="Times New Roman"/>
          <w:sz w:val="28"/>
          <w:szCs w:val="28"/>
        </w:rPr>
        <w:t xml:space="preserve">Розрахунок показника </w:t>
      </w:r>
      <w:r w:rsidR="00D01C09" w:rsidRPr="00D01C09">
        <w:rPr>
          <w:rFonts w:ascii="Times New Roman" w:hAnsi="Times New Roman" w:cs="Times New Roman"/>
          <w:sz w:val="28"/>
          <w:szCs w:val="28"/>
        </w:rPr>
        <w:t>р</w:t>
      </w:r>
      <w:r w:rsidRPr="00D01C09">
        <w:rPr>
          <w:rFonts w:ascii="Times New Roman" w:hAnsi="Times New Roman" w:cs="Times New Roman"/>
          <w:sz w:val="28"/>
          <w:szCs w:val="28"/>
        </w:rPr>
        <w:t>ентабельності основних засобів</w:t>
      </w:r>
      <w:r w:rsidR="00D01C09" w:rsidRPr="00D01C09">
        <w:rPr>
          <w:rFonts w:ascii="Times New Roman" w:hAnsi="Times New Roman" w:cs="Times New Roman"/>
          <w:sz w:val="28"/>
          <w:szCs w:val="28"/>
        </w:rPr>
        <w:t xml:space="preserve"> </w:t>
      </w:r>
      <w:r w:rsidRPr="00D01C09">
        <w:rPr>
          <w:rFonts w:ascii="Times New Roman" w:hAnsi="Times New Roman" w:cs="Times New Roman"/>
          <w:sz w:val="28"/>
          <w:szCs w:val="28"/>
        </w:rPr>
        <w:t>виявляє</w:t>
      </w:r>
      <w:r w:rsidRPr="007266C8">
        <w:rPr>
          <w:rFonts w:ascii="Times New Roman" w:hAnsi="Times New Roman" w:cs="Times New Roman"/>
          <w:sz w:val="28"/>
          <w:szCs w:val="28"/>
        </w:rPr>
        <w:t xml:space="preserve"> </w:t>
      </w:r>
      <w:r w:rsidRPr="00D01C09">
        <w:rPr>
          <w:rFonts w:ascii="Times New Roman" w:hAnsi="Times New Roman" w:cs="Times New Roman"/>
          <w:sz w:val="28"/>
          <w:szCs w:val="28"/>
        </w:rPr>
        <w:t>катастрофічний тренд. Якщо у 2023</w:t>
      </w:r>
      <w:r w:rsidR="00D01C09" w:rsidRPr="00D01C09">
        <w:rPr>
          <w:rFonts w:ascii="Times New Roman" w:hAnsi="Times New Roman" w:cs="Times New Roman"/>
          <w:sz w:val="28"/>
          <w:szCs w:val="28"/>
        </w:rPr>
        <w:t>-</w:t>
      </w:r>
      <w:r w:rsidRPr="00D01C09">
        <w:rPr>
          <w:rFonts w:ascii="Times New Roman" w:hAnsi="Times New Roman" w:cs="Times New Roman"/>
          <w:sz w:val="28"/>
          <w:szCs w:val="28"/>
        </w:rPr>
        <w:t>2024 роках кожна гривня, інвестована в залишок ОЗ, приносила понад 1,96</w:t>
      </w:r>
      <w:r w:rsidR="00D01C09" w:rsidRPr="00D01C09">
        <w:rPr>
          <w:rFonts w:ascii="Times New Roman" w:hAnsi="Times New Roman" w:cs="Times New Roman"/>
          <w:sz w:val="28"/>
          <w:szCs w:val="28"/>
        </w:rPr>
        <w:t>-</w:t>
      </w:r>
      <w:r w:rsidRPr="00D01C09">
        <w:rPr>
          <w:rFonts w:ascii="Times New Roman" w:hAnsi="Times New Roman" w:cs="Times New Roman"/>
          <w:sz w:val="28"/>
          <w:szCs w:val="28"/>
        </w:rPr>
        <w:t>2,53 грн чистого прибутку за рахунок високої інтенсивності роботи, то у 2025 році цей показник обвалився до 13,97% (падіння ефективності віддачі склало 92,89%). Використання застарілих фондів призвело</w:t>
      </w:r>
      <w:r w:rsidRPr="007266C8">
        <w:rPr>
          <w:rFonts w:ascii="Times New Roman" w:hAnsi="Times New Roman" w:cs="Times New Roman"/>
          <w:sz w:val="28"/>
          <w:szCs w:val="28"/>
        </w:rPr>
        <w:t xml:space="preserve"> до зростання операційних витрат і втрати </w:t>
      </w:r>
      <w:proofErr w:type="spellStart"/>
      <w:r w:rsidRPr="007266C8">
        <w:rPr>
          <w:rFonts w:ascii="Times New Roman" w:hAnsi="Times New Roman" w:cs="Times New Roman"/>
          <w:sz w:val="28"/>
          <w:szCs w:val="28"/>
        </w:rPr>
        <w:t>маржинальності</w:t>
      </w:r>
      <w:proofErr w:type="spellEnd"/>
      <w:r w:rsidRPr="007266C8">
        <w:rPr>
          <w:rFonts w:ascii="Times New Roman" w:hAnsi="Times New Roman" w:cs="Times New Roman"/>
          <w:sz w:val="28"/>
          <w:szCs w:val="28"/>
        </w:rPr>
        <w:t>.</w:t>
      </w:r>
      <w:r w:rsidR="00D01C09">
        <w:rPr>
          <w:rFonts w:ascii="Times New Roman" w:hAnsi="Times New Roman" w:cs="Times New Roman"/>
          <w:sz w:val="28"/>
          <w:szCs w:val="28"/>
        </w:rPr>
        <w:t xml:space="preserve"> </w:t>
      </w:r>
      <w:r w:rsidRPr="007266C8">
        <w:rPr>
          <w:rFonts w:ascii="Times New Roman" w:hAnsi="Times New Roman" w:cs="Times New Roman"/>
          <w:sz w:val="28"/>
          <w:szCs w:val="28"/>
        </w:rPr>
        <w:t xml:space="preserve">Оскільки прибуток було втрачено через технологічну неефективність та високі фінансові витрати, </w:t>
      </w:r>
      <w:r w:rsidRPr="00D01C09">
        <w:rPr>
          <w:rFonts w:ascii="Times New Roman" w:hAnsi="Times New Roman" w:cs="Times New Roman"/>
          <w:sz w:val="28"/>
          <w:szCs w:val="28"/>
        </w:rPr>
        <w:t xml:space="preserve">капіталізація підприємства позбулася свого основного джерела зростання. </w:t>
      </w:r>
      <w:r w:rsidRPr="00D01C09">
        <w:rPr>
          <w:rFonts w:ascii="Times New Roman" w:hAnsi="Times New Roman" w:cs="Times New Roman"/>
          <w:sz w:val="28"/>
          <w:szCs w:val="28"/>
        </w:rPr>
        <w:lastRenderedPageBreak/>
        <w:t>Загальна вартість чистих активів за два роки впала на 14,58% (мінус 4,01 млрд</w:t>
      </w:r>
      <w:r w:rsidRPr="007266C8">
        <w:rPr>
          <w:rFonts w:ascii="Times New Roman" w:hAnsi="Times New Roman" w:cs="Times New Roman"/>
          <w:sz w:val="28"/>
          <w:szCs w:val="28"/>
        </w:rPr>
        <w:t xml:space="preserve"> грн). Згортання первісної вартості матеріальних активів на 7,28% стало безпосередньою структурною причиною цього падіння.</w:t>
      </w:r>
    </w:p>
    <w:p w14:paraId="213C3A07" w14:textId="09CAD2EA" w:rsidR="007266C8" w:rsidRPr="007266C8" w:rsidRDefault="007266C8" w:rsidP="007266C8">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Для зовнішнього інвестора виявлена тенденція є серйозним «стоп-сигналом». Навіть за умови високої виручки (105,9 млрд грн у 2025 році) інвестор розуміє: компанія працює на знос, експлуатуючи раніше накопичений капітал, не створюючи фундаменту для майбутнього. За такої моделі бізнес ризикує зіткнутися з технологічним колапсом, коли наявні основні засоби почнуть масово виходити з ладу.</w:t>
      </w:r>
    </w:p>
    <w:p w14:paraId="1607445A" w14:textId="316AB230" w:rsidR="009753AD" w:rsidRDefault="007266C8" w:rsidP="009753AD">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Проведена діагностика ефективності відтворення необоротних активів підтвердила наявність системних деформацій протягом 2023</w:t>
      </w:r>
      <w:r w:rsidR="00D01C09">
        <w:rPr>
          <w:rFonts w:ascii="Times New Roman" w:hAnsi="Times New Roman" w:cs="Times New Roman"/>
          <w:sz w:val="28"/>
          <w:szCs w:val="28"/>
        </w:rPr>
        <w:t>-</w:t>
      </w:r>
      <w:r w:rsidRPr="007266C8">
        <w:rPr>
          <w:rFonts w:ascii="Times New Roman" w:hAnsi="Times New Roman" w:cs="Times New Roman"/>
          <w:sz w:val="28"/>
          <w:szCs w:val="28"/>
        </w:rPr>
        <w:t>2025 років. Падіння коефіцієнта оновлення до критичної позначки 0,007 на фоні зростання коефіцієнта зносу є чітким маркером деградації виробничого капіталу.</w:t>
      </w:r>
      <w:r>
        <w:rPr>
          <w:rFonts w:ascii="Times New Roman" w:hAnsi="Times New Roman" w:cs="Times New Roman"/>
          <w:sz w:val="28"/>
          <w:szCs w:val="28"/>
        </w:rPr>
        <w:t xml:space="preserve"> </w:t>
      </w:r>
      <w:r w:rsidRPr="007266C8">
        <w:rPr>
          <w:rFonts w:ascii="Times New Roman" w:hAnsi="Times New Roman" w:cs="Times New Roman"/>
          <w:sz w:val="28"/>
          <w:szCs w:val="28"/>
        </w:rPr>
        <w:t>Цей процес виступив внутрішнім каталізатором обвалу прибутковості (рентабельність ОЗ упала до 13,97%) та скорочення бази капіталізації на 14,58%. Зупинити знецінення бізнесу можливо лише шляхом радикальної зміни фінансової політики: припинення практики «вимивання» інвестиційних ресурсів на покриття поточних боргів та заміщення застарілих фондів через сучасні лізингові інструменти.</w:t>
      </w:r>
    </w:p>
    <w:p w14:paraId="55CCF13F" w14:textId="2FD5F27C" w:rsidR="00D01C09" w:rsidRPr="007266C8" w:rsidRDefault="00D01C09" w:rsidP="009753AD">
      <w:pPr>
        <w:spacing w:after="0" w:line="360" w:lineRule="auto"/>
        <w:ind w:firstLine="708"/>
        <w:jc w:val="both"/>
        <w:rPr>
          <w:rFonts w:ascii="Times New Roman" w:hAnsi="Times New Roman" w:cs="Times New Roman"/>
          <w:sz w:val="28"/>
          <w:szCs w:val="28"/>
        </w:rPr>
      </w:pPr>
      <w:r w:rsidRPr="007266C8">
        <w:rPr>
          <w:rFonts w:ascii="Times New Roman" w:hAnsi="Times New Roman" w:cs="Times New Roman"/>
          <w:sz w:val="28"/>
          <w:szCs w:val="28"/>
        </w:rPr>
        <w:t xml:space="preserve">Для подолання кризового тренду та відновлення процесів нарощування капіталізації </w:t>
      </w:r>
      <w:r w:rsidR="009753AD" w:rsidRPr="00D01C09">
        <w:rPr>
          <w:rFonts w:ascii="Times New Roman" w:hAnsi="Times New Roman" w:cs="Times New Roman"/>
          <w:sz w:val="28"/>
          <w:szCs w:val="28"/>
        </w:rPr>
        <w:t>ТОВ «КЕРНЕЛ-ТРЕЙД»</w:t>
      </w:r>
      <w:r w:rsidR="009753AD">
        <w:rPr>
          <w:rFonts w:ascii="Times New Roman" w:hAnsi="Times New Roman" w:cs="Times New Roman"/>
          <w:sz w:val="28"/>
          <w:szCs w:val="28"/>
        </w:rPr>
        <w:t xml:space="preserve"> </w:t>
      </w:r>
      <w:r w:rsidRPr="007266C8">
        <w:rPr>
          <w:rFonts w:ascii="Times New Roman" w:hAnsi="Times New Roman" w:cs="Times New Roman"/>
          <w:sz w:val="28"/>
          <w:szCs w:val="28"/>
        </w:rPr>
        <w:t>пропонується впровадження такої інвестиційно-виробничої стратегії:</w:t>
      </w:r>
    </w:p>
    <w:p w14:paraId="3A1DA35E" w14:textId="77777777" w:rsidR="009753AD" w:rsidRPr="009753AD" w:rsidRDefault="00D01C09" w:rsidP="009753AD">
      <w:pPr>
        <w:spacing w:after="0" w:line="360" w:lineRule="auto"/>
        <w:ind w:firstLine="360"/>
        <w:jc w:val="both"/>
        <w:rPr>
          <w:rFonts w:ascii="Times New Roman" w:hAnsi="Times New Roman" w:cs="Times New Roman"/>
          <w:sz w:val="28"/>
          <w:szCs w:val="28"/>
        </w:rPr>
      </w:pPr>
      <w:r w:rsidRPr="009753AD">
        <w:rPr>
          <w:rFonts w:ascii="Times New Roman" w:hAnsi="Times New Roman" w:cs="Times New Roman"/>
          <w:sz w:val="28"/>
          <w:szCs w:val="28"/>
        </w:rPr>
        <w:t>1</w:t>
      </w:r>
      <w:r w:rsidR="009753AD" w:rsidRPr="009753AD">
        <w:rPr>
          <w:rFonts w:ascii="Times New Roman" w:hAnsi="Times New Roman" w:cs="Times New Roman"/>
          <w:sz w:val="28"/>
          <w:szCs w:val="28"/>
        </w:rPr>
        <w:t>)</w:t>
      </w:r>
      <w:r w:rsidRPr="009753AD">
        <w:rPr>
          <w:rFonts w:ascii="Times New Roman" w:hAnsi="Times New Roman" w:cs="Times New Roman"/>
          <w:sz w:val="28"/>
          <w:szCs w:val="28"/>
        </w:rPr>
        <w:t xml:space="preserve"> Впровадження жорсткого фінансового інжинірингу щодо амортизаційного фонду. Необхідно внутрішнім корпоративним наказом заборонити використання коштів, отриманих у вигляді амортизаційних відрахувань, на покриття поточних зобов'язань. Амортизація повинна акумулюватися на окремому інвестиційному рахунку і використовуватися виключно на придбання нових технологій.</w:t>
      </w:r>
    </w:p>
    <w:p w14:paraId="249157F9" w14:textId="77777777" w:rsidR="009753AD" w:rsidRPr="009753AD" w:rsidRDefault="009753AD" w:rsidP="009753AD">
      <w:pPr>
        <w:spacing w:after="0" w:line="360" w:lineRule="auto"/>
        <w:ind w:firstLine="360"/>
        <w:jc w:val="both"/>
        <w:rPr>
          <w:rFonts w:ascii="Times New Roman" w:hAnsi="Times New Roman" w:cs="Times New Roman"/>
          <w:sz w:val="28"/>
          <w:szCs w:val="28"/>
        </w:rPr>
      </w:pPr>
      <w:r w:rsidRPr="009753AD">
        <w:rPr>
          <w:rFonts w:ascii="Times New Roman" w:hAnsi="Times New Roman" w:cs="Times New Roman"/>
          <w:sz w:val="28"/>
          <w:szCs w:val="28"/>
        </w:rPr>
        <w:t xml:space="preserve">2) </w:t>
      </w:r>
      <w:r w:rsidR="00D01C09" w:rsidRPr="009753AD">
        <w:rPr>
          <w:rFonts w:ascii="Times New Roman" w:hAnsi="Times New Roman" w:cs="Times New Roman"/>
          <w:sz w:val="28"/>
          <w:szCs w:val="28"/>
        </w:rPr>
        <w:t xml:space="preserve">Перехід на модель оперативного та фінансового лізингу. Оскільки підприємство обмежене у довгострокових банківських кредитах через високі інституційні ризики, оновлення активів доцільно здійснювати за допомогою </w:t>
      </w:r>
      <w:r w:rsidR="00D01C09" w:rsidRPr="009753AD">
        <w:rPr>
          <w:rFonts w:ascii="Times New Roman" w:hAnsi="Times New Roman" w:cs="Times New Roman"/>
          <w:sz w:val="28"/>
          <w:szCs w:val="28"/>
        </w:rPr>
        <w:lastRenderedPageBreak/>
        <w:t>лізингових інструментів. Це дозволить ввести в експлуатацію сучасне обладнання без миттєвого відволікання великих обсягів оборотного капіталу, що швидко підніме коефіцієнт оновлення.</w:t>
      </w:r>
    </w:p>
    <w:p w14:paraId="2B2A448B" w14:textId="2E5BDDB3" w:rsidR="00D01C09" w:rsidRPr="003839CF" w:rsidRDefault="00D01C09" w:rsidP="009753AD">
      <w:pPr>
        <w:spacing w:after="0" w:line="360" w:lineRule="auto"/>
        <w:ind w:firstLine="360"/>
        <w:jc w:val="both"/>
        <w:rPr>
          <w:rFonts w:ascii="Times New Roman" w:hAnsi="Times New Roman" w:cs="Times New Roman"/>
          <w:sz w:val="28"/>
          <w:szCs w:val="28"/>
          <w:lang w:val="ru-RU"/>
        </w:rPr>
      </w:pPr>
      <w:r w:rsidRPr="009753AD">
        <w:rPr>
          <w:rFonts w:ascii="Times New Roman" w:hAnsi="Times New Roman" w:cs="Times New Roman"/>
          <w:sz w:val="28"/>
          <w:szCs w:val="28"/>
        </w:rPr>
        <w:t>3</w:t>
      </w:r>
      <w:r w:rsidR="009753AD" w:rsidRPr="009753AD">
        <w:rPr>
          <w:rFonts w:ascii="Times New Roman" w:hAnsi="Times New Roman" w:cs="Times New Roman"/>
          <w:sz w:val="28"/>
          <w:szCs w:val="28"/>
        </w:rPr>
        <w:t>)</w:t>
      </w:r>
      <w:r w:rsidRPr="009753AD">
        <w:rPr>
          <w:rFonts w:ascii="Times New Roman" w:hAnsi="Times New Roman" w:cs="Times New Roman"/>
          <w:sz w:val="28"/>
          <w:szCs w:val="28"/>
        </w:rPr>
        <w:t xml:space="preserve"> Проведення повної техніко-економічної переоцінки та оптимізації складу ОЗ. Слід провести глибокий технологічний аудит та списати (або</w:t>
      </w:r>
      <w:r w:rsidRPr="007266C8">
        <w:rPr>
          <w:rFonts w:ascii="Times New Roman" w:hAnsi="Times New Roman" w:cs="Times New Roman"/>
          <w:sz w:val="28"/>
          <w:szCs w:val="28"/>
        </w:rPr>
        <w:t xml:space="preserve"> реалізувати) неефективне, заморожене майно, яке не бере участі в генерації прибутку. Решту профільних активів доцільно </w:t>
      </w:r>
      <w:proofErr w:type="spellStart"/>
      <w:r w:rsidRPr="007266C8">
        <w:rPr>
          <w:rFonts w:ascii="Times New Roman" w:hAnsi="Times New Roman" w:cs="Times New Roman"/>
          <w:sz w:val="28"/>
          <w:szCs w:val="28"/>
        </w:rPr>
        <w:t>дооцінити</w:t>
      </w:r>
      <w:proofErr w:type="spellEnd"/>
      <w:r w:rsidRPr="007266C8">
        <w:rPr>
          <w:rFonts w:ascii="Times New Roman" w:hAnsi="Times New Roman" w:cs="Times New Roman"/>
          <w:sz w:val="28"/>
          <w:szCs w:val="28"/>
        </w:rPr>
        <w:t xml:space="preserve"> до їхньої реальної справедливої ринкової вартості (згідно з НП(С)БО 7), що дозволить збільшити статтю «Дооцінка необоротних активів» у складі власного капіталу і безпосередньо підніме вартість чистих активів підприємства</w:t>
      </w:r>
      <w:r w:rsidR="003839CF">
        <w:rPr>
          <w:rFonts w:ascii="Times New Roman" w:hAnsi="Times New Roman" w:cs="Times New Roman"/>
          <w:sz w:val="28"/>
          <w:szCs w:val="28"/>
        </w:rPr>
        <w:t xml:space="preserve"> </w:t>
      </w:r>
      <w:r w:rsidR="003839CF" w:rsidRPr="003839CF">
        <w:rPr>
          <w:rFonts w:ascii="Times New Roman" w:hAnsi="Times New Roman" w:cs="Times New Roman"/>
          <w:sz w:val="28"/>
          <w:szCs w:val="28"/>
          <w:lang w:val="ru-RU"/>
        </w:rPr>
        <w:t>[</w:t>
      </w:r>
      <w:r w:rsidR="003839CF">
        <w:rPr>
          <w:rFonts w:ascii="Times New Roman" w:hAnsi="Times New Roman" w:cs="Times New Roman"/>
          <w:sz w:val="28"/>
          <w:szCs w:val="28"/>
        </w:rPr>
        <w:t>23</w:t>
      </w:r>
      <w:r w:rsidR="003839CF" w:rsidRPr="003839CF">
        <w:rPr>
          <w:rFonts w:ascii="Times New Roman" w:hAnsi="Times New Roman" w:cs="Times New Roman"/>
          <w:sz w:val="28"/>
          <w:szCs w:val="28"/>
          <w:lang w:val="ru-RU"/>
        </w:rPr>
        <w:t>]</w:t>
      </w:r>
      <w:r w:rsidR="003839CF">
        <w:rPr>
          <w:rFonts w:ascii="Times New Roman" w:hAnsi="Times New Roman" w:cs="Times New Roman"/>
          <w:sz w:val="28"/>
          <w:szCs w:val="28"/>
        </w:rPr>
        <w:t>.</w:t>
      </w:r>
    </w:p>
    <w:p w14:paraId="0CBDB81D" w14:textId="77777777" w:rsidR="0004050A" w:rsidRPr="00975C66" w:rsidRDefault="0004050A" w:rsidP="009F33CD">
      <w:pPr>
        <w:spacing w:after="0" w:line="360" w:lineRule="auto"/>
        <w:jc w:val="both"/>
        <w:rPr>
          <w:rFonts w:ascii="Times New Roman" w:hAnsi="Times New Roman" w:cs="Times New Roman"/>
          <w:sz w:val="28"/>
          <w:szCs w:val="28"/>
          <w:lang w:val="ru-RU"/>
        </w:rPr>
      </w:pPr>
    </w:p>
    <w:p w14:paraId="00658542" w14:textId="77777777" w:rsidR="00F81C33" w:rsidRPr="00975C66" w:rsidRDefault="00F81C33" w:rsidP="009F33CD">
      <w:pPr>
        <w:spacing w:after="0" w:line="360" w:lineRule="auto"/>
        <w:jc w:val="both"/>
        <w:rPr>
          <w:rFonts w:ascii="Times New Roman" w:hAnsi="Times New Roman" w:cs="Times New Roman"/>
          <w:sz w:val="28"/>
          <w:szCs w:val="28"/>
          <w:lang w:val="ru-RU"/>
        </w:rPr>
      </w:pPr>
    </w:p>
    <w:p w14:paraId="49DD24BD" w14:textId="77777777" w:rsidR="00F81C33" w:rsidRPr="00975C66" w:rsidRDefault="00F81C33" w:rsidP="009F33CD">
      <w:pPr>
        <w:spacing w:after="0" w:line="360" w:lineRule="auto"/>
        <w:jc w:val="both"/>
        <w:rPr>
          <w:rFonts w:ascii="Times New Roman" w:hAnsi="Times New Roman" w:cs="Times New Roman"/>
          <w:sz w:val="28"/>
          <w:szCs w:val="28"/>
          <w:lang w:val="ru-RU"/>
        </w:rPr>
      </w:pPr>
    </w:p>
    <w:p w14:paraId="3287AF0C" w14:textId="77777777" w:rsidR="00F81C33" w:rsidRPr="00975C66" w:rsidRDefault="00F81C33" w:rsidP="009F33CD">
      <w:pPr>
        <w:spacing w:after="0" w:line="360" w:lineRule="auto"/>
        <w:jc w:val="both"/>
        <w:rPr>
          <w:rFonts w:ascii="Times New Roman" w:hAnsi="Times New Roman" w:cs="Times New Roman"/>
          <w:sz w:val="28"/>
          <w:szCs w:val="28"/>
          <w:lang w:val="ru-RU"/>
        </w:rPr>
      </w:pPr>
    </w:p>
    <w:p w14:paraId="4465CDEB" w14:textId="6E2C43B5" w:rsidR="00F8126E" w:rsidRDefault="00D12C23" w:rsidP="00F8126E">
      <w:pPr>
        <w:shd w:val="clear" w:color="auto" w:fill="FFFFFF"/>
        <w:spacing w:after="0" w:line="450" w:lineRule="atLeast"/>
        <w:jc w:val="both"/>
        <w:outlineLvl w:val="0"/>
        <w:rPr>
          <w:rFonts w:ascii="Times New Roman" w:eastAsia="Times New Roman" w:hAnsi="Times New Roman" w:cs="Times New Roman"/>
          <w:b/>
          <w:bCs/>
          <w:kern w:val="36"/>
          <w:sz w:val="28"/>
          <w:szCs w:val="28"/>
        </w:rPr>
      </w:pPr>
      <w:r w:rsidRPr="00F8126E">
        <w:rPr>
          <w:rFonts w:ascii="Times New Roman" w:eastAsia="Times New Roman" w:hAnsi="Times New Roman" w:cs="Times New Roman"/>
          <w:b/>
          <w:bCs/>
          <w:kern w:val="36"/>
          <w:sz w:val="28"/>
          <w:szCs w:val="28"/>
        </w:rPr>
        <w:t>РОЗДІЛ 3. СТРАТЕГІЧНІ ОРІЄНТИРИ ЗМІЦНЕННЯ ФІНАНСОВОЇ СТІЙКОСТІ ТА НАРОЩУВАННЯ КАПІТАЛІЗАЦІЇ АГРОПІДПРИЄМСТВ</w:t>
      </w:r>
    </w:p>
    <w:p w14:paraId="6511D7C2" w14:textId="77777777" w:rsidR="00F8126E" w:rsidRPr="00F8126E" w:rsidRDefault="00F8126E" w:rsidP="00F8126E">
      <w:pPr>
        <w:shd w:val="clear" w:color="auto" w:fill="FFFFFF"/>
        <w:spacing w:after="0" w:line="450" w:lineRule="atLeast"/>
        <w:jc w:val="both"/>
        <w:outlineLvl w:val="0"/>
        <w:rPr>
          <w:rFonts w:ascii="Times New Roman" w:eastAsia="Times New Roman" w:hAnsi="Times New Roman" w:cs="Times New Roman"/>
          <w:b/>
          <w:bCs/>
          <w:kern w:val="36"/>
          <w:sz w:val="28"/>
          <w:szCs w:val="28"/>
        </w:rPr>
      </w:pPr>
    </w:p>
    <w:p w14:paraId="10998F62" w14:textId="77777777" w:rsidR="00F8126E" w:rsidRDefault="00F8126E" w:rsidP="00F8126E">
      <w:pPr>
        <w:shd w:val="clear" w:color="auto" w:fill="FFFFFF"/>
        <w:spacing w:after="0" w:line="450" w:lineRule="atLeast"/>
        <w:ind w:left="360"/>
        <w:jc w:val="both"/>
        <w:outlineLvl w:val="0"/>
        <w:rPr>
          <w:rFonts w:ascii="Times New Roman" w:eastAsia="Times New Roman" w:hAnsi="Times New Roman" w:cs="Times New Roman"/>
          <w:b/>
          <w:bCs/>
          <w:kern w:val="36"/>
          <w:sz w:val="28"/>
          <w:szCs w:val="28"/>
        </w:rPr>
      </w:pPr>
      <w:r w:rsidRPr="00F8126E">
        <w:rPr>
          <w:rFonts w:ascii="Times New Roman" w:eastAsia="Times New Roman" w:hAnsi="Times New Roman" w:cs="Times New Roman"/>
          <w:b/>
          <w:bCs/>
          <w:kern w:val="36"/>
          <w:sz w:val="28"/>
          <w:szCs w:val="28"/>
        </w:rPr>
        <w:t xml:space="preserve">3.1. Розробка стратегії оптимізації структури капіталу на засадах диверсифікації джерел фінансування відтворювальних процесів </w:t>
      </w:r>
    </w:p>
    <w:p w14:paraId="2323D413" w14:textId="77777777" w:rsidR="00F8126E" w:rsidRDefault="00F8126E" w:rsidP="00F8126E">
      <w:pPr>
        <w:shd w:val="clear" w:color="auto" w:fill="FFFFFF"/>
        <w:spacing w:after="0" w:line="450" w:lineRule="atLeast"/>
        <w:ind w:left="360"/>
        <w:jc w:val="both"/>
        <w:outlineLvl w:val="0"/>
        <w:rPr>
          <w:rFonts w:ascii="Times New Roman" w:eastAsia="Times New Roman" w:hAnsi="Times New Roman" w:cs="Times New Roman"/>
          <w:b/>
          <w:bCs/>
          <w:kern w:val="36"/>
          <w:sz w:val="28"/>
          <w:szCs w:val="28"/>
        </w:rPr>
      </w:pPr>
    </w:p>
    <w:p w14:paraId="36CE03C8" w14:textId="374B35FC" w:rsidR="000F3938" w:rsidRDefault="000F3938" w:rsidP="000F3938">
      <w:pPr>
        <w:shd w:val="clear" w:color="auto" w:fill="FFFFFF"/>
        <w:spacing w:after="0" w:line="450" w:lineRule="atLeast"/>
        <w:ind w:firstLine="360"/>
        <w:jc w:val="both"/>
        <w:outlineLvl w:val="0"/>
        <w:rPr>
          <w:rFonts w:ascii="Times New Roman" w:eastAsia="Times New Roman" w:hAnsi="Times New Roman" w:cs="Times New Roman"/>
          <w:kern w:val="36"/>
          <w:sz w:val="28"/>
          <w:szCs w:val="28"/>
        </w:rPr>
      </w:pPr>
      <w:r w:rsidRPr="000F3938">
        <w:rPr>
          <w:rFonts w:ascii="Times New Roman" w:eastAsia="Times New Roman" w:hAnsi="Times New Roman" w:cs="Times New Roman"/>
          <w:kern w:val="36"/>
          <w:sz w:val="28"/>
          <w:szCs w:val="28"/>
        </w:rPr>
        <w:t xml:space="preserve">Формування оптимальної архітектури капіталу в аграрному секторі розгортається в умовах дії специфічних галузевих ризиків: яскраво вираженої сезонності виробництва, тривалості операційного циклу. У класичній фінансовій теорії оптимізація структури капіталу базується на компромісній моделі, яка зважує податкові переваги залучення боргу (податковий щит) проти витрат можливого фінансового </w:t>
      </w:r>
      <w:proofErr w:type="spellStart"/>
      <w:r w:rsidRPr="000F3938">
        <w:rPr>
          <w:rFonts w:ascii="Times New Roman" w:eastAsia="Times New Roman" w:hAnsi="Times New Roman" w:cs="Times New Roman"/>
          <w:kern w:val="36"/>
          <w:sz w:val="28"/>
          <w:szCs w:val="28"/>
        </w:rPr>
        <w:t>дистресу</w:t>
      </w:r>
      <w:proofErr w:type="spellEnd"/>
      <w:r w:rsidRPr="000F3938">
        <w:rPr>
          <w:rFonts w:ascii="Times New Roman" w:eastAsia="Times New Roman" w:hAnsi="Times New Roman" w:cs="Times New Roman"/>
          <w:kern w:val="36"/>
          <w:sz w:val="28"/>
          <w:szCs w:val="28"/>
        </w:rPr>
        <w:t xml:space="preserve"> та дефолту [</w:t>
      </w:r>
      <w:r w:rsidR="00166262">
        <w:rPr>
          <w:rFonts w:ascii="Times New Roman" w:eastAsia="Times New Roman" w:hAnsi="Times New Roman" w:cs="Times New Roman"/>
          <w:kern w:val="36"/>
          <w:sz w:val="28"/>
          <w:szCs w:val="28"/>
        </w:rPr>
        <w:t>3</w:t>
      </w:r>
      <w:r w:rsidRPr="000F3938">
        <w:rPr>
          <w:rFonts w:ascii="Times New Roman" w:eastAsia="Times New Roman" w:hAnsi="Times New Roman" w:cs="Times New Roman"/>
          <w:kern w:val="36"/>
          <w:sz w:val="28"/>
          <w:szCs w:val="28"/>
        </w:rPr>
        <w:t xml:space="preserve">; </w:t>
      </w:r>
      <w:r w:rsidR="00166262">
        <w:rPr>
          <w:rFonts w:ascii="Times New Roman" w:eastAsia="Times New Roman" w:hAnsi="Times New Roman" w:cs="Times New Roman"/>
          <w:kern w:val="36"/>
          <w:sz w:val="28"/>
          <w:szCs w:val="28"/>
        </w:rPr>
        <w:t>6</w:t>
      </w:r>
      <w:r w:rsidRPr="000F3938">
        <w:rPr>
          <w:rFonts w:ascii="Times New Roman" w:eastAsia="Times New Roman" w:hAnsi="Times New Roman" w:cs="Times New Roman"/>
          <w:kern w:val="36"/>
          <w:sz w:val="28"/>
          <w:szCs w:val="28"/>
        </w:rPr>
        <w:t>].</w:t>
      </w:r>
    </w:p>
    <w:p w14:paraId="5194614E" w14:textId="433F6A88" w:rsidR="00F8126E" w:rsidRDefault="000F3938" w:rsidP="000F3938">
      <w:pPr>
        <w:shd w:val="clear" w:color="auto" w:fill="FFFFFF"/>
        <w:spacing w:after="0" w:line="450" w:lineRule="atLeast"/>
        <w:ind w:firstLine="360"/>
        <w:jc w:val="both"/>
        <w:outlineLvl w:val="0"/>
        <w:rPr>
          <w:rFonts w:ascii="Times New Roman" w:hAnsi="Times New Roman" w:cs="Times New Roman"/>
          <w:sz w:val="28"/>
          <w:szCs w:val="28"/>
        </w:rPr>
      </w:pPr>
      <w:r w:rsidRPr="000F3938">
        <w:rPr>
          <w:rFonts w:ascii="Times New Roman" w:hAnsi="Times New Roman" w:cs="Times New Roman"/>
          <w:sz w:val="28"/>
          <w:szCs w:val="28"/>
        </w:rPr>
        <w:t xml:space="preserve">Проте для підприємств аграрного сектору пряме копіювання західних моделей левериджу є деструктивним. За високої </w:t>
      </w:r>
      <w:proofErr w:type="spellStart"/>
      <w:r w:rsidRPr="000F3938">
        <w:rPr>
          <w:rFonts w:ascii="Times New Roman" w:hAnsi="Times New Roman" w:cs="Times New Roman"/>
          <w:sz w:val="28"/>
          <w:szCs w:val="28"/>
        </w:rPr>
        <w:t>волатильності</w:t>
      </w:r>
      <w:proofErr w:type="spellEnd"/>
      <w:r w:rsidRPr="000F3938">
        <w:rPr>
          <w:rFonts w:ascii="Times New Roman" w:hAnsi="Times New Roman" w:cs="Times New Roman"/>
          <w:sz w:val="28"/>
          <w:szCs w:val="28"/>
        </w:rPr>
        <w:t xml:space="preserve"> </w:t>
      </w:r>
      <w:proofErr w:type="spellStart"/>
      <w:r w:rsidRPr="000F3938">
        <w:rPr>
          <w:rFonts w:ascii="Times New Roman" w:hAnsi="Times New Roman" w:cs="Times New Roman"/>
          <w:sz w:val="28"/>
          <w:szCs w:val="28"/>
        </w:rPr>
        <w:t>маржинальності</w:t>
      </w:r>
      <w:proofErr w:type="spellEnd"/>
      <w:r w:rsidRPr="000F3938">
        <w:rPr>
          <w:rFonts w:ascii="Times New Roman" w:hAnsi="Times New Roman" w:cs="Times New Roman"/>
          <w:sz w:val="28"/>
          <w:szCs w:val="28"/>
        </w:rPr>
        <w:t xml:space="preserve"> бізнесу надмірне залучення традиційних банківських кредитів різко піднімає фінансовий </w:t>
      </w:r>
      <w:proofErr w:type="spellStart"/>
      <w:r w:rsidRPr="000F3938">
        <w:rPr>
          <w:rFonts w:ascii="Times New Roman" w:hAnsi="Times New Roman" w:cs="Times New Roman"/>
          <w:sz w:val="28"/>
          <w:szCs w:val="28"/>
        </w:rPr>
        <w:t>лівердж</w:t>
      </w:r>
      <w:proofErr w:type="spellEnd"/>
      <w:r w:rsidRPr="000F3938">
        <w:rPr>
          <w:rFonts w:ascii="Times New Roman" w:hAnsi="Times New Roman" w:cs="Times New Roman"/>
          <w:sz w:val="28"/>
          <w:szCs w:val="28"/>
        </w:rPr>
        <w:t xml:space="preserve">, генеруючи ефект «спіралі деструкції». Як доводять вітчизняні </w:t>
      </w:r>
      <w:r w:rsidRPr="000F3938">
        <w:rPr>
          <w:rFonts w:ascii="Times New Roman" w:hAnsi="Times New Roman" w:cs="Times New Roman"/>
          <w:sz w:val="28"/>
          <w:szCs w:val="28"/>
        </w:rPr>
        <w:lastRenderedPageBreak/>
        <w:t>дослідники, нестабільність інституційного середовища та обмеженість доступу до довгострокових ресурсів змушують агропідприємства викривляти структуру пасивів у бік поточних зобов'язань перед постачальниками або банками, що суттєво підвищує ризик втрати платоспроможності [</w:t>
      </w:r>
      <w:r w:rsidR="00166262">
        <w:rPr>
          <w:rFonts w:ascii="Times New Roman" w:hAnsi="Times New Roman" w:cs="Times New Roman"/>
          <w:sz w:val="28"/>
          <w:szCs w:val="28"/>
        </w:rPr>
        <w:t>1</w:t>
      </w:r>
      <w:r w:rsidRPr="000F3938">
        <w:rPr>
          <w:rFonts w:ascii="Times New Roman" w:hAnsi="Times New Roman" w:cs="Times New Roman"/>
          <w:sz w:val="28"/>
          <w:szCs w:val="28"/>
        </w:rPr>
        <w:t xml:space="preserve">4; </w:t>
      </w:r>
      <w:r w:rsidR="00166262">
        <w:rPr>
          <w:rFonts w:ascii="Times New Roman" w:hAnsi="Times New Roman" w:cs="Times New Roman"/>
          <w:sz w:val="28"/>
          <w:szCs w:val="28"/>
        </w:rPr>
        <w:t>41</w:t>
      </w:r>
      <w:r w:rsidRPr="000F3938">
        <w:rPr>
          <w:rFonts w:ascii="Times New Roman" w:hAnsi="Times New Roman" w:cs="Times New Roman"/>
          <w:sz w:val="28"/>
          <w:szCs w:val="28"/>
        </w:rPr>
        <w:t>].</w:t>
      </w:r>
    </w:p>
    <w:p w14:paraId="54B7A8FE" w14:textId="5B62E487" w:rsidR="000F3938" w:rsidRDefault="000F3938" w:rsidP="000F3938">
      <w:pPr>
        <w:shd w:val="clear" w:color="auto" w:fill="FFFFFF"/>
        <w:spacing w:after="0" w:line="450" w:lineRule="atLeast"/>
        <w:ind w:firstLine="360"/>
        <w:jc w:val="both"/>
        <w:outlineLvl w:val="0"/>
        <w:rPr>
          <w:rFonts w:ascii="Times New Roman" w:eastAsia="Times New Roman" w:hAnsi="Times New Roman" w:cs="Times New Roman"/>
          <w:kern w:val="36"/>
          <w:sz w:val="28"/>
          <w:szCs w:val="28"/>
        </w:rPr>
      </w:pPr>
      <w:r w:rsidRPr="000F3938">
        <w:rPr>
          <w:rFonts w:ascii="Times New Roman" w:eastAsia="Times New Roman" w:hAnsi="Times New Roman" w:cs="Times New Roman"/>
          <w:kern w:val="36"/>
          <w:sz w:val="28"/>
          <w:szCs w:val="28"/>
        </w:rPr>
        <w:t>Стратегічна оптимізація має базуватися на принципі динамічної фінансової автономії. Її сутність полягає у забезпеченні такого співвідношення власних і позикових коштів, за якого темпи фінансування капітальних інвестицій для оновлення необоротних активів не створюють загрози для поточної ліквідності [</w:t>
      </w:r>
      <w:r w:rsidR="00166262">
        <w:rPr>
          <w:rFonts w:ascii="Times New Roman" w:eastAsia="Times New Roman" w:hAnsi="Times New Roman" w:cs="Times New Roman"/>
          <w:kern w:val="36"/>
          <w:sz w:val="28"/>
          <w:szCs w:val="28"/>
        </w:rPr>
        <w:t>40</w:t>
      </w:r>
      <w:r w:rsidRPr="000F3938">
        <w:rPr>
          <w:rFonts w:ascii="Times New Roman" w:eastAsia="Times New Roman" w:hAnsi="Times New Roman" w:cs="Times New Roman"/>
          <w:kern w:val="36"/>
          <w:sz w:val="28"/>
          <w:szCs w:val="28"/>
        </w:rPr>
        <w:t>]</w:t>
      </w:r>
      <w:r w:rsidR="00166262">
        <w:rPr>
          <w:rFonts w:ascii="Times New Roman" w:eastAsia="Times New Roman" w:hAnsi="Times New Roman" w:cs="Times New Roman"/>
          <w:kern w:val="36"/>
          <w:sz w:val="28"/>
          <w:szCs w:val="28"/>
        </w:rPr>
        <w:t>.</w:t>
      </w:r>
    </w:p>
    <w:p w14:paraId="4EBC835F" w14:textId="4A8C0CC8" w:rsidR="000F3938" w:rsidRDefault="000F3938" w:rsidP="000F3938">
      <w:pPr>
        <w:shd w:val="clear" w:color="auto" w:fill="FFFFFF"/>
        <w:spacing w:after="0" w:line="450" w:lineRule="atLeast"/>
        <w:ind w:firstLine="360"/>
        <w:jc w:val="both"/>
        <w:outlineLvl w:val="0"/>
        <w:rPr>
          <w:rFonts w:ascii="Times New Roman" w:hAnsi="Times New Roman" w:cs="Times New Roman"/>
          <w:sz w:val="28"/>
          <w:szCs w:val="28"/>
        </w:rPr>
      </w:pPr>
      <w:r w:rsidRPr="000F3938">
        <w:rPr>
          <w:rFonts w:ascii="Times New Roman" w:hAnsi="Times New Roman" w:cs="Times New Roman"/>
          <w:sz w:val="28"/>
          <w:szCs w:val="28"/>
        </w:rPr>
        <w:t>Для обґрунтування меж залучення позикового капіталу та оцінки його впливу на рентабельність власного капіталу підприємства проведемо моделювання ефекту фінансового левериджу (EFL).</w:t>
      </w:r>
    </w:p>
    <w:p w14:paraId="758ECCA8" w14:textId="77777777" w:rsidR="003839CF" w:rsidRDefault="003839CF" w:rsidP="000F3938">
      <w:pPr>
        <w:shd w:val="clear" w:color="auto" w:fill="FFFFFF"/>
        <w:spacing w:after="0" w:line="450" w:lineRule="atLeast"/>
        <w:jc w:val="right"/>
        <w:outlineLvl w:val="0"/>
        <w:rPr>
          <w:rFonts w:ascii="Times New Roman" w:hAnsi="Times New Roman" w:cs="Times New Roman"/>
          <w:sz w:val="28"/>
          <w:szCs w:val="28"/>
        </w:rPr>
      </w:pPr>
    </w:p>
    <w:p w14:paraId="0EB5C77C" w14:textId="77777777" w:rsidR="003839CF" w:rsidRDefault="003839CF" w:rsidP="000F3938">
      <w:pPr>
        <w:shd w:val="clear" w:color="auto" w:fill="FFFFFF"/>
        <w:spacing w:after="0" w:line="450" w:lineRule="atLeast"/>
        <w:jc w:val="right"/>
        <w:outlineLvl w:val="0"/>
        <w:rPr>
          <w:rFonts w:ascii="Times New Roman" w:hAnsi="Times New Roman" w:cs="Times New Roman"/>
          <w:sz w:val="28"/>
          <w:szCs w:val="28"/>
        </w:rPr>
      </w:pPr>
    </w:p>
    <w:p w14:paraId="4A363A95" w14:textId="024E3E39" w:rsidR="000F3938" w:rsidRDefault="000F3938" w:rsidP="000F3938">
      <w:pPr>
        <w:shd w:val="clear" w:color="auto" w:fill="FFFFFF"/>
        <w:spacing w:after="0" w:line="450" w:lineRule="atLeast"/>
        <w:jc w:val="right"/>
        <w:outlineLvl w:val="0"/>
        <w:rPr>
          <w:rFonts w:ascii="Times New Roman" w:hAnsi="Times New Roman" w:cs="Times New Roman"/>
          <w:sz w:val="28"/>
          <w:szCs w:val="28"/>
        </w:rPr>
      </w:pPr>
      <w:r>
        <w:rPr>
          <w:rFonts w:ascii="Times New Roman" w:hAnsi="Times New Roman" w:cs="Times New Roman"/>
          <w:sz w:val="28"/>
          <w:szCs w:val="28"/>
        </w:rPr>
        <w:t>Таблиця 3.1</w:t>
      </w:r>
    </w:p>
    <w:p w14:paraId="2D2DD0E3" w14:textId="08FE5963" w:rsidR="000F3938" w:rsidRDefault="000F3938" w:rsidP="000F3938">
      <w:pPr>
        <w:spacing w:after="0" w:line="360" w:lineRule="auto"/>
        <w:jc w:val="center"/>
        <w:rPr>
          <w:rFonts w:ascii="Times New Roman" w:eastAsia="Times New Roman" w:hAnsi="Times New Roman" w:cs="Times New Roman"/>
          <w:kern w:val="36"/>
          <w:sz w:val="28"/>
          <w:szCs w:val="28"/>
        </w:rPr>
      </w:pPr>
      <w:r w:rsidRPr="000F3938">
        <w:rPr>
          <w:rFonts w:ascii="Times New Roman" w:eastAsia="Times New Roman" w:hAnsi="Times New Roman" w:cs="Times New Roman"/>
          <w:kern w:val="36"/>
          <w:sz w:val="28"/>
          <w:szCs w:val="28"/>
        </w:rPr>
        <w:t xml:space="preserve">Вихідні параметри оцінки капіталу та рентабельності </w:t>
      </w:r>
    </w:p>
    <w:p w14:paraId="5E90A69C" w14:textId="7E06F60A" w:rsidR="000F3938" w:rsidRDefault="000F3938" w:rsidP="000F3938">
      <w:pPr>
        <w:spacing w:after="0" w:line="360" w:lineRule="auto"/>
        <w:jc w:val="center"/>
        <w:rPr>
          <w:rFonts w:ascii="Times New Roman" w:eastAsia="Times New Roman" w:hAnsi="Times New Roman" w:cs="Times New Roman"/>
          <w:kern w:val="36"/>
          <w:sz w:val="28"/>
          <w:szCs w:val="28"/>
        </w:rPr>
      </w:pPr>
      <w:r w:rsidRPr="00D01C09">
        <w:rPr>
          <w:rFonts w:ascii="Times New Roman" w:hAnsi="Times New Roman" w:cs="Times New Roman"/>
          <w:sz w:val="28"/>
          <w:szCs w:val="28"/>
        </w:rPr>
        <w:t>ТОВ «КЕРНЕЛ-ТРЕЙД»</w:t>
      </w:r>
      <w:r>
        <w:rPr>
          <w:rFonts w:ascii="Times New Roman" w:hAnsi="Times New Roman" w:cs="Times New Roman"/>
          <w:sz w:val="28"/>
          <w:szCs w:val="28"/>
        </w:rPr>
        <w:t xml:space="preserve"> </w:t>
      </w:r>
      <w:r w:rsidRPr="000F3938">
        <w:rPr>
          <w:rFonts w:ascii="Times New Roman" w:eastAsia="Times New Roman" w:hAnsi="Times New Roman" w:cs="Times New Roman"/>
          <w:kern w:val="36"/>
          <w:sz w:val="28"/>
          <w:szCs w:val="28"/>
        </w:rPr>
        <w:t>за 2025 рік</w:t>
      </w:r>
    </w:p>
    <w:tbl>
      <w:tblPr>
        <w:tblStyle w:val="af0"/>
        <w:tblW w:w="0" w:type="auto"/>
        <w:tblLook w:val="04A0" w:firstRow="1" w:lastRow="0" w:firstColumn="1" w:lastColumn="0" w:noHBand="0" w:noVBand="1"/>
      </w:tblPr>
      <w:tblGrid>
        <w:gridCol w:w="1950"/>
        <w:gridCol w:w="1418"/>
        <w:gridCol w:w="1508"/>
        <w:gridCol w:w="1302"/>
        <w:gridCol w:w="1168"/>
        <w:gridCol w:w="2281"/>
      </w:tblGrid>
      <w:tr w:rsidR="000F3938" w:rsidRPr="000F3938" w14:paraId="53010944" w14:textId="77777777" w:rsidTr="000F3938">
        <w:tc>
          <w:tcPr>
            <w:tcW w:w="0" w:type="auto"/>
            <w:hideMark/>
          </w:tcPr>
          <w:p w14:paraId="7D1EAE8F" w14:textId="5C82A344"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Показник</w:t>
            </w:r>
            <w:r>
              <w:rPr>
                <w:rFonts w:ascii="Times New Roman" w:hAnsi="Times New Roman" w:cs="Times New Roman"/>
                <w:sz w:val="24"/>
                <w:szCs w:val="24"/>
              </w:rPr>
              <w:t>и</w:t>
            </w:r>
            <w:r w:rsidRPr="000F3938">
              <w:rPr>
                <w:rFonts w:ascii="Times New Roman" w:hAnsi="Times New Roman" w:cs="Times New Roman"/>
                <w:sz w:val="24"/>
                <w:szCs w:val="24"/>
              </w:rPr>
              <w:t xml:space="preserve"> фінансового стану</w:t>
            </w:r>
          </w:p>
        </w:tc>
        <w:tc>
          <w:tcPr>
            <w:tcW w:w="0" w:type="auto"/>
            <w:hideMark/>
          </w:tcPr>
          <w:p w14:paraId="1D1B9099"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Умовне позначення</w:t>
            </w:r>
          </w:p>
        </w:tc>
        <w:tc>
          <w:tcPr>
            <w:tcW w:w="0" w:type="auto"/>
            <w:hideMark/>
          </w:tcPr>
          <w:p w14:paraId="4586FFBE"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Код рядка / Джерело за ф. № 1, № 2</w:t>
            </w:r>
          </w:p>
        </w:tc>
        <w:tc>
          <w:tcPr>
            <w:tcW w:w="0" w:type="auto"/>
            <w:hideMark/>
          </w:tcPr>
          <w:p w14:paraId="670E04C5"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Значення показника</w:t>
            </w:r>
          </w:p>
        </w:tc>
        <w:tc>
          <w:tcPr>
            <w:tcW w:w="0" w:type="auto"/>
            <w:hideMark/>
          </w:tcPr>
          <w:p w14:paraId="1FD9F739"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Одиниця виміру</w:t>
            </w:r>
          </w:p>
        </w:tc>
        <w:tc>
          <w:tcPr>
            <w:tcW w:w="0" w:type="auto"/>
            <w:hideMark/>
          </w:tcPr>
          <w:p w14:paraId="07EE10A4"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Економічний зміст та аналітична оцінка</w:t>
            </w:r>
          </w:p>
        </w:tc>
      </w:tr>
      <w:tr w:rsidR="000F3938" w:rsidRPr="000F3938" w14:paraId="50E019B4" w14:textId="77777777" w:rsidTr="000F3938">
        <w:tc>
          <w:tcPr>
            <w:tcW w:w="0" w:type="auto"/>
            <w:hideMark/>
          </w:tcPr>
          <w:p w14:paraId="69CD5D8D"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Власний капітал</w:t>
            </w:r>
          </w:p>
        </w:tc>
        <w:tc>
          <w:tcPr>
            <w:tcW w:w="0" w:type="auto"/>
            <w:hideMark/>
          </w:tcPr>
          <w:p w14:paraId="068AE0FD" w14:textId="10C57915"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ВК</w:t>
            </w:r>
          </w:p>
        </w:tc>
        <w:tc>
          <w:tcPr>
            <w:tcW w:w="0" w:type="auto"/>
            <w:hideMark/>
          </w:tcPr>
          <w:p w14:paraId="18E5F991"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ф. № 1, р. 1495</w:t>
            </w:r>
          </w:p>
        </w:tc>
        <w:tc>
          <w:tcPr>
            <w:tcW w:w="0" w:type="auto"/>
            <w:hideMark/>
          </w:tcPr>
          <w:p w14:paraId="49A3F73B"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23 503 593</w:t>
            </w:r>
          </w:p>
        </w:tc>
        <w:tc>
          <w:tcPr>
            <w:tcW w:w="0" w:type="auto"/>
            <w:hideMark/>
          </w:tcPr>
          <w:p w14:paraId="32507E2E"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тис. грн</w:t>
            </w:r>
          </w:p>
        </w:tc>
        <w:tc>
          <w:tcPr>
            <w:tcW w:w="0" w:type="auto"/>
            <w:hideMark/>
          </w:tcPr>
          <w:p w14:paraId="55058C31"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Базова величина власного капіталу та забезпечення автономії бізнесу.</w:t>
            </w:r>
          </w:p>
        </w:tc>
      </w:tr>
      <w:tr w:rsidR="000F3938" w:rsidRPr="000F3938" w14:paraId="5CF56292" w14:textId="77777777" w:rsidTr="000F3938">
        <w:tc>
          <w:tcPr>
            <w:tcW w:w="0" w:type="auto"/>
            <w:hideMark/>
          </w:tcPr>
          <w:p w14:paraId="4046E96E"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Позиковий капітал</w:t>
            </w:r>
          </w:p>
        </w:tc>
        <w:tc>
          <w:tcPr>
            <w:tcW w:w="0" w:type="auto"/>
            <w:hideMark/>
          </w:tcPr>
          <w:p w14:paraId="7B75EF08" w14:textId="3E433062"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ЗК</w:t>
            </w:r>
          </w:p>
        </w:tc>
        <w:tc>
          <w:tcPr>
            <w:tcW w:w="0" w:type="auto"/>
            <w:hideMark/>
          </w:tcPr>
          <w:p w14:paraId="76601072"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ф. № 1, р. 1595 + р. 1695</w:t>
            </w:r>
          </w:p>
        </w:tc>
        <w:tc>
          <w:tcPr>
            <w:tcW w:w="0" w:type="auto"/>
            <w:hideMark/>
          </w:tcPr>
          <w:p w14:paraId="5E63E012"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35 558 638</w:t>
            </w:r>
          </w:p>
        </w:tc>
        <w:tc>
          <w:tcPr>
            <w:tcW w:w="0" w:type="auto"/>
            <w:hideMark/>
          </w:tcPr>
          <w:p w14:paraId="3897F9B7"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тис. грн</w:t>
            </w:r>
          </w:p>
        </w:tc>
        <w:tc>
          <w:tcPr>
            <w:tcW w:w="0" w:type="auto"/>
            <w:hideMark/>
          </w:tcPr>
          <w:p w14:paraId="3953BFE4" w14:textId="482959F1"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Сукупні зобов'язання перед кредиторами.</w:t>
            </w:r>
          </w:p>
        </w:tc>
      </w:tr>
      <w:tr w:rsidR="000F3938" w:rsidRPr="000F3938" w14:paraId="6BABEE8D" w14:textId="77777777" w:rsidTr="000F3938">
        <w:tc>
          <w:tcPr>
            <w:tcW w:w="0" w:type="auto"/>
            <w:hideMark/>
          </w:tcPr>
          <w:p w14:paraId="4CD36596"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Коефіцієнт фінансового левериджу (плече левериджу)</w:t>
            </w:r>
          </w:p>
        </w:tc>
        <w:tc>
          <w:tcPr>
            <w:tcW w:w="0" w:type="auto"/>
            <w:hideMark/>
          </w:tcPr>
          <w:p w14:paraId="64ED1092" w14:textId="59B45204"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ЗК / ВК</w:t>
            </w:r>
          </w:p>
        </w:tc>
        <w:tc>
          <w:tcPr>
            <w:tcW w:w="0" w:type="auto"/>
            <w:hideMark/>
          </w:tcPr>
          <w:p w14:paraId="75A18C26" w14:textId="03DD2F3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Розрахунок (35558638 / 23503 593)</w:t>
            </w:r>
          </w:p>
        </w:tc>
        <w:tc>
          <w:tcPr>
            <w:tcW w:w="0" w:type="auto"/>
            <w:hideMark/>
          </w:tcPr>
          <w:p w14:paraId="518A8936"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1,513</w:t>
            </w:r>
          </w:p>
        </w:tc>
        <w:tc>
          <w:tcPr>
            <w:tcW w:w="0" w:type="auto"/>
            <w:hideMark/>
          </w:tcPr>
          <w:p w14:paraId="4ABEBCC0" w14:textId="77777777" w:rsidR="000F3938" w:rsidRPr="000F3938" w:rsidRDefault="000F3938" w:rsidP="000F3938">
            <w:pPr>
              <w:jc w:val="center"/>
              <w:rPr>
                <w:rFonts w:ascii="Times New Roman" w:hAnsi="Times New Roman" w:cs="Times New Roman"/>
                <w:sz w:val="24"/>
                <w:szCs w:val="24"/>
              </w:rPr>
            </w:pPr>
            <w:proofErr w:type="spellStart"/>
            <w:r w:rsidRPr="000F3938">
              <w:rPr>
                <w:rFonts w:ascii="Times New Roman" w:hAnsi="Times New Roman" w:cs="Times New Roman"/>
                <w:sz w:val="24"/>
                <w:szCs w:val="24"/>
              </w:rPr>
              <w:t>коєф</w:t>
            </w:r>
            <w:proofErr w:type="spellEnd"/>
            <w:r w:rsidRPr="000F3938">
              <w:rPr>
                <w:rFonts w:ascii="Times New Roman" w:hAnsi="Times New Roman" w:cs="Times New Roman"/>
                <w:sz w:val="24"/>
                <w:szCs w:val="24"/>
              </w:rPr>
              <w:t>.</w:t>
            </w:r>
          </w:p>
        </w:tc>
        <w:tc>
          <w:tcPr>
            <w:tcW w:w="0" w:type="auto"/>
            <w:hideMark/>
          </w:tcPr>
          <w:p w14:paraId="125BED51"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 xml:space="preserve">Критичне перевищення: на 1 грн власних коштів припадає 1,51 грн боргу. Високий ризик фінансового </w:t>
            </w:r>
            <w:proofErr w:type="spellStart"/>
            <w:r w:rsidRPr="000F3938">
              <w:rPr>
                <w:rFonts w:ascii="Times New Roman" w:hAnsi="Times New Roman" w:cs="Times New Roman"/>
                <w:sz w:val="24"/>
                <w:szCs w:val="24"/>
              </w:rPr>
              <w:t>дистресу</w:t>
            </w:r>
            <w:proofErr w:type="spellEnd"/>
            <w:r w:rsidRPr="000F3938">
              <w:rPr>
                <w:rFonts w:ascii="Times New Roman" w:hAnsi="Times New Roman" w:cs="Times New Roman"/>
                <w:sz w:val="24"/>
                <w:szCs w:val="24"/>
              </w:rPr>
              <w:t>.</w:t>
            </w:r>
          </w:p>
        </w:tc>
      </w:tr>
      <w:tr w:rsidR="000F3938" w:rsidRPr="000F3938" w14:paraId="6978FBD0" w14:textId="77777777" w:rsidTr="000F3938">
        <w:tc>
          <w:tcPr>
            <w:tcW w:w="0" w:type="auto"/>
            <w:hideMark/>
          </w:tcPr>
          <w:p w14:paraId="3DEB84EB"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Рентабельність активів</w:t>
            </w:r>
          </w:p>
        </w:tc>
        <w:tc>
          <w:tcPr>
            <w:tcW w:w="0" w:type="auto"/>
            <w:hideMark/>
          </w:tcPr>
          <w:p w14:paraId="0F570237" w14:textId="2CF7233A"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ROA</w:t>
            </w:r>
          </w:p>
        </w:tc>
        <w:tc>
          <w:tcPr>
            <w:tcW w:w="0" w:type="auto"/>
            <w:hideMark/>
          </w:tcPr>
          <w:p w14:paraId="17FCBF77"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ф. № 2, р. 2350 / ф. № 1, р. 1300</w:t>
            </w:r>
          </w:p>
        </w:tc>
        <w:tc>
          <w:tcPr>
            <w:tcW w:w="0" w:type="auto"/>
            <w:hideMark/>
          </w:tcPr>
          <w:p w14:paraId="5649F6A5"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0,48%</w:t>
            </w:r>
          </w:p>
        </w:tc>
        <w:tc>
          <w:tcPr>
            <w:tcW w:w="0" w:type="auto"/>
            <w:hideMark/>
          </w:tcPr>
          <w:p w14:paraId="6E87FD8B"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w:t>
            </w:r>
          </w:p>
        </w:tc>
        <w:tc>
          <w:tcPr>
            <w:tcW w:w="0" w:type="auto"/>
            <w:hideMark/>
          </w:tcPr>
          <w:p w14:paraId="7216A305"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 xml:space="preserve">Обвал ефективності: підприємство генерує лише 0,48 коп. чистого прибутку з кожної </w:t>
            </w:r>
            <w:r w:rsidRPr="000F3938">
              <w:rPr>
                <w:rFonts w:ascii="Times New Roman" w:hAnsi="Times New Roman" w:cs="Times New Roman"/>
                <w:sz w:val="24"/>
                <w:szCs w:val="24"/>
              </w:rPr>
              <w:lastRenderedPageBreak/>
              <w:t>гривні, вкладеної в активи.</w:t>
            </w:r>
          </w:p>
        </w:tc>
      </w:tr>
      <w:tr w:rsidR="000F3938" w:rsidRPr="000F3938" w14:paraId="552C9103" w14:textId="77777777" w:rsidTr="000F3938">
        <w:tc>
          <w:tcPr>
            <w:tcW w:w="0" w:type="auto"/>
            <w:hideMark/>
          </w:tcPr>
          <w:p w14:paraId="61614449"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lastRenderedPageBreak/>
              <w:t>Середня ринкова ставка за кредитами</w:t>
            </w:r>
          </w:p>
        </w:tc>
        <w:tc>
          <w:tcPr>
            <w:tcW w:w="0" w:type="auto"/>
            <w:hideMark/>
          </w:tcPr>
          <w:p w14:paraId="6B8589AC" w14:textId="0340E641"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IR</w:t>
            </w:r>
          </w:p>
        </w:tc>
        <w:tc>
          <w:tcPr>
            <w:tcW w:w="0" w:type="auto"/>
            <w:hideMark/>
          </w:tcPr>
          <w:p w14:paraId="7CFF6D90"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Кредитні договори / Середня по ринку</w:t>
            </w:r>
          </w:p>
        </w:tc>
        <w:tc>
          <w:tcPr>
            <w:tcW w:w="0" w:type="auto"/>
            <w:hideMark/>
          </w:tcPr>
          <w:p w14:paraId="6E1B24AC"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16,5%</w:t>
            </w:r>
          </w:p>
        </w:tc>
        <w:tc>
          <w:tcPr>
            <w:tcW w:w="0" w:type="auto"/>
            <w:hideMark/>
          </w:tcPr>
          <w:p w14:paraId="225AC1F6"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w:t>
            </w:r>
          </w:p>
        </w:tc>
        <w:tc>
          <w:tcPr>
            <w:tcW w:w="0" w:type="auto"/>
            <w:hideMark/>
          </w:tcPr>
          <w:p w14:paraId="0ECFCE5D"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Вартість обслуговування залученого капіталу (ціна позикових коштів).</w:t>
            </w:r>
          </w:p>
        </w:tc>
      </w:tr>
      <w:tr w:rsidR="000F3938" w:rsidRPr="000F3938" w14:paraId="5EEAEDAD" w14:textId="77777777" w:rsidTr="000F3938">
        <w:tc>
          <w:tcPr>
            <w:tcW w:w="0" w:type="auto"/>
            <w:hideMark/>
          </w:tcPr>
          <w:p w14:paraId="29C40804" w14:textId="77777777" w:rsidR="000F3938" w:rsidRPr="000F3938" w:rsidRDefault="000F3938" w:rsidP="00C871DF">
            <w:pPr>
              <w:rPr>
                <w:rFonts w:ascii="Times New Roman" w:hAnsi="Times New Roman" w:cs="Times New Roman"/>
                <w:sz w:val="24"/>
                <w:szCs w:val="24"/>
              </w:rPr>
            </w:pPr>
            <w:r w:rsidRPr="000F3938">
              <w:rPr>
                <w:rFonts w:ascii="Times New Roman" w:hAnsi="Times New Roman" w:cs="Times New Roman"/>
                <w:sz w:val="24"/>
                <w:szCs w:val="24"/>
              </w:rPr>
              <w:t>Диференціал фінансового левериджу</w:t>
            </w:r>
          </w:p>
        </w:tc>
        <w:tc>
          <w:tcPr>
            <w:tcW w:w="0" w:type="auto"/>
            <w:hideMark/>
          </w:tcPr>
          <w:p w14:paraId="607458D1" w14:textId="573338E0"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ROA - IR</w:t>
            </w:r>
          </w:p>
        </w:tc>
        <w:tc>
          <w:tcPr>
            <w:tcW w:w="0" w:type="auto"/>
            <w:hideMark/>
          </w:tcPr>
          <w:p w14:paraId="6A80422F" w14:textId="10E9E4FB"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Розрахунок (0,48% - 16,5%)</w:t>
            </w:r>
          </w:p>
        </w:tc>
        <w:tc>
          <w:tcPr>
            <w:tcW w:w="0" w:type="auto"/>
            <w:hideMark/>
          </w:tcPr>
          <w:p w14:paraId="5577F35E"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-16,02%</w:t>
            </w:r>
          </w:p>
        </w:tc>
        <w:tc>
          <w:tcPr>
            <w:tcW w:w="0" w:type="auto"/>
            <w:hideMark/>
          </w:tcPr>
          <w:p w14:paraId="75C0455F"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w:t>
            </w:r>
          </w:p>
        </w:tc>
        <w:tc>
          <w:tcPr>
            <w:tcW w:w="0" w:type="auto"/>
            <w:hideMark/>
          </w:tcPr>
          <w:p w14:paraId="6C3240C0" w14:textId="77777777" w:rsidR="000F3938" w:rsidRPr="000F3938" w:rsidRDefault="000F3938" w:rsidP="00C871DF">
            <w:pPr>
              <w:rPr>
                <w:rFonts w:ascii="Times New Roman" w:hAnsi="Times New Roman" w:cs="Times New Roman"/>
                <w:sz w:val="24"/>
                <w:szCs w:val="24"/>
              </w:rPr>
            </w:pPr>
            <w:r w:rsidRPr="000F3938">
              <w:rPr>
                <w:rFonts w:ascii="Times New Roman" w:hAnsi="Times New Roman" w:cs="Times New Roman"/>
                <w:sz w:val="24"/>
                <w:szCs w:val="24"/>
              </w:rPr>
              <w:t xml:space="preserve">Глибоко від'ємний: вартість боргів </w:t>
            </w:r>
            <w:proofErr w:type="spellStart"/>
            <w:r w:rsidRPr="000F3938">
              <w:rPr>
                <w:rFonts w:ascii="Times New Roman" w:hAnsi="Times New Roman" w:cs="Times New Roman"/>
                <w:sz w:val="24"/>
                <w:szCs w:val="24"/>
              </w:rPr>
              <w:t>капітально</w:t>
            </w:r>
            <w:proofErr w:type="spellEnd"/>
            <w:r w:rsidRPr="000F3938">
              <w:rPr>
                <w:rFonts w:ascii="Times New Roman" w:hAnsi="Times New Roman" w:cs="Times New Roman"/>
                <w:sz w:val="24"/>
                <w:szCs w:val="24"/>
              </w:rPr>
              <w:t xml:space="preserve"> вища за віддачу від активів. Позиковий капітал руйнує власний.</w:t>
            </w:r>
          </w:p>
        </w:tc>
      </w:tr>
    </w:tbl>
    <w:p w14:paraId="48B80867" w14:textId="77777777" w:rsidR="000F3938" w:rsidRPr="000F3938" w:rsidRDefault="000F3938" w:rsidP="000F3938">
      <w:pPr>
        <w:spacing w:after="0" w:line="360" w:lineRule="auto"/>
        <w:jc w:val="center"/>
        <w:rPr>
          <w:rFonts w:ascii="Times New Roman" w:hAnsi="Times New Roman" w:cs="Times New Roman"/>
          <w:sz w:val="28"/>
          <w:szCs w:val="28"/>
        </w:rPr>
      </w:pPr>
    </w:p>
    <w:p w14:paraId="12369896" w14:textId="500E1ADC" w:rsidR="000F3938" w:rsidRPr="000F3938" w:rsidRDefault="000F3938" w:rsidP="000F3938">
      <w:pPr>
        <w:spacing w:after="0" w:line="360" w:lineRule="auto"/>
        <w:ind w:firstLine="708"/>
        <w:jc w:val="both"/>
        <w:rPr>
          <w:rFonts w:ascii="Times New Roman" w:hAnsi="Times New Roman" w:cs="Times New Roman"/>
          <w:sz w:val="28"/>
          <w:szCs w:val="28"/>
        </w:rPr>
      </w:pPr>
      <w:r w:rsidRPr="000F3938">
        <w:rPr>
          <w:rFonts w:ascii="Times New Roman" w:hAnsi="Times New Roman" w:cs="Times New Roman"/>
          <w:sz w:val="28"/>
          <w:szCs w:val="28"/>
        </w:rPr>
        <w:t>Побудуємо матрицю оптимізації структури капіталу підприємства (</w:t>
      </w:r>
      <w:r w:rsidR="00C871DF">
        <w:rPr>
          <w:rFonts w:ascii="Times New Roman" w:hAnsi="Times New Roman" w:cs="Times New Roman"/>
          <w:sz w:val="28"/>
          <w:szCs w:val="28"/>
        </w:rPr>
        <w:t>т</w:t>
      </w:r>
      <w:r w:rsidRPr="000F3938">
        <w:rPr>
          <w:rFonts w:ascii="Times New Roman" w:hAnsi="Times New Roman" w:cs="Times New Roman"/>
          <w:sz w:val="28"/>
          <w:szCs w:val="28"/>
        </w:rPr>
        <w:t>абл</w:t>
      </w:r>
      <w:r w:rsidR="00C871DF">
        <w:rPr>
          <w:rFonts w:ascii="Times New Roman" w:hAnsi="Times New Roman" w:cs="Times New Roman"/>
          <w:sz w:val="28"/>
          <w:szCs w:val="28"/>
        </w:rPr>
        <w:t>.</w:t>
      </w:r>
      <w:r w:rsidRPr="000F3938">
        <w:rPr>
          <w:rFonts w:ascii="Times New Roman" w:hAnsi="Times New Roman" w:cs="Times New Roman"/>
          <w:sz w:val="28"/>
          <w:szCs w:val="28"/>
        </w:rPr>
        <w:t xml:space="preserve"> </w:t>
      </w:r>
      <w:r w:rsidR="00C871DF">
        <w:rPr>
          <w:rFonts w:ascii="Times New Roman" w:hAnsi="Times New Roman" w:cs="Times New Roman"/>
          <w:sz w:val="28"/>
          <w:szCs w:val="28"/>
        </w:rPr>
        <w:t>3.2</w:t>
      </w:r>
      <w:r w:rsidRPr="000F3938">
        <w:rPr>
          <w:rFonts w:ascii="Times New Roman" w:hAnsi="Times New Roman" w:cs="Times New Roman"/>
          <w:sz w:val="28"/>
          <w:szCs w:val="28"/>
        </w:rPr>
        <w:t>), порівнюючи фактичний стан (Сценарій А) із двома прогнозними стратегічними сценаріями: Сценарієм Б (помірна реструктуризація) та Сценарієм В (цільова диверсифікація джерел фінансування)</w:t>
      </w:r>
      <w:r w:rsidR="009B0D73">
        <w:rPr>
          <w:rFonts w:ascii="Times New Roman" w:hAnsi="Times New Roman" w:cs="Times New Roman"/>
          <w:sz w:val="28"/>
          <w:szCs w:val="28"/>
        </w:rPr>
        <w:t xml:space="preserve"> (табл. 3.2, рис. 3.1)</w:t>
      </w:r>
      <w:r w:rsidRPr="000F3938">
        <w:rPr>
          <w:rFonts w:ascii="Times New Roman" w:hAnsi="Times New Roman" w:cs="Times New Roman"/>
          <w:sz w:val="28"/>
          <w:szCs w:val="28"/>
        </w:rPr>
        <w:t>.</w:t>
      </w:r>
    </w:p>
    <w:p w14:paraId="5013FBE2" w14:textId="77777777" w:rsidR="000F3938" w:rsidRPr="000F3938" w:rsidRDefault="000F3938" w:rsidP="000F3938">
      <w:pPr>
        <w:spacing w:after="0" w:line="360" w:lineRule="auto"/>
        <w:jc w:val="right"/>
        <w:rPr>
          <w:rFonts w:ascii="Times New Roman" w:hAnsi="Times New Roman" w:cs="Times New Roman"/>
          <w:sz w:val="28"/>
          <w:szCs w:val="28"/>
        </w:rPr>
      </w:pPr>
      <w:r w:rsidRPr="000F3938">
        <w:rPr>
          <w:rFonts w:ascii="Times New Roman" w:hAnsi="Times New Roman" w:cs="Times New Roman"/>
          <w:sz w:val="28"/>
          <w:szCs w:val="28"/>
        </w:rPr>
        <w:t xml:space="preserve">Таблиця 3.2 </w:t>
      </w:r>
    </w:p>
    <w:p w14:paraId="5388607F" w14:textId="6F3CEA26" w:rsidR="000F3938" w:rsidRPr="000F3938" w:rsidRDefault="000F3938" w:rsidP="000F3938">
      <w:pPr>
        <w:spacing w:after="0" w:line="360" w:lineRule="auto"/>
        <w:jc w:val="both"/>
        <w:rPr>
          <w:rFonts w:ascii="Times New Roman" w:hAnsi="Times New Roman" w:cs="Times New Roman"/>
          <w:sz w:val="28"/>
          <w:szCs w:val="28"/>
        </w:rPr>
      </w:pPr>
      <w:r w:rsidRPr="000F3938">
        <w:rPr>
          <w:rFonts w:ascii="Times New Roman" w:hAnsi="Times New Roman" w:cs="Times New Roman"/>
          <w:sz w:val="28"/>
          <w:szCs w:val="28"/>
        </w:rPr>
        <w:t>Сценарне моделювання оптимізації структури капіталу ТОВ «КЕРНЕЛ-ТРЕЙД»</w:t>
      </w:r>
    </w:p>
    <w:tbl>
      <w:tblPr>
        <w:tblStyle w:val="af0"/>
        <w:tblW w:w="0" w:type="auto"/>
        <w:tblLook w:val="04A0" w:firstRow="1" w:lastRow="0" w:firstColumn="1" w:lastColumn="0" w:noHBand="0" w:noVBand="1"/>
      </w:tblPr>
      <w:tblGrid>
        <w:gridCol w:w="1980"/>
        <w:gridCol w:w="1510"/>
        <w:gridCol w:w="2136"/>
        <w:gridCol w:w="1944"/>
        <w:gridCol w:w="2057"/>
      </w:tblGrid>
      <w:tr w:rsidR="000F3938" w:rsidRPr="000F3938" w14:paraId="27EBB231" w14:textId="77777777" w:rsidTr="00584D5C">
        <w:tc>
          <w:tcPr>
            <w:tcW w:w="1980" w:type="dxa"/>
            <w:hideMark/>
          </w:tcPr>
          <w:p w14:paraId="31EAD635"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Показники фінансового моделювання</w:t>
            </w:r>
          </w:p>
        </w:tc>
        <w:tc>
          <w:tcPr>
            <w:tcW w:w="1510" w:type="dxa"/>
            <w:hideMark/>
          </w:tcPr>
          <w:p w14:paraId="19288294"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Сценарій А (Фактичний стан 2025 р.)</w:t>
            </w:r>
          </w:p>
        </w:tc>
        <w:tc>
          <w:tcPr>
            <w:tcW w:w="0" w:type="auto"/>
            <w:hideMark/>
          </w:tcPr>
          <w:p w14:paraId="42261AA4"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Сценарій Б (Часткова реструктуризація боргу)</w:t>
            </w:r>
          </w:p>
        </w:tc>
        <w:tc>
          <w:tcPr>
            <w:tcW w:w="0" w:type="auto"/>
            <w:hideMark/>
          </w:tcPr>
          <w:p w14:paraId="4AD8EC3B"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Сценарій В (Цільова диверсифікація та лізинг)</w:t>
            </w:r>
          </w:p>
        </w:tc>
        <w:tc>
          <w:tcPr>
            <w:tcW w:w="0" w:type="auto"/>
            <w:hideMark/>
          </w:tcPr>
          <w:p w14:paraId="7EEB676D"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Напрям оптимізаційного ефекту</w:t>
            </w:r>
          </w:p>
        </w:tc>
      </w:tr>
      <w:tr w:rsidR="000F3938" w:rsidRPr="000F3938" w14:paraId="64320E25" w14:textId="77777777" w:rsidTr="00584D5C">
        <w:tc>
          <w:tcPr>
            <w:tcW w:w="1980" w:type="dxa"/>
            <w:hideMark/>
          </w:tcPr>
          <w:p w14:paraId="181FC35E"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Власний капітал (ВК), тис. грн</w:t>
            </w:r>
          </w:p>
        </w:tc>
        <w:tc>
          <w:tcPr>
            <w:tcW w:w="1510" w:type="dxa"/>
            <w:hideMark/>
          </w:tcPr>
          <w:p w14:paraId="15969E28"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23 503 593</w:t>
            </w:r>
          </w:p>
        </w:tc>
        <w:tc>
          <w:tcPr>
            <w:tcW w:w="0" w:type="auto"/>
            <w:hideMark/>
          </w:tcPr>
          <w:p w14:paraId="4E3E1010"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25 503 593</w:t>
            </w:r>
          </w:p>
        </w:tc>
        <w:tc>
          <w:tcPr>
            <w:tcW w:w="0" w:type="auto"/>
            <w:hideMark/>
          </w:tcPr>
          <w:p w14:paraId="3DFB241B"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28 503 593</w:t>
            </w:r>
          </w:p>
        </w:tc>
        <w:tc>
          <w:tcPr>
            <w:tcW w:w="0" w:type="auto"/>
            <w:hideMark/>
          </w:tcPr>
          <w:p w14:paraId="66A50808"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Нарощування через капіталізацію прибутку</w:t>
            </w:r>
          </w:p>
        </w:tc>
      </w:tr>
      <w:tr w:rsidR="000F3938" w:rsidRPr="000F3938" w14:paraId="63449342" w14:textId="77777777" w:rsidTr="00584D5C">
        <w:tc>
          <w:tcPr>
            <w:tcW w:w="1980" w:type="dxa"/>
            <w:hideMark/>
          </w:tcPr>
          <w:p w14:paraId="6F558937"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Позиковий капітал (ЗК), тис. грн</w:t>
            </w:r>
          </w:p>
        </w:tc>
        <w:tc>
          <w:tcPr>
            <w:tcW w:w="1510" w:type="dxa"/>
            <w:hideMark/>
          </w:tcPr>
          <w:p w14:paraId="3F7DF2C6"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35 558 638</w:t>
            </w:r>
          </w:p>
        </w:tc>
        <w:tc>
          <w:tcPr>
            <w:tcW w:w="0" w:type="auto"/>
            <w:hideMark/>
          </w:tcPr>
          <w:p w14:paraId="5DD77011"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33 558 638</w:t>
            </w:r>
          </w:p>
        </w:tc>
        <w:tc>
          <w:tcPr>
            <w:tcW w:w="0" w:type="auto"/>
            <w:hideMark/>
          </w:tcPr>
          <w:p w14:paraId="2CF329B9"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30 558 638</w:t>
            </w:r>
          </w:p>
        </w:tc>
        <w:tc>
          <w:tcPr>
            <w:tcW w:w="0" w:type="auto"/>
            <w:hideMark/>
          </w:tcPr>
          <w:p w14:paraId="0794671E"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Оптимізація та зниження боргового пресу</w:t>
            </w:r>
          </w:p>
        </w:tc>
      </w:tr>
      <w:tr w:rsidR="000F3938" w:rsidRPr="000F3938" w14:paraId="785311C4" w14:textId="77777777" w:rsidTr="00584D5C">
        <w:tc>
          <w:tcPr>
            <w:tcW w:w="1980" w:type="dxa"/>
            <w:hideMark/>
          </w:tcPr>
          <w:p w14:paraId="58D22F01" w14:textId="77777777"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Коефіцієнт фінансового левериджу (ЗК/ВК)</w:t>
            </w:r>
          </w:p>
        </w:tc>
        <w:tc>
          <w:tcPr>
            <w:tcW w:w="1510" w:type="dxa"/>
            <w:hideMark/>
          </w:tcPr>
          <w:p w14:paraId="12622603"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1,513</w:t>
            </w:r>
          </w:p>
        </w:tc>
        <w:tc>
          <w:tcPr>
            <w:tcW w:w="0" w:type="auto"/>
            <w:hideMark/>
          </w:tcPr>
          <w:p w14:paraId="5A59031A"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1,316</w:t>
            </w:r>
          </w:p>
        </w:tc>
        <w:tc>
          <w:tcPr>
            <w:tcW w:w="0" w:type="auto"/>
            <w:hideMark/>
          </w:tcPr>
          <w:p w14:paraId="23D8D743"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1,072</w:t>
            </w:r>
          </w:p>
        </w:tc>
        <w:tc>
          <w:tcPr>
            <w:tcW w:w="0" w:type="auto"/>
            <w:hideMark/>
          </w:tcPr>
          <w:p w14:paraId="50C6DE82" w14:textId="5D99BA9A"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Зниження ризику фінансово</w:t>
            </w:r>
            <w:r w:rsidR="00584D5C">
              <w:rPr>
                <w:rFonts w:ascii="Times New Roman" w:hAnsi="Times New Roman" w:cs="Times New Roman"/>
                <w:sz w:val="24"/>
                <w:szCs w:val="24"/>
              </w:rPr>
              <w:t xml:space="preserve">ї </w:t>
            </w:r>
            <w:r w:rsidR="00584D5C" w:rsidRPr="00584D5C">
              <w:rPr>
                <w:rFonts w:ascii="Times New Roman" w:hAnsi="Times New Roman" w:cs="Times New Roman"/>
                <w:sz w:val="24"/>
                <w:szCs w:val="24"/>
              </w:rPr>
              <w:t>дестабілізації</w:t>
            </w:r>
          </w:p>
        </w:tc>
      </w:tr>
      <w:tr w:rsidR="000F3938" w:rsidRPr="000F3938" w14:paraId="07F0A314" w14:textId="77777777" w:rsidTr="00584D5C">
        <w:tc>
          <w:tcPr>
            <w:tcW w:w="1980" w:type="dxa"/>
            <w:hideMark/>
          </w:tcPr>
          <w:p w14:paraId="25DD85AA" w14:textId="3251AC90"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Середня вартість позик (IR), %</w:t>
            </w:r>
          </w:p>
        </w:tc>
        <w:tc>
          <w:tcPr>
            <w:tcW w:w="1510" w:type="dxa"/>
            <w:hideMark/>
          </w:tcPr>
          <w:p w14:paraId="3E5D8F2B"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16,5%</w:t>
            </w:r>
          </w:p>
        </w:tc>
        <w:tc>
          <w:tcPr>
            <w:tcW w:w="0" w:type="auto"/>
            <w:hideMark/>
          </w:tcPr>
          <w:p w14:paraId="264A383E"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14,0%</w:t>
            </w:r>
          </w:p>
        </w:tc>
        <w:tc>
          <w:tcPr>
            <w:tcW w:w="0" w:type="auto"/>
            <w:hideMark/>
          </w:tcPr>
          <w:p w14:paraId="085C7147"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11,5%</w:t>
            </w:r>
          </w:p>
        </w:tc>
        <w:tc>
          <w:tcPr>
            <w:tcW w:w="0" w:type="auto"/>
            <w:hideMark/>
          </w:tcPr>
          <w:p w14:paraId="5D726099"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Зниження ціни капіталу через держпрограми</w:t>
            </w:r>
          </w:p>
        </w:tc>
      </w:tr>
      <w:tr w:rsidR="000F3938" w:rsidRPr="000F3938" w14:paraId="22C398D6" w14:textId="77777777" w:rsidTr="00584D5C">
        <w:tc>
          <w:tcPr>
            <w:tcW w:w="1980" w:type="dxa"/>
            <w:hideMark/>
          </w:tcPr>
          <w:p w14:paraId="35ACF368" w14:textId="344F93FD"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Прогнозована рентабельність активів (ROA), %</w:t>
            </w:r>
          </w:p>
        </w:tc>
        <w:tc>
          <w:tcPr>
            <w:tcW w:w="1510" w:type="dxa"/>
            <w:hideMark/>
          </w:tcPr>
          <w:p w14:paraId="4702BF03"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0,48%</w:t>
            </w:r>
          </w:p>
        </w:tc>
        <w:tc>
          <w:tcPr>
            <w:tcW w:w="0" w:type="auto"/>
            <w:hideMark/>
          </w:tcPr>
          <w:p w14:paraId="4F66B4F3"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8,50%</w:t>
            </w:r>
          </w:p>
        </w:tc>
        <w:tc>
          <w:tcPr>
            <w:tcW w:w="0" w:type="auto"/>
            <w:hideMark/>
          </w:tcPr>
          <w:p w14:paraId="3238A678"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14,20%</w:t>
            </w:r>
          </w:p>
        </w:tc>
        <w:tc>
          <w:tcPr>
            <w:tcW w:w="0" w:type="auto"/>
            <w:hideMark/>
          </w:tcPr>
          <w:p w14:paraId="42571B6A"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Зростання віддачі фондів після модернізації</w:t>
            </w:r>
          </w:p>
        </w:tc>
      </w:tr>
      <w:tr w:rsidR="000F3938" w:rsidRPr="000F3938" w14:paraId="4DF80FBD" w14:textId="77777777" w:rsidTr="00584D5C">
        <w:tc>
          <w:tcPr>
            <w:tcW w:w="1980" w:type="dxa"/>
            <w:hideMark/>
          </w:tcPr>
          <w:p w14:paraId="44CB0FBA" w14:textId="0326A098"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Диференціал левериджу (ROA - IR), %</w:t>
            </w:r>
          </w:p>
        </w:tc>
        <w:tc>
          <w:tcPr>
            <w:tcW w:w="1510" w:type="dxa"/>
            <w:hideMark/>
          </w:tcPr>
          <w:p w14:paraId="3D271F13"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-16,02%</w:t>
            </w:r>
          </w:p>
        </w:tc>
        <w:tc>
          <w:tcPr>
            <w:tcW w:w="0" w:type="auto"/>
            <w:hideMark/>
          </w:tcPr>
          <w:p w14:paraId="20DFE0D7"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-5,50%</w:t>
            </w:r>
          </w:p>
        </w:tc>
        <w:tc>
          <w:tcPr>
            <w:tcW w:w="0" w:type="auto"/>
            <w:hideMark/>
          </w:tcPr>
          <w:p w14:paraId="47C14FC7"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+2,70%</w:t>
            </w:r>
          </w:p>
        </w:tc>
        <w:tc>
          <w:tcPr>
            <w:tcW w:w="0" w:type="auto"/>
            <w:hideMark/>
          </w:tcPr>
          <w:p w14:paraId="5E1E5D8F"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Перехід у позитивну зону ефективності</w:t>
            </w:r>
          </w:p>
        </w:tc>
      </w:tr>
      <w:tr w:rsidR="000F3938" w:rsidRPr="000F3938" w14:paraId="4C8049CF" w14:textId="77777777" w:rsidTr="00584D5C">
        <w:tc>
          <w:tcPr>
            <w:tcW w:w="1980" w:type="dxa"/>
            <w:hideMark/>
          </w:tcPr>
          <w:p w14:paraId="4080A8DE" w14:textId="19A2E471"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lastRenderedPageBreak/>
              <w:t>Ефект фінансового левериджу (EFL), %</w:t>
            </w:r>
          </w:p>
        </w:tc>
        <w:tc>
          <w:tcPr>
            <w:tcW w:w="1510" w:type="dxa"/>
            <w:hideMark/>
          </w:tcPr>
          <w:p w14:paraId="22DB1302"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-19,88%</w:t>
            </w:r>
          </w:p>
        </w:tc>
        <w:tc>
          <w:tcPr>
            <w:tcW w:w="0" w:type="auto"/>
            <w:hideMark/>
          </w:tcPr>
          <w:p w14:paraId="4974FCB5"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-5,94%</w:t>
            </w:r>
          </w:p>
        </w:tc>
        <w:tc>
          <w:tcPr>
            <w:tcW w:w="0" w:type="auto"/>
            <w:hideMark/>
          </w:tcPr>
          <w:p w14:paraId="280F8273"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+2,37%</w:t>
            </w:r>
          </w:p>
        </w:tc>
        <w:tc>
          <w:tcPr>
            <w:tcW w:w="0" w:type="auto"/>
            <w:hideMark/>
          </w:tcPr>
          <w:p w14:paraId="760C2F52" w14:textId="77777777"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Трансформація з деструктивного в прибутковій</w:t>
            </w:r>
          </w:p>
        </w:tc>
      </w:tr>
      <w:tr w:rsidR="000F3938" w:rsidRPr="000F3938" w14:paraId="621F38D2" w14:textId="77777777" w:rsidTr="00584D5C">
        <w:tc>
          <w:tcPr>
            <w:tcW w:w="1980" w:type="dxa"/>
            <w:hideMark/>
          </w:tcPr>
          <w:p w14:paraId="709C6F20" w14:textId="784D0285" w:rsidR="000F3938" w:rsidRPr="000F3938" w:rsidRDefault="000F3938" w:rsidP="000F3938">
            <w:pPr>
              <w:rPr>
                <w:rFonts w:ascii="Times New Roman" w:hAnsi="Times New Roman" w:cs="Times New Roman"/>
                <w:sz w:val="24"/>
                <w:szCs w:val="24"/>
              </w:rPr>
            </w:pPr>
            <w:r w:rsidRPr="000F3938">
              <w:rPr>
                <w:rFonts w:ascii="Times New Roman" w:hAnsi="Times New Roman" w:cs="Times New Roman"/>
                <w:sz w:val="24"/>
                <w:szCs w:val="24"/>
              </w:rPr>
              <w:t>Коефіцієнт фінансової автономії (ВК / Баланс)</w:t>
            </w:r>
          </w:p>
        </w:tc>
        <w:tc>
          <w:tcPr>
            <w:tcW w:w="1510" w:type="dxa"/>
            <w:hideMark/>
          </w:tcPr>
          <w:p w14:paraId="3C60122A"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0,398</w:t>
            </w:r>
          </w:p>
        </w:tc>
        <w:tc>
          <w:tcPr>
            <w:tcW w:w="0" w:type="auto"/>
            <w:hideMark/>
          </w:tcPr>
          <w:p w14:paraId="4CA5B2B1"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0,432</w:t>
            </w:r>
          </w:p>
        </w:tc>
        <w:tc>
          <w:tcPr>
            <w:tcW w:w="0" w:type="auto"/>
            <w:hideMark/>
          </w:tcPr>
          <w:p w14:paraId="0BC51D8D" w14:textId="77777777" w:rsidR="000F3938" w:rsidRPr="000F3938" w:rsidRDefault="000F3938" w:rsidP="000F3938">
            <w:pPr>
              <w:jc w:val="center"/>
              <w:rPr>
                <w:rFonts w:ascii="Times New Roman" w:hAnsi="Times New Roman" w:cs="Times New Roman"/>
                <w:sz w:val="24"/>
                <w:szCs w:val="24"/>
              </w:rPr>
            </w:pPr>
            <w:r w:rsidRPr="000F3938">
              <w:rPr>
                <w:rFonts w:ascii="Times New Roman" w:hAnsi="Times New Roman" w:cs="Times New Roman"/>
                <w:sz w:val="24"/>
                <w:szCs w:val="24"/>
              </w:rPr>
              <w:t>0,483</w:t>
            </w:r>
          </w:p>
        </w:tc>
        <w:tc>
          <w:tcPr>
            <w:tcW w:w="0" w:type="auto"/>
            <w:hideMark/>
          </w:tcPr>
          <w:p w14:paraId="240B5742" w14:textId="7F96C626" w:rsidR="000F3938" w:rsidRPr="000F3938" w:rsidRDefault="000F3938" w:rsidP="000F3938">
            <w:pPr>
              <w:jc w:val="both"/>
              <w:rPr>
                <w:rFonts w:ascii="Times New Roman" w:hAnsi="Times New Roman" w:cs="Times New Roman"/>
                <w:sz w:val="24"/>
                <w:szCs w:val="24"/>
              </w:rPr>
            </w:pPr>
            <w:r w:rsidRPr="000F3938">
              <w:rPr>
                <w:rFonts w:ascii="Times New Roman" w:hAnsi="Times New Roman" w:cs="Times New Roman"/>
                <w:sz w:val="24"/>
                <w:szCs w:val="24"/>
              </w:rPr>
              <w:t>Наближення до нормативного ліміту (</w:t>
            </w:r>
            <w:hyperlink r:id="rId8" w:anchor="section-4" w:history="1">
              <w:r w:rsidR="00584D5C" w:rsidRPr="00584D5C">
                <w:rPr>
                  <w:rStyle w:val="ae"/>
                  <w:rFonts w:ascii="Times New Roman" w:hAnsi="Times New Roman" w:cs="Times New Roman"/>
                  <w:color w:val="auto"/>
                  <w:sz w:val="24"/>
                  <w:szCs w:val="24"/>
                </w:rPr>
                <w:t>≥</w:t>
              </w:r>
            </w:hyperlink>
            <w:r w:rsidR="00584D5C">
              <w:rPr>
                <w:rFonts w:ascii="Times New Roman" w:hAnsi="Times New Roman" w:cs="Times New Roman"/>
                <w:sz w:val="24"/>
                <w:szCs w:val="24"/>
              </w:rPr>
              <w:t xml:space="preserve"> </w:t>
            </w:r>
            <w:r w:rsidRPr="000F3938">
              <w:rPr>
                <w:rFonts w:ascii="Times New Roman" w:hAnsi="Times New Roman" w:cs="Times New Roman"/>
                <w:sz w:val="24"/>
                <w:szCs w:val="24"/>
              </w:rPr>
              <w:t>0,5)</w:t>
            </w:r>
          </w:p>
        </w:tc>
      </w:tr>
    </w:tbl>
    <w:p w14:paraId="24900EF4" w14:textId="77777777" w:rsidR="00586717" w:rsidRDefault="00586717" w:rsidP="000F3938">
      <w:pPr>
        <w:spacing w:after="0" w:line="360" w:lineRule="auto"/>
        <w:jc w:val="both"/>
        <w:rPr>
          <w:rFonts w:ascii="Times New Roman" w:hAnsi="Times New Roman" w:cs="Times New Roman"/>
          <w:sz w:val="28"/>
          <w:szCs w:val="28"/>
        </w:rPr>
      </w:pPr>
    </w:p>
    <w:p w14:paraId="41A7B16C" w14:textId="04668813" w:rsidR="009B0D73" w:rsidRDefault="009B0D73" w:rsidP="009B0D73">
      <w:pPr>
        <w:spacing w:after="0" w:line="360" w:lineRule="auto"/>
        <w:ind w:right="-2" w:firstLine="708"/>
        <w:jc w:val="both"/>
        <w:rPr>
          <w:rFonts w:ascii="Times New Roman" w:hAnsi="Times New Roman" w:cs="Times New Roman"/>
          <w:sz w:val="28"/>
          <w:szCs w:val="28"/>
        </w:rPr>
      </w:pPr>
    </w:p>
    <w:p w14:paraId="6E7FF6A8" w14:textId="148AC47F" w:rsidR="000F3938" w:rsidRPr="000F3938" w:rsidRDefault="000F3938" w:rsidP="00586717">
      <w:pPr>
        <w:spacing w:after="0" w:line="360" w:lineRule="auto"/>
        <w:ind w:firstLine="708"/>
        <w:jc w:val="both"/>
        <w:rPr>
          <w:rFonts w:ascii="Times New Roman" w:hAnsi="Times New Roman" w:cs="Times New Roman"/>
          <w:sz w:val="28"/>
          <w:szCs w:val="28"/>
        </w:rPr>
      </w:pPr>
      <w:r w:rsidRPr="000F3938">
        <w:rPr>
          <w:rFonts w:ascii="Times New Roman" w:hAnsi="Times New Roman" w:cs="Times New Roman"/>
          <w:sz w:val="28"/>
          <w:szCs w:val="28"/>
        </w:rPr>
        <w:t xml:space="preserve">Розрахунки, наведені в таблиці </w:t>
      </w:r>
      <w:r w:rsidR="00584D5C">
        <w:rPr>
          <w:rFonts w:ascii="Times New Roman" w:hAnsi="Times New Roman" w:cs="Times New Roman"/>
          <w:sz w:val="28"/>
          <w:szCs w:val="28"/>
        </w:rPr>
        <w:t>3.2</w:t>
      </w:r>
      <w:r w:rsidRPr="000F3938">
        <w:rPr>
          <w:rFonts w:ascii="Times New Roman" w:hAnsi="Times New Roman" w:cs="Times New Roman"/>
          <w:sz w:val="28"/>
          <w:szCs w:val="28"/>
        </w:rPr>
        <w:t>, виявляють глибинну причину фінансової деструкції підприємства та вказують шлях виходу з кризи:</w:t>
      </w:r>
    </w:p>
    <w:p w14:paraId="3E26791A" w14:textId="2A8F5315" w:rsidR="000F3938" w:rsidRPr="00586717" w:rsidRDefault="000F3938" w:rsidP="00586717">
      <w:pPr>
        <w:numPr>
          <w:ilvl w:val="0"/>
          <w:numId w:val="30"/>
        </w:numPr>
        <w:tabs>
          <w:tab w:val="clear" w:pos="720"/>
          <w:tab w:val="num" w:pos="426"/>
        </w:tabs>
        <w:spacing w:after="0" w:line="360" w:lineRule="auto"/>
        <w:ind w:left="0" w:firstLine="426"/>
        <w:jc w:val="both"/>
        <w:rPr>
          <w:rFonts w:ascii="Times New Roman" w:hAnsi="Times New Roman" w:cs="Times New Roman"/>
          <w:sz w:val="28"/>
          <w:szCs w:val="28"/>
        </w:rPr>
      </w:pPr>
      <w:r w:rsidRPr="00586717">
        <w:rPr>
          <w:rFonts w:ascii="Times New Roman" w:hAnsi="Times New Roman" w:cs="Times New Roman"/>
          <w:sz w:val="28"/>
          <w:szCs w:val="28"/>
        </w:rPr>
        <w:t>Руйнівний ефект Фактичного Сценарію А. Наприкінці 2025 року диференціал левериджу набув глибоко від'ємного значення: -16,02%. Це пов'язано з тим, що рентабельність активів компанії (0,48%) виявилася в десятки разів нижчою за вартість обслуговування боргів (16,5%). Як наслідок, ефект фінансового левериджу став суворо деструктивним: -19,88%. Кожна гривня позикового капіталу не створювала додану вартість, а «вимивала» власний капітал компанії, руйнуючи її інвестиційну привабливість.</w:t>
      </w:r>
    </w:p>
    <w:p w14:paraId="6500ADD7" w14:textId="50B8F2BB" w:rsidR="000F3938" w:rsidRPr="000F3938" w:rsidRDefault="000F3938" w:rsidP="00586717">
      <w:pPr>
        <w:numPr>
          <w:ilvl w:val="0"/>
          <w:numId w:val="30"/>
        </w:numPr>
        <w:tabs>
          <w:tab w:val="clear" w:pos="720"/>
          <w:tab w:val="num" w:pos="426"/>
        </w:tabs>
        <w:spacing w:after="0" w:line="360" w:lineRule="auto"/>
        <w:ind w:left="0" w:firstLine="426"/>
        <w:jc w:val="both"/>
        <w:rPr>
          <w:rFonts w:ascii="Times New Roman" w:hAnsi="Times New Roman" w:cs="Times New Roman"/>
          <w:sz w:val="28"/>
          <w:szCs w:val="28"/>
        </w:rPr>
      </w:pPr>
      <w:r w:rsidRPr="00586717">
        <w:rPr>
          <w:rFonts w:ascii="Times New Roman" w:hAnsi="Times New Roman" w:cs="Times New Roman"/>
          <w:sz w:val="28"/>
          <w:szCs w:val="28"/>
        </w:rPr>
        <w:t>Перехідний Сценарій Б. Зменшення обсягу короткострокових позик на 2</w:t>
      </w:r>
      <w:r w:rsidRPr="000F3938">
        <w:rPr>
          <w:rFonts w:ascii="Times New Roman" w:hAnsi="Times New Roman" w:cs="Times New Roman"/>
          <w:sz w:val="28"/>
          <w:szCs w:val="28"/>
        </w:rPr>
        <w:t xml:space="preserve"> млрд грн та зниження середньої ставки до 14% (за рахунок реструктуризації) пом'якшує деструктивний ефект (EFL = -5,94%), але не вирішує проблему кардинально, оскільки застаріла технологічна база не дозволяє суттєво підняти ROA.</w:t>
      </w:r>
    </w:p>
    <w:p w14:paraId="6619F150" w14:textId="27EC9715" w:rsidR="000F3938" w:rsidRPr="00586717" w:rsidRDefault="000F3938" w:rsidP="00586717">
      <w:pPr>
        <w:numPr>
          <w:ilvl w:val="0"/>
          <w:numId w:val="30"/>
        </w:numPr>
        <w:tabs>
          <w:tab w:val="clear" w:pos="720"/>
          <w:tab w:val="num" w:pos="426"/>
        </w:tabs>
        <w:spacing w:after="0" w:line="360" w:lineRule="auto"/>
        <w:ind w:left="0" w:firstLine="426"/>
        <w:jc w:val="both"/>
        <w:rPr>
          <w:rFonts w:ascii="Times New Roman" w:hAnsi="Times New Roman" w:cs="Times New Roman"/>
          <w:sz w:val="28"/>
          <w:szCs w:val="28"/>
        </w:rPr>
      </w:pPr>
      <w:r w:rsidRPr="00586717">
        <w:rPr>
          <w:rFonts w:ascii="Times New Roman" w:hAnsi="Times New Roman" w:cs="Times New Roman"/>
          <w:sz w:val="28"/>
          <w:szCs w:val="28"/>
        </w:rPr>
        <w:t>Оптимальний Сценарій В (Стратегічний цільовий орієнтир). За умови реалізації стратегії диверсифікації джерел (впровадження фінансового лізингу, участь у програмах часткової компенсації відсоткових ставок державою та реінвестування прибутку) структура капіталу досягає збалансованого стану. Питома вага власного капіталу зростає, що знижує плече левериджу до 1,072. Завдяки модернізації ОЗ рентабельність активів піднімається до 14,2%, перевищуючи вартість запозичень (11,5%). Диференціал стає позитивним (+2,70%), забезпечуючи приріст рентабельності власного капіталу за рахунок левериджу на +2,37%.</w:t>
      </w:r>
    </w:p>
    <w:p w14:paraId="2A088390" w14:textId="0FB8FF15" w:rsidR="000F3938" w:rsidRPr="000F3938" w:rsidRDefault="000F3938" w:rsidP="00586717">
      <w:pPr>
        <w:spacing w:after="0" w:line="360" w:lineRule="auto"/>
        <w:ind w:firstLine="708"/>
        <w:jc w:val="both"/>
        <w:rPr>
          <w:rFonts w:ascii="Times New Roman" w:hAnsi="Times New Roman" w:cs="Times New Roman"/>
          <w:sz w:val="28"/>
          <w:szCs w:val="28"/>
        </w:rPr>
      </w:pPr>
      <w:r w:rsidRPr="000F3938">
        <w:rPr>
          <w:rFonts w:ascii="Times New Roman" w:hAnsi="Times New Roman" w:cs="Times New Roman"/>
          <w:sz w:val="28"/>
          <w:szCs w:val="28"/>
        </w:rPr>
        <w:lastRenderedPageBreak/>
        <w:t>Для реалізації Сценарію В підприємству необхідно відійти від практики тотальної залежності від поточних банківських овердрафтів і кредитів постачальників та розгорнути багатовекторну систему фінансування відновлення необоротних активів.</w:t>
      </w:r>
      <w:r w:rsidR="00586717">
        <w:rPr>
          <w:rFonts w:ascii="Times New Roman" w:hAnsi="Times New Roman" w:cs="Times New Roman"/>
          <w:sz w:val="28"/>
          <w:szCs w:val="28"/>
        </w:rPr>
        <w:t xml:space="preserve"> </w:t>
      </w:r>
      <w:r w:rsidRPr="000F3938">
        <w:rPr>
          <w:rFonts w:ascii="Times New Roman" w:hAnsi="Times New Roman" w:cs="Times New Roman"/>
          <w:sz w:val="28"/>
          <w:szCs w:val="28"/>
        </w:rPr>
        <w:t>До ключових інструментів диверсифікації джерел в умовах інституційної нестабільності аграрного сектору належать такі:</w:t>
      </w:r>
    </w:p>
    <w:p w14:paraId="18546618" w14:textId="3E60BD51" w:rsidR="000F3938" w:rsidRPr="000F3938" w:rsidRDefault="000F3938" w:rsidP="00586717">
      <w:pPr>
        <w:spacing w:after="0" w:line="360" w:lineRule="auto"/>
        <w:ind w:firstLine="709"/>
        <w:jc w:val="both"/>
        <w:rPr>
          <w:rFonts w:ascii="Times New Roman" w:hAnsi="Times New Roman" w:cs="Times New Roman"/>
          <w:sz w:val="28"/>
          <w:szCs w:val="28"/>
        </w:rPr>
      </w:pPr>
      <w:r w:rsidRPr="00586717">
        <w:rPr>
          <w:rFonts w:ascii="Times New Roman" w:hAnsi="Times New Roman" w:cs="Times New Roman"/>
          <w:sz w:val="28"/>
          <w:szCs w:val="28"/>
        </w:rPr>
        <w:t>1. Оперативний та фінансовий лізинг технологічного обладнання</w:t>
      </w:r>
      <w:r w:rsidR="00586717">
        <w:rPr>
          <w:rFonts w:ascii="Times New Roman" w:hAnsi="Times New Roman" w:cs="Times New Roman"/>
          <w:sz w:val="28"/>
          <w:szCs w:val="28"/>
        </w:rPr>
        <w:t xml:space="preserve">. </w:t>
      </w:r>
      <w:r w:rsidRPr="000F3938">
        <w:rPr>
          <w:rFonts w:ascii="Times New Roman" w:hAnsi="Times New Roman" w:cs="Times New Roman"/>
          <w:sz w:val="28"/>
          <w:szCs w:val="28"/>
        </w:rPr>
        <w:t>Лізинг виступає найефективнішою альтернативою класичному кредитуванню в умовах дефіциту застави. З погляду структури капіталу фінансовий лізинг має суттєву перевагу: предмет лізингу є заставою сам по собі, що не вимагає заморожування інших активів компанії. Більше того, лізингові платежі розподіляються у часі відповідно до сезонних грошових надходжень агропідприємства (акцент на періоди збирання та реалізації врожаю), що знижує ризик касових розривів.</w:t>
      </w:r>
    </w:p>
    <w:p w14:paraId="60C58BB8" w14:textId="78AB7E7A" w:rsidR="000F3938" w:rsidRPr="000F3938" w:rsidRDefault="000F3938" w:rsidP="00586717">
      <w:pPr>
        <w:spacing w:after="0" w:line="360" w:lineRule="auto"/>
        <w:ind w:firstLine="709"/>
        <w:jc w:val="both"/>
        <w:rPr>
          <w:rFonts w:ascii="Times New Roman" w:hAnsi="Times New Roman" w:cs="Times New Roman"/>
          <w:sz w:val="28"/>
          <w:szCs w:val="28"/>
        </w:rPr>
      </w:pPr>
      <w:r w:rsidRPr="00586717">
        <w:rPr>
          <w:rFonts w:ascii="Times New Roman" w:hAnsi="Times New Roman" w:cs="Times New Roman"/>
          <w:sz w:val="28"/>
          <w:szCs w:val="28"/>
        </w:rPr>
        <w:t>2. Використання вексельних розрахунків та аграрних розписок</w:t>
      </w:r>
      <w:r w:rsidR="00586717">
        <w:rPr>
          <w:rFonts w:ascii="Times New Roman" w:hAnsi="Times New Roman" w:cs="Times New Roman"/>
          <w:sz w:val="28"/>
          <w:szCs w:val="28"/>
        </w:rPr>
        <w:t xml:space="preserve">. </w:t>
      </w:r>
      <w:r w:rsidRPr="000F3938">
        <w:rPr>
          <w:rFonts w:ascii="Times New Roman" w:hAnsi="Times New Roman" w:cs="Times New Roman"/>
          <w:sz w:val="28"/>
          <w:szCs w:val="28"/>
        </w:rPr>
        <w:t>Для фінансування оборотного капіталу та вивільнення грошових коштів на капітальні інвестиції доцільно масштабувати застосування товарних аграрних розписок (фінансових та заставних). Це дозволяє залучати матеріально-технічні ресурси (добрива, ЗЗР, пальне) під заставу майбутнього врожаю без нарощування класичної простроченої кредиторської заборгованості, яка псує кредитний рейтинг компанії у звітності [</w:t>
      </w:r>
      <w:r w:rsidR="00166262">
        <w:rPr>
          <w:rFonts w:ascii="Times New Roman" w:hAnsi="Times New Roman" w:cs="Times New Roman"/>
          <w:sz w:val="28"/>
          <w:szCs w:val="28"/>
        </w:rPr>
        <w:t>1</w:t>
      </w:r>
      <w:r w:rsidRPr="000F3938">
        <w:rPr>
          <w:rFonts w:ascii="Times New Roman" w:hAnsi="Times New Roman" w:cs="Times New Roman"/>
          <w:sz w:val="28"/>
          <w:szCs w:val="28"/>
        </w:rPr>
        <w:t xml:space="preserve">4; </w:t>
      </w:r>
      <w:r w:rsidR="00166262">
        <w:rPr>
          <w:rFonts w:ascii="Times New Roman" w:hAnsi="Times New Roman" w:cs="Times New Roman"/>
          <w:sz w:val="28"/>
          <w:szCs w:val="28"/>
        </w:rPr>
        <w:t>24</w:t>
      </w:r>
      <w:r w:rsidRPr="000F3938">
        <w:rPr>
          <w:rFonts w:ascii="Times New Roman" w:hAnsi="Times New Roman" w:cs="Times New Roman"/>
          <w:sz w:val="28"/>
          <w:szCs w:val="28"/>
        </w:rPr>
        <w:t>].</w:t>
      </w:r>
    </w:p>
    <w:p w14:paraId="04298120" w14:textId="2A908018" w:rsidR="000F3938" w:rsidRPr="000F3938" w:rsidRDefault="000F3938" w:rsidP="00586717">
      <w:pPr>
        <w:spacing w:after="0" w:line="360" w:lineRule="auto"/>
        <w:ind w:firstLine="709"/>
        <w:jc w:val="both"/>
        <w:rPr>
          <w:rFonts w:ascii="Times New Roman" w:hAnsi="Times New Roman" w:cs="Times New Roman"/>
          <w:sz w:val="28"/>
          <w:szCs w:val="28"/>
        </w:rPr>
      </w:pPr>
      <w:r w:rsidRPr="00586717">
        <w:rPr>
          <w:rFonts w:ascii="Times New Roman" w:hAnsi="Times New Roman" w:cs="Times New Roman"/>
          <w:sz w:val="28"/>
          <w:szCs w:val="28"/>
        </w:rPr>
        <w:t>3. Залучення державного субсидування та грантових програм</w:t>
      </w:r>
      <w:r w:rsidR="00586717">
        <w:rPr>
          <w:rFonts w:ascii="Times New Roman" w:hAnsi="Times New Roman" w:cs="Times New Roman"/>
          <w:sz w:val="28"/>
          <w:szCs w:val="28"/>
        </w:rPr>
        <w:t xml:space="preserve">. </w:t>
      </w:r>
      <w:r w:rsidRPr="000F3938">
        <w:rPr>
          <w:rFonts w:ascii="Times New Roman" w:hAnsi="Times New Roman" w:cs="Times New Roman"/>
          <w:sz w:val="28"/>
          <w:szCs w:val="28"/>
        </w:rPr>
        <w:t>В Україні функціонує низка цільових програм для підтримки суб'єктів АПК (зокрема, Програма «Доступні кредити 5-7-9%», державна компенсація вартості вітчизняної сільськогосподарської техніки). Включення цих інструментів у фінансовий план підприємства дозволяє штучно знизити вартість позикового капіталу (у формулі WACC) до пільгового рівня, забезпечуючи формування стабільного позитивного диференціалу левериджу.</w:t>
      </w:r>
    </w:p>
    <w:p w14:paraId="474B5582" w14:textId="6653D6A1" w:rsidR="000F3938" w:rsidRDefault="000F3938" w:rsidP="00586717">
      <w:pPr>
        <w:spacing w:after="0" w:line="360" w:lineRule="auto"/>
        <w:ind w:firstLine="709"/>
        <w:jc w:val="both"/>
        <w:rPr>
          <w:rFonts w:ascii="Times New Roman" w:hAnsi="Times New Roman" w:cs="Times New Roman"/>
          <w:sz w:val="28"/>
          <w:szCs w:val="28"/>
        </w:rPr>
      </w:pPr>
      <w:r w:rsidRPr="000F3938">
        <w:rPr>
          <w:rFonts w:ascii="Times New Roman" w:hAnsi="Times New Roman" w:cs="Times New Roman"/>
          <w:sz w:val="28"/>
          <w:szCs w:val="28"/>
        </w:rPr>
        <w:t xml:space="preserve">Систематизуємо запропоновані стратегічні заходи у вигляді комплексної схеми диверсифікації джерел фінансування </w:t>
      </w:r>
      <w:r w:rsidR="00586717">
        <w:rPr>
          <w:rFonts w:ascii="Times New Roman" w:hAnsi="Times New Roman" w:cs="Times New Roman"/>
          <w:sz w:val="28"/>
          <w:szCs w:val="28"/>
        </w:rPr>
        <w:t>(рис. 3.</w:t>
      </w:r>
      <w:r w:rsidR="007B0D59">
        <w:rPr>
          <w:rFonts w:ascii="Times New Roman" w:hAnsi="Times New Roman" w:cs="Times New Roman"/>
          <w:sz w:val="28"/>
          <w:szCs w:val="28"/>
        </w:rPr>
        <w:t>2</w:t>
      </w:r>
      <w:r w:rsidRPr="000F3938">
        <w:rPr>
          <w:rFonts w:ascii="Times New Roman" w:hAnsi="Times New Roman" w:cs="Times New Roman"/>
          <w:sz w:val="28"/>
          <w:szCs w:val="28"/>
        </w:rPr>
        <w:t>).</w:t>
      </w:r>
    </w:p>
    <w:p w14:paraId="4430A8E9" w14:textId="204BA152" w:rsidR="000F3938" w:rsidRPr="00586717" w:rsidRDefault="000F3938" w:rsidP="00586717">
      <w:pPr>
        <w:spacing w:after="0" w:line="360" w:lineRule="auto"/>
        <w:ind w:firstLine="708"/>
        <w:jc w:val="both"/>
        <w:rPr>
          <w:rFonts w:ascii="Times New Roman" w:hAnsi="Times New Roman" w:cs="Times New Roman"/>
          <w:sz w:val="28"/>
          <w:szCs w:val="28"/>
        </w:rPr>
      </w:pPr>
      <w:r w:rsidRPr="00586717">
        <w:rPr>
          <w:rFonts w:ascii="Times New Roman" w:hAnsi="Times New Roman" w:cs="Times New Roman"/>
          <w:sz w:val="28"/>
          <w:szCs w:val="28"/>
        </w:rPr>
        <w:t>4. Оцінка впливу диверсифікації джерел на ринкову капіталізацію бізнесу</w:t>
      </w:r>
      <w:r w:rsidR="00586717">
        <w:rPr>
          <w:rFonts w:ascii="Times New Roman" w:hAnsi="Times New Roman" w:cs="Times New Roman"/>
          <w:sz w:val="28"/>
          <w:szCs w:val="28"/>
        </w:rPr>
        <w:t>.</w:t>
      </w:r>
    </w:p>
    <w:p w14:paraId="19CCC644" w14:textId="3D9C5DEA" w:rsidR="000F3938" w:rsidRPr="000F3938" w:rsidRDefault="000F3938" w:rsidP="000F3938">
      <w:pPr>
        <w:spacing w:after="0" w:line="360" w:lineRule="auto"/>
        <w:jc w:val="both"/>
        <w:rPr>
          <w:rFonts w:ascii="Times New Roman" w:hAnsi="Times New Roman" w:cs="Times New Roman"/>
          <w:sz w:val="28"/>
          <w:szCs w:val="28"/>
        </w:rPr>
      </w:pPr>
      <w:r w:rsidRPr="000F3938">
        <w:rPr>
          <w:rFonts w:ascii="Times New Roman" w:hAnsi="Times New Roman" w:cs="Times New Roman"/>
          <w:sz w:val="28"/>
          <w:szCs w:val="28"/>
        </w:rPr>
        <w:lastRenderedPageBreak/>
        <w:t>Реалізація стратегії диверсифікації фінансування має прямий та детермінований вплив на загальну ринкову капіталізацію бізнесу через механізм нарощування чистих активів та мінімізації фінансових ризиків. Покажемо архітектуру цього впливу за допомогою матриці фінансових індикаторів (</w:t>
      </w:r>
      <w:proofErr w:type="spellStart"/>
      <w:r w:rsidR="00586717">
        <w:rPr>
          <w:rFonts w:ascii="Times New Roman" w:hAnsi="Times New Roman" w:cs="Times New Roman"/>
          <w:sz w:val="28"/>
          <w:szCs w:val="28"/>
        </w:rPr>
        <w:t>т</w:t>
      </w:r>
      <w:r w:rsidRPr="000F3938">
        <w:rPr>
          <w:rFonts w:ascii="Times New Roman" w:hAnsi="Times New Roman" w:cs="Times New Roman"/>
          <w:sz w:val="28"/>
          <w:szCs w:val="28"/>
        </w:rPr>
        <w:t>аб</w:t>
      </w:r>
      <w:proofErr w:type="spellEnd"/>
      <w:r w:rsidR="007B0D59">
        <w:rPr>
          <w:rFonts w:ascii="Times New Roman" w:hAnsi="Times New Roman" w:cs="Times New Roman"/>
          <w:sz w:val="28"/>
          <w:szCs w:val="28"/>
        </w:rPr>
        <w:t>.</w:t>
      </w:r>
      <w:r w:rsidRPr="000F3938">
        <w:rPr>
          <w:rFonts w:ascii="Times New Roman" w:hAnsi="Times New Roman" w:cs="Times New Roman"/>
          <w:sz w:val="28"/>
          <w:szCs w:val="28"/>
        </w:rPr>
        <w:t xml:space="preserve"> </w:t>
      </w:r>
      <w:r w:rsidR="00586717">
        <w:rPr>
          <w:rFonts w:ascii="Times New Roman" w:hAnsi="Times New Roman" w:cs="Times New Roman"/>
          <w:sz w:val="28"/>
          <w:szCs w:val="28"/>
        </w:rPr>
        <w:t>3.3</w:t>
      </w:r>
      <w:r w:rsidRPr="000F3938">
        <w:rPr>
          <w:rFonts w:ascii="Times New Roman" w:hAnsi="Times New Roman" w:cs="Times New Roman"/>
          <w:sz w:val="28"/>
          <w:szCs w:val="28"/>
        </w:rPr>
        <w:t>).</w:t>
      </w:r>
    </w:p>
    <w:p w14:paraId="147F5432" w14:textId="77777777" w:rsidR="009B0D73" w:rsidRPr="009B0D73" w:rsidRDefault="000F3938" w:rsidP="009B0D73">
      <w:pPr>
        <w:spacing w:after="0" w:line="360" w:lineRule="auto"/>
        <w:jc w:val="right"/>
        <w:rPr>
          <w:rFonts w:ascii="Times New Roman" w:hAnsi="Times New Roman" w:cs="Times New Roman"/>
          <w:sz w:val="28"/>
          <w:szCs w:val="28"/>
        </w:rPr>
      </w:pPr>
      <w:r w:rsidRPr="009B0D73">
        <w:rPr>
          <w:rFonts w:ascii="Times New Roman" w:hAnsi="Times New Roman" w:cs="Times New Roman"/>
          <w:sz w:val="28"/>
          <w:szCs w:val="28"/>
        </w:rPr>
        <w:t xml:space="preserve">Таблиця </w:t>
      </w:r>
      <w:r w:rsidR="00586717" w:rsidRPr="009B0D73">
        <w:rPr>
          <w:rFonts w:ascii="Times New Roman" w:hAnsi="Times New Roman" w:cs="Times New Roman"/>
          <w:sz w:val="28"/>
          <w:szCs w:val="28"/>
        </w:rPr>
        <w:t>3.3</w:t>
      </w:r>
    </w:p>
    <w:p w14:paraId="5FDEED73" w14:textId="73CDC0BA" w:rsidR="000F3938" w:rsidRPr="009B0D73" w:rsidRDefault="000F3938" w:rsidP="009B0D73">
      <w:pPr>
        <w:spacing w:after="0" w:line="360" w:lineRule="auto"/>
        <w:jc w:val="center"/>
        <w:rPr>
          <w:rFonts w:ascii="Times New Roman" w:hAnsi="Times New Roman" w:cs="Times New Roman"/>
          <w:sz w:val="28"/>
          <w:szCs w:val="28"/>
        </w:rPr>
      </w:pPr>
      <w:r w:rsidRPr="009B0D73">
        <w:rPr>
          <w:rFonts w:ascii="Times New Roman" w:hAnsi="Times New Roman" w:cs="Times New Roman"/>
          <w:sz w:val="28"/>
          <w:szCs w:val="28"/>
        </w:rPr>
        <w:t>Прогнозна оцінка впливу стратегії диверсифікації на показники капіталізації</w:t>
      </w:r>
    </w:p>
    <w:tbl>
      <w:tblPr>
        <w:tblStyle w:val="af0"/>
        <w:tblW w:w="0" w:type="auto"/>
        <w:tblLook w:val="04A0" w:firstRow="1" w:lastRow="0" w:firstColumn="1" w:lastColumn="0" w:noHBand="0" w:noVBand="1"/>
      </w:tblPr>
      <w:tblGrid>
        <w:gridCol w:w="2103"/>
        <w:gridCol w:w="2235"/>
        <w:gridCol w:w="1719"/>
        <w:gridCol w:w="1542"/>
        <w:gridCol w:w="2028"/>
      </w:tblGrid>
      <w:tr w:rsidR="000F3938" w:rsidRPr="009B0D73" w14:paraId="6EC226F5" w14:textId="77777777" w:rsidTr="009B0D73">
        <w:tc>
          <w:tcPr>
            <w:tcW w:w="0" w:type="auto"/>
            <w:hideMark/>
          </w:tcPr>
          <w:p w14:paraId="06485150"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Аналітичний індикатор капіталізації</w:t>
            </w:r>
          </w:p>
        </w:tc>
        <w:tc>
          <w:tcPr>
            <w:tcW w:w="0" w:type="auto"/>
            <w:hideMark/>
          </w:tcPr>
          <w:p w14:paraId="1F641932"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Методика/Джерело розрахунку</w:t>
            </w:r>
          </w:p>
        </w:tc>
        <w:tc>
          <w:tcPr>
            <w:tcW w:w="0" w:type="auto"/>
            <w:hideMark/>
          </w:tcPr>
          <w:p w14:paraId="77143774" w14:textId="77777777" w:rsid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 xml:space="preserve">До впровадження стратегії </w:t>
            </w:r>
          </w:p>
          <w:p w14:paraId="5E27504E" w14:textId="28F5C1B0"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(2025 р.)</w:t>
            </w:r>
          </w:p>
        </w:tc>
        <w:tc>
          <w:tcPr>
            <w:tcW w:w="0" w:type="auto"/>
            <w:hideMark/>
          </w:tcPr>
          <w:p w14:paraId="2540A292"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Прогнозний орієнтир (Стратегія В)</w:t>
            </w:r>
          </w:p>
        </w:tc>
        <w:tc>
          <w:tcPr>
            <w:tcW w:w="0" w:type="auto"/>
            <w:hideMark/>
          </w:tcPr>
          <w:p w14:paraId="3BA97389"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Очікуваний якісний ефект для інвестора</w:t>
            </w:r>
          </w:p>
        </w:tc>
      </w:tr>
      <w:tr w:rsidR="000F3938" w:rsidRPr="009B0D73" w14:paraId="167DB462" w14:textId="77777777" w:rsidTr="009B0D73">
        <w:tc>
          <w:tcPr>
            <w:tcW w:w="0" w:type="auto"/>
            <w:hideMark/>
          </w:tcPr>
          <w:p w14:paraId="295D7D31" w14:textId="77777777" w:rsidR="000F3938" w:rsidRPr="009B0D73" w:rsidRDefault="000F3938" w:rsidP="009B0D73">
            <w:pPr>
              <w:rPr>
                <w:rFonts w:ascii="Times New Roman" w:hAnsi="Times New Roman" w:cs="Times New Roman"/>
                <w:sz w:val="24"/>
                <w:szCs w:val="24"/>
              </w:rPr>
            </w:pPr>
            <w:r w:rsidRPr="009B0D73">
              <w:rPr>
                <w:rFonts w:ascii="Times New Roman" w:hAnsi="Times New Roman" w:cs="Times New Roman"/>
                <w:sz w:val="24"/>
                <w:szCs w:val="24"/>
              </w:rPr>
              <w:t>Вартість чистих активів (База капіталізації)</w:t>
            </w:r>
          </w:p>
        </w:tc>
        <w:tc>
          <w:tcPr>
            <w:tcW w:w="0" w:type="auto"/>
            <w:hideMark/>
          </w:tcPr>
          <w:p w14:paraId="029881C5"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Пасив Балансу (р. 1495), тис. грн</w:t>
            </w:r>
          </w:p>
        </w:tc>
        <w:tc>
          <w:tcPr>
            <w:tcW w:w="0" w:type="auto"/>
            <w:hideMark/>
          </w:tcPr>
          <w:p w14:paraId="2FB70230"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23 503 593</w:t>
            </w:r>
          </w:p>
        </w:tc>
        <w:tc>
          <w:tcPr>
            <w:tcW w:w="0" w:type="auto"/>
            <w:hideMark/>
          </w:tcPr>
          <w:p w14:paraId="1ADBB7F2"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28 503 593</w:t>
            </w:r>
          </w:p>
        </w:tc>
        <w:tc>
          <w:tcPr>
            <w:tcW w:w="0" w:type="auto"/>
            <w:hideMark/>
          </w:tcPr>
          <w:p w14:paraId="7A2C747C" w14:textId="77777777" w:rsidR="000F3938" w:rsidRPr="009B0D73" w:rsidRDefault="000F3938" w:rsidP="009B0D73">
            <w:pPr>
              <w:jc w:val="both"/>
              <w:rPr>
                <w:rFonts w:ascii="Times New Roman" w:hAnsi="Times New Roman" w:cs="Times New Roman"/>
                <w:sz w:val="24"/>
                <w:szCs w:val="24"/>
              </w:rPr>
            </w:pPr>
            <w:r w:rsidRPr="009B0D73">
              <w:rPr>
                <w:rFonts w:ascii="Times New Roman" w:hAnsi="Times New Roman" w:cs="Times New Roman"/>
                <w:sz w:val="24"/>
                <w:szCs w:val="24"/>
              </w:rPr>
              <w:t>Зростання капітальної вартості на +21,27%</w:t>
            </w:r>
          </w:p>
        </w:tc>
      </w:tr>
      <w:tr w:rsidR="000F3938" w:rsidRPr="009B0D73" w14:paraId="19FE7BAD" w14:textId="77777777" w:rsidTr="009B0D73">
        <w:tc>
          <w:tcPr>
            <w:tcW w:w="0" w:type="auto"/>
            <w:hideMark/>
          </w:tcPr>
          <w:p w14:paraId="6F7DC67A" w14:textId="6B5DB3D2" w:rsidR="000F3938" w:rsidRPr="009B0D73" w:rsidRDefault="000F3938" w:rsidP="009B0D73">
            <w:pPr>
              <w:rPr>
                <w:rFonts w:ascii="Times New Roman" w:hAnsi="Times New Roman" w:cs="Times New Roman"/>
                <w:sz w:val="24"/>
                <w:szCs w:val="24"/>
              </w:rPr>
            </w:pPr>
            <w:r w:rsidRPr="009B0D73">
              <w:rPr>
                <w:rFonts w:ascii="Times New Roman" w:hAnsi="Times New Roman" w:cs="Times New Roman"/>
                <w:sz w:val="24"/>
                <w:szCs w:val="24"/>
              </w:rPr>
              <w:t xml:space="preserve">Коефіцієнт оновлення фондів </w:t>
            </w:r>
          </w:p>
        </w:tc>
        <w:tc>
          <w:tcPr>
            <w:tcW w:w="0" w:type="auto"/>
            <w:hideMark/>
          </w:tcPr>
          <w:p w14:paraId="47341CF9"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Звіт про рух ОЗ</w:t>
            </w:r>
          </w:p>
        </w:tc>
        <w:tc>
          <w:tcPr>
            <w:tcW w:w="0" w:type="auto"/>
            <w:hideMark/>
          </w:tcPr>
          <w:p w14:paraId="3548509A"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0,007 (0,7%)</w:t>
            </w:r>
          </w:p>
        </w:tc>
        <w:tc>
          <w:tcPr>
            <w:tcW w:w="0" w:type="auto"/>
            <w:hideMark/>
          </w:tcPr>
          <w:p w14:paraId="3248FD1C"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0,085 (8,5%)</w:t>
            </w:r>
          </w:p>
        </w:tc>
        <w:tc>
          <w:tcPr>
            <w:tcW w:w="0" w:type="auto"/>
            <w:hideMark/>
          </w:tcPr>
          <w:p w14:paraId="3522FADB" w14:textId="77777777" w:rsidR="000F3938" w:rsidRPr="009B0D73" w:rsidRDefault="000F3938" w:rsidP="009B0D73">
            <w:pPr>
              <w:jc w:val="both"/>
              <w:rPr>
                <w:rFonts w:ascii="Times New Roman" w:hAnsi="Times New Roman" w:cs="Times New Roman"/>
                <w:sz w:val="24"/>
                <w:szCs w:val="24"/>
              </w:rPr>
            </w:pPr>
            <w:r w:rsidRPr="009B0D73">
              <w:rPr>
                <w:rFonts w:ascii="Times New Roman" w:hAnsi="Times New Roman" w:cs="Times New Roman"/>
                <w:sz w:val="24"/>
                <w:szCs w:val="24"/>
              </w:rPr>
              <w:t>Вихід на рівень стабільного розширеного відтворення</w:t>
            </w:r>
          </w:p>
        </w:tc>
      </w:tr>
      <w:tr w:rsidR="000F3938" w:rsidRPr="009B0D73" w14:paraId="5AB0EF27" w14:textId="77777777" w:rsidTr="009B0D73">
        <w:tc>
          <w:tcPr>
            <w:tcW w:w="0" w:type="auto"/>
            <w:hideMark/>
          </w:tcPr>
          <w:p w14:paraId="52DB66B3" w14:textId="4B1F8DAB" w:rsidR="000F3938" w:rsidRPr="009B0D73" w:rsidRDefault="000F3938" w:rsidP="009B0D73">
            <w:pPr>
              <w:rPr>
                <w:rFonts w:ascii="Times New Roman" w:hAnsi="Times New Roman" w:cs="Times New Roman"/>
                <w:sz w:val="24"/>
                <w:szCs w:val="24"/>
              </w:rPr>
            </w:pPr>
            <w:r w:rsidRPr="009B0D73">
              <w:rPr>
                <w:rFonts w:ascii="Times New Roman" w:hAnsi="Times New Roman" w:cs="Times New Roman"/>
                <w:sz w:val="24"/>
                <w:szCs w:val="24"/>
              </w:rPr>
              <w:t>Середньозважена вартість капіталу (WACC)</w:t>
            </w:r>
          </w:p>
        </w:tc>
        <w:tc>
          <w:tcPr>
            <w:tcW w:w="0" w:type="auto"/>
            <w:hideMark/>
          </w:tcPr>
          <w:p w14:paraId="45FFCC79"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Модель компромісу капіталу</w:t>
            </w:r>
          </w:p>
        </w:tc>
        <w:tc>
          <w:tcPr>
            <w:tcW w:w="0" w:type="auto"/>
            <w:hideMark/>
          </w:tcPr>
          <w:p w14:paraId="015429EF"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15,8%</w:t>
            </w:r>
          </w:p>
        </w:tc>
        <w:tc>
          <w:tcPr>
            <w:tcW w:w="0" w:type="auto"/>
            <w:hideMark/>
          </w:tcPr>
          <w:p w14:paraId="14D95F7D"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11,2%</w:t>
            </w:r>
          </w:p>
        </w:tc>
        <w:tc>
          <w:tcPr>
            <w:tcW w:w="0" w:type="auto"/>
            <w:hideMark/>
          </w:tcPr>
          <w:p w14:paraId="7230F196" w14:textId="77777777" w:rsidR="000F3938" w:rsidRPr="009B0D73" w:rsidRDefault="000F3938" w:rsidP="009B0D73">
            <w:pPr>
              <w:jc w:val="both"/>
              <w:rPr>
                <w:rFonts w:ascii="Times New Roman" w:hAnsi="Times New Roman" w:cs="Times New Roman"/>
                <w:sz w:val="24"/>
                <w:szCs w:val="24"/>
              </w:rPr>
            </w:pPr>
            <w:r w:rsidRPr="009B0D73">
              <w:rPr>
                <w:rFonts w:ascii="Times New Roman" w:hAnsi="Times New Roman" w:cs="Times New Roman"/>
                <w:sz w:val="24"/>
                <w:szCs w:val="24"/>
              </w:rPr>
              <w:t>Зниження дисконту ризику, зростання вартості бізнесу</w:t>
            </w:r>
          </w:p>
        </w:tc>
      </w:tr>
      <w:tr w:rsidR="000F3938" w:rsidRPr="009B0D73" w14:paraId="63FEB77F" w14:textId="77777777" w:rsidTr="009B0D73">
        <w:tc>
          <w:tcPr>
            <w:tcW w:w="0" w:type="auto"/>
            <w:hideMark/>
          </w:tcPr>
          <w:p w14:paraId="50D3A3BA" w14:textId="5DA05806" w:rsidR="000F3938" w:rsidRPr="009B0D73" w:rsidRDefault="000F3938" w:rsidP="009B0D73">
            <w:pPr>
              <w:rPr>
                <w:rFonts w:ascii="Times New Roman" w:hAnsi="Times New Roman" w:cs="Times New Roman"/>
                <w:sz w:val="24"/>
                <w:szCs w:val="24"/>
              </w:rPr>
            </w:pPr>
            <w:r w:rsidRPr="009B0D73">
              <w:rPr>
                <w:rFonts w:ascii="Times New Roman" w:hAnsi="Times New Roman" w:cs="Times New Roman"/>
                <w:sz w:val="24"/>
                <w:szCs w:val="24"/>
              </w:rPr>
              <w:t xml:space="preserve">Рентабельність фондовіддачі ОЗ </w:t>
            </w:r>
          </w:p>
        </w:tc>
        <w:tc>
          <w:tcPr>
            <w:tcW w:w="0" w:type="auto"/>
            <w:hideMark/>
          </w:tcPr>
          <w:p w14:paraId="623CFA5F"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Чистий прибуток / Залишок ОЗ</w:t>
            </w:r>
          </w:p>
        </w:tc>
        <w:tc>
          <w:tcPr>
            <w:tcW w:w="0" w:type="auto"/>
            <w:hideMark/>
          </w:tcPr>
          <w:p w14:paraId="585E0C9D"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13,97%</w:t>
            </w:r>
          </w:p>
        </w:tc>
        <w:tc>
          <w:tcPr>
            <w:tcW w:w="0" w:type="auto"/>
            <w:hideMark/>
          </w:tcPr>
          <w:p w14:paraId="2B16D7C6"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125,40%</w:t>
            </w:r>
          </w:p>
        </w:tc>
        <w:tc>
          <w:tcPr>
            <w:tcW w:w="0" w:type="auto"/>
            <w:hideMark/>
          </w:tcPr>
          <w:p w14:paraId="2660A09F" w14:textId="77777777" w:rsidR="000F3938" w:rsidRPr="009B0D73" w:rsidRDefault="000F3938" w:rsidP="009B0D73">
            <w:pPr>
              <w:jc w:val="both"/>
              <w:rPr>
                <w:rFonts w:ascii="Times New Roman" w:hAnsi="Times New Roman" w:cs="Times New Roman"/>
                <w:sz w:val="24"/>
                <w:szCs w:val="24"/>
              </w:rPr>
            </w:pPr>
            <w:r w:rsidRPr="009B0D73">
              <w:rPr>
                <w:rFonts w:ascii="Times New Roman" w:hAnsi="Times New Roman" w:cs="Times New Roman"/>
                <w:sz w:val="24"/>
                <w:szCs w:val="24"/>
              </w:rPr>
              <w:t xml:space="preserve">Відновлення високої операційної </w:t>
            </w:r>
            <w:proofErr w:type="spellStart"/>
            <w:r w:rsidRPr="009B0D73">
              <w:rPr>
                <w:rFonts w:ascii="Times New Roman" w:hAnsi="Times New Roman" w:cs="Times New Roman"/>
                <w:sz w:val="24"/>
                <w:szCs w:val="24"/>
              </w:rPr>
              <w:t>маржинальності</w:t>
            </w:r>
            <w:proofErr w:type="spellEnd"/>
          </w:p>
        </w:tc>
      </w:tr>
      <w:tr w:rsidR="000F3938" w:rsidRPr="009B0D73" w14:paraId="2ADACEB9" w14:textId="77777777" w:rsidTr="009B0D73">
        <w:tc>
          <w:tcPr>
            <w:tcW w:w="0" w:type="auto"/>
            <w:hideMark/>
          </w:tcPr>
          <w:p w14:paraId="3DD264C5" w14:textId="77777777" w:rsidR="000F3938" w:rsidRPr="009B0D73" w:rsidRDefault="000F3938" w:rsidP="009B0D73">
            <w:pPr>
              <w:rPr>
                <w:rFonts w:ascii="Times New Roman" w:hAnsi="Times New Roman" w:cs="Times New Roman"/>
                <w:sz w:val="24"/>
                <w:szCs w:val="24"/>
              </w:rPr>
            </w:pPr>
            <w:r w:rsidRPr="009B0D73">
              <w:rPr>
                <w:rFonts w:ascii="Times New Roman" w:hAnsi="Times New Roman" w:cs="Times New Roman"/>
                <w:sz w:val="24"/>
                <w:szCs w:val="24"/>
              </w:rPr>
              <w:t>Індекс Альтмана (Z-рахунок для АПК)</w:t>
            </w:r>
          </w:p>
        </w:tc>
        <w:tc>
          <w:tcPr>
            <w:tcW w:w="0" w:type="auto"/>
            <w:hideMark/>
          </w:tcPr>
          <w:p w14:paraId="4B70A70B"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Модель фінансової діагностики</w:t>
            </w:r>
          </w:p>
        </w:tc>
        <w:tc>
          <w:tcPr>
            <w:tcW w:w="0" w:type="auto"/>
            <w:hideMark/>
          </w:tcPr>
          <w:p w14:paraId="3BC523CB"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2,34 (Сіра зона)</w:t>
            </w:r>
          </w:p>
        </w:tc>
        <w:tc>
          <w:tcPr>
            <w:tcW w:w="0" w:type="auto"/>
            <w:hideMark/>
          </w:tcPr>
          <w:p w14:paraId="14FAF193" w14:textId="77777777" w:rsidR="000F3938" w:rsidRPr="009B0D73" w:rsidRDefault="000F3938" w:rsidP="009B0D73">
            <w:pPr>
              <w:jc w:val="center"/>
              <w:rPr>
                <w:rFonts w:ascii="Times New Roman" w:hAnsi="Times New Roman" w:cs="Times New Roman"/>
                <w:sz w:val="24"/>
                <w:szCs w:val="24"/>
              </w:rPr>
            </w:pPr>
            <w:r w:rsidRPr="009B0D73">
              <w:rPr>
                <w:rFonts w:ascii="Times New Roman" w:hAnsi="Times New Roman" w:cs="Times New Roman"/>
                <w:sz w:val="24"/>
                <w:szCs w:val="24"/>
              </w:rPr>
              <w:t>3,12 (Зона безпеки)</w:t>
            </w:r>
          </w:p>
        </w:tc>
        <w:tc>
          <w:tcPr>
            <w:tcW w:w="0" w:type="auto"/>
            <w:hideMark/>
          </w:tcPr>
          <w:p w14:paraId="7A124B2C" w14:textId="77777777" w:rsidR="000F3938" w:rsidRPr="009B0D73" w:rsidRDefault="000F3938" w:rsidP="009B0D73">
            <w:pPr>
              <w:jc w:val="both"/>
              <w:rPr>
                <w:rFonts w:ascii="Times New Roman" w:hAnsi="Times New Roman" w:cs="Times New Roman"/>
                <w:sz w:val="24"/>
                <w:szCs w:val="24"/>
              </w:rPr>
            </w:pPr>
            <w:r w:rsidRPr="009B0D73">
              <w:rPr>
                <w:rFonts w:ascii="Times New Roman" w:hAnsi="Times New Roman" w:cs="Times New Roman"/>
                <w:sz w:val="24"/>
                <w:szCs w:val="24"/>
              </w:rPr>
              <w:t>Повне нівелювання ризику банкрутства</w:t>
            </w:r>
          </w:p>
        </w:tc>
      </w:tr>
    </w:tbl>
    <w:p w14:paraId="27394CE0" w14:textId="04C870BC" w:rsidR="000F3938" w:rsidRPr="009B0D73" w:rsidRDefault="000F3938" w:rsidP="009B0D73">
      <w:pPr>
        <w:spacing w:after="0" w:line="360" w:lineRule="auto"/>
        <w:ind w:firstLine="709"/>
        <w:jc w:val="both"/>
        <w:rPr>
          <w:rFonts w:ascii="Times New Roman" w:hAnsi="Times New Roman" w:cs="Times New Roman"/>
          <w:sz w:val="28"/>
          <w:szCs w:val="28"/>
        </w:rPr>
      </w:pPr>
      <w:r w:rsidRPr="009B0D73">
        <w:rPr>
          <w:rFonts w:ascii="Times New Roman" w:hAnsi="Times New Roman" w:cs="Times New Roman"/>
          <w:sz w:val="28"/>
          <w:szCs w:val="28"/>
        </w:rPr>
        <w:t>Механізм трансформації фінансової структури в ринкову вартість:</w:t>
      </w:r>
    </w:p>
    <w:p w14:paraId="5C46F3A8" w14:textId="0A7F107B" w:rsidR="000F3938" w:rsidRPr="009B0D73" w:rsidRDefault="000F3938" w:rsidP="009B0D73">
      <w:pPr>
        <w:numPr>
          <w:ilvl w:val="0"/>
          <w:numId w:val="31"/>
        </w:numPr>
        <w:tabs>
          <w:tab w:val="clear" w:pos="720"/>
          <w:tab w:val="num" w:pos="426"/>
        </w:tabs>
        <w:spacing w:after="0" w:line="360" w:lineRule="auto"/>
        <w:ind w:left="0" w:firstLine="567"/>
        <w:jc w:val="both"/>
        <w:rPr>
          <w:rFonts w:ascii="Times New Roman" w:hAnsi="Times New Roman" w:cs="Times New Roman"/>
          <w:sz w:val="28"/>
          <w:szCs w:val="28"/>
        </w:rPr>
      </w:pPr>
      <w:r w:rsidRPr="009B0D73">
        <w:rPr>
          <w:rFonts w:ascii="Times New Roman" w:hAnsi="Times New Roman" w:cs="Times New Roman"/>
          <w:sz w:val="28"/>
          <w:szCs w:val="28"/>
        </w:rPr>
        <w:t>Елімінація амортизаційного дефіциту. Завдяки залученню фінансового лізингу підприємство отримує можливість підняти коефіцієнт оновлення фондів з критичних 0,7% до нормативних 8,5% (</w:t>
      </w:r>
      <w:r w:rsidR="009B0D73">
        <w:rPr>
          <w:rFonts w:ascii="Times New Roman" w:hAnsi="Times New Roman" w:cs="Times New Roman"/>
          <w:sz w:val="28"/>
          <w:szCs w:val="28"/>
        </w:rPr>
        <w:t>т</w:t>
      </w:r>
      <w:r w:rsidRPr="009B0D73">
        <w:rPr>
          <w:rFonts w:ascii="Times New Roman" w:hAnsi="Times New Roman" w:cs="Times New Roman"/>
          <w:sz w:val="28"/>
          <w:szCs w:val="28"/>
        </w:rPr>
        <w:t>абл</w:t>
      </w:r>
      <w:r w:rsidR="009B0D73">
        <w:rPr>
          <w:rFonts w:ascii="Times New Roman" w:hAnsi="Times New Roman" w:cs="Times New Roman"/>
          <w:sz w:val="28"/>
          <w:szCs w:val="28"/>
        </w:rPr>
        <w:t>.</w:t>
      </w:r>
      <w:r w:rsidRPr="009B0D73">
        <w:rPr>
          <w:rFonts w:ascii="Times New Roman" w:hAnsi="Times New Roman" w:cs="Times New Roman"/>
          <w:sz w:val="28"/>
          <w:szCs w:val="28"/>
        </w:rPr>
        <w:t xml:space="preserve"> </w:t>
      </w:r>
      <w:r w:rsidR="009B0D73">
        <w:rPr>
          <w:rFonts w:ascii="Times New Roman" w:hAnsi="Times New Roman" w:cs="Times New Roman"/>
          <w:sz w:val="28"/>
          <w:szCs w:val="28"/>
        </w:rPr>
        <w:t>3.3</w:t>
      </w:r>
      <w:r w:rsidRPr="009B0D73">
        <w:rPr>
          <w:rFonts w:ascii="Times New Roman" w:hAnsi="Times New Roman" w:cs="Times New Roman"/>
          <w:sz w:val="28"/>
          <w:szCs w:val="28"/>
        </w:rPr>
        <w:t>). Це зупиняє процес прихованої деградації виробничого ядра компанії. Нове високоефективне обладнання знижує питому собівартість продукції, зупиняючи ерозію маржі.</w:t>
      </w:r>
    </w:p>
    <w:p w14:paraId="28FE5C68" w14:textId="0FE9334F" w:rsidR="000F3938" w:rsidRPr="009B0D73" w:rsidRDefault="000F3938" w:rsidP="009B0D73">
      <w:pPr>
        <w:numPr>
          <w:ilvl w:val="0"/>
          <w:numId w:val="31"/>
        </w:numPr>
        <w:tabs>
          <w:tab w:val="clear" w:pos="720"/>
          <w:tab w:val="num" w:pos="426"/>
        </w:tabs>
        <w:spacing w:after="0" w:line="360" w:lineRule="auto"/>
        <w:ind w:left="0" w:firstLine="567"/>
        <w:jc w:val="both"/>
        <w:rPr>
          <w:rFonts w:ascii="Times New Roman" w:hAnsi="Times New Roman" w:cs="Times New Roman"/>
          <w:sz w:val="28"/>
          <w:szCs w:val="28"/>
        </w:rPr>
      </w:pPr>
      <w:r w:rsidRPr="009B0D73">
        <w:rPr>
          <w:rFonts w:ascii="Times New Roman" w:hAnsi="Times New Roman" w:cs="Times New Roman"/>
          <w:sz w:val="28"/>
          <w:szCs w:val="28"/>
        </w:rPr>
        <w:t xml:space="preserve">Зниження бар'єра WACC. Диверсифікація пасивів та зменшення частки дорогих поточних зобов'язань на користь власного капіталу та пільгових довгострокових лізингових угод забезпечує зниження показника WACC з 15,8% до 11,2%. Фінансова теорія доводить: зниження середньозваженої вартості </w:t>
      </w:r>
      <w:r w:rsidRPr="009B0D73">
        <w:rPr>
          <w:rFonts w:ascii="Times New Roman" w:hAnsi="Times New Roman" w:cs="Times New Roman"/>
          <w:sz w:val="28"/>
          <w:szCs w:val="28"/>
        </w:rPr>
        <w:lastRenderedPageBreak/>
        <w:t>капіталу автоматично збільшує сукупну інвестиційну вартість підприємства при дисконтуванні майбутніх грошових потоків [</w:t>
      </w:r>
      <w:r w:rsidR="00166262">
        <w:rPr>
          <w:rFonts w:ascii="Times New Roman" w:hAnsi="Times New Roman" w:cs="Times New Roman"/>
          <w:sz w:val="28"/>
          <w:szCs w:val="28"/>
        </w:rPr>
        <w:t>6</w:t>
      </w:r>
      <w:r w:rsidRPr="009B0D73">
        <w:rPr>
          <w:rFonts w:ascii="Times New Roman" w:hAnsi="Times New Roman" w:cs="Times New Roman"/>
          <w:sz w:val="28"/>
          <w:szCs w:val="28"/>
        </w:rPr>
        <w:t>].</w:t>
      </w:r>
    </w:p>
    <w:p w14:paraId="412BDC98" w14:textId="77B7ECAA" w:rsidR="000F3938" w:rsidRPr="009B0D73" w:rsidRDefault="000F3938" w:rsidP="009B0D73">
      <w:pPr>
        <w:numPr>
          <w:ilvl w:val="0"/>
          <w:numId w:val="31"/>
        </w:numPr>
        <w:tabs>
          <w:tab w:val="clear" w:pos="720"/>
          <w:tab w:val="num" w:pos="426"/>
        </w:tabs>
        <w:spacing w:after="0" w:line="360" w:lineRule="auto"/>
        <w:ind w:left="0" w:firstLine="567"/>
        <w:jc w:val="both"/>
        <w:rPr>
          <w:rFonts w:ascii="Times New Roman" w:hAnsi="Times New Roman" w:cs="Times New Roman"/>
          <w:sz w:val="28"/>
          <w:szCs w:val="28"/>
        </w:rPr>
      </w:pPr>
      <w:r w:rsidRPr="009B0D73">
        <w:rPr>
          <w:rFonts w:ascii="Times New Roman" w:hAnsi="Times New Roman" w:cs="Times New Roman"/>
          <w:sz w:val="28"/>
          <w:szCs w:val="28"/>
        </w:rPr>
        <w:t>Економічне зростання вартості чистих активів. Оновлена капітальна база забезпечує повернення рентабельності основних засобів на рівень 125,4%. Згенерований чистий прибуток спрямовується у статтю «Нерозподілений прибуток» (р. 1420 Балансу), що напряму збільшує суму Власного капіталу (Базу капіталізації) до 28,50 млрд грн (+21,27%). Водночас підприємство повністю долає фінансову деструкцію, переводячи індекс Альтмана в зону абсолютної безпеки (Z = 3,12) [</w:t>
      </w:r>
      <w:r w:rsidR="00166262">
        <w:rPr>
          <w:rFonts w:ascii="Times New Roman" w:hAnsi="Times New Roman" w:cs="Times New Roman"/>
          <w:sz w:val="28"/>
          <w:szCs w:val="28"/>
        </w:rPr>
        <w:t>24</w:t>
      </w:r>
      <w:r w:rsidRPr="009B0D73">
        <w:rPr>
          <w:rFonts w:ascii="Times New Roman" w:hAnsi="Times New Roman" w:cs="Times New Roman"/>
          <w:sz w:val="28"/>
          <w:szCs w:val="28"/>
        </w:rPr>
        <w:t>].</w:t>
      </w:r>
    </w:p>
    <w:p w14:paraId="729CC04A" w14:textId="77777777" w:rsidR="000F3938" w:rsidRPr="000F3938" w:rsidRDefault="000F3938" w:rsidP="009B0D73">
      <w:pPr>
        <w:spacing w:after="0" w:line="360" w:lineRule="auto"/>
        <w:ind w:firstLine="708"/>
        <w:jc w:val="both"/>
        <w:rPr>
          <w:rFonts w:ascii="Times New Roman" w:hAnsi="Times New Roman" w:cs="Times New Roman"/>
          <w:sz w:val="28"/>
          <w:szCs w:val="28"/>
        </w:rPr>
      </w:pPr>
      <w:r w:rsidRPr="000F3938">
        <w:rPr>
          <w:rFonts w:ascii="Times New Roman" w:hAnsi="Times New Roman" w:cs="Times New Roman"/>
          <w:sz w:val="28"/>
          <w:szCs w:val="28"/>
        </w:rPr>
        <w:t>Таким чином, розроблена стратегія оптимізації структури капіталу на засадах диверсифікації джерел фінансування доводить, що подолання капітальної деградації агропідприємства неможливе за умов використання виключно класичних банківських кредитів. Перехід до збалансованого сценарного моделювання (Сценарій В) дозволяє трансформувати деструктивний ефект фінансового левериджу (-19,88%) у позитивний фактор зростання (+2,37%). Впровадження інструментів лізингу, аграрних розписок та програм державного субсидування створює диверсифікований фінансовий фундамент для стабільного розширеного відтворення активів, що виступає базовою передумовою довгострокового нарощування ринкової капіталізації підприємства в умовах макроекономічної нестабільності.</w:t>
      </w:r>
    </w:p>
    <w:p w14:paraId="0841B120" w14:textId="77777777" w:rsidR="009B0D73" w:rsidRDefault="009B0D73" w:rsidP="009B0D73">
      <w:pPr>
        <w:spacing w:after="0" w:line="360" w:lineRule="auto"/>
        <w:jc w:val="both"/>
        <w:rPr>
          <w:rFonts w:ascii="Times New Roman" w:hAnsi="Times New Roman" w:cs="Times New Roman"/>
          <w:sz w:val="20"/>
          <w:szCs w:val="20"/>
          <w:highlight w:val="yellow"/>
        </w:rPr>
      </w:pPr>
    </w:p>
    <w:p w14:paraId="15FC56CC" w14:textId="77777777" w:rsidR="009B0D73" w:rsidRPr="009B0D73" w:rsidRDefault="009B0D73" w:rsidP="009B0D73">
      <w:pPr>
        <w:spacing w:after="0" w:line="360" w:lineRule="auto"/>
        <w:jc w:val="both"/>
        <w:rPr>
          <w:rFonts w:ascii="Times New Roman" w:hAnsi="Times New Roman" w:cs="Times New Roman"/>
          <w:sz w:val="20"/>
          <w:szCs w:val="20"/>
          <w:highlight w:val="yellow"/>
        </w:rPr>
      </w:pPr>
    </w:p>
    <w:p w14:paraId="3BC29BAA" w14:textId="7CB89A0F" w:rsidR="003D3D49" w:rsidRPr="003D3D49" w:rsidRDefault="003D3D49" w:rsidP="003D3D49">
      <w:pPr>
        <w:spacing w:after="0" w:line="360" w:lineRule="auto"/>
        <w:jc w:val="center"/>
        <w:rPr>
          <w:rFonts w:ascii="Times New Roman" w:hAnsi="Times New Roman" w:cs="Times New Roman"/>
          <w:b/>
          <w:bCs/>
          <w:sz w:val="28"/>
          <w:szCs w:val="28"/>
        </w:rPr>
      </w:pPr>
      <w:r w:rsidRPr="003D3D49">
        <w:rPr>
          <w:rFonts w:ascii="Times New Roman" w:hAnsi="Times New Roman" w:cs="Times New Roman"/>
          <w:b/>
          <w:bCs/>
          <w:sz w:val="28"/>
          <w:szCs w:val="28"/>
        </w:rPr>
        <w:t>3.2. Методичний підхід до оцінки та сценарного прогнозування капіталізації підприємства в умовах нестабільності</w:t>
      </w:r>
    </w:p>
    <w:p w14:paraId="4C136F3A" w14:textId="33DAAA8B" w:rsidR="009F33CD" w:rsidRDefault="009F33CD" w:rsidP="009F33CD">
      <w:pPr>
        <w:spacing w:after="0" w:line="360" w:lineRule="auto"/>
        <w:jc w:val="both"/>
        <w:rPr>
          <w:rFonts w:ascii="Times New Roman" w:hAnsi="Times New Roman" w:cs="Times New Roman"/>
          <w:sz w:val="28"/>
          <w:szCs w:val="28"/>
        </w:rPr>
      </w:pPr>
    </w:p>
    <w:p w14:paraId="6F94DBB5" w14:textId="5E245AF4" w:rsidR="003D3D49" w:rsidRPr="003D3D49" w:rsidRDefault="003D3D49" w:rsidP="003D3D49">
      <w:pPr>
        <w:spacing w:after="0" w:line="360" w:lineRule="auto"/>
        <w:ind w:firstLine="709"/>
        <w:jc w:val="both"/>
        <w:rPr>
          <w:rFonts w:ascii="Times New Roman" w:hAnsi="Times New Roman" w:cs="Times New Roman"/>
          <w:sz w:val="28"/>
          <w:szCs w:val="28"/>
        </w:rPr>
      </w:pPr>
      <w:r w:rsidRPr="003D3D49">
        <w:rPr>
          <w:rFonts w:ascii="Times New Roman" w:hAnsi="Times New Roman" w:cs="Times New Roman"/>
          <w:sz w:val="28"/>
          <w:szCs w:val="28"/>
        </w:rPr>
        <w:t>Прогнозування капіталізації підприємства в умовах макроекономічної турбулентності та воєнно-політичних ризиків потребує відходу від статичних екстраполяційних моделей. Для отримання релевантних оцінок інвестиційної вартості бізнесу застосовано метод сценарного моделювання на основі модифікованої моделі дисконтованих грошових потоків  та концепції економічної доданої вартості (EVA) [</w:t>
      </w:r>
      <w:r w:rsidR="00166262">
        <w:rPr>
          <w:rFonts w:ascii="Times New Roman" w:hAnsi="Times New Roman" w:cs="Times New Roman"/>
          <w:sz w:val="28"/>
          <w:szCs w:val="28"/>
        </w:rPr>
        <w:t>22</w:t>
      </w:r>
      <w:r w:rsidRPr="003D3D49">
        <w:rPr>
          <w:rFonts w:ascii="Times New Roman" w:hAnsi="Times New Roman" w:cs="Times New Roman"/>
          <w:sz w:val="28"/>
          <w:szCs w:val="28"/>
        </w:rPr>
        <w:t>].</w:t>
      </w:r>
    </w:p>
    <w:p w14:paraId="3CBDA85D" w14:textId="33C9288C" w:rsidR="003D3D49" w:rsidRDefault="003D3D49" w:rsidP="003D3D49">
      <w:pPr>
        <w:spacing w:after="0" w:line="360" w:lineRule="auto"/>
        <w:ind w:firstLine="709"/>
        <w:jc w:val="both"/>
        <w:rPr>
          <w:rFonts w:ascii="Times New Roman" w:hAnsi="Times New Roman" w:cs="Times New Roman"/>
          <w:sz w:val="28"/>
          <w:szCs w:val="28"/>
        </w:rPr>
      </w:pPr>
      <w:r w:rsidRPr="003D3D49">
        <w:rPr>
          <w:rFonts w:ascii="Times New Roman" w:hAnsi="Times New Roman" w:cs="Times New Roman"/>
          <w:sz w:val="28"/>
          <w:szCs w:val="28"/>
        </w:rPr>
        <w:lastRenderedPageBreak/>
        <w:t xml:space="preserve">Методичний підхід базується на багатоваріантному прогнозуванні </w:t>
      </w:r>
      <w:r w:rsidR="009C4D5E">
        <w:rPr>
          <w:rFonts w:ascii="Times New Roman" w:hAnsi="Times New Roman" w:cs="Times New Roman"/>
          <w:sz w:val="28"/>
          <w:szCs w:val="28"/>
        </w:rPr>
        <w:t>ЧГП</w:t>
      </w:r>
      <w:r w:rsidRPr="003D3D49">
        <w:rPr>
          <w:rFonts w:ascii="Times New Roman" w:hAnsi="Times New Roman" w:cs="Times New Roman"/>
          <w:sz w:val="28"/>
          <w:szCs w:val="28"/>
        </w:rPr>
        <w:t xml:space="preserve"> для фірми (FCFF) та адаптації ставки дисконтування (WACC) до специфіки системного ризику кожного сценарію. </w:t>
      </w:r>
    </w:p>
    <w:p w14:paraId="5455532A" w14:textId="77777777" w:rsidR="003D3D49" w:rsidRPr="003D3D49" w:rsidRDefault="003D3D49" w:rsidP="003D3D49">
      <w:pPr>
        <w:spacing w:after="0" w:line="360" w:lineRule="auto"/>
        <w:ind w:firstLine="709"/>
        <w:jc w:val="both"/>
        <w:rPr>
          <w:rFonts w:ascii="Times New Roman" w:hAnsi="Times New Roman" w:cs="Times New Roman"/>
          <w:sz w:val="28"/>
          <w:szCs w:val="28"/>
        </w:rPr>
      </w:pPr>
      <w:r w:rsidRPr="003D3D49">
        <w:rPr>
          <w:rFonts w:ascii="Times New Roman" w:hAnsi="Times New Roman" w:cs="Times New Roman"/>
          <w:sz w:val="28"/>
          <w:szCs w:val="28"/>
        </w:rPr>
        <w:t>Алгоритм реалізації методичного підходу включає чотири послідовні етапи:</w:t>
      </w:r>
    </w:p>
    <w:p w14:paraId="68645B4E" w14:textId="1E559A6A" w:rsidR="003D3D49" w:rsidRPr="003D3D49" w:rsidRDefault="003D3D49" w:rsidP="003D3D49">
      <w:pPr>
        <w:numPr>
          <w:ilvl w:val="0"/>
          <w:numId w:val="33"/>
        </w:numPr>
        <w:tabs>
          <w:tab w:val="clear" w:pos="720"/>
          <w:tab w:val="num" w:pos="360"/>
        </w:tabs>
        <w:spacing w:after="0" w:line="360" w:lineRule="auto"/>
        <w:ind w:left="0" w:firstLine="360"/>
        <w:jc w:val="both"/>
        <w:rPr>
          <w:rFonts w:ascii="Times New Roman" w:hAnsi="Times New Roman" w:cs="Times New Roman"/>
          <w:sz w:val="28"/>
          <w:szCs w:val="28"/>
        </w:rPr>
      </w:pPr>
      <w:r w:rsidRPr="003D3D49">
        <w:rPr>
          <w:rFonts w:ascii="Times New Roman" w:hAnsi="Times New Roman" w:cs="Times New Roman"/>
          <w:sz w:val="28"/>
          <w:szCs w:val="28"/>
        </w:rPr>
        <w:t>визначення екзогенних факторів (інтенсивність бойових дій, логістичні обмеження експорту, обсяги іноземних інвестицій), що безпосередньо впливають на темпи росту виручки та рентабельність [</w:t>
      </w:r>
      <w:r w:rsidR="00166262">
        <w:rPr>
          <w:rFonts w:ascii="Times New Roman" w:hAnsi="Times New Roman" w:cs="Times New Roman"/>
          <w:sz w:val="28"/>
          <w:szCs w:val="28"/>
        </w:rPr>
        <w:t>1</w:t>
      </w:r>
      <w:r w:rsidRPr="003D3D49">
        <w:rPr>
          <w:rFonts w:ascii="Times New Roman" w:hAnsi="Times New Roman" w:cs="Times New Roman"/>
          <w:sz w:val="28"/>
          <w:szCs w:val="28"/>
        </w:rPr>
        <w:t>4];</w:t>
      </w:r>
    </w:p>
    <w:p w14:paraId="6D0FB280" w14:textId="1DA04B75" w:rsidR="003D3D49" w:rsidRPr="003D3D49" w:rsidRDefault="003D3D49" w:rsidP="003D3D49">
      <w:pPr>
        <w:numPr>
          <w:ilvl w:val="0"/>
          <w:numId w:val="33"/>
        </w:numPr>
        <w:tabs>
          <w:tab w:val="clear" w:pos="720"/>
          <w:tab w:val="num" w:pos="360"/>
        </w:tabs>
        <w:spacing w:after="0" w:line="360" w:lineRule="auto"/>
        <w:ind w:left="0" w:firstLine="360"/>
        <w:jc w:val="both"/>
        <w:rPr>
          <w:rFonts w:ascii="Times New Roman" w:hAnsi="Times New Roman" w:cs="Times New Roman"/>
          <w:sz w:val="28"/>
          <w:szCs w:val="28"/>
        </w:rPr>
      </w:pPr>
      <w:r w:rsidRPr="003D3D49">
        <w:rPr>
          <w:rFonts w:ascii="Times New Roman" w:hAnsi="Times New Roman" w:cs="Times New Roman"/>
          <w:sz w:val="28"/>
          <w:szCs w:val="28"/>
        </w:rPr>
        <w:t xml:space="preserve">розрахунок операційного прибутку після оподаткування (EBIT </w:t>
      </w:r>
      <w:r>
        <w:rPr>
          <w:rFonts w:ascii="Times New Roman" w:hAnsi="Times New Roman" w:cs="Times New Roman"/>
          <w:sz w:val="28"/>
          <w:szCs w:val="28"/>
        </w:rPr>
        <w:t>*</w:t>
      </w:r>
      <w:r w:rsidRPr="003D3D49">
        <w:rPr>
          <w:rFonts w:ascii="Times New Roman" w:hAnsi="Times New Roman" w:cs="Times New Roman"/>
          <w:sz w:val="28"/>
          <w:szCs w:val="28"/>
        </w:rPr>
        <w:t xml:space="preserve"> (1 - T)), коригування на амортизацію та капітальні витрати (</w:t>
      </w:r>
      <w:proofErr w:type="spellStart"/>
      <w:r w:rsidRPr="003D3D49">
        <w:rPr>
          <w:rFonts w:ascii="Times New Roman" w:hAnsi="Times New Roman" w:cs="Times New Roman"/>
          <w:sz w:val="28"/>
          <w:szCs w:val="28"/>
        </w:rPr>
        <w:t>CapEx</w:t>
      </w:r>
      <w:proofErr w:type="spellEnd"/>
      <w:r w:rsidRPr="003D3D49">
        <w:rPr>
          <w:rFonts w:ascii="Times New Roman" w:hAnsi="Times New Roman" w:cs="Times New Roman"/>
          <w:sz w:val="28"/>
          <w:szCs w:val="28"/>
        </w:rPr>
        <w:t>), виходячи з реальних можливостей відтворення активів [</w:t>
      </w:r>
      <w:r w:rsidR="00166262">
        <w:rPr>
          <w:rFonts w:ascii="Times New Roman" w:hAnsi="Times New Roman" w:cs="Times New Roman"/>
          <w:sz w:val="28"/>
          <w:szCs w:val="28"/>
        </w:rPr>
        <w:t>3</w:t>
      </w:r>
      <w:r w:rsidRPr="003D3D49">
        <w:rPr>
          <w:rFonts w:ascii="Times New Roman" w:hAnsi="Times New Roman" w:cs="Times New Roman"/>
          <w:sz w:val="28"/>
          <w:szCs w:val="28"/>
        </w:rPr>
        <w:t>];</w:t>
      </w:r>
    </w:p>
    <w:p w14:paraId="0E3FB950" w14:textId="0E8B7443" w:rsidR="003D3D49" w:rsidRPr="003D3D49" w:rsidRDefault="003D3D49" w:rsidP="003D3D49">
      <w:pPr>
        <w:numPr>
          <w:ilvl w:val="0"/>
          <w:numId w:val="33"/>
        </w:numPr>
        <w:tabs>
          <w:tab w:val="clear" w:pos="720"/>
          <w:tab w:val="num" w:pos="360"/>
        </w:tabs>
        <w:spacing w:after="0" w:line="360" w:lineRule="auto"/>
        <w:ind w:left="0" w:firstLine="360"/>
        <w:jc w:val="both"/>
        <w:rPr>
          <w:rFonts w:ascii="Times New Roman" w:hAnsi="Times New Roman" w:cs="Times New Roman"/>
          <w:sz w:val="28"/>
          <w:szCs w:val="28"/>
        </w:rPr>
      </w:pPr>
      <w:r w:rsidRPr="003D3D49">
        <w:rPr>
          <w:rFonts w:ascii="Times New Roman" w:hAnsi="Times New Roman" w:cs="Times New Roman"/>
          <w:sz w:val="28"/>
          <w:szCs w:val="28"/>
        </w:rPr>
        <w:t xml:space="preserve">врахування премії за суверенний ризик та ризик фінансового </w:t>
      </w:r>
      <w:proofErr w:type="spellStart"/>
      <w:r w:rsidRPr="003D3D49">
        <w:rPr>
          <w:rFonts w:ascii="Times New Roman" w:hAnsi="Times New Roman" w:cs="Times New Roman"/>
          <w:sz w:val="28"/>
          <w:szCs w:val="28"/>
        </w:rPr>
        <w:t>дистресу</w:t>
      </w:r>
      <w:proofErr w:type="spellEnd"/>
      <w:r w:rsidRPr="003D3D49">
        <w:rPr>
          <w:rFonts w:ascii="Times New Roman" w:hAnsi="Times New Roman" w:cs="Times New Roman"/>
          <w:sz w:val="28"/>
          <w:szCs w:val="28"/>
        </w:rPr>
        <w:t xml:space="preserve"> підприємства. За умови деградації капітальної бази вартість залучення ресурсів зростає, що знижує підсумкову оцінку вартості [</w:t>
      </w:r>
      <w:r w:rsidR="00166262">
        <w:rPr>
          <w:rFonts w:ascii="Times New Roman" w:hAnsi="Times New Roman" w:cs="Times New Roman"/>
          <w:sz w:val="28"/>
          <w:szCs w:val="28"/>
        </w:rPr>
        <w:t>20</w:t>
      </w:r>
      <w:r w:rsidRPr="003D3D49">
        <w:rPr>
          <w:rFonts w:ascii="Times New Roman" w:hAnsi="Times New Roman" w:cs="Times New Roman"/>
          <w:sz w:val="28"/>
          <w:szCs w:val="28"/>
        </w:rPr>
        <w:t>];</w:t>
      </w:r>
    </w:p>
    <w:p w14:paraId="73D25381" w14:textId="77777777" w:rsidR="003D3D49" w:rsidRDefault="003D3D49" w:rsidP="003D3D49">
      <w:pPr>
        <w:numPr>
          <w:ilvl w:val="0"/>
          <w:numId w:val="33"/>
        </w:numPr>
        <w:tabs>
          <w:tab w:val="clear" w:pos="720"/>
          <w:tab w:val="num" w:pos="360"/>
        </w:tabs>
        <w:spacing w:after="0" w:line="360" w:lineRule="auto"/>
        <w:ind w:left="0" w:firstLine="360"/>
        <w:jc w:val="both"/>
        <w:rPr>
          <w:rFonts w:ascii="Times New Roman" w:hAnsi="Times New Roman" w:cs="Times New Roman"/>
          <w:sz w:val="28"/>
          <w:szCs w:val="28"/>
        </w:rPr>
      </w:pPr>
      <w:r w:rsidRPr="003D3D49">
        <w:rPr>
          <w:rFonts w:ascii="Times New Roman" w:hAnsi="Times New Roman" w:cs="Times New Roman"/>
          <w:sz w:val="28"/>
          <w:szCs w:val="28"/>
        </w:rPr>
        <w:t>визначення цільових орієнтирів балансової та інвестиційної капіталізації бізнесу для кожного з трьох сценаріїв.</w:t>
      </w:r>
    </w:p>
    <w:p w14:paraId="780C0185" w14:textId="32231556" w:rsidR="003D3D49" w:rsidRPr="003D3D49" w:rsidRDefault="003D3D49" w:rsidP="006F463A">
      <w:pPr>
        <w:spacing w:after="0" w:line="360" w:lineRule="auto"/>
        <w:ind w:firstLine="708"/>
        <w:jc w:val="both"/>
        <w:rPr>
          <w:rFonts w:ascii="Times New Roman" w:hAnsi="Times New Roman" w:cs="Times New Roman"/>
          <w:sz w:val="28"/>
          <w:szCs w:val="28"/>
        </w:rPr>
      </w:pPr>
      <w:r w:rsidRPr="003D3D49">
        <w:rPr>
          <w:rFonts w:ascii="Times New Roman" w:eastAsia="Times New Roman" w:hAnsi="Times New Roman" w:cs="Times New Roman"/>
          <w:kern w:val="0"/>
          <w:sz w:val="28"/>
          <w:szCs w:val="28"/>
          <w:lang w:eastAsia="uk-UA"/>
          <w14:ligatures w14:val="none"/>
        </w:rPr>
        <w:t>Прогноз капіталізації підприємства розраховано на середньостроковий період (2026</w:t>
      </w:r>
      <w:r w:rsidR="006F463A">
        <w:rPr>
          <w:rFonts w:ascii="Times New Roman" w:eastAsia="Times New Roman" w:hAnsi="Times New Roman" w:cs="Times New Roman"/>
          <w:kern w:val="0"/>
          <w:sz w:val="28"/>
          <w:szCs w:val="28"/>
          <w:lang w:eastAsia="uk-UA"/>
          <w14:ligatures w14:val="none"/>
        </w:rPr>
        <w:t>-</w:t>
      </w:r>
      <w:r w:rsidRPr="003D3D49">
        <w:rPr>
          <w:rFonts w:ascii="Times New Roman" w:eastAsia="Times New Roman" w:hAnsi="Times New Roman" w:cs="Times New Roman"/>
          <w:kern w:val="0"/>
          <w:sz w:val="28"/>
          <w:szCs w:val="28"/>
          <w:lang w:eastAsia="uk-UA"/>
          <w14:ligatures w14:val="none"/>
        </w:rPr>
        <w:t xml:space="preserve">2028 рр.) з урахуванням глибоких структурних зрушень у фінансовому стані компанії, зафіксованих наприкінці 2025 року. Кожен сценарій </w:t>
      </w:r>
      <w:proofErr w:type="spellStart"/>
      <w:r w:rsidRPr="003D3D49">
        <w:rPr>
          <w:rFonts w:ascii="Times New Roman" w:eastAsia="Times New Roman" w:hAnsi="Times New Roman" w:cs="Times New Roman"/>
          <w:kern w:val="0"/>
          <w:sz w:val="28"/>
          <w:szCs w:val="28"/>
          <w:lang w:eastAsia="uk-UA"/>
          <w14:ligatures w14:val="none"/>
        </w:rPr>
        <w:t>параметризовано</w:t>
      </w:r>
      <w:proofErr w:type="spellEnd"/>
      <w:r w:rsidRPr="003D3D49">
        <w:rPr>
          <w:rFonts w:ascii="Times New Roman" w:eastAsia="Times New Roman" w:hAnsi="Times New Roman" w:cs="Times New Roman"/>
          <w:kern w:val="0"/>
          <w:sz w:val="28"/>
          <w:szCs w:val="28"/>
          <w:lang w:eastAsia="uk-UA"/>
          <w14:ligatures w14:val="none"/>
        </w:rPr>
        <w:t xml:space="preserve"> унікальним набором фінансових маркерів (</w:t>
      </w:r>
      <w:r>
        <w:rPr>
          <w:rFonts w:ascii="Times New Roman" w:eastAsia="Times New Roman" w:hAnsi="Times New Roman" w:cs="Times New Roman"/>
          <w:kern w:val="0"/>
          <w:sz w:val="28"/>
          <w:szCs w:val="28"/>
          <w:lang w:eastAsia="uk-UA"/>
          <w14:ligatures w14:val="none"/>
        </w:rPr>
        <w:t>т</w:t>
      </w:r>
      <w:r w:rsidRPr="003D3D49">
        <w:rPr>
          <w:rFonts w:ascii="Times New Roman" w:eastAsia="Times New Roman" w:hAnsi="Times New Roman" w:cs="Times New Roman"/>
          <w:kern w:val="0"/>
          <w:sz w:val="28"/>
          <w:szCs w:val="28"/>
          <w:lang w:eastAsia="uk-UA"/>
          <w14:ligatures w14:val="none"/>
        </w:rPr>
        <w:t>абл</w:t>
      </w:r>
      <w:r>
        <w:rPr>
          <w:rFonts w:ascii="Times New Roman" w:eastAsia="Times New Roman" w:hAnsi="Times New Roman" w:cs="Times New Roman"/>
          <w:kern w:val="0"/>
          <w:sz w:val="28"/>
          <w:szCs w:val="28"/>
          <w:lang w:eastAsia="uk-UA"/>
          <w14:ligatures w14:val="none"/>
        </w:rPr>
        <w:t>.</w:t>
      </w:r>
      <w:r w:rsidRPr="003D3D49">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3.4</w:t>
      </w:r>
      <w:r w:rsidRPr="003D3D49">
        <w:rPr>
          <w:rFonts w:ascii="Times New Roman" w:eastAsia="Times New Roman" w:hAnsi="Times New Roman" w:cs="Times New Roman"/>
          <w:kern w:val="0"/>
          <w:sz w:val="28"/>
          <w:szCs w:val="28"/>
          <w:lang w:eastAsia="uk-UA"/>
          <w14:ligatures w14:val="none"/>
        </w:rPr>
        <w:t>).</w:t>
      </w:r>
    </w:p>
    <w:p w14:paraId="2D41007D" w14:textId="6803C058" w:rsidR="003D3D49" w:rsidRDefault="003D3D49" w:rsidP="006F463A">
      <w:pPr>
        <w:spacing w:after="0" w:line="360" w:lineRule="auto"/>
        <w:jc w:val="right"/>
        <w:outlineLvl w:val="2"/>
        <w:rPr>
          <w:rFonts w:ascii="Times New Roman" w:eastAsia="Times New Roman" w:hAnsi="Times New Roman" w:cs="Times New Roman"/>
          <w:kern w:val="0"/>
          <w:sz w:val="27"/>
          <w:szCs w:val="27"/>
          <w:lang w:eastAsia="uk-UA"/>
          <w14:ligatures w14:val="none"/>
        </w:rPr>
      </w:pPr>
      <w:r w:rsidRPr="003D3D49">
        <w:rPr>
          <w:rFonts w:ascii="Times New Roman" w:eastAsia="Times New Roman" w:hAnsi="Times New Roman" w:cs="Times New Roman"/>
          <w:kern w:val="0"/>
          <w:sz w:val="27"/>
          <w:szCs w:val="27"/>
          <w:lang w:eastAsia="uk-UA"/>
          <w14:ligatures w14:val="none"/>
        </w:rPr>
        <w:t xml:space="preserve">Таблиця </w:t>
      </w:r>
      <w:r w:rsidR="006F463A">
        <w:rPr>
          <w:rFonts w:ascii="Times New Roman" w:eastAsia="Times New Roman" w:hAnsi="Times New Roman" w:cs="Times New Roman"/>
          <w:kern w:val="0"/>
          <w:sz w:val="27"/>
          <w:szCs w:val="27"/>
          <w:lang w:eastAsia="uk-UA"/>
          <w14:ligatures w14:val="none"/>
        </w:rPr>
        <w:t>3.4</w:t>
      </w:r>
    </w:p>
    <w:p w14:paraId="7FA35003" w14:textId="1F3E1F3C" w:rsidR="003D3D49" w:rsidRPr="003D3D49" w:rsidRDefault="003D3D49" w:rsidP="006F463A">
      <w:pPr>
        <w:spacing w:after="0" w:line="360" w:lineRule="auto"/>
        <w:jc w:val="center"/>
        <w:outlineLvl w:val="2"/>
        <w:rPr>
          <w:rFonts w:ascii="Times New Roman" w:eastAsia="Times New Roman" w:hAnsi="Times New Roman" w:cs="Times New Roman"/>
          <w:kern w:val="0"/>
          <w:sz w:val="27"/>
          <w:szCs w:val="27"/>
          <w:lang w:eastAsia="uk-UA"/>
          <w14:ligatures w14:val="none"/>
        </w:rPr>
      </w:pPr>
      <w:r w:rsidRPr="003D3D49">
        <w:rPr>
          <w:rFonts w:ascii="Times New Roman" w:eastAsia="Times New Roman" w:hAnsi="Times New Roman" w:cs="Times New Roman"/>
          <w:kern w:val="0"/>
          <w:sz w:val="27"/>
          <w:szCs w:val="27"/>
          <w:lang w:eastAsia="uk-UA"/>
          <w14:ligatures w14:val="none"/>
        </w:rPr>
        <w:t>Вхідні параметри та макроекономічні допущення сценарного прогнозування</w:t>
      </w:r>
    </w:p>
    <w:tbl>
      <w:tblPr>
        <w:tblStyle w:val="af0"/>
        <w:tblW w:w="0" w:type="auto"/>
        <w:tblLook w:val="04A0" w:firstRow="1" w:lastRow="0" w:firstColumn="1" w:lastColumn="0" w:noHBand="0" w:noVBand="1"/>
      </w:tblPr>
      <w:tblGrid>
        <w:gridCol w:w="2328"/>
        <w:gridCol w:w="2645"/>
        <w:gridCol w:w="2602"/>
        <w:gridCol w:w="2052"/>
      </w:tblGrid>
      <w:tr w:rsidR="003D3D49" w:rsidRPr="003D3D49" w14:paraId="0E496118" w14:textId="77777777" w:rsidTr="006F463A">
        <w:tc>
          <w:tcPr>
            <w:tcW w:w="0" w:type="auto"/>
            <w:hideMark/>
          </w:tcPr>
          <w:p w14:paraId="3741774E"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Параметри моделювання вартості</w:t>
            </w:r>
          </w:p>
        </w:tc>
        <w:tc>
          <w:tcPr>
            <w:tcW w:w="2645" w:type="dxa"/>
            <w:hideMark/>
          </w:tcPr>
          <w:p w14:paraId="658ABAAF" w14:textId="55D8DD7F"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Сценарій 1</w:t>
            </w:r>
            <w:r w:rsidR="006F463A">
              <w:rPr>
                <w:rFonts w:ascii="Times New Roman" w:eastAsia="Times New Roman" w:hAnsi="Times New Roman" w:cs="Times New Roman"/>
                <w:kern w:val="0"/>
                <w:sz w:val="24"/>
                <w:szCs w:val="24"/>
                <w:lang w:eastAsia="uk-UA"/>
                <w14:ligatures w14:val="none"/>
              </w:rPr>
              <w:t>.</w:t>
            </w:r>
            <w:r w:rsidRPr="006F463A">
              <w:rPr>
                <w:rFonts w:ascii="Times New Roman" w:eastAsia="Times New Roman" w:hAnsi="Times New Roman" w:cs="Times New Roman"/>
                <w:kern w:val="0"/>
                <w:sz w:val="24"/>
                <w:szCs w:val="24"/>
                <w:lang w:eastAsia="uk-UA"/>
                <w14:ligatures w14:val="none"/>
              </w:rPr>
              <w:t xml:space="preserve"> Песимістичний</w:t>
            </w:r>
          </w:p>
        </w:tc>
        <w:tc>
          <w:tcPr>
            <w:tcW w:w="2602" w:type="dxa"/>
            <w:hideMark/>
          </w:tcPr>
          <w:p w14:paraId="58D51BA7" w14:textId="77777777" w:rsid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Сценарій 2</w:t>
            </w:r>
            <w:r w:rsidR="006F463A">
              <w:rPr>
                <w:rFonts w:ascii="Times New Roman" w:eastAsia="Times New Roman" w:hAnsi="Times New Roman" w:cs="Times New Roman"/>
                <w:kern w:val="0"/>
                <w:sz w:val="24"/>
                <w:szCs w:val="24"/>
                <w:lang w:eastAsia="uk-UA"/>
                <w14:ligatures w14:val="none"/>
              </w:rPr>
              <w:t>.</w:t>
            </w:r>
          </w:p>
          <w:p w14:paraId="1628B321" w14:textId="0F6CB7D5"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Реалістичний</w:t>
            </w:r>
          </w:p>
        </w:tc>
        <w:tc>
          <w:tcPr>
            <w:tcW w:w="0" w:type="auto"/>
            <w:hideMark/>
          </w:tcPr>
          <w:p w14:paraId="326CAD84" w14:textId="513B7633"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Сценарій 3</w:t>
            </w:r>
            <w:r w:rsidR="006F463A">
              <w:rPr>
                <w:rFonts w:ascii="Times New Roman" w:eastAsia="Times New Roman" w:hAnsi="Times New Roman" w:cs="Times New Roman"/>
                <w:kern w:val="0"/>
                <w:sz w:val="24"/>
                <w:szCs w:val="24"/>
                <w:lang w:eastAsia="uk-UA"/>
                <w14:ligatures w14:val="none"/>
              </w:rPr>
              <w:t>.</w:t>
            </w:r>
            <w:r w:rsidRPr="006F463A">
              <w:rPr>
                <w:rFonts w:ascii="Times New Roman" w:eastAsia="Times New Roman" w:hAnsi="Times New Roman" w:cs="Times New Roman"/>
                <w:kern w:val="0"/>
                <w:sz w:val="24"/>
                <w:szCs w:val="24"/>
                <w:lang w:eastAsia="uk-UA"/>
                <w14:ligatures w14:val="none"/>
              </w:rPr>
              <w:t xml:space="preserve"> Оптимістичний</w:t>
            </w:r>
          </w:p>
        </w:tc>
      </w:tr>
      <w:tr w:rsidR="003D3D49" w:rsidRPr="003D3D49" w14:paraId="0D861208" w14:textId="77777777" w:rsidTr="006F463A">
        <w:tc>
          <w:tcPr>
            <w:tcW w:w="0" w:type="auto"/>
            <w:hideMark/>
          </w:tcPr>
          <w:p w14:paraId="301E9BC7" w14:textId="77777777"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Екзогенні (зовнішні) умови розвитку</w:t>
            </w:r>
          </w:p>
        </w:tc>
        <w:tc>
          <w:tcPr>
            <w:tcW w:w="2645" w:type="dxa"/>
            <w:hideMark/>
          </w:tcPr>
          <w:p w14:paraId="214AF4C4" w14:textId="77777777"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Активні бойові дії, блокування/обмеження експорту, дефіцит енергоносіїв</w:t>
            </w:r>
          </w:p>
        </w:tc>
        <w:tc>
          <w:tcPr>
            <w:tcW w:w="2602" w:type="dxa"/>
            <w:hideMark/>
          </w:tcPr>
          <w:p w14:paraId="539CC404" w14:textId="77777777"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Збереження поточних умов підтримки, стабільна робота наявних логістичних коридорів</w:t>
            </w:r>
          </w:p>
        </w:tc>
        <w:tc>
          <w:tcPr>
            <w:tcW w:w="0" w:type="auto"/>
            <w:hideMark/>
          </w:tcPr>
          <w:p w14:paraId="4018ABDD" w14:textId="15A0A9CF"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Припинення вогню, приплив ПІІ</w:t>
            </w:r>
          </w:p>
        </w:tc>
      </w:tr>
      <w:tr w:rsidR="003D3D49" w:rsidRPr="003D3D49" w14:paraId="665781E1" w14:textId="77777777" w:rsidTr="006F463A">
        <w:tc>
          <w:tcPr>
            <w:tcW w:w="0" w:type="auto"/>
            <w:hideMark/>
          </w:tcPr>
          <w:p w14:paraId="6B6E8117" w14:textId="77777777"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Середньорічний темп приросту виручки, %</w:t>
            </w:r>
          </w:p>
        </w:tc>
        <w:tc>
          <w:tcPr>
            <w:tcW w:w="2645" w:type="dxa"/>
            <w:hideMark/>
          </w:tcPr>
          <w:p w14:paraId="095B3470"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-15,0%</w:t>
            </w:r>
          </w:p>
        </w:tc>
        <w:tc>
          <w:tcPr>
            <w:tcW w:w="2602" w:type="dxa"/>
            <w:hideMark/>
          </w:tcPr>
          <w:p w14:paraId="0AF76184"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+12,0%</w:t>
            </w:r>
          </w:p>
        </w:tc>
        <w:tc>
          <w:tcPr>
            <w:tcW w:w="0" w:type="auto"/>
            <w:hideMark/>
          </w:tcPr>
          <w:p w14:paraId="4F64BA9A"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+35,0%</w:t>
            </w:r>
          </w:p>
        </w:tc>
      </w:tr>
      <w:tr w:rsidR="003D3D49" w:rsidRPr="003D3D49" w14:paraId="2D022F78" w14:textId="77777777" w:rsidTr="006F463A">
        <w:tc>
          <w:tcPr>
            <w:tcW w:w="0" w:type="auto"/>
            <w:hideMark/>
          </w:tcPr>
          <w:p w14:paraId="461E9012" w14:textId="67D36F60"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Операційна маржа (EBIT / Виручка), %</w:t>
            </w:r>
          </w:p>
        </w:tc>
        <w:tc>
          <w:tcPr>
            <w:tcW w:w="2645" w:type="dxa"/>
            <w:hideMark/>
          </w:tcPr>
          <w:p w14:paraId="1D89DBA2"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3,5%</w:t>
            </w:r>
          </w:p>
        </w:tc>
        <w:tc>
          <w:tcPr>
            <w:tcW w:w="2602" w:type="dxa"/>
            <w:hideMark/>
          </w:tcPr>
          <w:p w14:paraId="4CBB8834"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8,2%</w:t>
            </w:r>
          </w:p>
        </w:tc>
        <w:tc>
          <w:tcPr>
            <w:tcW w:w="0" w:type="auto"/>
            <w:hideMark/>
          </w:tcPr>
          <w:p w14:paraId="51650F20"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16,5%</w:t>
            </w:r>
          </w:p>
        </w:tc>
      </w:tr>
      <w:tr w:rsidR="003D3D49" w:rsidRPr="003D3D49" w14:paraId="3CC83B73" w14:textId="77777777" w:rsidTr="006F463A">
        <w:tc>
          <w:tcPr>
            <w:tcW w:w="0" w:type="auto"/>
            <w:hideMark/>
          </w:tcPr>
          <w:p w14:paraId="47E3D733" w14:textId="717C4806"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lastRenderedPageBreak/>
              <w:t>Середня ставка обслуговування боргів (IR), %</w:t>
            </w:r>
          </w:p>
        </w:tc>
        <w:tc>
          <w:tcPr>
            <w:tcW w:w="2645" w:type="dxa"/>
            <w:hideMark/>
          </w:tcPr>
          <w:p w14:paraId="0AC399BF"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22,0%</w:t>
            </w:r>
          </w:p>
        </w:tc>
        <w:tc>
          <w:tcPr>
            <w:tcW w:w="2602" w:type="dxa"/>
            <w:hideMark/>
          </w:tcPr>
          <w:p w14:paraId="0CEDDC2D"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16,5%</w:t>
            </w:r>
          </w:p>
        </w:tc>
        <w:tc>
          <w:tcPr>
            <w:tcW w:w="0" w:type="auto"/>
            <w:hideMark/>
          </w:tcPr>
          <w:p w14:paraId="1C246F22"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9,5%</w:t>
            </w:r>
          </w:p>
        </w:tc>
      </w:tr>
      <w:tr w:rsidR="003D3D49" w:rsidRPr="003D3D49" w14:paraId="69F9C545" w14:textId="77777777" w:rsidTr="006F463A">
        <w:tc>
          <w:tcPr>
            <w:tcW w:w="0" w:type="auto"/>
            <w:hideMark/>
          </w:tcPr>
          <w:p w14:paraId="689D8B48" w14:textId="120BA2BB"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Ставка дисконтування (WACC), %</w:t>
            </w:r>
          </w:p>
        </w:tc>
        <w:tc>
          <w:tcPr>
            <w:tcW w:w="2645" w:type="dxa"/>
            <w:hideMark/>
          </w:tcPr>
          <w:p w14:paraId="7EF5478F"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24,5%</w:t>
            </w:r>
          </w:p>
        </w:tc>
        <w:tc>
          <w:tcPr>
            <w:tcW w:w="2602" w:type="dxa"/>
            <w:hideMark/>
          </w:tcPr>
          <w:p w14:paraId="22C72333"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18,5%</w:t>
            </w:r>
          </w:p>
        </w:tc>
        <w:tc>
          <w:tcPr>
            <w:tcW w:w="0" w:type="auto"/>
            <w:hideMark/>
          </w:tcPr>
          <w:p w14:paraId="4C9E24E2"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12,0%</w:t>
            </w:r>
          </w:p>
        </w:tc>
      </w:tr>
      <w:tr w:rsidR="003D3D49" w:rsidRPr="003D3D49" w14:paraId="0EA65C52" w14:textId="77777777" w:rsidTr="006F463A">
        <w:tc>
          <w:tcPr>
            <w:tcW w:w="0" w:type="auto"/>
            <w:hideMark/>
          </w:tcPr>
          <w:p w14:paraId="2E11D9BC" w14:textId="27AEEB90" w:rsidR="003D3D49" w:rsidRPr="006F463A" w:rsidRDefault="003D3D49" w:rsidP="008F4F62">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 xml:space="preserve">Коефіцієнт реінвестування прибутку у </w:t>
            </w:r>
            <w:proofErr w:type="spellStart"/>
            <w:r w:rsidRPr="006F463A">
              <w:rPr>
                <w:rFonts w:ascii="Times New Roman" w:eastAsia="Times New Roman" w:hAnsi="Times New Roman" w:cs="Times New Roman"/>
                <w:kern w:val="0"/>
                <w:sz w:val="24"/>
                <w:szCs w:val="24"/>
                <w:lang w:eastAsia="uk-UA"/>
                <w14:ligatures w14:val="none"/>
              </w:rPr>
              <w:t>CapEx</w:t>
            </w:r>
            <w:proofErr w:type="spellEnd"/>
            <w:r w:rsidRPr="006F463A">
              <w:rPr>
                <w:rFonts w:ascii="Times New Roman" w:eastAsia="Times New Roman" w:hAnsi="Times New Roman" w:cs="Times New Roman"/>
                <w:kern w:val="0"/>
                <w:sz w:val="24"/>
                <w:szCs w:val="24"/>
                <w:lang w:eastAsia="uk-UA"/>
                <w14:ligatures w14:val="none"/>
              </w:rPr>
              <w:t>, %</w:t>
            </w:r>
          </w:p>
        </w:tc>
        <w:tc>
          <w:tcPr>
            <w:tcW w:w="2645" w:type="dxa"/>
            <w:hideMark/>
          </w:tcPr>
          <w:p w14:paraId="7DDAC9D3"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5,0%</w:t>
            </w:r>
          </w:p>
        </w:tc>
        <w:tc>
          <w:tcPr>
            <w:tcW w:w="2602" w:type="dxa"/>
            <w:hideMark/>
          </w:tcPr>
          <w:p w14:paraId="4D7D9D43"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25,0%</w:t>
            </w:r>
          </w:p>
        </w:tc>
        <w:tc>
          <w:tcPr>
            <w:tcW w:w="0" w:type="auto"/>
            <w:hideMark/>
          </w:tcPr>
          <w:p w14:paraId="6706E5AF" w14:textId="77777777" w:rsidR="003D3D49" w:rsidRPr="006F463A" w:rsidRDefault="003D3D49" w:rsidP="008F4F62">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60,0%</w:t>
            </w:r>
          </w:p>
        </w:tc>
      </w:tr>
    </w:tbl>
    <w:p w14:paraId="44E24099" w14:textId="77777777" w:rsidR="006F463A" w:rsidRDefault="006F463A" w:rsidP="008F4F62">
      <w:pPr>
        <w:spacing w:after="0" w:line="240" w:lineRule="auto"/>
        <w:rPr>
          <w:rFonts w:ascii="Times New Roman" w:eastAsia="Times New Roman" w:hAnsi="Times New Roman" w:cs="Times New Roman"/>
          <w:kern w:val="0"/>
          <w:sz w:val="24"/>
          <w:szCs w:val="24"/>
          <w:lang w:eastAsia="uk-UA"/>
          <w14:ligatures w14:val="none"/>
        </w:rPr>
      </w:pPr>
    </w:p>
    <w:p w14:paraId="2CE4E5AC" w14:textId="77777777" w:rsidR="006F463A" w:rsidRPr="006F463A" w:rsidRDefault="003D3D49" w:rsidP="006F463A">
      <w:pPr>
        <w:spacing w:after="0" w:line="360" w:lineRule="auto"/>
        <w:ind w:firstLine="680"/>
        <w:jc w:val="both"/>
        <w:rPr>
          <w:rFonts w:ascii="Times New Roman" w:eastAsia="Times New Roman" w:hAnsi="Times New Roman" w:cs="Times New Roman"/>
          <w:kern w:val="0"/>
          <w:sz w:val="28"/>
          <w:szCs w:val="28"/>
          <w:lang w:eastAsia="uk-UA"/>
          <w14:ligatures w14:val="none"/>
        </w:rPr>
      </w:pPr>
      <w:r w:rsidRPr="006F463A">
        <w:rPr>
          <w:rFonts w:ascii="Times New Roman" w:eastAsia="Times New Roman" w:hAnsi="Times New Roman" w:cs="Times New Roman"/>
          <w:kern w:val="0"/>
          <w:sz w:val="28"/>
          <w:szCs w:val="28"/>
          <w:lang w:eastAsia="uk-UA"/>
          <w14:ligatures w14:val="none"/>
        </w:rPr>
        <w:t>Використовуючи фінансову базу підприємства станом на кінець 2025 року (Власний капітал = 23,50 млрд грн; Чистий прибуток = 284,5 млн грн; Валюта балансу = 59,06 млрд грн), проведено імітаційне моделювання траєкторії капіталізації та розрахунок інвестиційної вартості бізнесу до 2028 року (</w:t>
      </w:r>
      <w:r w:rsidR="006F463A" w:rsidRPr="006F463A">
        <w:rPr>
          <w:rFonts w:ascii="Times New Roman" w:eastAsia="Times New Roman" w:hAnsi="Times New Roman" w:cs="Times New Roman"/>
          <w:kern w:val="0"/>
          <w:sz w:val="28"/>
          <w:szCs w:val="28"/>
          <w:lang w:eastAsia="uk-UA"/>
          <w14:ligatures w14:val="none"/>
        </w:rPr>
        <w:t>т</w:t>
      </w:r>
      <w:r w:rsidRPr="006F463A">
        <w:rPr>
          <w:rFonts w:ascii="Times New Roman" w:eastAsia="Times New Roman" w:hAnsi="Times New Roman" w:cs="Times New Roman"/>
          <w:kern w:val="0"/>
          <w:sz w:val="28"/>
          <w:szCs w:val="28"/>
          <w:lang w:eastAsia="uk-UA"/>
          <w14:ligatures w14:val="none"/>
        </w:rPr>
        <w:t>абл</w:t>
      </w:r>
      <w:r w:rsidR="006F463A" w:rsidRPr="006F463A">
        <w:rPr>
          <w:rFonts w:ascii="Times New Roman" w:eastAsia="Times New Roman" w:hAnsi="Times New Roman" w:cs="Times New Roman"/>
          <w:kern w:val="0"/>
          <w:sz w:val="28"/>
          <w:szCs w:val="28"/>
          <w:lang w:eastAsia="uk-UA"/>
          <w14:ligatures w14:val="none"/>
        </w:rPr>
        <w:t>. 3.5</w:t>
      </w:r>
      <w:r w:rsidRPr="006F463A">
        <w:rPr>
          <w:rFonts w:ascii="Times New Roman" w:eastAsia="Times New Roman" w:hAnsi="Times New Roman" w:cs="Times New Roman"/>
          <w:kern w:val="0"/>
          <w:sz w:val="28"/>
          <w:szCs w:val="28"/>
          <w:lang w:eastAsia="uk-UA"/>
          <w14:ligatures w14:val="none"/>
        </w:rPr>
        <w:t>).</w:t>
      </w:r>
    </w:p>
    <w:p w14:paraId="7050CA97" w14:textId="77777777" w:rsidR="006F463A" w:rsidRDefault="003D3D49" w:rsidP="006F463A">
      <w:pPr>
        <w:spacing w:after="0" w:line="360" w:lineRule="auto"/>
        <w:ind w:firstLine="680"/>
        <w:jc w:val="right"/>
        <w:rPr>
          <w:rFonts w:ascii="Times New Roman" w:eastAsia="Times New Roman" w:hAnsi="Times New Roman" w:cs="Times New Roman"/>
          <w:kern w:val="0"/>
          <w:sz w:val="27"/>
          <w:szCs w:val="27"/>
          <w:lang w:eastAsia="uk-UA"/>
          <w14:ligatures w14:val="none"/>
        </w:rPr>
      </w:pPr>
      <w:r w:rsidRPr="006F463A">
        <w:rPr>
          <w:rFonts w:ascii="Times New Roman" w:eastAsia="Times New Roman" w:hAnsi="Times New Roman" w:cs="Times New Roman"/>
          <w:kern w:val="0"/>
          <w:sz w:val="27"/>
          <w:szCs w:val="27"/>
          <w:lang w:eastAsia="uk-UA"/>
          <w14:ligatures w14:val="none"/>
        </w:rPr>
        <w:t xml:space="preserve">Таблиця </w:t>
      </w:r>
      <w:r w:rsidR="006F463A" w:rsidRPr="006F463A">
        <w:rPr>
          <w:rFonts w:ascii="Times New Roman" w:eastAsia="Times New Roman" w:hAnsi="Times New Roman" w:cs="Times New Roman"/>
          <w:kern w:val="0"/>
          <w:sz w:val="27"/>
          <w:szCs w:val="27"/>
          <w:lang w:eastAsia="uk-UA"/>
          <w14:ligatures w14:val="none"/>
        </w:rPr>
        <w:t>3.5</w:t>
      </w:r>
    </w:p>
    <w:p w14:paraId="7C555259" w14:textId="2CF28E7B" w:rsidR="003D3D49" w:rsidRPr="006F463A" w:rsidRDefault="003D3D49" w:rsidP="006F463A">
      <w:pPr>
        <w:spacing w:after="0" w:line="360" w:lineRule="auto"/>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7"/>
          <w:szCs w:val="27"/>
          <w:lang w:eastAsia="uk-UA"/>
          <w14:ligatures w14:val="none"/>
        </w:rPr>
        <w:t xml:space="preserve">Розрахункові показники капіталізації </w:t>
      </w:r>
      <w:r w:rsidR="006F463A" w:rsidRPr="006F463A">
        <w:rPr>
          <w:rFonts w:ascii="Times New Roman" w:hAnsi="Times New Roman" w:cs="Times New Roman"/>
          <w:sz w:val="28"/>
          <w:szCs w:val="28"/>
        </w:rPr>
        <w:t>ТОВ «КЕРНЕЛ-ТРЕЙД»</w:t>
      </w:r>
      <w:r w:rsidRPr="006F463A">
        <w:rPr>
          <w:rFonts w:ascii="Times New Roman" w:eastAsia="Times New Roman" w:hAnsi="Times New Roman" w:cs="Times New Roman"/>
          <w:kern w:val="0"/>
          <w:sz w:val="27"/>
          <w:szCs w:val="27"/>
          <w:lang w:eastAsia="uk-UA"/>
          <w14:ligatures w14:val="none"/>
        </w:rPr>
        <w:t xml:space="preserve"> за сценаріями прогнозу (на кінець 2028 р.)</w:t>
      </w:r>
    </w:p>
    <w:tbl>
      <w:tblPr>
        <w:tblStyle w:val="af0"/>
        <w:tblW w:w="0" w:type="auto"/>
        <w:tblInd w:w="-147" w:type="dxa"/>
        <w:tblLook w:val="04A0" w:firstRow="1" w:lastRow="0" w:firstColumn="1" w:lastColumn="0" w:noHBand="0" w:noVBand="1"/>
      </w:tblPr>
      <w:tblGrid>
        <w:gridCol w:w="1893"/>
        <w:gridCol w:w="1102"/>
        <w:gridCol w:w="1833"/>
        <w:gridCol w:w="1632"/>
        <w:gridCol w:w="1853"/>
        <w:gridCol w:w="1461"/>
      </w:tblGrid>
      <w:tr w:rsidR="003D3D49" w:rsidRPr="006F463A" w14:paraId="07221E54" w14:textId="77777777" w:rsidTr="006F463A">
        <w:tc>
          <w:tcPr>
            <w:tcW w:w="1894" w:type="dxa"/>
            <w:hideMark/>
          </w:tcPr>
          <w:p w14:paraId="70452DF2"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Фінансові індикатори моделі вартості</w:t>
            </w:r>
          </w:p>
        </w:tc>
        <w:tc>
          <w:tcPr>
            <w:tcW w:w="0" w:type="auto"/>
            <w:hideMark/>
          </w:tcPr>
          <w:p w14:paraId="29008272"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Базовий рік (2025 р., факт)</w:t>
            </w:r>
          </w:p>
        </w:tc>
        <w:tc>
          <w:tcPr>
            <w:tcW w:w="0" w:type="auto"/>
            <w:hideMark/>
          </w:tcPr>
          <w:p w14:paraId="139907B0"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Сценарій 1: Песимістичний</w:t>
            </w:r>
          </w:p>
        </w:tc>
        <w:tc>
          <w:tcPr>
            <w:tcW w:w="0" w:type="auto"/>
            <w:hideMark/>
          </w:tcPr>
          <w:p w14:paraId="70C8AE38"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Сценарій 2: Реалістичний</w:t>
            </w:r>
          </w:p>
        </w:tc>
        <w:tc>
          <w:tcPr>
            <w:tcW w:w="0" w:type="auto"/>
            <w:hideMark/>
          </w:tcPr>
          <w:p w14:paraId="5DD09EE4"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Сценарій 3: Оптимістичний</w:t>
            </w:r>
          </w:p>
        </w:tc>
        <w:tc>
          <w:tcPr>
            <w:tcW w:w="0" w:type="auto"/>
            <w:hideMark/>
          </w:tcPr>
          <w:p w14:paraId="276C771B"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Абсолютна зміна (</w:t>
            </w:r>
            <w:proofErr w:type="spellStart"/>
            <w:r w:rsidRPr="006F463A">
              <w:rPr>
                <w:rFonts w:ascii="Times New Roman" w:eastAsia="Times New Roman" w:hAnsi="Times New Roman" w:cs="Times New Roman"/>
                <w:kern w:val="0"/>
                <w:sz w:val="24"/>
                <w:szCs w:val="24"/>
                <w:lang w:eastAsia="uk-UA"/>
                <w14:ligatures w14:val="none"/>
              </w:rPr>
              <w:t>Сц</w:t>
            </w:r>
            <w:proofErr w:type="spellEnd"/>
            <w:r w:rsidRPr="006F463A">
              <w:rPr>
                <w:rFonts w:ascii="Times New Roman" w:eastAsia="Times New Roman" w:hAnsi="Times New Roman" w:cs="Times New Roman"/>
                <w:kern w:val="0"/>
                <w:sz w:val="24"/>
                <w:szCs w:val="24"/>
                <w:lang w:eastAsia="uk-UA"/>
                <w14:ligatures w14:val="none"/>
              </w:rPr>
              <w:t>. 3 до 2025 р.), +/-</w:t>
            </w:r>
          </w:p>
        </w:tc>
      </w:tr>
      <w:tr w:rsidR="003D3D49" w:rsidRPr="006F463A" w14:paraId="49EA2468" w14:textId="77777777" w:rsidTr="006F463A">
        <w:tc>
          <w:tcPr>
            <w:tcW w:w="1894" w:type="dxa"/>
            <w:hideMark/>
          </w:tcPr>
          <w:p w14:paraId="42F235FC" w14:textId="77777777" w:rsidR="003D3D49" w:rsidRPr="006F463A" w:rsidRDefault="003D3D49" w:rsidP="003D3D49">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Чистий дохід (виручка), млрд грн</w:t>
            </w:r>
          </w:p>
        </w:tc>
        <w:tc>
          <w:tcPr>
            <w:tcW w:w="0" w:type="auto"/>
            <w:hideMark/>
          </w:tcPr>
          <w:p w14:paraId="610DEA99"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105,94</w:t>
            </w:r>
          </w:p>
        </w:tc>
        <w:tc>
          <w:tcPr>
            <w:tcW w:w="0" w:type="auto"/>
            <w:hideMark/>
          </w:tcPr>
          <w:p w14:paraId="6DEDD88E"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64,80</w:t>
            </w:r>
          </w:p>
        </w:tc>
        <w:tc>
          <w:tcPr>
            <w:tcW w:w="0" w:type="auto"/>
            <w:hideMark/>
          </w:tcPr>
          <w:p w14:paraId="5899ABC8"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148,84</w:t>
            </w:r>
          </w:p>
        </w:tc>
        <w:tc>
          <w:tcPr>
            <w:tcW w:w="0" w:type="auto"/>
            <w:hideMark/>
          </w:tcPr>
          <w:p w14:paraId="1A5FFC96"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260,56</w:t>
            </w:r>
          </w:p>
        </w:tc>
        <w:tc>
          <w:tcPr>
            <w:tcW w:w="0" w:type="auto"/>
            <w:hideMark/>
          </w:tcPr>
          <w:p w14:paraId="6F69D3AA"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+154,62</w:t>
            </w:r>
          </w:p>
        </w:tc>
      </w:tr>
      <w:tr w:rsidR="003D3D49" w:rsidRPr="006F463A" w14:paraId="0682EE69" w14:textId="77777777" w:rsidTr="006F463A">
        <w:tc>
          <w:tcPr>
            <w:tcW w:w="1894" w:type="dxa"/>
            <w:hideMark/>
          </w:tcPr>
          <w:p w14:paraId="3683892A" w14:textId="77777777" w:rsidR="003D3D49" w:rsidRPr="006F463A" w:rsidRDefault="003D3D49" w:rsidP="003D3D49">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Чистий фінансовий результат (прибуток), млрд грн</w:t>
            </w:r>
          </w:p>
        </w:tc>
        <w:tc>
          <w:tcPr>
            <w:tcW w:w="0" w:type="auto"/>
            <w:hideMark/>
          </w:tcPr>
          <w:p w14:paraId="6F31F2DC"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0,28</w:t>
            </w:r>
          </w:p>
        </w:tc>
        <w:tc>
          <w:tcPr>
            <w:tcW w:w="0" w:type="auto"/>
            <w:hideMark/>
          </w:tcPr>
          <w:p w14:paraId="6A3EE39F"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-2,15</w:t>
            </w:r>
          </w:p>
        </w:tc>
        <w:tc>
          <w:tcPr>
            <w:tcW w:w="0" w:type="auto"/>
            <w:hideMark/>
          </w:tcPr>
          <w:p w14:paraId="09AF34CA"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4,85</w:t>
            </w:r>
          </w:p>
        </w:tc>
        <w:tc>
          <w:tcPr>
            <w:tcW w:w="0" w:type="auto"/>
            <w:hideMark/>
          </w:tcPr>
          <w:p w14:paraId="2188DDAF"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22,40</w:t>
            </w:r>
          </w:p>
        </w:tc>
        <w:tc>
          <w:tcPr>
            <w:tcW w:w="0" w:type="auto"/>
            <w:hideMark/>
          </w:tcPr>
          <w:p w14:paraId="1AAD542C"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+22,12</w:t>
            </w:r>
          </w:p>
        </w:tc>
      </w:tr>
      <w:tr w:rsidR="003D3D49" w:rsidRPr="006F463A" w14:paraId="7BB82147" w14:textId="77777777" w:rsidTr="006F463A">
        <w:tc>
          <w:tcPr>
            <w:tcW w:w="1894" w:type="dxa"/>
            <w:hideMark/>
          </w:tcPr>
          <w:p w14:paraId="6800DE20" w14:textId="5814F02A" w:rsidR="003D3D49" w:rsidRPr="006F463A" w:rsidRDefault="003D3D49" w:rsidP="003D3D49">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Власний капітал (</w:t>
            </w:r>
            <w:r w:rsidR="006F463A">
              <w:rPr>
                <w:rFonts w:ascii="Times New Roman" w:eastAsia="Times New Roman" w:hAnsi="Times New Roman" w:cs="Times New Roman"/>
                <w:kern w:val="0"/>
                <w:sz w:val="24"/>
                <w:szCs w:val="24"/>
                <w:lang w:eastAsia="uk-UA"/>
                <w14:ligatures w14:val="none"/>
              </w:rPr>
              <w:t>б</w:t>
            </w:r>
            <w:r w:rsidRPr="006F463A">
              <w:rPr>
                <w:rFonts w:ascii="Times New Roman" w:eastAsia="Times New Roman" w:hAnsi="Times New Roman" w:cs="Times New Roman"/>
                <w:kern w:val="0"/>
                <w:sz w:val="24"/>
                <w:szCs w:val="24"/>
                <w:lang w:eastAsia="uk-UA"/>
                <w14:ligatures w14:val="none"/>
              </w:rPr>
              <w:t>аза капіталізації), млрд грн</w:t>
            </w:r>
          </w:p>
        </w:tc>
        <w:tc>
          <w:tcPr>
            <w:tcW w:w="0" w:type="auto"/>
            <w:hideMark/>
          </w:tcPr>
          <w:p w14:paraId="0456635F"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23,50</w:t>
            </w:r>
          </w:p>
        </w:tc>
        <w:tc>
          <w:tcPr>
            <w:tcW w:w="0" w:type="auto"/>
            <w:hideMark/>
          </w:tcPr>
          <w:p w14:paraId="012EDCA7"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21,35</w:t>
            </w:r>
          </w:p>
        </w:tc>
        <w:tc>
          <w:tcPr>
            <w:tcW w:w="0" w:type="auto"/>
            <w:hideMark/>
          </w:tcPr>
          <w:p w14:paraId="7DD39B6D"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26,20</w:t>
            </w:r>
          </w:p>
        </w:tc>
        <w:tc>
          <w:tcPr>
            <w:tcW w:w="0" w:type="auto"/>
            <w:hideMark/>
          </w:tcPr>
          <w:p w14:paraId="39FE9D9C"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38,40</w:t>
            </w:r>
          </w:p>
        </w:tc>
        <w:tc>
          <w:tcPr>
            <w:tcW w:w="0" w:type="auto"/>
            <w:hideMark/>
          </w:tcPr>
          <w:p w14:paraId="77F1362C"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+14,90</w:t>
            </w:r>
          </w:p>
        </w:tc>
      </w:tr>
      <w:tr w:rsidR="003D3D49" w:rsidRPr="006F463A" w14:paraId="095CA699" w14:textId="77777777" w:rsidTr="006F463A">
        <w:tc>
          <w:tcPr>
            <w:tcW w:w="1894" w:type="dxa"/>
            <w:hideMark/>
          </w:tcPr>
          <w:p w14:paraId="61E1A531" w14:textId="485D3B0F" w:rsidR="003D3D49" w:rsidRPr="006F463A" w:rsidRDefault="003D3D49" w:rsidP="003D3D49">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 xml:space="preserve">Коефіцієнт фінансової автономії (норма </w:t>
            </w:r>
            <w:r w:rsidR="006F463A" w:rsidRPr="006F463A">
              <w:rPr>
                <w:rFonts w:ascii="Times New Roman" w:eastAsia="Times New Roman" w:hAnsi="Times New Roman" w:cs="Times New Roman"/>
                <w:kern w:val="0"/>
                <w:sz w:val="24"/>
                <w:szCs w:val="24"/>
                <w:lang w:eastAsia="uk-UA"/>
                <w14:ligatures w14:val="none"/>
              </w:rPr>
              <w:t>≥</w:t>
            </w:r>
            <w:r w:rsidR="006F463A">
              <w:rPr>
                <w:rFonts w:ascii="Times New Roman" w:eastAsia="Times New Roman" w:hAnsi="Times New Roman" w:cs="Times New Roman"/>
                <w:kern w:val="0"/>
                <w:sz w:val="24"/>
                <w:szCs w:val="24"/>
                <w:lang w:eastAsia="uk-UA"/>
                <w14:ligatures w14:val="none"/>
              </w:rPr>
              <w:t xml:space="preserve"> </w:t>
            </w:r>
            <w:r w:rsidRPr="006F463A">
              <w:rPr>
                <w:rFonts w:ascii="Times New Roman" w:eastAsia="Times New Roman" w:hAnsi="Times New Roman" w:cs="Times New Roman"/>
                <w:kern w:val="0"/>
                <w:sz w:val="24"/>
                <w:szCs w:val="24"/>
                <w:lang w:eastAsia="uk-UA"/>
                <w14:ligatures w14:val="none"/>
              </w:rPr>
              <w:t>0,5)</w:t>
            </w:r>
          </w:p>
        </w:tc>
        <w:tc>
          <w:tcPr>
            <w:tcW w:w="0" w:type="auto"/>
            <w:hideMark/>
          </w:tcPr>
          <w:p w14:paraId="288B2125"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0,398</w:t>
            </w:r>
          </w:p>
        </w:tc>
        <w:tc>
          <w:tcPr>
            <w:tcW w:w="0" w:type="auto"/>
            <w:hideMark/>
          </w:tcPr>
          <w:p w14:paraId="7C8341D5"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0,345</w:t>
            </w:r>
          </w:p>
        </w:tc>
        <w:tc>
          <w:tcPr>
            <w:tcW w:w="0" w:type="auto"/>
            <w:hideMark/>
          </w:tcPr>
          <w:p w14:paraId="52818DD3"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0,465</w:t>
            </w:r>
          </w:p>
        </w:tc>
        <w:tc>
          <w:tcPr>
            <w:tcW w:w="0" w:type="auto"/>
            <w:hideMark/>
          </w:tcPr>
          <w:p w14:paraId="4F2AC4D2"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0,580</w:t>
            </w:r>
          </w:p>
        </w:tc>
        <w:tc>
          <w:tcPr>
            <w:tcW w:w="0" w:type="auto"/>
            <w:hideMark/>
          </w:tcPr>
          <w:p w14:paraId="36CD9F15"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+0,182</w:t>
            </w:r>
          </w:p>
        </w:tc>
      </w:tr>
      <w:tr w:rsidR="003D3D49" w:rsidRPr="006F463A" w14:paraId="1FC7E1DC" w14:textId="77777777" w:rsidTr="006F463A">
        <w:tc>
          <w:tcPr>
            <w:tcW w:w="1894" w:type="dxa"/>
            <w:hideMark/>
          </w:tcPr>
          <w:p w14:paraId="426FF760" w14:textId="714F1294" w:rsidR="003D3D49" w:rsidRPr="006F463A" w:rsidRDefault="003D3D49" w:rsidP="003D3D49">
            <w:pP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Інвестиційна вартість бізнесу, млрд грн</w:t>
            </w:r>
          </w:p>
        </w:tc>
        <w:tc>
          <w:tcPr>
            <w:tcW w:w="0" w:type="auto"/>
            <w:hideMark/>
          </w:tcPr>
          <w:p w14:paraId="5C71F5C4"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14,20</w:t>
            </w:r>
          </w:p>
        </w:tc>
        <w:tc>
          <w:tcPr>
            <w:tcW w:w="0" w:type="auto"/>
            <w:hideMark/>
          </w:tcPr>
          <w:p w14:paraId="1AEE3C84"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5,40</w:t>
            </w:r>
          </w:p>
        </w:tc>
        <w:tc>
          <w:tcPr>
            <w:tcW w:w="0" w:type="auto"/>
            <w:hideMark/>
          </w:tcPr>
          <w:p w14:paraId="40946567"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22,80</w:t>
            </w:r>
          </w:p>
        </w:tc>
        <w:tc>
          <w:tcPr>
            <w:tcW w:w="0" w:type="auto"/>
            <w:hideMark/>
          </w:tcPr>
          <w:p w14:paraId="1802E4E8"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56,30</w:t>
            </w:r>
          </w:p>
        </w:tc>
        <w:tc>
          <w:tcPr>
            <w:tcW w:w="0" w:type="auto"/>
            <w:hideMark/>
          </w:tcPr>
          <w:p w14:paraId="42144C82" w14:textId="77777777" w:rsidR="003D3D49" w:rsidRPr="006F463A" w:rsidRDefault="003D3D49" w:rsidP="006F463A">
            <w:pPr>
              <w:jc w:val="center"/>
              <w:rPr>
                <w:rFonts w:ascii="Times New Roman" w:eastAsia="Times New Roman" w:hAnsi="Times New Roman" w:cs="Times New Roman"/>
                <w:kern w:val="0"/>
                <w:sz w:val="24"/>
                <w:szCs w:val="24"/>
                <w:lang w:eastAsia="uk-UA"/>
                <w14:ligatures w14:val="none"/>
              </w:rPr>
            </w:pPr>
            <w:r w:rsidRPr="006F463A">
              <w:rPr>
                <w:rFonts w:ascii="Times New Roman" w:eastAsia="Times New Roman" w:hAnsi="Times New Roman" w:cs="Times New Roman"/>
                <w:kern w:val="0"/>
                <w:sz w:val="24"/>
                <w:szCs w:val="24"/>
                <w:lang w:eastAsia="uk-UA"/>
                <w14:ligatures w14:val="none"/>
              </w:rPr>
              <w:t>+42,10</w:t>
            </w:r>
          </w:p>
        </w:tc>
      </w:tr>
    </w:tbl>
    <w:p w14:paraId="6EB42239" w14:textId="77777777" w:rsidR="006F463A" w:rsidRDefault="006F463A" w:rsidP="006F463A">
      <w:pPr>
        <w:spacing w:after="0" w:line="360" w:lineRule="auto"/>
        <w:ind w:firstLine="709"/>
        <w:jc w:val="both"/>
        <w:outlineLvl w:val="2"/>
        <w:rPr>
          <w:rFonts w:ascii="Times New Roman" w:eastAsia="Times New Roman" w:hAnsi="Times New Roman" w:cs="Times New Roman"/>
          <w:kern w:val="0"/>
          <w:sz w:val="28"/>
          <w:szCs w:val="28"/>
          <w:lang w:eastAsia="uk-UA"/>
          <w14:ligatures w14:val="none"/>
        </w:rPr>
      </w:pPr>
    </w:p>
    <w:p w14:paraId="5230651A" w14:textId="1696589E" w:rsidR="003D3D49" w:rsidRPr="006F463A" w:rsidRDefault="003D3D49" w:rsidP="006F463A">
      <w:pPr>
        <w:spacing w:after="0" w:line="360" w:lineRule="auto"/>
        <w:ind w:firstLine="709"/>
        <w:jc w:val="both"/>
        <w:outlineLvl w:val="2"/>
        <w:rPr>
          <w:rFonts w:ascii="Times New Roman" w:eastAsia="Times New Roman" w:hAnsi="Times New Roman" w:cs="Times New Roman"/>
          <w:kern w:val="0"/>
          <w:sz w:val="28"/>
          <w:szCs w:val="28"/>
          <w:lang w:eastAsia="uk-UA"/>
          <w14:ligatures w14:val="none"/>
        </w:rPr>
      </w:pPr>
      <w:r w:rsidRPr="006F463A">
        <w:rPr>
          <w:rFonts w:ascii="Times New Roman" w:eastAsia="Times New Roman" w:hAnsi="Times New Roman" w:cs="Times New Roman"/>
          <w:kern w:val="0"/>
          <w:sz w:val="28"/>
          <w:szCs w:val="28"/>
          <w:lang w:eastAsia="uk-UA"/>
          <w14:ligatures w14:val="none"/>
        </w:rPr>
        <w:lastRenderedPageBreak/>
        <w:t>Економічна інтерпретація результатів сценарного прогнозування</w:t>
      </w:r>
      <w:r w:rsidR="00172926">
        <w:rPr>
          <w:rFonts w:ascii="Times New Roman" w:eastAsia="Times New Roman" w:hAnsi="Times New Roman" w:cs="Times New Roman"/>
          <w:kern w:val="0"/>
          <w:sz w:val="28"/>
          <w:szCs w:val="28"/>
          <w:lang w:eastAsia="uk-UA"/>
          <w14:ligatures w14:val="none"/>
        </w:rPr>
        <w:t xml:space="preserve"> для </w:t>
      </w:r>
      <w:r w:rsidR="00172926" w:rsidRPr="006F463A">
        <w:rPr>
          <w:rFonts w:ascii="Times New Roman" w:hAnsi="Times New Roman" w:cs="Times New Roman"/>
          <w:sz w:val="28"/>
          <w:szCs w:val="28"/>
        </w:rPr>
        <w:t>ТОВ «КЕРНЕЛ-ТРЕЙД»</w:t>
      </w:r>
      <w:r w:rsidRPr="006F463A">
        <w:rPr>
          <w:rFonts w:ascii="Times New Roman" w:eastAsia="Times New Roman" w:hAnsi="Times New Roman" w:cs="Times New Roman"/>
          <w:kern w:val="0"/>
          <w:sz w:val="28"/>
          <w:szCs w:val="28"/>
          <w:lang w:eastAsia="uk-UA"/>
          <w14:ligatures w14:val="none"/>
        </w:rPr>
        <w:t>:</w:t>
      </w:r>
    </w:p>
    <w:p w14:paraId="05A32CAD" w14:textId="2BBA109E" w:rsidR="003D3D49" w:rsidRPr="006F463A" w:rsidRDefault="003D3D49" w:rsidP="00172926">
      <w:pPr>
        <w:spacing w:after="0" w:line="360" w:lineRule="auto"/>
        <w:ind w:firstLine="709"/>
        <w:jc w:val="both"/>
        <w:outlineLvl w:val="3"/>
        <w:rPr>
          <w:rFonts w:ascii="Times New Roman" w:eastAsia="Times New Roman" w:hAnsi="Times New Roman" w:cs="Times New Roman"/>
          <w:kern w:val="0"/>
          <w:sz w:val="28"/>
          <w:szCs w:val="28"/>
          <w:lang w:eastAsia="uk-UA"/>
          <w14:ligatures w14:val="none"/>
        </w:rPr>
      </w:pPr>
      <w:r w:rsidRPr="006F463A">
        <w:rPr>
          <w:rFonts w:ascii="Times New Roman" w:eastAsia="Times New Roman" w:hAnsi="Times New Roman" w:cs="Times New Roman"/>
          <w:kern w:val="0"/>
          <w:sz w:val="28"/>
          <w:szCs w:val="28"/>
          <w:lang w:eastAsia="uk-UA"/>
          <w14:ligatures w14:val="none"/>
        </w:rPr>
        <w:t>1. Песимістичний сценарій</w:t>
      </w:r>
      <w:r w:rsidR="00172926">
        <w:rPr>
          <w:rFonts w:ascii="Times New Roman" w:eastAsia="Times New Roman" w:hAnsi="Times New Roman" w:cs="Times New Roman"/>
          <w:kern w:val="0"/>
          <w:sz w:val="28"/>
          <w:szCs w:val="28"/>
          <w:lang w:eastAsia="uk-UA"/>
          <w14:ligatures w14:val="none"/>
        </w:rPr>
        <w:t xml:space="preserve"> - з</w:t>
      </w:r>
      <w:r w:rsidRPr="006F463A">
        <w:rPr>
          <w:rFonts w:ascii="Times New Roman" w:eastAsia="Times New Roman" w:hAnsi="Times New Roman" w:cs="Times New Roman"/>
          <w:kern w:val="0"/>
          <w:sz w:val="28"/>
          <w:szCs w:val="28"/>
          <w:lang w:eastAsia="uk-UA"/>
          <w14:ligatures w14:val="none"/>
        </w:rPr>
        <w:t>агроза деіндустріалізації та ліквідації</w:t>
      </w:r>
      <w:r w:rsidR="00172926">
        <w:rPr>
          <w:rFonts w:ascii="Times New Roman" w:eastAsia="Times New Roman" w:hAnsi="Times New Roman" w:cs="Times New Roman"/>
          <w:kern w:val="0"/>
          <w:sz w:val="28"/>
          <w:szCs w:val="28"/>
          <w:lang w:eastAsia="uk-UA"/>
          <w14:ligatures w14:val="none"/>
        </w:rPr>
        <w:t xml:space="preserve">. </w:t>
      </w:r>
      <w:r w:rsidR="006356F9">
        <w:rPr>
          <w:rFonts w:ascii="Times New Roman" w:eastAsia="Times New Roman" w:hAnsi="Times New Roman" w:cs="Times New Roman"/>
          <w:kern w:val="0"/>
          <w:sz w:val="28"/>
          <w:szCs w:val="28"/>
          <w:lang w:eastAsia="uk-UA"/>
          <w14:ligatures w14:val="none"/>
        </w:rPr>
        <w:t>Н</w:t>
      </w:r>
      <w:r w:rsidRPr="006F463A">
        <w:rPr>
          <w:rFonts w:ascii="Times New Roman" w:eastAsia="Times New Roman" w:hAnsi="Times New Roman" w:cs="Times New Roman"/>
          <w:kern w:val="0"/>
          <w:sz w:val="28"/>
          <w:szCs w:val="28"/>
          <w:lang w:eastAsia="uk-UA"/>
          <w14:ligatures w14:val="none"/>
        </w:rPr>
        <w:t xml:space="preserve">ові обмеження експортної логістики призведуть до падіння обсягів виручки до 64,80 млрд грн. Через високі умовно-постійні витрати та зростання вартості обслуговування боргів до 22% підприємство згенерує чистий збиток у розмірі 2,15 млрд грн. Це спричинить пряме вимивання </w:t>
      </w:r>
      <w:r w:rsidR="006356F9">
        <w:rPr>
          <w:rFonts w:ascii="Times New Roman" w:eastAsia="Times New Roman" w:hAnsi="Times New Roman" w:cs="Times New Roman"/>
          <w:kern w:val="0"/>
          <w:sz w:val="28"/>
          <w:szCs w:val="28"/>
          <w:lang w:eastAsia="uk-UA"/>
          <w14:ligatures w14:val="none"/>
        </w:rPr>
        <w:t>ВК</w:t>
      </w:r>
      <w:r w:rsidRPr="006F463A">
        <w:rPr>
          <w:rFonts w:ascii="Times New Roman" w:eastAsia="Times New Roman" w:hAnsi="Times New Roman" w:cs="Times New Roman"/>
          <w:kern w:val="0"/>
          <w:sz w:val="28"/>
          <w:szCs w:val="28"/>
          <w:lang w:eastAsia="uk-UA"/>
          <w14:ligatures w14:val="none"/>
        </w:rPr>
        <w:t xml:space="preserve"> (до 21,35 млрд грн).</w:t>
      </w:r>
      <w:r w:rsidR="00172926">
        <w:rPr>
          <w:rFonts w:ascii="Times New Roman" w:eastAsia="Times New Roman" w:hAnsi="Times New Roman" w:cs="Times New Roman"/>
          <w:kern w:val="0"/>
          <w:sz w:val="28"/>
          <w:szCs w:val="28"/>
          <w:lang w:eastAsia="uk-UA"/>
          <w14:ligatures w14:val="none"/>
        </w:rPr>
        <w:t xml:space="preserve"> </w:t>
      </w:r>
      <w:r w:rsidRPr="006F463A">
        <w:rPr>
          <w:rFonts w:ascii="Times New Roman" w:eastAsia="Times New Roman" w:hAnsi="Times New Roman" w:cs="Times New Roman"/>
          <w:kern w:val="0"/>
          <w:sz w:val="28"/>
          <w:szCs w:val="28"/>
          <w:lang w:eastAsia="uk-UA"/>
          <w14:ligatures w14:val="none"/>
        </w:rPr>
        <w:t xml:space="preserve">Високий дисконт за ризик підніме WACC до 24,5%, внаслідок чого інвестиційна вартість підприємства обвалиться до 5,40 млрд грн (втрата 62% вартості порівняно з 2025 роком). Компанія увійде у стан глибокого фінансового </w:t>
      </w:r>
      <w:proofErr w:type="spellStart"/>
      <w:r w:rsidRPr="006F463A">
        <w:rPr>
          <w:rFonts w:ascii="Times New Roman" w:eastAsia="Times New Roman" w:hAnsi="Times New Roman" w:cs="Times New Roman"/>
          <w:kern w:val="0"/>
          <w:sz w:val="28"/>
          <w:szCs w:val="28"/>
          <w:lang w:eastAsia="uk-UA"/>
          <w14:ligatures w14:val="none"/>
        </w:rPr>
        <w:t>дистресу</w:t>
      </w:r>
      <w:proofErr w:type="spellEnd"/>
      <w:r w:rsidRPr="006F463A">
        <w:rPr>
          <w:rFonts w:ascii="Times New Roman" w:eastAsia="Times New Roman" w:hAnsi="Times New Roman" w:cs="Times New Roman"/>
          <w:kern w:val="0"/>
          <w:sz w:val="28"/>
          <w:szCs w:val="28"/>
          <w:lang w:eastAsia="uk-UA"/>
          <w14:ligatures w14:val="none"/>
        </w:rPr>
        <w:t xml:space="preserve"> без можливостей для самовідновлення.</w:t>
      </w:r>
    </w:p>
    <w:p w14:paraId="64CD1369" w14:textId="55D0FC83" w:rsidR="003D3D49" w:rsidRPr="006F463A" w:rsidRDefault="003D3D49" w:rsidP="00172926">
      <w:pPr>
        <w:spacing w:after="0" w:line="360" w:lineRule="auto"/>
        <w:ind w:firstLine="709"/>
        <w:jc w:val="both"/>
        <w:outlineLvl w:val="3"/>
        <w:rPr>
          <w:rFonts w:ascii="Times New Roman" w:eastAsia="Times New Roman" w:hAnsi="Times New Roman" w:cs="Times New Roman"/>
          <w:kern w:val="0"/>
          <w:sz w:val="28"/>
          <w:szCs w:val="28"/>
          <w:lang w:eastAsia="uk-UA"/>
          <w14:ligatures w14:val="none"/>
        </w:rPr>
      </w:pPr>
      <w:r w:rsidRPr="006F463A">
        <w:rPr>
          <w:rFonts w:ascii="Times New Roman" w:eastAsia="Times New Roman" w:hAnsi="Times New Roman" w:cs="Times New Roman"/>
          <w:kern w:val="0"/>
          <w:sz w:val="28"/>
          <w:szCs w:val="28"/>
          <w:lang w:eastAsia="uk-UA"/>
          <w14:ligatures w14:val="none"/>
        </w:rPr>
        <w:t>2. Реалістичний сценарій</w:t>
      </w:r>
      <w:r w:rsidR="00172926">
        <w:rPr>
          <w:rFonts w:ascii="Times New Roman" w:eastAsia="Times New Roman" w:hAnsi="Times New Roman" w:cs="Times New Roman"/>
          <w:kern w:val="0"/>
          <w:sz w:val="28"/>
          <w:szCs w:val="28"/>
          <w:lang w:eastAsia="uk-UA"/>
          <w14:ligatures w14:val="none"/>
        </w:rPr>
        <w:t xml:space="preserve"> - с</w:t>
      </w:r>
      <w:r w:rsidRPr="006F463A">
        <w:rPr>
          <w:rFonts w:ascii="Times New Roman" w:eastAsia="Times New Roman" w:hAnsi="Times New Roman" w:cs="Times New Roman"/>
          <w:kern w:val="0"/>
          <w:sz w:val="28"/>
          <w:szCs w:val="28"/>
          <w:lang w:eastAsia="uk-UA"/>
          <w14:ligatures w14:val="none"/>
        </w:rPr>
        <w:t>табілізація та інерційне відтворення</w:t>
      </w:r>
      <w:r w:rsidR="00172926">
        <w:rPr>
          <w:rFonts w:ascii="Times New Roman" w:eastAsia="Times New Roman" w:hAnsi="Times New Roman" w:cs="Times New Roman"/>
          <w:kern w:val="0"/>
          <w:sz w:val="28"/>
          <w:szCs w:val="28"/>
          <w:lang w:eastAsia="uk-UA"/>
          <w14:ligatures w14:val="none"/>
        </w:rPr>
        <w:t xml:space="preserve">. </w:t>
      </w:r>
      <w:r w:rsidRPr="006F463A">
        <w:rPr>
          <w:rFonts w:ascii="Times New Roman" w:eastAsia="Times New Roman" w:hAnsi="Times New Roman" w:cs="Times New Roman"/>
          <w:kern w:val="0"/>
          <w:sz w:val="28"/>
          <w:szCs w:val="28"/>
          <w:lang w:eastAsia="uk-UA"/>
          <w14:ligatures w14:val="none"/>
        </w:rPr>
        <w:t xml:space="preserve">Збереження поточних умов підтримки (коридор експорту, діючі програми реструктуризації) дозволить підприємству </w:t>
      </w:r>
      <w:proofErr w:type="spellStart"/>
      <w:r w:rsidRPr="006F463A">
        <w:rPr>
          <w:rFonts w:ascii="Times New Roman" w:eastAsia="Times New Roman" w:hAnsi="Times New Roman" w:cs="Times New Roman"/>
          <w:kern w:val="0"/>
          <w:sz w:val="28"/>
          <w:szCs w:val="28"/>
          <w:lang w:eastAsia="uk-UA"/>
          <w14:ligatures w14:val="none"/>
        </w:rPr>
        <w:t>помірно</w:t>
      </w:r>
      <w:proofErr w:type="spellEnd"/>
      <w:r w:rsidRPr="006F463A">
        <w:rPr>
          <w:rFonts w:ascii="Times New Roman" w:eastAsia="Times New Roman" w:hAnsi="Times New Roman" w:cs="Times New Roman"/>
          <w:kern w:val="0"/>
          <w:sz w:val="28"/>
          <w:szCs w:val="28"/>
          <w:lang w:eastAsia="uk-UA"/>
          <w14:ligatures w14:val="none"/>
        </w:rPr>
        <w:t xml:space="preserve"> нарощувати виручку на 12% щорічно. Чистий прибуток стабілізується на рівні 4,85 млрд грн. За рахунок часткового реінвестування прибутку власний капітал досягне 26,20 млрд грн.</w:t>
      </w:r>
      <w:r w:rsidR="00172926">
        <w:rPr>
          <w:rFonts w:ascii="Times New Roman" w:eastAsia="Times New Roman" w:hAnsi="Times New Roman" w:cs="Times New Roman"/>
          <w:kern w:val="0"/>
          <w:sz w:val="28"/>
          <w:szCs w:val="28"/>
          <w:lang w:eastAsia="uk-UA"/>
          <w14:ligatures w14:val="none"/>
        </w:rPr>
        <w:t xml:space="preserve"> </w:t>
      </w:r>
      <w:r w:rsidRPr="006F463A">
        <w:rPr>
          <w:rFonts w:ascii="Times New Roman" w:eastAsia="Times New Roman" w:hAnsi="Times New Roman" w:cs="Times New Roman"/>
          <w:kern w:val="0"/>
          <w:sz w:val="28"/>
          <w:szCs w:val="28"/>
          <w:lang w:eastAsia="uk-UA"/>
          <w14:ligatures w14:val="none"/>
        </w:rPr>
        <w:t xml:space="preserve">Коефіцієнт фінансової автономії наблизиться до межі нормативу (0,465). Інвестиційна вартість бізнесу </w:t>
      </w:r>
      <w:proofErr w:type="spellStart"/>
      <w:r w:rsidRPr="006F463A">
        <w:rPr>
          <w:rFonts w:ascii="Times New Roman" w:eastAsia="Times New Roman" w:hAnsi="Times New Roman" w:cs="Times New Roman"/>
          <w:kern w:val="0"/>
          <w:sz w:val="28"/>
          <w:szCs w:val="28"/>
          <w:lang w:eastAsia="uk-UA"/>
          <w14:ligatures w14:val="none"/>
        </w:rPr>
        <w:t>зафіксується</w:t>
      </w:r>
      <w:proofErr w:type="spellEnd"/>
      <w:r w:rsidRPr="006F463A">
        <w:rPr>
          <w:rFonts w:ascii="Times New Roman" w:eastAsia="Times New Roman" w:hAnsi="Times New Roman" w:cs="Times New Roman"/>
          <w:kern w:val="0"/>
          <w:sz w:val="28"/>
          <w:szCs w:val="28"/>
          <w:lang w:eastAsia="uk-UA"/>
          <w14:ligatures w14:val="none"/>
        </w:rPr>
        <w:t xml:space="preserve"> на рівні 22,80 млрд грн, що відображає адаптацію підприємства до системних ризиків середовища.</w:t>
      </w:r>
    </w:p>
    <w:p w14:paraId="4F1EC6F9" w14:textId="1C1C524B" w:rsidR="00172926" w:rsidRDefault="003D3D49" w:rsidP="00172926">
      <w:pPr>
        <w:spacing w:after="0" w:line="360" w:lineRule="auto"/>
        <w:ind w:firstLine="709"/>
        <w:jc w:val="both"/>
        <w:outlineLvl w:val="3"/>
        <w:rPr>
          <w:rFonts w:ascii="Times New Roman" w:eastAsia="Times New Roman" w:hAnsi="Times New Roman" w:cs="Times New Roman"/>
          <w:kern w:val="0"/>
          <w:sz w:val="28"/>
          <w:szCs w:val="28"/>
          <w:lang w:eastAsia="uk-UA"/>
          <w14:ligatures w14:val="none"/>
        </w:rPr>
      </w:pPr>
      <w:r w:rsidRPr="006F463A">
        <w:rPr>
          <w:rFonts w:ascii="Times New Roman" w:eastAsia="Times New Roman" w:hAnsi="Times New Roman" w:cs="Times New Roman"/>
          <w:kern w:val="0"/>
          <w:sz w:val="28"/>
          <w:szCs w:val="28"/>
          <w:lang w:eastAsia="uk-UA"/>
          <w14:ligatures w14:val="none"/>
        </w:rPr>
        <w:t>3. Оптимістичний сценарій</w:t>
      </w:r>
      <w:r w:rsidR="00172926">
        <w:rPr>
          <w:rFonts w:ascii="Times New Roman" w:eastAsia="Times New Roman" w:hAnsi="Times New Roman" w:cs="Times New Roman"/>
          <w:kern w:val="0"/>
          <w:sz w:val="28"/>
          <w:szCs w:val="28"/>
          <w:lang w:eastAsia="uk-UA"/>
          <w14:ligatures w14:val="none"/>
        </w:rPr>
        <w:t xml:space="preserve"> - е</w:t>
      </w:r>
      <w:r w:rsidRPr="006F463A">
        <w:rPr>
          <w:rFonts w:ascii="Times New Roman" w:eastAsia="Times New Roman" w:hAnsi="Times New Roman" w:cs="Times New Roman"/>
          <w:kern w:val="0"/>
          <w:sz w:val="28"/>
          <w:szCs w:val="28"/>
          <w:lang w:eastAsia="uk-UA"/>
          <w14:ligatures w14:val="none"/>
        </w:rPr>
        <w:t>кспансія та максимізація вартості</w:t>
      </w:r>
      <w:r w:rsidR="00172926">
        <w:rPr>
          <w:rFonts w:ascii="Times New Roman" w:eastAsia="Times New Roman" w:hAnsi="Times New Roman" w:cs="Times New Roman"/>
          <w:kern w:val="0"/>
          <w:sz w:val="28"/>
          <w:szCs w:val="28"/>
          <w:lang w:eastAsia="uk-UA"/>
          <w14:ligatures w14:val="none"/>
        </w:rPr>
        <w:t xml:space="preserve">. </w:t>
      </w:r>
      <w:r w:rsidRPr="006F463A">
        <w:rPr>
          <w:rFonts w:ascii="Times New Roman" w:eastAsia="Times New Roman" w:hAnsi="Times New Roman" w:cs="Times New Roman"/>
          <w:kern w:val="0"/>
          <w:sz w:val="28"/>
          <w:szCs w:val="28"/>
          <w:lang w:eastAsia="uk-UA"/>
          <w14:ligatures w14:val="none"/>
        </w:rPr>
        <w:t>Чистий дохід зросте до 260,56 млрд грн, а оптимізація операційної маржі до 16,5% дозволить згенерувати 22,40 млрд грн чистого прибутку.</w:t>
      </w:r>
      <w:r w:rsidR="00172926">
        <w:rPr>
          <w:rFonts w:ascii="Times New Roman" w:eastAsia="Times New Roman" w:hAnsi="Times New Roman" w:cs="Times New Roman"/>
          <w:kern w:val="0"/>
          <w:sz w:val="28"/>
          <w:szCs w:val="28"/>
          <w:lang w:eastAsia="uk-UA"/>
          <w14:ligatures w14:val="none"/>
        </w:rPr>
        <w:t xml:space="preserve"> </w:t>
      </w:r>
      <w:r w:rsidRPr="006F463A">
        <w:rPr>
          <w:rFonts w:ascii="Times New Roman" w:eastAsia="Times New Roman" w:hAnsi="Times New Roman" w:cs="Times New Roman"/>
          <w:kern w:val="0"/>
          <w:sz w:val="28"/>
          <w:szCs w:val="28"/>
          <w:lang w:eastAsia="uk-UA"/>
          <w14:ligatures w14:val="none"/>
        </w:rPr>
        <w:t>Левова частка прибутку (60%) буде спрямована на капітальні інвестиції, що збільшить базу капіталізації (Власний капітал) до 38,40 млрд грн (+63,4%). Зниження системного ризику країни зумовить падіння WACC до 12,0%.</w:t>
      </w:r>
      <w:r w:rsidR="00172926">
        <w:rPr>
          <w:rFonts w:ascii="Times New Roman" w:eastAsia="Times New Roman" w:hAnsi="Times New Roman" w:cs="Times New Roman"/>
          <w:kern w:val="0"/>
          <w:sz w:val="28"/>
          <w:szCs w:val="28"/>
          <w:lang w:eastAsia="uk-UA"/>
          <w14:ligatures w14:val="none"/>
        </w:rPr>
        <w:t xml:space="preserve"> </w:t>
      </w:r>
      <w:r w:rsidRPr="006F463A">
        <w:rPr>
          <w:rFonts w:ascii="Times New Roman" w:eastAsia="Times New Roman" w:hAnsi="Times New Roman" w:cs="Times New Roman"/>
          <w:kern w:val="0"/>
          <w:sz w:val="28"/>
          <w:szCs w:val="28"/>
          <w:lang w:eastAsia="uk-UA"/>
          <w14:ligatures w14:val="none"/>
        </w:rPr>
        <w:t xml:space="preserve">Як наслідок, інвестиційна вартість бізнесу продемонструє стрімке </w:t>
      </w:r>
      <w:r w:rsidRPr="00E110D9">
        <w:rPr>
          <w:rFonts w:ascii="Times New Roman" w:eastAsia="Times New Roman" w:hAnsi="Times New Roman" w:cs="Times New Roman"/>
          <w:kern w:val="0"/>
          <w:sz w:val="28"/>
          <w:szCs w:val="28"/>
          <w:lang w:eastAsia="uk-UA"/>
          <w14:ligatures w14:val="none"/>
        </w:rPr>
        <w:t>зростання, сягнувши 56,30 млрд грн (</w:t>
      </w:r>
      <w:r w:rsidR="00172926" w:rsidRPr="00E110D9">
        <w:rPr>
          <w:rFonts w:ascii="Times New Roman" w:eastAsia="Times New Roman" w:hAnsi="Times New Roman" w:cs="Times New Roman"/>
          <w:kern w:val="0"/>
          <w:sz w:val="28"/>
          <w:szCs w:val="28"/>
          <w:lang w:eastAsia="uk-UA"/>
          <w14:ligatures w14:val="none"/>
        </w:rPr>
        <w:t>рис.</w:t>
      </w:r>
      <w:r w:rsidR="00E110D9" w:rsidRPr="00E110D9">
        <w:rPr>
          <w:rFonts w:ascii="Times New Roman" w:eastAsia="Times New Roman" w:hAnsi="Times New Roman" w:cs="Times New Roman"/>
          <w:kern w:val="0"/>
          <w:sz w:val="28"/>
          <w:szCs w:val="28"/>
          <w:lang w:eastAsia="uk-UA"/>
          <w14:ligatures w14:val="none"/>
        </w:rPr>
        <w:t xml:space="preserve"> 3.</w:t>
      </w:r>
      <w:r w:rsidR="007B0D59">
        <w:rPr>
          <w:rFonts w:ascii="Times New Roman" w:eastAsia="Times New Roman" w:hAnsi="Times New Roman" w:cs="Times New Roman"/>
          <w:kern w:val="0"/>
          <w:sz w:val="28"/>
          <w:szCs w:val="28"/>
          <w:lang w:eastAsia="uk-UA"/>
          <w14:ligatures w14:val="none"/>
        </w:rPr>
        <w:t>3</w:t>
      </w:r>
      <w:r w:rsidRPr="00E110D9">
        <w:rPr>
          <w:rFonts w:ascii="Times New Roman" w:eastAsia="Times New Roman" w:hAnsi="Times New Roman" w:cs="Times New Roman"/>
          <w:kern w:val="0"/>
          <w:sz w:val="28"/>
          <w:szCs w:val="28"/>
          <w:lang w:eastAsia="uk-UA"/>
          <w14:ligatures w14:val="none"/>
        </w:rPr>
        <w:t>). Це підтверджує, що</w:t>
      </w:r>
      <w:r w:rsidRPr="006F463A">
        <w:rPr>
          <w:rFonts w:ascii="Times New Roman" w:eastAsia="Times New Roman" w:hAnsi="Times New Roman" w:cs="Times New Roman"/>
          <w:kern w:val="0"/>
          <w:sz w:val="28"/>
          <w:szCs w:val="28"/>
          <w:lang w:eastAsia="uk-UA"/>
          <w14:ligatures w14:val="none"/>
        </w:rPr>
        <w:t xml:space="preserve"> диверсифікація ринків та капітальна модернізація є найпотужнішими каталізаторами нарощування вартості</w:t>
      </w:r>
      <w:r w:rsidR="00172926">
        <w:rPr>
          <w:rFonts w:ascii="Times New Roman" w:eastAsia="Times New Roman" w:hAnsi="Times New Roman" w:cs="Times New Roman"/>
          <w:kern w:val="0"/>
          <w:sz w:val="28"/>
          <w:szCs w:val="28"/>
          <w:lang w:eastAsia="uk-UA"/>
          <w14:ligatures w14:val="none"/>
        </w:rPr>
        <w:t xml:space="preserve">. </w:t>
      </w:r>
    </w:p>
    <w:p w14:paraId="3870088E" w14:textId="3D04F139" w:rsidR="00E110D9" w:rsidRDefault="00E110D9" w:rsidP="00172926">
      <w:pPr>
        <w:spacing w:after="0" w:line="360" w:lineRule="auto"/>
        <w:ind w:firstLine="709"/>
        <w:jc w:val="both"/>
        <w:outlineLvl w:val="3"/>
        <w:rPr>
          <w:rFonts w:ascii="Times New Roman" w:eastAsia="Times New Roman" w:hAnsi="Times New Roman" w:cs="Times New Roman"/>
          <w:kern w:val="0"/>
          <w:sz w:val="28"/>
          <w:szCs w:val="28"/>
          <w:lang w:eastAsia="uk-UA"/>
          <w14:ligatures w14:val="none"/>
        </w:rPr>
      </w:pPr>
      <w:r w:rsidRPr="00172926">
        <w:rPr>
          <w:rFonts w:ascii="Times New Roman" w:eastAsia="Times New Roman" w:hAnsi="Times New Roman" w:cs="Times New Roman"/>
          <w:kern w:val="0"/>
          <w:sz w:val="28"/>
          <w:szCs w:val="28"/>
          <w:lang w:eastAsia="uk-UA"/>
          <w14:ligatures w14:val="none"/>
        </w:rPr>
        <w:lastRenderedPageBreak/>
        <w:t>Розроблений методичний підхід до сценарного прогнозування доводить, що капіталізація підприємства в умовах нестабільності має високий рівень еластичності до факторів зовнішнього середовища.</w:t>
      </w:r>
    </w:p>
    <w:p w14:paraId="559A7796" w14:textId="058DD95F" w:rsidR="003D3D49" w:rsidRDefault="003D3D49" w:rsidP="00172926">
      <w:pPr>
        <w:spacing w:after="0" w:line="360" w:lineRule="auto"/>
        <w:ind w:firstLine="709"/>
        <w:jc w:val="both"/>
        <w:outlineLvl w:val="3"/>
        <w:rPr>
          <w:rFonts w:ascii="Times New Roman" w:eastAsia="Times New Roman" w:hAnsi="Times New Roman" w:cs="Times New Roman"/>
          <w:kern w:val="0"/>
          <w:sz w:val="28"/>
          <w:szCs w:val="28"/>
          <w:lang w:eastAsia="uk-UA"/>
          <w14:ligatures w14:val="none"/>
        </w:rPr>
      </w:pPr>
      <w:r w:rsidRPr="00172926">
        <w:rPr>
          <w:rFonts w:ascii="Times New Roman" w:eastAsia="Times New Roman" w:hAnsi="Times New Roman" w:cs="Times New Roman"/>
          <w:kern w:val="0"/>
          <w:sz w:val="28"/>
          <w:szCs w:val="28"/>
          <w:lang w:eastAsia="uk-UA"/>
          <w14:ligatures w14:val="none"/>
        </w:rPr>
        <w:t>Порівняльний аналіз моделей засвідчив, що інерційна стратегія (реалістичний сценарій) здатна лише утримати підприємство від банкрутства, тоді як реальне нарощування інвестиційної вартості та повне подолання деградації активів можливе виключно за оптимістичним сценарієм, який передбачає глибоку диверсифікацію джерел фінансування, вихід на нові ринки та масштабне залучення інвестицій.</w:t>
      </w:r>
    </w:p>
    <w:p w14:paraId="42721387" w14:textId="77777777" w:rsidR="006A1D45" w:rsidRDefault="006A1D45" w:rsidP="00172926">
      <w:pPr>
        <w:spacing w:after="0" w:line="360" w:lineRule="auto"/>
        <w:ind w:firstLine="709"/>
        <w:jc w:val="both"/>
        <w:outlineLvl w:val="3"/>
        <w:rPr>
          <w:rFonts w:ascii="Times New Roman" w:eastAsia="Times New Roman" w:hAnsi="Times New Roman" w:cs="Times New Roman"/>
          <w:kern w:val="0"/>
          <w:sz w:val="28"/>
          <w:szCs w:val="28"/>
          <w:lang w:eastAsia="uk-UA"/>
          <w14:ligatures w14:val="none"/>
        </w:rPr>
      </w:pPr>
    </w:p>
    <w:p w14:paraId="6F24C5E2" w14:textId="70C86B54" w:rsidR="006A1D45" w:rsidRPr="006A1D45" w:rsidRDefault="006A1D45" w:rsidP="00172926">
      <w:pPr>
        <w:spacing w:after="0" w:line="360" w:lineRule="auto"/>
        <w:ind w:firstLine="709"/>
        <w:jc w:val="both"/>
        <w:outlineLvl w:val="3"/>
        <w:rPr>
          <w:rFonts w:ascii="Times New Roman" w:eastAsia="Times New Roman" w:hAnsi="Times New Roman" w:cs="Times New Roman"/>
          <w:b/>
          <w:kern w:val="0"/>
          <w:sz w:val="28"/>
          <w:szCs w:val="28"/>
          <w:lang w:eastAsia="uk-UA"/>
          <w14:ligatures w14:val="none"/>
        </w:rPr>
      </w:pPr>
      <w:r w:rsidRPr="006A1D45">
        <w:rPr>
          <w:rFonts w:ascii="Times New Roman" w:eastAsia="Times New Roman" w:hAnsi="Times New Roman" w:cs="Times New Roman"/>
          <w:b/>
          <w:kern w:val="36"/>
          <w:sz w:val="28"/>
          <w:szCs w:val="28"/>
        </w:rPr>
        <w:t>3.3. Обґрунтування фінансових інструментів та моделей державно-приватного партнерства в адаптації відтворювальних процесів</w:t>
      </w:r>
    </w:p>
    <w:p w14:paraId="4C93805F" w14:textId="77777777" w:rsidR="003D3D49" w:rsidRDefault="003D3D49" w:rsidP="003D3D49">
      <w:pPr>
        <w:spacing w:after="0" w:line="360" w:lineRule="auto"/>
        <w:ind w:firstLine="709"/>
        <w:jc w:val="both"/>
        <w:rPr>
          <w:rFonts w:ascii="Times New Roman" w:hAnsi="Times New Roman" w:cs="Times New Roman"/>
          <w:sz w:val="28"/>
          <w:szCs w:val="28"/>
        </w:rPr>
      </w:pPr>
    </w:p>
    <w:p w14:paraId="0A55B4B7" w14:textId="3BE4C21A"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 xml:space="preserve">Висока вартість залучення позикового капіталу та жорсткі вимоги банківських установ до заставного забезпечення блокують відтворювальні процеси на рівні суб’єктів АПК. За цих умов критично важливим стає впровадження архітектури </w:t>
      </w:r>
      <w:r w:rsidRPr="00E110D9">
        <w:rPr>
          <w:rFonts w:ascii="Times New Roman" w:hAnsi="Times New Roman" w:cs="Times New Roman"/>
          <w:sz w:val="28"/>
          <w:szCs w:val="28"/>
        </w:rPr>
        <w:t>змішаного фінансування,</w:t>
      </w:r>
      <w:r w:rsidRPr="003E24B1">
        <w:rPr>
          <w:rFonts w:ascii="Times New Roman" w:hAnsi="Times New Roman" w:cs="Times New Roman"/>
          <w:sz w:val="28"/>
          <w:szCs w:val="28"/>
        </w:rPr>
        <w:t xml:space="preserve"> що базується на стратегічному поєднанні безповоротного донорського або державного капіталу (грантів) із комерційними кредитами [</w:t>
      </w:r>
      <w:r w:rsidR="000222E7">
        <w:rPr>
          <w:rFonts w:ascii="Times New Roman" w:hAnsi="Times New Roman" w:cs="Times New Roman"/>
          <w:sz w:val="28"/>
          <w:szCs w:val="28"/>
        </w:rPr>
        <w:t>1</w:t>
      </w:r>
      <w:r w:rsidRPr="003E24B1">
        <w:rPr>
          <w:rFonts w:ascii="Times New Roman" w:hAnsi="Times New Roman" w:cs="Times New Roman"/>
          <w:sz w:val="28"/>
          <w:szCs w:val="28"/>
        </w:rPr>
        <w:t>4].</w:t>
      </w:r>
    </w:p>
    <w:p w14:paraId="150297E4" w14:textId="11A016C0"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 xml:space="preserve">Економічна логіка даної моделі полягає у механізмі </w:t>
      </w:r>
      <w:proofErr w:type="spellStart"/>
      <w:r w:rsidRPr="003E24B1">
        <w:rPr>
          <w:rFonts w:ascii="Times New Roman" w:hAnsi="Times New Roman" w:cs="Times New Roman"/>
          <w:sz w:val="28"/>
          <w:szCs w:val="28"/>
        </w:rPr>
        <w:t>деризику</w:t>
      </w:r>
      <w:proofErr w:type="spellEnd"/>
      <w:r w:rsidRPr="003E24B1">
        <w:rPr>
          <w:rFonts w:ascii="Times New Roman" w:hAnsi="Times New Roman" w:cs="Times New Roman"/>
          <w:sz w:val="28"/>
          <w:szCs w:val="28"/>
        </w:rPr>
        <w:t xml:space="preserve">  — штучному зниженні рівня сукупного ризику інвестиційного проєкту для приватного капіталу. Грантове фінансування у такій структурі виконує функцію капіталу першої втрати або безпосередньо покриває найбільш ризикову частку капітальних витрат на початкових етапах реалізації проєкту [</w:t>
      </w:r>
      <w:r w:rsidR="000222E7">
        <w:rPr>
          <w:rFonts w:ascii="Times New Roman" w:hAnsi="Times New Roman" w:cs="Times New Roman"/>
          <w:sz w:val="28"/>
          <w:szCs w:val="28"/>
        </w:rPr>
        <w:t>3</w:t>
      </w:r>
      <w:r w:rsidRPr="003E24B1">
        <w:rPr>
          <w:rFonts w:ascii="Times New Roman" w:hAnsi="Times New Roman" w:cs="Times New Roman"/>
          <w:sz w:val="28"/>
          <w:szCs w:val="28"/>
        </w:rPr>
        <w:t>].</w:t>
      </w:r>
    </w:p>
    <w:p w14:paraId="32A934E0" w14:textId="10B85AAA" w:rsidR="00C45859" w:rsidRDefault="003E24B1" w:rsidP="00FC0024">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 xml:space="preserve">Розглянемо приклад фінансування будівництва сучасного елеваторного комплексу загальною вартістю </w:t>
      </w:r>
      <w:proofErr w:type="spellStart"/>
      <w:r w:rsidRPr="003E24B1">
        <w:rPr>
          <w:rFonts w:ascii="Times New Roman" w:hAnsi="Times New Roman" w:cs="Times New Roman"/>
          <w:sz w:val="28"/>
          <w:szCs w:val="28"/>
        </w:rPr>
        <w:t>V</w:t>
      </w:r>
      <w:r w:rsidRPr="003E24B1">
        <w:rPr>
          <w:rFonts w:ascii="Times New Roman" w:hAnsi="Times New Roman" w:cs="Times New Roman"/>
          <w:sz w:val="28"/>
          <w:szCs w:val="28"/>
          <w:vertAlign w:val="subscript"/>
        </w:rPr>
        <w:t>total</w:t>
      </w:r>
      <w:proofErr w:type="spellEnd"/>
      <w:r w:rsidRPr="003E24B1">
        <w:rPr>
          <w:rFonts w:ascii="Times New Roman" w:hAnsi="Times New Roman" w:cs="Times New Roman"/>
          <w:sz w:val="28"/>
          <w:szCs w:val="28"/>
        </w:rPr>
        <w:t>. За класичних умов банківська установа відмовила б у кредитуванні через високий коефіцієнт LTV (</w:t>
      </w:r>
      <w:proofErr w:type="spellStart"/>
      <w:r w:rsidRPr="003E24B1">
        <w:rPr>
          <w:rFonts w:ascii="Times New Roman" w:hAnsi="Times New Roman" w:cs="Times New Roman"/>
          <w:sz w:val="28"/>
          <w:szCs w:val="28"/>
        </w:rPr>
        <w:t>Loan-to-Value</w:t>
      </w:r>
      <w:proofErr w:type="spellEnd"/>
      <w:r w:rsidRPr="003E24B1">
        <w:rPr>
          <w:rFonts w:ascii="Times New Roman" w:hAnsi="Times New Roman" w:cs="Times New Roman"/>
          <w:sz w:val="28"/>
          <w:szCs w:val="28"/>
        </w:rPr>
        <w:t xml:space="preserve">) та загрозу пошкодження активу. </w:t>
      </w:r>
    </w:p>
    <w:p w14:paraId="628B8D52" w14:textId="707CEA68"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 xml:space="preserve">Математично вплив грантового співфінансування на WACC проєкту та його привабливість для комерційного банку можна виразити через модифікацію </w:t>
      </w:r>
      <w:r w:rsidRPr="003E24B1">
        <w:rPr>
          <w:rFonts w:ascii="Times New Roman" w:hAnsi="Times New Roman" w:cs="Times New Roman"/>
          <w:sz w:val="28"/>
          <w:szCs w:val="28"/>
        </w:rPr>
        <w:lastRenderedPageBreak/>
        <w:t xml:space="preserve">базового фінансового потенціалу. Якщо грант покриває частку </w:t>
      </w:r>
      <w:proofErr w:type="spellStart"/>
      <w:r w:rsidRPr="003E24B1">
        <w:rPr>
          <w:rFonts w:ascii="Times New Roman" w:hAnsi="Times New Roman" w:cs="Times New Roman"/>
          <w:sz w:val="28"/>
          <w:szCs w:val="28"/>
        </w:rPr>
        <w:t>wg</w:t>
      </w:r>
      <w:proofErr w:type="spellEnd"/>
      <w:r w:rsidRPr="003E24B1">
        <w:rPr>
          <w:rFonts w:ascii="Times New Roman" w:hAnsi="Times New Roman" w:cs="Times New Roman"/>
          <w:sz w:val="28"/>
          <w:szCs w:val="28"/>
        </w:rPr>
        <w:t xml:space="preserve"> (наприклад, 20% витрат), то частка необхідного банківського кредиту </w:t>
      </w:r>
      <w:proofErr w:type="spellStart"/>
      <w:r w:rsidRPr="003E24B1">
        <w:rPr>
          <w:rFonts w:ascii="Times New Roman" w:hAnsi="Times New Roman" w:cs="Times New Roman"/>
          <w:sz w:val="28"/>
          <w:szCs w:val="28"/>
        </w:rPr>
        <w:t>wd</w:t>
      </w:r>
      <w:proofErr w:type="spellEnd"/>
      <w:r w:rsidRPr="003E24B1">
        <w:rPr>
          <w:rFonts w:ascii="Times New Roman" w:hAnsi="Times New Roman" w:cs="Times New Roman"/>
          <w:sz w:val="28"/>
          <w:szCs w:val="28"/>
        </w:rPr>
        <w:t xml:space="preserve"> та власного капіталу </w:t>
      </w:r>
      <w:proofErr w:type="spellStart"/>
      <w:r w:rsidRPr="003E24B1">
        <w:rPr>
          <w:rFonts w:ascii="Times New Roman" w:hAnsi="Times New Roman" w:cs="Times New Roman"/>
          <w:sz w:val="28"/>
          <w:szCs w:val="28"/>
        </w:rPr>
        <w:t>we</w:t>
      </w:r>
      <w:proofErr w:type="spellEnd"/>
      <w:r w:rsidRPr="003E24B1">
        <w:rPr>
          <w:rFonts w:ascii="Times New Roman" w:hAnsi="Times New Roman" w:cs="Times New Roman"/>
          <w:sz w:val="28"/>
          <w:szCs w:val="28"/>
        </w:rPr>
        <w:t xml:space="preserve"> зменшується. Оскільки вартість грантового капіталу для підприємства дорівнює нулю (</w:t>
      </w:r>
      <w:proofErr w:type="spellStart"/>
      <w:r w:rsidRPr="003E24B1">
        <w:rPr>
          <w:rFonts w:ascii="Times New Roman" w:hAnsi="Times New Roman" w:cs="Times New Roman"/>
          <w:sz w:val="28"/>
          <w:szCs w:val="28"/>
        </w:rPr>
        <w:t>rg</w:t>
      </w:r>
      <w:proofErr w:type="spellEnd"/>
      <w:r w:rsidRPr="003E24B1">
        <w:rPr>
          <w:rFonts w:ascii="Times New Roman" w:hAnsi="Times New Roman" w:cs="Times New Roman"/>
          <w:sz w:val="28"/>
          <w:szCs w:val="28"/>
        </w:rPr>
        <w:t xml:space="preserve"> = 0), оновлена формула WACC набуває вигляду:</w:t>
      </w:r>
    </w:p>
    <w:p w14:paraId="1EB964E0" w14:textId="0C067506" w:rsidR="003E24B1" w:rsidRPr="003E24B1" w:rsidRDefault="003E24B1" w:rsidP="003E24B1">
      <w:pPr>
        <w:spacing w:after="0" w:line="360" w:lineRule="auto"/>
        <w:ind w:firstLine="709"/>
        <w:jc w:val="right"/>
        <w:rPr>
          <w:rFonts w:ascii="Times New Roman" w:hAnsi="Times New Roman" w:cs="Times New Roman"/>
          <w:sz w:val="28"/>
          <w:szCs w:val="28"/>
        </w:rPr>
      </w:pPr>
      <w:proofErr w:type="spellStart"/>
      <w:r w:rsidRPr="003E24B1">
        <w:rPr>
          <w:rFonts w:ascii="Times New Roman" w:hAnsi="Times New Roman" w:cs="Times New Roman"/>
          <w:sz w:val="28"/>
          <w:szCs w:val="28"/>
        </w:rPr>
        <w:t>WACC</w:t>
      </w:r>
      <w:r w:rsidRPr="003E24B1">
        <w:rPr>
          <w:rFonts w:ascii="Times New Roman" w:hAnsi="Times New Roman" w:cs="Times New Roman"/>
          <w:sz w:val="28"/>
          <w:szCs w:val="28"/>
          <w:vertAlign w:val="subscript"/>
        </w:rPr>
        <w:t>modified</w:t>
      </w:r>
      <w:proofErr w:type="spellEnd"/>
      <w:r w:rsidRPr="003E24B1">
        <w:rPr>
          <w:rFonts w:ascii="Times New Roman" w:hAnsi="Times New Roman" w:cs="Times New Roman"/>
          <w:sz w:val="28"/>
          <w:szCs w:val="28"/>
        </w:rPr>
        <w:t xml:space="preserve"> = </w:t>
      </w:r>
      <w:proofErr w:type="spellStart"/>
      <w:r w:rsidRPr="003E24B1">
        <w:rPr>
          <w:rFonts w:ascii="Times New Roman" w:hAnsi="Times New Roman" w:cs="Times New Roman"/>
          <w:sz w:val="28"/>
          <w:szCs w:val="28"/>
        </w:rPr>
        <w:t>w</w:t>
      </w:r>
      <w:r w:rsidRPr="003E24B1">
        <w:rPr>
          <w:rFonts w:ascii="Times New Roman" w:hAnsi="Times New Roman" w:cs="Times New Roman"/>
          <w:sz w:val="28"/>
          <w:szCs w:val="28"/>
          <w:vertAlign w:val="subscript"/>
        </w:rPr>
        <w:t>e</w:t>
      </w:r>
      <w:proofErr w:type="spellEnd"/>
      <w:r w:rsidRPr="003E24B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3E24B1">
        <w:rPr>
          <w:rFonts w:ascii="Times New Roman" w:hAnsi="Times New Roman" w:cs="Times New Roman"/>
          <w:sz w:val="28"/>
          <w:szCs w:val="28"/>
        </w:rPr>
        <w:t>r</w:t>
      </w:r>
      <w:r w:rsidRPr="003E24B1">
        <w:rPr>
          <w:rFonts w:ascii="Times New Roman" w:hAnsi="Times New Roman" w:cs="Times New Roman"/>
          <w:sz w:val="28"/>
          <w:szCs w:val="28"/>
          <w:vertAlign w:val="subscript"/>
        </w:rPr>
        <w:t>e</w:t>
      </w:r>
      <w:proofErr w:type="spellEnd"/>
      <w:r w:rsidRPr="003E24B1">
        <w:rPr>
          <w:rFonts w:ascii="Times New Roman" w:hAnsi="Times New Roman" w:cs="Times New Roman"/>
          <w:sz w:val="28"/>
          <w:szCs w:val="28"/>
        </w:rPr>
        <w:t xml:space="preserve"> + </w:t>
      </w:r>
      <w:proofErr w:type="spellStart"/>
      <w:r w:rsidRPr="003E24B1">
        <w:rPr>
          <w:rFonts w:ascii="Times New Roman" w:hAnsi="Times New Roman" w:cs="Times New Roman"/>
          <w:sz w:val="28"/>
          <w:szCs w:val="28"/>
        </w:rPr>
        <w:t>w</w:t>
      </w:r>
      <w:r w:rsidRPr="003E24B1">
        <w:rPr>
          <w:rFonts w:ascii="Times New Roman" w:hAnsi="Times New Roman" w:cs="Times New Roman"/>
          <w:sz w:val="28"/>
          <w:szCs w:val="28"/>
          <w:vertAlign w:val="subscript"/>
        </w:rPr>
        <w:t>d</w:t>
      </w:r>
      <w:proofErr w:type="spellEnd"/>
      <w:r w:rsidRPr="003E24B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3E24B1">
        <w:rPr>
          <w:rFonts w:ascii="Times New Roman" w:hAnsi="Times New Roman" w:cs="Times New Roman"/>
          <w:sz w:val="28"/>
          <w:szCs w:val="28"/>
        </w:rPr>
        <w:t>r</w:t>
      </w:r>
      <w:r w:rsidRPr="003E24B1">
        <w:rPr>
          <w:rFonts w:ascii="Times New Roman" w:hAnsi="Times New Roman" w:cs="Times New Roman"/>
          <w:sz w:val="28"/>
          <w:szCs w:val="28"/>
          <w:vertAlign w:val="subscript"/>
        </w:rPr>
        <w:t>d</w:t>
      </w:r>
      <w:proofErr w:type="spellEnd"/>
      <w:r w:rsidRPr="003E24B1">
        <w:rPr>
          <w:rFonts w:ascii="Times New Roman" w:hAnsi="Times New Roman" w:cs="Times New Roman"/>
          <w:sz w:val="28"/>
          <w:szCs w:val="28"/>
        </w:rPr>
        <w:t xml:space="preserve"> </w:t>
      </w:r>
      <w:r>
        <w:rPr>
          <w:rFonts w:ascii="Times New Roman" w:hAnsi="Times New Roman" w:cs="Times New Roman"/>
          <w:sz w:val="28"/>
          <w:szCs w:val="28"/>
        </w:rPr>
        <w:t>*</w:t>
      </w:r>
      <w:r w:rsidRPr="003E24B1">
        <w:rPr>
          <w:rFonts w:ascii="Times New Roman" w:hAnsi="Times New Roman" w:cs="Times New Roman"/>
          <w:sz w:val="28"/>
          <w:szCs w:val="28"/>
        </w:rPr>
        <w:t xml:space="preserve"> (1 - T) + </w:t>
      </w:r>
      <w:proofErr w:type="spellStart"/>
      <w:r w:rsidRPr="003E24B1">
        <w:rPr>
          <w:rFonts w:ascii="Times New Roman" w:hAnsi="Times New Roman" w:cs="Times New Roman"/>
          <w:sz w:val="28"/>
          <w:szCs w:val="28"/>
        </w:rPr>
        <w:t>w</w:t>
      </w:r>
      <w:r w:rsidRPr="003E24B1">
        <w:rPr>
          <w:rFonts w:ascii="Times New Roman" w:hAnsi="Times New Roman" w:cs="Times New Roman"/>
          <w:sz w:val="28"/>
          <w:szCs w:val="28"/>
          <w:vertAlign w:val="subscript"/>
        </w:rPr>
        <w:t>g</w:t>
      </w:r>
      <w:proofErr w:type="spellEnd"/>
      <w:r w:rsidRPr="003E24B1">
        <w:rPr>
          <w:rFonts w:ascii="Times New Roman" w:hAnsi="Times New Roman" w:cs="Times New Roman"/>
          <w:sz w:val="28"/>
          <w:szCs w:val="28"/>
          <w:vertAlign w:val="subscript"/>
        </w:rPr>
        <w:t xml:space="preserve"> </w:t>
      </w:r>
      <w:r>
        <w:rPr>
          <w:rFonts w:ascii="Times New Roman" w:hAnsi="Times New Roman" w:cs="Times New Roman"/>
          <w:sz w:val="28"/>
          <w:szCs w:val="28"/>
        </w:rPr>
        <w:t>*</w:t>
      </w:r>
      <w:r w:rsidRPr="003E24B1">
        <w:rPr>
          <w:rFonts w:ascii="Times New Roman" w:hAnsi="Times New Roman" w:cs="Times New Roman"/>
          <w:sz w:val="28"/>
          <w:szCs w:val="28"/>
        </w:rPr>
        <w:t xml:space="preserve"> 0</w:t>
      </w:r>
      <w:r>
        <w:rPr>
          <w:rFonts w:ascii="Times New Roman" w:hAnsi="Times New Roman" w:cs="Times New Roman"/>
          <w:sz w:val="28"/>
          <w:szCs w:val="28"/>
        </w:rPr>
        <w:t xml:space="preserve">                     (3.3)</w:t>
      </w:r>
    </w:p>
    <w:p w14:paraId="495FA6F0" w14:textId="57892C42"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 xml:space="preserve">Завдяки тому, що державний або міжнародний грант покриває «ризикову частку» (перші 20% на етапі </w:t>
      </w:r>
      <w:proofErr w:type="spellStart"/>
      <w:r w:rsidRPr="003E24B1">
        <w:rPr>
          <w:rFonts w:ascii="Times New Roman" w:hAnsi="Times New Roman" w:cs="Times New Roman"/>
          <w:sz w:val="28"/>
          <w:szCs w:val="28"/>
        </w:rPr>
        <w:t>проектування</w:t>
      </w:r>
      <w:proofErr w:type="spellEnd"/>
      <w:r w:rsidRPr="003E24B1">
        <w:rPr>
          <w:rFonts w:ascii="Times New Roman" w:hAnsi="Times New Roman" w:cs="Times New Roman"/>
          <w:sz w:val="28"/>
          <w:szCs w:val="28"/>
        </w:rPr>
        <w:t xml:space="preserve"> та закладання фундаменту), комерційний банк отримує додатковий незабезпечений буфер безпеки. Це дозволяє фінансовій установі не лише знизити вимоги до застави, але й суттєво зменшити кредитний </w:t>
      </w:r>
      <w:proofErr w:type="spellStart"/>
      <w:r w:rsidRPr="003E24B1">
        <w:rPr>
          <w:rFonts w:ascii="Times New Roman" w:hAnsi="Times New Roman" w:cs="Times New Roman"/>
          <w:sz w:val="28"/>
          <w:szCs w:val="28"/>
        </w:rPr>
        <w:t>спред</w:t>
      </w:r>
      <w:proofErr w:type="spellEnd"/>
      <w:r w:rsidRPr="003E24B1">
        <w:rPr>
          <w:rFonts w:ascii="Times New Roman" w:hAnsi="Times New Roman" w:cs="Times New Roman"/>
          <w:sz w:val="28"/>
          <w:szCs w:val="28"/>
        </w:rPr>
        <w:t xml:space="preserve"> у структурі відсоткової ставки </w:t>
      </w:r>
      <w:proofErr w:type="spellStart"/>
      <w:r w:rsidRPr="003E24B1">
        <w:rPr>
          <w:rFonts w:ascii="Times New Roman" w:hAnsi="Times New Roman" w:cs="Times New Roman"/>
          <w:sz w:val="28"/>
          <w:szCs w:val="28"/>
        </w:rPr>
        <w:t>r</w:t>
      </w:r>
      <w:r w:rsidRPr="003E24B1">
        <w:rPr>
          <w:rFonts w:ascii="Times New Roman" w:hAnsi="Times New Roman" w:cs="Times New Roman"/>
          <w:sz w:val="28"/>
          <w:szCs w:val="28"/>
          <w:vertAlign w:val="subscript"/>
        </w:rPr>
        <w:t>d</w:t>
      </w:r>
      <w:proofErr w:type="spellEnd"/>
      <w:r w:rsidRPr="003E24B1">
        <w:rPr>
          <w:rFonts w:ascii="Times New Roman" w:hAnsi="Times New Roman" w:cs="Times New Roman"/>
          <w:sz w:val="28"/>
          <w:szCs w:val="28"/>
        </w:rPr>
        <w:t>, трансформуючи кредит у пільговий інструмент [</w:t>
      </w:r>
      <w:r w:rsidR="000222E7">
        <w:rPr>
          <w:rFonts w:ascii="Times New Roman" w:hAnsi="Times New Roman" w:cs="Times New Roman"/>
          <w:sz w:val="28"/>
          <w:szCs w:val="28"/>
        </w:rPr>
        <w:t>40</w:t>
      </w:r>
      <w:r w:rsidRPr="003E24B1">
        <w:rPr>
          <w:rFonts w:ascii="Times New Roman" w:hAnsi="Times New Roman" w:cs="Times New Roman"/>
          <w:sz w:val="28"/>
          <w:szCs w:val="28"/>
        </w:rPr>
        <w:t>]. Як результат, проєкти з низькою базовою рентабельністю в умовах нестабільності переходять у категорію інвестиційно привабливих (NPV &gt; 0), що активізує відтворення необоротних активів.</w:t>
      </w:r>
    </w:p>
    <w:p w14:paraId="6361D28F" w14:textId="57DAB5AA"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 xml:space="preserve">Масштабне руйнування логістичних ланцюгів, елеваторних </w:t>
      </w:r>
      <w:proofErr w:type="spellStart"/>
      <w:r w:rsidRPr="003E24B1">
        <w:rPr>
          <w:rFonts w:ascii="Times New Roman" w:hAnsi="Times New Roman" w:cs="Times New Roman"/>
          <w:sz w:val="28"/>
          <w:szCs w:val="28"/>
        </w:rPr>
        <w:t>потужностей</w:t>
      </w:r>
      <w:proofErr w:type="spellEnd"/>
      <w:r w:rsidRPr="003E24B1">
        <w:rPr>
          <w:rFonts w:ascii="Times New Roman" w:hAnsi="Times New Roman" w:cs="Times New Roman"/>
          <w:sz w:val="28"/>
          <w:szCs w:val="28"/>
        </w:rPr>
        <w:t xml:space="preserve">, систем зрошення та портової інфраструктури потребує залучення колосальних фінансових ресурсів, обсяг яких перевищує інвестиційні можливості як окремих </w:t>
      </w:r>
      <w:proofErr w:type="spellStart"/>
      <w:r w:rsidRPr="003E24B1">
        <w:rPr>
          <w:rFonts w:ascii="Times New Roman" w:hAnsi="Times New Roman" w:cs="Times New Roman"/>
          <w:sz w:val="28"/>
          <w:szCs w:val="28"/>
        </w:rPr>
        <w:t>агрохолдингів</w:t>
      </w:r>
      <w:proofErr w:type="spellEnd"/>
      <w:r w:rsidRPr="003E24B1">
        <w:rPr>
          <w:rFonts w:ascii="Times New Roman" w:hAnsi="Times New Roman" w:cs="Times New Roman"/>
          <w:sz w:val="28"/>
          <w:szCs w:val="28"/>
        </w:rPr>
        <w:t>, так і державного бюджету. Оптимальним інституційним розв'язанням цієї проблеми є розгортання державно-приватного партнерства (ДПП), які дозволяють збалансовано розподілити ризики та компетенції між публічним та приватним секторами [</w:t>
      </w:r>
      <w:r w:rsidR="000222E7">
        <w:rPr>
          <w:rFonts w:ascii="Times New Roman" w:hAnsi="Times New Roman" w:cs="Times New Roman"/>
          <w:sz w:val="28"/>
          <w:szCs w:val="28"/>
        </w:rPr>
        <w:t>49, 52</w:t>
      </w:r>
      <w:r w:rsidRPr="003E24B1">
        <w:rPr>
          <w:rFonts w:ascii="Times New Roman" w:hAnsi="Times New Roman" w:cs="Times New Roman"/>
          <w:sz w:val="28"/>
          <w:szCs w:val="28"/>
        </w:rPr>
        <w:t>].</w:t>
      </w:r>
    </w:p>
    <w:p w14:paraId="3AD79490" w14:textId="77777777"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В умовах адаптації до нестабільності традиційні форми ДПП мають бути модернізовані з акцентом на інфраструктурне забезпечення відтворювальних процесів. Основними цільовими моделями для вітчизняного АПК є:</w:t>
      </w:r>
    </w:p>
    <w:p w14:paraId="7B6B1F44" w14:textId="07AC364E" w:rsidR="003E24B1" w:rsidRPr="003E24B1" w:rsidRDefault="003E24B1" w:rsidP="003E24B1">
      <w:pPr>
        <w:numPr>
          <w:ilvl w:val="0"/>
          <w:numId w:val="34"/>
        </w:numPr>
        <w:tabs>
          <w:tab w:val="clear" w:pos="720"/>
          <w:tab w:val="num" w:pos="426"/>
        </w:tabs>
        <w:spacing w:after="0" w:line="360" w:lineRule="auto"/>
        <w:ind w:left="0" w:firstLine="567"/>
        <w:jc w:val="both"/>
        <w:rPr>
          <w:rFonts w:ascii="Times New Roman" w:hAnsi="Times New Roman" w:cs="Times New Roman"/>
          <w:sz w:val="28"/>
          <w:szCs w:val="28"/>
        </w:rPr>
      </w:pPr>
      <w:r w:rsidRPr="003E24B1">
        <w:rPr>
          <w:rFonts w:ascii="Times New Roman" w:hAnsi="Times New Roman" w:cs="Times New Roman"/>
          <w:sz w:val="28"/>
          <w:szCs w:val="28"/>
        </w:rPr>
        <w:t xml:space="preserve">Концесійні угоди (BTO — </w:t>
      </w:r>
      <w:proofErr w:type="spellStart"/>
      <w:r w:rsidRPr="003E24B1">
        <w:rPr>
          <w:rFonts w:ascii="Times New Roman" w:hAnsi="Times New Roman" w:cs="Times New Roman"/>
          <w:sz w:val="28"/>
          <w:szCs w:val="28"/>
        </w:rPr>
        <w:t>Build-Transfer-Operate</w:t>
      </w:r>
      <w:proofErr w:type="spellEnd"/>
      <w:r w:rsidRPr="003E24B1">
        <w:rPr>
          <w:rFonts w:ascii="Times New Roman" w:hAnsi="Times New Roman" w:cs="Times New Roman"/>
          <w:sz w:val="28"/>
          <w:szCs w:val="28"/>
        </w:rPr>
        <w:t xml:space="preserve"> / BOT)</w:t>
      </w:r>
      <w:r>
        <w:rPr>
          <w:rFonts w:ascii="Times New Roman" w:hAnsi="Times New Roman" w:cs="Times New Roman"/>
          <w:sz w:val="28"/>
          <w:szCs w:val="28"/>
        </w:rPr>
        <w:t>.</w:t>
      </w:r>
      <w:r w:rsidRPr="003E24B1">
        <w:rPr>
          <w:rFonts w:ascii="Times New Roman" w:hAnsi="Times New Roman" w:cs="Times New Roman"/>
          <w:sz w:val="28"/>
          <w:szCs w:val="28"/>
        </w:rPr>
        <w:t xml:space="preserve"> Найбільш релевантні для відновлення об’єктів портової та річкової логістики (зернових терміналів). Приватний інвестор здійснює капітальну реконструкцію або будівництво об'єкта, отримує право на управління ним протягом визначеного терміну для повернення інвестицій, після чого об'єкт повертається у власність держави [</w:t>
      </w:r>
      <w:r w:rsidR="000222E7">
        <w:rPr>
          <w:rFonts w:ascii="Times New Roman" w:hAnsi="Times New Roman" w:cs="Times New Roman"/>
          <w:sz w:val="28"/>
          <w:szCs w:val="28"/>
        </w:rPr>
        <w:t>42, 52</w:t>
      </w:r>
      <w:r w:rsidRPr="003E24B1">
        <w:rPr>
          <w:rFonts w:ascii="Times New Roman" w:hAnsi="Times New Roman" w:cs="Times New Roman"/>
          <w:sz w:val="28"/>
          <w:szCs w:val="28"/>
        </w:rPr>
        <w:t>].</w:t>
      </w:r>
    </w:p>
    <w:p w14:paraId="579B746E" w14:textId="6103E954" w:rsidR="003E24B1" w:rsidRPr="003E24B1" w:rsidRDefault="003E24B1" w:rsidP="003E24B1">
      <w:pPr>
        <w:numPr>
          <w:ilvl w:val="0"/>
          <w:numId w:val="34"/>
        </w:numPr>
        <w:tabs>
          <w:tab w:val="clear" w:pos="720"/>
          <w:tab w:val="num" w:pos="426"/>
        </w:tabs>
        <w:spacing w:after="0" w:line="360" w:lineRule="auto"/>
        <w:ind w:left="0" w:firstLine="567"/>
        <w:jc w:val="both"/>
        <w:rPr>
          <w:rFonts w:ascii="Times New Roman" w:hAnsi="Times New Roman" w:cs="Times New Roman"/>
          <w:sz w:val="28"/>
          <w:szCs w:val="28"/>
        </w:rPr>
      </w:pPr>
      <w:r w:rsidRPr="003E24B1">
        <w:rPr>
          <w:rFonts w:ascii="Times New Roman" w:hAnsi="Times New Roman" w:cs="Times New Roman"/>
          <w:sz w:val="28"/>
          <w:szCs w:val="28"/>
        </w:rPr>
        <w:lastRenderedPageBreak/>
        <w:t xml:space="preserve">Контракти на управління та життєвий цикл (LCC — </w:t>
      </w:r>
      <w:proofErr w:type="spellStart"/>
      <w:r w:rsidRPr="003E24B1">
        <w:rPr>
          <w:rFonts w:ascii="Times New Roman" w:hAnsi="Times New Roman" w:cs="Times New Roman"/>
          <w:sz w:val="28"/>
          <w:szCs w:val="28"/>
        </w:rPr>
        <w:t>Life</w:t>
      </w:r>
      <w:proofErr w:type="spellEnd"/>
      <w:r w:rsidRPr="003E24B1">
        <w:rPr>
          <w:rFonts w:ascii="Times New Roman" w:hAnsi="Times New Roman" w:cs="Times New Roman"/>
          <w:sz w:val="28"/>
          <w:szCs w:val="28"/>
        </w:rPr>
        <w:t xml:space="preserve"> </w:t>
      </w:r>
      <w:proofErr w:type="spellStart"/>
      <w:r w:rsidRPr="003E24B1">
        <w:rPr>
          <w:rFonts w:ascii="Times New Roman" w:hAnsi="Times New Roman" w:cs="Times New Roman"/>
          <w:sz w:val="28"/>
          <w:szCs w:val="28"/>
        </w:rPr>
        <w:t>Cycle</w:t>
      </w:r>
      <w:proofErr w:type="spellEnd"/>
      <w:r w:rsidRPr="003E24B1">
        <w:rPr>
          <w:rFonts w:ascii="Times New Roman" w:hAnsi="Times New Roman" w:cs="Times New Roman"/>
          <w:sz w:val="28"/>
          <w:szCs w:val="28"/>
        </w:rPr>
        <w:t xml:space="preserve"> </w:t>
      </w:r>
      <w:proofErr w:type="spellStart"/>
      <w:r w:rsidRPr="003E24B1">
        <w:rPr>
          <w:rFonts w:ascii="Times New Roman" w:hAnsi="Times New Roman" w:cs="Times New Roman"/>
          <w:sz w:val="28"/>
          <w:szCs w:val="28"/>
        </w:rPr>
        <w:t>Contracts</w:t>
      </w:r>
      <w:proofErr w:type="spellEnd"/>
      <w:r w:rsidRPr="003E24B1">
        <w:rPr>
          <w:rFonts w:ascii="Times New Roman" w:hAnsi="Times New Roman" w:cs="Times New Roman"/>
          <w:sz w:val="28"/>
          <w:szCs w:val="28"/>
        </w:rPr>
        <w:t>) для меліоративних систем</w:t>
      </w:r>
      <w:r>
        <w:rPr>
          <w:rFonts w:ascii="Times New Roman" w:hAnsi="Times New Roman" w:cs="Times New Roman"/>
          <w:sz w:val="28"/>
          <w:szCs w:val="28"/>
        </w:rPr>
        <w:t>.</w:t>
      </w:r>
      <w:r w:rsidRPr="003E24B1">
        <w:rPr>
          <w:rFonts w:ascii="Times New Roman" w:hAnsi="Times New Roman" w:cs="Times New Roman"/>
          <w:sz w:val="28"/>
          <w:szCs w:val="28"/>
        </w:rPr>
        <w:t xml:space="preserve"> Специфіка аграрного сектору Півдня та Центру України потребує негайного відновлення зрошувальних каналів. Створення Об'єднань водокористувачів (ОВК) на засадах ДПП дозволяє державі зберегти контроль над водними ресурсами, передаючи функції модернізації та експлуатації мереж приватному сектору під гарантії довгострокового викупу послуг [</w:t>
      </w:r>
      <w:r w:rsidR="000222E7">
        <w:rPr>
          <w:rFonts w:ascii="Times New Roman" w:hAnsi="Times New Roman" w:cs="Times New Roman"/>
          <w:sz w:val="28"/>
          <w:szCs w:val="28"/>
        </w:rPr>
        <w:t>49, 50, 53</w:t>
      </w:r>
      <w:r w:rsidRPr="003E24B1">
        <w:rPr>
          <w:rFonts w:ascii="Times New Roman" w:hAnsi="Times New Roman" w:cs="Times New Roman"/>
          <w:sz w:val="28"/>
          <w:szCs w:val="28"/>
        </w:rPr>
        <w:t>].</w:t>
      </w:r>
    </w:p>
    <w:p w14:paraId="01CE7C34" w14:textId="56A0ECDE" w:rsidR="003E24B1" w:rsidRPr="003E24B1" w:rsidRDefault="003E24B1" w:rsidP="003E24B1">
      <w:pPr>
        <w:spacing w:after="0" w:line="360" w:lineRule="auto"/>
        <w:ind w:firstLine="709"/>
        <w:jc w:val="both"/>
        <w:rPr>
          <w:rFonts w:ascii="Times New Roman" w:hAnsi="Times New Roman" w:cs="Times New Roman"/>
          <w:sz w:val="28"/>
          <w:szCs w:val="28"/>
        </w:rPr>
      </w:pPr>
      <w:r w:rsidRPr="003E24B1">
        <w:rPr>
          <w:rFonts w:ascii="Times New Roman" w:hAnsi="Times New Roman" w:cs="Times New Roman"/>
          <w:sz w:val="28"/>
          <w:szCs w:val="28"/>
        </w:rPr>
        <w:t>Головною перевагою ДПП у порівнянні з класичною приватизацією чи виключно державним будівництвом є синергетичний розподіл ризиків (</w:t>
      </w:r>
      <w:r>
        <w:rPr>
          <w:rFonts w:ascii="Times New Roman" w:hAnsi="Times New Roman" w:cs="Times New Roman"/>
          <w:sz w:val="28"/>
          <w:szCs w:val="28"/>
        </w:rPr>
        <w:t>т</w:t>
      </w:r>
      <w:r w:rsidRPr="003E24B1">
        <w:rPr>
          <w:rFonts w:ascii="Times New Roman" w:hAnsi="Times New Roman" w:cs="Times New Roman"/>
          <w:sz w:val="28"/>
          <w:szCs w:val="28"/>
        </w:rPr>
        <w:t>абл</w:t>
      </w:r>
      <w:r>
        <w:rPr>
          <w:rFonts w:ascii="Times New Roman" w:hAnsi="Times New Roman" w:cs="Times New Roman"/>
          <w:sz w:val="28"/>
          <w:szCs w:val="28"/>
        </w:rPr>
        <w:t>. 3.6</w:t>
      </w:r>
      <w:r w:rsidRPr="003E24B1">
        <w:rPr>
          <w:rFonts w:ascii="Times New Roman" w:hAnsi="Times New Roman" w:cs="Times New Roman"/>
          <w:sz w:val="28"/>
          <w:szCs w:val="28"/>
        </w:rPr>
        <w:t>), що базується на методологічних засадах концепції управління вартістю бізнесу [</w:t>
      </w:r>
      <w:r w:rsidR="000222E7">
        <w:rPr>
          <w:rFonts w:ascii="Times New Roman" w:hAnsi="Times New Roman" w:cs="Times New Roman"/>
          <w:sz w:val="28"/>
          <w:szCs w:val="28"/>
        </w:rPr>
        <w:t>44</w:t>
      </w:r>
      <w:r w:rsidRPr="003E24B1">
        <w:rPr>
          <w:rFonts w:ascii="Times New Roman" w:hAnsi="Times New Roman" w:cs="Times New Roman"/>
          <w:sz w:val="28"/>
          <w:szCs w:val="28"/>
        </w:rPr>
        <w:t xml:space="preserve">; </w:t>
      </w:r>
      <w:r w:rsidR="000222E7">
        <w:rPr>
          <w:rFonts w:ascii="Times New Roman" w:hAnsi="Times New Roman" w:cs="Times New Roman"/>
          <w:sz w:val="28"/>
          <w:szCs w:val="28"/>
        </w:rPr>
        <w:t>52</w:t>
      </w:r>
      <w:r w:rsidRPr="003E24B1">
        <w:rPr>
          <w:rFonts w:ascii="Times New Roman" w:hAnsi="Times New Roman" w:cs="Times New Roman"/>
          <w:sz w:val="28"/>
          <w:szCs w:val="28"/>
        </w:rPr>
        <w:t>].</w:t>
      </w:r>
    </w:p>
    <w:p w14:paraId="6E4755AF" w14:textId="77777777" w:rsidR="003E24B1" w:rsidRPr="003E24B1" w:rsidRDefault="003E24B1" w:rsidP="003E24B1">
      <w:pPr>
        <w:spacing w:after="0" w:line="360" w:lineRule="auto"/>
        <w:ind w:firstLine="709"/>
        <w:jc w:val="right"/>
        <w:rPr>
          <w:rFonts w:ascii="Times New Roman" w:hAnsi="Times New Roman" w:cs="Times New Roman"/>
          <w:sz w:val="28"/>
          <w:szCs w:val="28"/>
        </w:rPr>
      </w:pPr>
      <w:r w:rsidRPr="003E24B1">
        <w:rPr>
          <w:rFonts w:ascii="Times New Roman" w:hAnsi="Times New Roman" w:cs="Times New Roman"/>
          <w:sz w:val="28"/>
          <w:szCs w:val="28"/>
        </w:rPr>
        <w:t xml:space="preserve">Таблиця 3.6 </w:t>
      </w:r>
    </w:p>
    <w:p w14:paraId="697F7B01" w14:textId="616156AF" w:rsidR="003E24B1" w:rsidRPr="003E24B1" w:rsidRDefault="003E24B1" w:rsidP="003E24B1">
      <w:pPr>
        <w:spacing w:after="0" w:line="360" w:lineRule="auto"/>
        <w:jc w:val="center"/>
        <w:rPr>
          <w:rFonts w:ascii="Times New Roman" w:hAnsi="Times New Roman" w:cs="Times New Roman"/>
          <w:sz w:val="28"/>
          <w:szCs w:val="28"/>
        </w:rPr>
      </w:pPr>
      <w:r w:rsidRPr="003E24B1">
        <w:rPr>
          <w:rFonts w:ascii="Times New Roman" w:hAnsi="Times New Roman" w:cs="Times New Roman"/>
          <w:sz w:val="28"/>
          <w:szCs w:val="28"/>
        </w:rPr>
        <w:t>Матриця розподілу ризиків та синергетичного ефекту в моделях ДПП в АПК</w:t>
      </w:r>
    </w:p>
    <w:tbl>
      <w:tblPr>
        <w:tblStyle w:val="af0"/>
        <w:tblW w:w="0" w:type="auto"/>
        <w:tblLook w:val="04A0" w:firstRow="1" w:lastRow="0" w:firstColumn="1" w:lastColumn="0" w:noHBand="0" w:noVBand="1"/>
      </w:tblPr>
      <w:tblGrid>
        <w:gridCol w:w="2605"/>
        <w:gridCol w:w="1626"/>
        <w:gridCol w:w="2795"/>
        <w:gridCol w:w="2601"/>
      </w:tblGrid>
      <w:tr w:rsidR="003E24B1" w:rsidRPr="003E24B1" w14:paraId="1690B076" w14:textId="77777777" w:rsidTr="003E24B1">
        <w:tc>
          <w:tcPr>
            <w:tcW w:w="0" w:type="auto"/>
            <w:hideMark/>
          </w:tcPr>
          <w:p w14:paraId="5A9EC455" w14:textId="77777777" w:rsidR="003E24B1" w:rsidRPr="003E24B1" w:rsidRDefault="003E24B1" w:rsidP="004A39E0">
            <w:pPr>
              <w:jc w:val="center"/>
              <w:rPr>
                <w:rFonts w:ascii="Times New Roman" w:hAnsi="Times New Roman" w:cs="Times New Roman"/>
                <w:sz w:val="24"/>
                <w:szCs w:val="24"/>
              </w:rPr>
            </w:pPr>
            <w:r w:rsidRPr="003E24B1">
              <w:rPr>
                <w:rFonts w:ascii="Times New Roman" w:hAnsi="Times New Roman" w:cs="Times New Roman"/>
                <w:sz w:val="24"/>
                <w:szCs w:val="24"/>
              </w:rPr>
              <w:t>Категорія ризику інфраструктурного проєкту</w:t>
            </w:r>
          </w:p>
        </w:tc>
        <w:tc>
          <w:tcPr>
            <w:tcW w:w="0" w:type="auto"/>
            <w:hideMark/>
          </w:tcPr>
          <w:p w14:paraId="17DEE219" w14:textId="77777777" w:rsidR="003E24B1" w:rsidRPr="003E24B1" w:rsidRDefault="003E24B1" w:rsidP="004A39E0">
            <w:pPr>
              <w:jc w:val="center"/>
              <w:rPr>
                <w:rFonts w:ascii="Times New Roman" w:hAnsi="Times New Roman" w:cs="Times New Roman"/>
                <w:sz w:val="24"/>
                <w:szCs w:val="24"/>
              </w:rPr>
            </w:pPr>
            <w:r w:rsidRPr="003E24B1">
              <w:rPr>
                <w:rFonts w:ascii="Times New Roman" w:hAnsi="Times New Roman" w:cs="Times New Roman"/>
                <w:sz w:val="24"/>
                <w:szCs w:val="24"/>
              </w:rPr>
              <w:t>Сторона, що приймає ризик</w:t>
            </w:r>
          </w:p>
        </w:tc>
        <w:tc>
          <w:tcPr>
            <w:tcW w:w="0" w:type="auto"/>
            <w:hideMark/>
          </w:tcPr>
          <w:p w14:paraId="5C949E2A" w14:textId="77777777" w:rsidR="003E24B1" w:rsidRPr="003E24B1" w:rsidRDefault="003E24B1" w:rsidP="004A39E0">
            <w:pPr>
              <w:jc w:val="center"/>
              <w:rPr>
                <w:rFonts w:ascii="Times New Roman" w:hAnsi="Times New Roman" w:cs="Times New Roman"/>
                <w:sz w:val="24"/>
                <w:szCs w:val="24"/>
              </w:rPr>
            </w:pPr>
            <w:r w:rsidRPr="003E24B1">
              <w:rPr>
                <w:rFonts w:ascii="Times New Roman" w:hAnsi="Times New Roman" w:cs="Times New Roman"/>
                <w:sz w:val="24"/>
                <w:szCs w:val="24"/>
              </w:rPr>
              <w:t>Механізм мінімізації та адаптації</w:t>
            </w:r>
          </w:p>
        </w:tc>
        <w:tc>
          <w:tcPr>
            <w:tcW w:w="0" w:type="auto"/>
            <w:hideMark/>
          </w:tcPr>
          <w:p w14:paraId="4C849D3B" w14:textId="77777777" w:rsidR="003E24B1" w:rsidRPr="003E24B1" w:rsidRDefault="003E24B1" w:rsidP="004A39E0">
            <w:pPr>
              <w:jc w:val="center"/>
              <w:rPr>
                <w:rFonts w:ascii="Times New Roman" w:hAnsi="Times New Roman" w:cs="Times New Roman"/>
                <w:sz w:val="24"/>
                <w:szCs w:val="24"/>
              </w:rPr>
            </w:pPr>
            <w:r w:rsidRPr="003E24B1">
              <w:rPr>
                <w:rFonts w:ascii="Times New Roman" w:hAnsi="Times New Roman" w:cs="Times New Roman"/>
                <w:sz w:val="24"/>
                <w:szCs w:val="24"/>
              </w:rPr>
              <w:t>Очікуваний синергетичний ефект</w:t>
            </w:r>
          </w:p>
        </w:tc>
      </w:tr>
      <w:tr w:rsidR="003E24B1" w:rsidRPr="003E24B1" w14:paraId="5F639310" w14:textId="77777777" w:rsidTr="003E24B1">
        <w:tc>
          <w:tcPr>
            <w:tcW w:w="0" w:type="auto"/>
            <w:hideMark/>
          </w:tcPr>
          <w:p w14:paraId="47CE520B" w14:textId="77777777" w:rsidR="003E24B1" w:rsidRPr="003E24B1" w:rsidRDefault="003E24B1" w:rsidP="004A39E0">
            <w:pPr>
              <w:rPr>
                <w:rFonts w:ascii="Times New Roman" w:hAnsi="Times New Roman" w:cs="Times New Roman"/>
                <w:sz w:val="24"/>
                <w:szCs w:val="24"/>
              </w:rPr>
            </w:pPr>
            <w:r w:rsidRPr="003E24B1">
              <w:rPr>
                <w:rFonts w:ascii="Times New Roman" w:hAnsi="Times New Roman" w:cs="Times New Roman"/>
                <w:sz w:val="24"/>
                <w:szCs w:val="24"/>
              </w:rPr>
              <w:t>Проєктно-будівельний ризик (перевищення кошторису, затримка введення)</w:t>
            </w:r>
          </w:p>
        </w:tc>
        <w:tc>
          <w:tcPr>
            <w:tcW w:w="0" w:type="auto"/>
            <w:hideMark/>
          </w:tcPr>
          <w:p w14:paraId="512E4C28"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Приватний партнер</w:t>
            </w:r>
          </w:p>
        </w:tc>
        <w:tc>
          <w:tcPr>
            <w:tcW w:w="0" w:type="auto"/>
            <w:hideMark/>
          </w:tcPr>
          <w:p w14:paraId="782C8467"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Застосування сучасних технологій менеджменту, жорсткий операційний контроль.</w:t>
            </w:r>
          </w:p>
        </w:tc>
        <w:tc>
          <w:tcPr>
            <w:tcW w:w="0" w:type="auto"/>
            <w:hideMark/>
          </w:tcPr>
          <w:p w14:paraId="5EE05682" w14:textId="74ABF37F"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 xml:space="preserve">Оптимізація </w:t>
            </w:r>
            <w:proofErr w:type="spellStart"/>
            <w:r w:rsidRPr="003E24B1">
              <w:rPr>
                <w:rFonts w:ascii="Times New Roman" w:hAnsi="Times New Roman" w:cs="Times New Roman"/>
                <w:sz w:val="24"/>
                <w:szCs w:val="24"/>
              </w:rPr>
              <w:t>CapEx</w:t>
            </w:r>
            <w:proofErr w:type="spellEnd"/>
            <w:r w:rsidRPr="003E24B1">
              <w:rPr>
                <w:rFonts w:ascii="Times New Roman" w:hAnsi="Times New Roman" w:cs="Times New Roman"/>
                <w:sz w:val="24"/>
                <w:szCs w:val="24"/>
              </w:rPr>
              <w:t xml:space="preserve"> з державними </w:t>
            </w:r>
            <w:proofErr w:type="spellStart"/>
            <w:r w:rsidRPr="003E24B1">
              <w:rPr>
                <w:rFonts w:ascii="Times New Roman" w:hAnsi="Times New Roman" w:cs="Times New Roman"/>
                <w:sz w:val="24"/>
                <w:szCs w:val="24"/>
              </w:rPr>
              <w:t>закупівлями</w:t>
            </w:r>
            <w:proofErr w:type="spellEnd"/>
            <w:r w:rsidRPr="003E24B1">
              <w:rPr>
                <w:rFonts w:ascii="Times New Roman" w:hAnsi="Times New Roman" w:cs="Times New Roman"/>
                <w:sz w:val="24"/>
                <w:szCs w:val="24"/>
              </w:rPr>
              <w:t xml:space="preserve"> </w:t>
            </w:r>
          </w:p>
        </w:tc>
      </w:tr>
      <w:tr w:rsidR="003E24B1" w:rsidRPr="003E24B1" w14:paraId="131997BF" w14:textId="77777777" w:rsidTr="003E24B1">
        <w:tc>
          <w:tcPr>
            <w:tcW w:w="0" w:type="auto"/>
            <w:hideMark/>
          </w:tcPr>
          <w:p w14:paraId="0A0DC4DA" w14:textId="77777777" w:rsidR="003E24B1" w:rsidRPr="003E24B1" w:rsidRDefault="003E24B1" w:rsidP="004A39E0">
            <w:pPr>
              <w:rPr>
                <w:rFonts w:ascii="Times New Roman" w:hAnsi="Times New Roman" w:cs="Times New Roman"/>
                <w:sz w:val="24"/>
                <w:szCs w:val="24"/>
              </w:rPr>
            </w:pPr>
            <w:r w:rsidRPr="003E24B1">
              <w:rPr>
                <w:rFonts w:ascii="Times New Roman" w:hAnsi="Times New Roman" w:cs="Times New Roman"/>
                <w:sz w:val="24"/>
                <w:szCs w:val="24"/>
              </w:rPr>
              <w:t>Логістичний та ринковий ризик (</w:t>
            </w:r>
            <w:proofErr w:type="spellStart"/>
            <w:r w:rsidRPr="003E24B1">
              <w:rPr>
                <w:rFonts w:ascii="Times New Roman" w:hAnsi="Times New Roman" w:cs="Times New Roman"/>
                <w:sz w:val="24"/>
                <w:szCs w:val="24"/>
              </w:rPr>
              <w:t>волатильність</w:t>
            </w:r>
            <w:proofErr w:type="spellEnd"/>
            <w:r w:rsidRPr="003E24B1">
              <w:rPr>
                <w:rFonts w:ascii="Times New Roman" w:hAnsi="Times New Roman" w:cs="Times New Roman"/>
                <w:sz w:val="24"/>
                <w:szCs w:val="24"/>
              </w:rPr>
              <w:t xml:space="preserve"> попиту на послуги)</w:t>
            </w:r>
          </w:p>
        </w:tc>
        <w:tc>
          <w:tcPr>
            <w:tcW w:w="0" w:type="auto"/>
            <w:hideMark/>
          </w:tcPr>
          <w:p w14:paraId="4D459239"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Спільне розділення</w:t>
            </w:r>
          </w:p>
        </w:tc>
        <w:tc>
          <w:tcPr>
            <w:tcW w:w="0" w:type="auto"/>
            <w:hideMark/>
          </w:tcPr>
          <w:p w14:paraId="010762F0" w14:textId="4F3E1ABB"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Держава гарантує мінімальний рівень завантаження, приват</w:t>
            </w:r>
            <w:r w:rsidR="004A39E0">
              <w:rPr>
                <w:rFonts w:ascii="Times New Roman" w:hAnsi="Times New Roman" w:cs="Times New Roman"/>
                <w:sz w:val="24"/>
                <w:szCs w:val="24"/>
              </w:rPr>
              <w:t>ні компанії</w:t>
            </w:r>
            <w:r w:rsidRPr="003E24B1">
              <w:rPr>
                <w:rFonts w:ascii="Times New Roman" w:hAnsi="Times New Roman" w:cs="Times New Roman"/>
                <w:sz w:val="24"/>
                <w:szCs w:val="24"/>
              </w:rPr>
              <w:t xml:space="preserve"> забезпечує якість.</w:t>
            </w:r>
          </w:p>
        </w:tc>
        <w:tc>
          <w:tcPr>
            <w:tcW w:w="0" w:type="auto"/>
            <w:hideMark/>
          </w:tcPr>
          <w:p w14:paraId="136B3694" w14:textId="7F8E62AD"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Стабільність грошового потоку</w:t>
            </w:r>
            <w:r w:rsidR="004A39E0">
              <w:rPr>
                <w:rFonts w:ascii="Times New Roman" w:hAnsi="Times New Roman" w:cs="Times New Roman"/>
                <w:sz w:val="24"/>
                <w:szCs w:val="24"/>
              </w:rPr>
              <w:t xml:space="preserve"> </w:t>
            </w:r>
            <w:r w:rsidRPr="003E24B1">
              <w:rPr>
                <w:rFonts w:ascii="Times New Roman" w:hAnsi="Times New Roman" w:cs="Times New Roman"/>
                <w:sz w:val="24"/>
                <w:szCs w:val="24"/>
              </w:rPr>
              <w:t>для інвестора, гарантований збут для аграріїв.</w:t>
            </w:r>
          </w:p>
        </w:tc>
      </w:tr>
      <w:tr w:rsidR="003E24B1" w:rsidRPr="003E24B1" w14:paraId="3C79AE01" w14:textId="77777777" w:rsidTr="003E24B1">
        <w:tc>
          <w:tcPr>
            <w:tcW w:w="0" w:type="auto"/>
            <w:hideMark/>
          </w:tcPr>
          <w:p w14:paraId="57DF4068" w14:textId="77777777" w:rsidR="003E24B1" w:rsidRPr="003E24B1" w:rsidRDefault="003E24B1" w:rsidP="004A39E0">
            <w:pPr>
              <w:rPr>
                <w:rFonts w:ascii="Times New Roman" w:hAnsi="Times New Roman" w:cs="Times New Roman"/>
                <w:sz w:val="24"/>
                <w:szCs w:val="24"/>
              </w:rPr>
            </w:pPr>
            <w:r w:rsidRPr="003E24B1">
              <w:rPr>
                <w:rFonts w:ascii="Times New Roman" w:hAnsi="Times New Roman" w:cs="Times New Roman"/>
                <w:sz w:val="24"/>
                <w:szCs w:val="24"/>
              </w:rPr>
              <w:t>Регуляторний та фіскальний ризик (зміна законодавства)</w:t>
            </w:r>
          </w:p>
        </w:tc>
        <w:tc>
          <w:tcPr>
            <w:tcW w:w="0" w:type="auto"/>
            <w:hideMark/>
          </w:tcPr>
          <w:p w14:paraId="2AB6B8F3"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Публічний партнер (Держава)</w:t>
            </w:r>
          </w:p>
        </w:tc>
        <w:tc>
          <w:tcPr>
            <w:tcW w:w="0" w:type="auto"/>
            <w:hideMark/>
          </w:tcPr>
          <w:p w14:paraId="3EE2184C"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Надання інституційних гарантій стабільності правового та податкового режимів на строк дії угоди.</w:t>
            </w:r>
          </w:p>
        </w:tc>
        <w:tc>
          <w:tcPr>
            <w:tcW w:w="0" w:type="auto"/>
            <w:hideMark/>
          </w:tcPr>
          <w:p w14:paraId="02CAE32C"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 xml:space="preserve">Зниження премії за </w:t>
            </w:r>
            <w:proofErr w:type="spellStart"/>
            <w:r w:rsidRPr="003E24B1">
              <w:rPr>
                <w:rFonts w:ascii="Times New Roman" w:hAnsi="Times New Roman" w:cs="Times New Roman"/>
                <w:sz w:val="24"/>
                <w:szCs w:val="24"/>
              </w:rPr>
              <w:t>країновий</w:t>
            </w:r>
            <w:proofErr w:type="spellEnd"/>
            <w:r w:rsidRPr="003E24B1">
              <w:rPr>
                <w:rFonts w:ascii="Times New Roman" w:hAnsi="Times New Roman" w:cs="Times New Roman"/>
                <w:sz w:val="24"/>
                <w:szCs w:val="24"/>
              </w:rPr>
              <w:t xml:space="preserve"> ризик у ставці дисконтування інвестора.</w:t>
            </w:r>
          </w:p>
        </w:tc>
      </w:tr>
      <w:tr w:rsidR="003E24B1" w:rsidRPr="003E24B1" w14:paraId="268E84A7" w14:textId="77777777" w:rsidTr="003E24B1">
        <w:tc>
          <w:tcPr>
            <w:tcW w:w="0" w:type="auto"/>
            <w:hideMark/>
          </w:tcPr>
          <w:p w14:paraId="23153DD9" w14:textId="77777777" w:rsidR="003E24B1" w:rsidRPr="003E24B1" w:rsidRDefault="003E24B1" w:rsidP="004A39E0">
            <w:pPr>
              <w:rPr>
                <w:rFonts w:ascii="Times New Roman" w:hAnsi="Times New Roman" w:cs="Times New Roman"/>
                <w:sz w:val="24"/>
                <w:szCs w:val="24"/>
              </w:rPr>
            </w:pPr>
            <w:r w:rsidRPr="003E24B1">
              <w:rPr>
                <w:rFonts w:ascii="Times New Roman" w:hAnsi="Times New Roman" w:cs="Times New Roman"/>
                <w:sz w:val="24"/>
                <w:szCs w:val="24"/>
              </w:rPr>
              <w:t>Ризик фізичного знищення / пошкодження</w:t>
            </w:r>
          </w:p>
        </w:tc>
        <w:tc>
          <w:tcPr>
            <w:tcW w:w="0" w:type="auto"/>
            <w:hideMark/>
          </w:tcPr>
          <w:p w14:paraId="00F28461"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Міжнародні інституції / Агентства</w:t>
            </w:r>
          </w:p>
        </w:tc>
        <w:tc>
          <w:tcPr>
            <w:tcW w:w="0" w:type="auto"/>
            <w:hideMark/>
          </w:tcPr>
          <w:p w14:paraId="72CD28D8" w14:textId="62C2FC54"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 xml:space="preserve">Інтеграція інструментів воєнного страхування в тіло інфраструктурного контракту </w:t>
            </w:r>
          </w:p>
        </w:tc>
        <w:tc>
          <w:tcPr>
            <w:tcW w:w="0" w:type="auto"/>
            <w:hideMark/>
          </w:tcPr>
          <w:p w14:paraId="43A4DBBC" w14:textId="77777777" w:rsidR="003E24B1" w:rsidRPr="003E24B1" w:rsidRDefault="003E24B1" w:rsidP="003E24B1">
            <w:pPr>
              <w:jc w:val="both"/>
              <w:rPr>
                <w:rFonts w:ascii="Times New Roman" w:hAnsi="Times New Roman" w:cs="Times New Roman"/>
                <w:sz w:val="24"/>
                <w:szCs w:val="24"/>
              </w:rPr>
            </w:pPr>
            <w:r w:rsidRPr="003E24B1">
              <w:rPr>
                <w:rFonts w:ascii="Times New Roman" w:hAnsi="Times New Roman" w:cs="Times New Roman"/>
                <w:sz w:val="24"/>
                <w:szCs w:val="24"/>
              </w:rPr>
              <w:t>Безперервність відтворювального процесу навіть у дестабілізованому середовищі.</w:t>
            </w:r>
          </w:p>
        </w:tc>
      </w:tr>
    </w:tbl>
    <w:p w14:paraId="2800C874" w14:textId="77777777" w:rsidR="003E24B1" w:rsidRDefault="003E24B1" w:rsidP="003D3D49">
      <w:pPr>
        <w:spacing w:after="0" w:line="360" w:lineRule="auto"/>
        <w:ind w:firstLine="709"/>
        <w:jc w:val="both"/>
        <w:rPr>
          <w:rFonts w:ascii="Times New Roman" w:hAnsi="Times New Roman" w:cs="Times New Roman"/>
          <w:sz w:val="28"/>
          <w:szCs w:val="28"/>
        </w:rPr>
      </w:pPr>
    </w:p>
    <w:p w14:paraId="5795715E" w14:textId="03A952F1" w:rsidR="004A39E0" w:rsidRPr="004A39E0" w:rsidRDefault="004A39E0" w:rsidP="004A39E0">
      <w:pPr>
        <w:spacing w:after="0" w:line="360" w:lineRule="auto"/>
        <w:ind w:firstLine="709"/>
        <w:jc w:val="both"/>
        <w:rPr>
          <w:rFonts w:ascii="Times New Roman" w:hAnsi="Times New Roman" w:cs="Times New Roman"/>
          <w:sz w:val="28"/>
          <w:szCs w:val="28"/>
        </w:rPr>
      </w:pPr>
      <w:r w:rsidRPr="004A39E0">
        <w:rPr>
          <w:rFonts w:ascii="Times New Roman" w:hAnsi="Times New Roman" w:cs="Times New Roman"/>
          <w:sz w:val="28"/>
          <w:szCs w:val="28"/>
        </w:rPr>
        <w:t xml:space="preserve">В умовах ринкової </w:t>
      </w:r>
      <w:proofErr w:type="spellStart"/>
      <w:r>
        <w:rPr>
          <w:rFonts w:ascii="Times New Roman" w:hAnsi="Times New Roman" w:cs="Times New Roman"/>
          <w:sz w:val="28"/>
          <w:szCs w:val="28"/>
        </w:rPr>
        <w:t>невизначенності</w:t>
      </w:r>
      <w:proofErr w:type="spellEnd"/>
      <w:r w:rsidRPr="004A39E0">
        <w:rPr>
          <w:rFonts w:ascii="Times New Roman" w:hAnsi="Times New Roman" w:cs="Times New Roman"/>
          <w:sz w:val="28"/>
          <w:szCs w:val="28"/>
        </w:rPr>
        <w:t xml:space="preserve"> найвищим бар'єром для залучення як інвестицій, так і внутрішнього довгострокового капіталу в АПК є воєнні ризики (ризик фізичного знищення активів ракетами, експропріації, </w:t>
      </w:r>
      <w:proofErr w:type="spellStart"/>
      <w:r w:rsidRPr="004A39E0">
        <w:rPr>
          <w:rFonts w:ascii="Times New Roman" w:hAnsi="Times New Roman" w:cs="Times New Roman"/>
          <w:sz w:val="28"/>
          <w:szCs w:val="28"/>
        </w:rPr>
        <w:t>неконвертованості</w:t>
      </w:r>
      <w:proofErr w:type="spellEnd"/>
      <w:r w:rsidRPr="004A39E0">
        <w:rPr>
          <w:rFonts w:ascii="Times New Roman" w:hAnsi="Times New Roman" w:cs="Times New Roman"/>
          <w:sz w:val="28"/>
          <w:szCs w:val="28"/>
        </w:rPr>
        <w:t xml:space="preserve"> </w:t>
      </w:r>
      <w:r w:rsidRPr="004A39E0">
        <w:rPr>
          <w:rFonts w:ascii="Times New Roman" w:hAnsi="Times New Roman" w:cs="Times New Roman"/>
          <w:sz w:val="28"/>
          <w:szCs w:val="28"/>
        </w:rPr>
        <w:lastRenderedPageBreak/>
        <w:t>валюти або припинення діяльності через бойові дії). Елімінація цього бар'єра неможлива суто ринковими методами, оскільки комерційні страхові компанії не мають достатнього рівня капіталізації для покриття кумулятивних збитків такого масштабу.</w:t>
      </w:r>
    </w:p>
    <w:p w14:paraId="1B2B05E8" w14:textId="5D3394B9" w:rsidR="004A39E0" w:rsidRPr="004A39E0" w:rsidRDefault="004A39E0" w:rsidP="004A39E0">
      <w:pPr>
        <w:spacing w:after="0" w:line="360" w:lineRule="auto"/>
        <w:ind w:firstLine="709"/>
        <w:jc w:val="both"/>
        <w:rPr>
          <w:rFonts w:ascii="Times New Roman" w:hAnsi="Times New Roman" w:cs="Times New Roman"/>
          <w:sz w:val="28"/>
          <w:szCs w:val="28"/>
        </w:rPr>
      </w:pPr>
      <w:r w:rsidRPr="004A39E0">
        <w:rPr>
          <w:rFonts w:ascii="Times New Roman" w:hAnsi="Times New Roman" w:cs="Times New Roman"/>
          <w:sz w:val="28"/>
          <w:szCs w:val="28"/>
        </w:rPr>
        <w:t>Рішенням виступає фінансовий інжиніринг із залученням спеціалізованих державних та міжнародних агентств страхування інвестицій. Ключовими інституційними гравцями на цьому ринку є Багатостороннє агентство з гарантування інвестицій (MIGA, член Групи Світового банку), американська Корпорація міжнародного фінансування (DFC), а на національному рівні — Експортно-кредитне агентство України (ЕКА) [4</w:t>
      </w:r>
      <w:r w:rsidR="00C049BD">
        <w:rPr>
          <w:rFonts w:ascii="Times New Roman" w:hAnsi="Times New Roman" w:cs="Times New Roman"/>
          <w:sz w:val="28"/>
          <w:szCs w:val="28"/>
        </w:rPr>
        <w:t>4</w:t>
      </w:r>
      <w:r w:rsidRPr="004A39E0">
        <w:rPr>
          <w:rFonts w:ascii="Times New Roman" w:hAnsi="Times New Roman" w:cs="Times New Roman"/>
          <w:sz w:val="28"/>
          <w:szCs w:val="28"/>
        </w:rPr>
        <w:t xml:space="preserve">; </w:t>
      </w:r>
      <w:r w:rsidR="00C049BD">
        <w:rPr>
          <w:rFonts w:ascii="Times New Roman" w:hAnsi="Times New Roman" w:cs="Times New Roman"/>
          <w:sz w:val="28"/>
          <w:szCs w:val="28"/>
        </w:rPr>
        <w:t>49</w:t>
      </w:r>
      <w:r w:rsidRPr="004A39E0">
        <w:rPr>
          <w:rFonts w:ascii="Times New Roman" w:hAnsi="Times New Roman" w:cs="Times New Roman"/>
          <w:sz w:val="28"/>
          <w:szCs w:val="28"/>
        </w:rPr>
        <w:t>].</w:t>
      </w:r>
    </w:p>
    <w:p w14:paraId="5C8E5831" w14:textId="77777777" w:rsidR="004A39E0" w:rsidRPr="004A39E0" w:rsidRDefault="004A39E0" w:rsidP="004A39E0">
      <w:pPr>
        <w:spacing w:after="0" w:line="360" w:lineRule="auto"/>
        <w:ind w:firstLine="709"/>
        <w:jc w:val="both"/>
        <w:rPr>
          <w:rFonts w:ascii="Times New Roman" w:hAnsi="Times New Roman" w:cs="Times New Roman"/>
          <w:sz w:val="28"/>
          <w:szCs w:val="28"/>
        </w:rPr>
      </w:pPr>
      <w:r w:rsidRPr="004A39E0">
        <w:rPr>
          <w:rFonts w:ascii="Times New Roman" w:hAnsi="Times New Roman" w:cs="Times New Roman"/>
          <w:sz w:val="28"/>
          <w:szCs w:val="28"/>
        </w:rPr>
        <w:t>Механізм функціонування воєнного страхування інвестицій у системі відтворення капіталу агропідприємств базується на таких засадах:</w:t>
      </w:r>
    </w:p>
    <w:p w14:paraId="5BDA3182" w14:textId="00F6BDC9" w:rsidR="004A39E0" w:rsidRPr="004A39E0" w:rsidRDefault="004A39E0" w:rsidP="004A39E0">
      <w:pPr>
        <w:numPr>
          <w:ilvl w:val="0"/>
          <w:numId w:val="35"/>
        </w:numPr>
        <w:tabs>
          <w:tab w:val="clear" w:pos="720"/>
          <w:tab w:val="num" w:pos="426"/>
        </w:tabs>
        <w:spacing w:after="0" w:line="360" w:lineRule="auto"/>
        <w:ind w:left="0" w:firstLine="426"/>
        <w:jc w:val="both"/>
        <w:rPr>
          <w:rFonts w:ascii="Times New Roman" w:hAnsi="Times New Roman" w:cs="Times New Roman"/>
          <w:sz w:val="28"/>
          <w:szCs w:val="28"/>
        </w:rPr>
      </w:pPr>
      <w:r w:rsidRPr="004A39E0">
        <w:rPr>
          <w:rFonts w:ascii="Times New Roman" w:hAnsi="Times New Roman" w:cs="Times New Roman"/>
          <w:sz w:val="28"/>
          <w:szCs w:val="28"/>
        </w:rPr>
        <w:t>Страхування прямих матеріальних збитків покриває ризик знищення елеваторів, переробних заводів, техніки внаслідок воєнних дій. Наявність такого поліса дозволяє підприємству капіталізувати активи, оскільки міжнародні аудитори та банки прирівнюють застрахований воєнний ризик до стандартного комерційного ризику.</w:t>
      </w:r>
    </w:p>
    <w:p w14:paraId="5CAA1CAB" w14:textId="11DF8826" w:rsidR="004A39E0" w:rsidRPr="004A39E0" w:rsidRDefault="004A39E0" w:rsidP="004A39E0">
      <w:pPr>
        <w:numPr>
          <w:ilvl w:val="0"/>
          <w:numId w:val="35"/>
        </w:numPr>
        <w:tabs>
          <w:tab w:val="clear" w:pos="720"/>
          <w:tab w:val="num" w:pos="426"/>
        </w:tabs>
        <w:spacing w:after="0" w:line="360" w:lineRule="auto"/>
        <w:ind w:left="0" w:firstLine="426"/>
        <w:jc w:val="both"/>
        <w:rPr>
          <w:rFonts w:ascii="Times New Roman" w:hAnsi="Times New Roman" w:cs="Times New Roman"/>
          <w:sz w:val="28"/>
          <w:szCs w:val="28"/>
        </w:rPr>
      </w:pPr>
      <w:r w:rsidRPr="004A39E0">
        <w:rPr>
          <w:rFonts w:ascii="Times New Roman" w:hAnsi="Times New Roman" w:cs="Times New Roman"/>
          <w:sz w:val="28"/>
          <w:szCs w:val="28"/>
        </w:rPr>
        <w:t>Гарантії захисту прав інвесторів, MIGA надає довгострокові гарантії (до 15 років), що захищають іноземних партнерів від обмежень на репатріацію прибутку та експропріації активів, що є важливим для реалізації Сценарію В (оптимістичного прогнозу капіталізації) [</w:t>
      </w:r>
      <w:r w:rsidR="00C049BD">
        <w:rPr>
          <w:rFonts w:ascii="Times New Roman" w:hAnsi="Times New Roman" w:cs="Times New Roman"/>
          <w:sz w:val="28"/>
          <w:szCs w:val="28"/>
        </w:rPr>
        <w:t>47</w:t>
      </w:r>
      <w:r w:rsidRPr="004A39E0">
        <w:rPr>
          <w:rFonts w:ascii="Times New Roman" w:hAnsi="Times New Roman" w:cs="Times New Roman"/>
          <w:sz w:val="28"/>
          <w:szCs w:val="28"/>
        </w:rPr>
        <w:t>].</w:t>
      </w:r>
    </w:p>
    <w:p w14:paraId="02A99F56" w14:textId="4776CDCE" w:rsidR="004A39E0" w:rsidRDefault="004A39E0" w:rsidP="004A39E0">
      <w:pPr>
        <w:spacing w:after="0" w:line="360" w:lineRule="auto"/>
        <w:ind w:firstLine="709"/>
        <w:jc w:val="both"/>
        <w:rPr>
          <w:rFonts w:ascii="Times New Roman" w:hAnsi="Times New Roman" w:cs="Times New Roman"/>
          <w:sz w:val="28"/>
          <w:szCs w:val="28"/>
        </w:rPr>
      </w:pPr>
      <w:r w:rsidRPr="004A39E0">
        <w:rPr>
          <w:rFonts w:ascii="Times New Roman" w:hAnsi="Times New Roman" w:cs="Times New Roman"/>
          <w:sz w:val="28"/>
          <w:szCs w:val="28"/>
        </w:rPr>
        <w:t xml:space="preserve">З погляду управління вартістю підприємства, інтеграція воєнного страхування безпосередньо впливає на ринкову оцінку компанії через зниження коефіцієнта кумулятивного ризику. У моделях капіталізації це призводить до суттєвого стиснення ставки дисконту </w:t>
      </w:r>
      <w:r>
        <w:rPr>
          <w:rFonts w:ascii="Times New Roman" w:hAnsi="Times New Roman" w:cs="Times New Roman"/>
          <w:sz w:val="28"/>
          <w:szCs w:val="28"/>
        </w:rPr>
        <w:t xml:space="preserve">. </w:t>
      </w:r>
      <w:r w:rsidRPr="004A39E0">
        <w:rPr>
          <w:rFonts w:ascii="Times New Roman" w:hAnsi="Times New Roman" w:cs="Times New Roman"/>
          <w:sz w:val="28"/>
          <w:szCs w:val="28"/>
        </w:rPr>
        <w:t>Зниження ставки дисконтування навіть на 3</w:t>
      </w:r>
      <w:r>
        <w:rPr>
          <w:rFonts w:ascii="Times New Roman" w:hAnsi="Times New Roman" w:cs="Times New Roman"/>
          <w:sz w:val="28"/>
          <w:szCs w:val="28"/>
        </w:rPr>
        <w:t>-</w:t>
      </w:r>
      <w:r w:rsidRPr="004A39E0">
        <w:rPr>
          <w:rFonts w:ascii="Times New Roman" w:hAnsi="Times New Roman" w:cs="Times New Roman"/>
          <w:sz w:val="28"/>
          <w:szCs w:val="28"/>
        </w:rPr>
        <w:t xml:space="preserve">5 </w:t>
      </w:r>
      <w:proofErr w:type="spellStart"/>
      <w:r w:rsidRPr="004A39E0">
        <w:rPr>
          <w:rFonts w:ascii="Times New Roman" w:hAnsi="Times New Roman" w:cs="Times New Roman"/>
          <w:sz w:val="28"/>
          <w:szCs w:val="28"/>
        </w:rPr>
        <w:t>в.п</w:t>
      </w:r>
      <w:proofErr w:type="spellEnd"/>
      <w:r w:rsidRPr="004A39E0">
        <w:rPr>
          <w:rFonts w:ascii="Times New Roman" w:hAnsi="Times New Roman" w:cs="Times New Roman"/>
          <w:sz w:val="28"/>
          <w:szCs w:val="28"/>
        </w:rPr>
        <w:t>. завдяки покриттю ризиків агентствами MIGA або DFC призводить до математичного зростання поточної інвестиційної вартості бізнесу на 20</w:t>
      </w:r>
      <w:r>
        <w:rPr>
          <w:rFonts w:ascii="Times New Roman" w:hAnsi="Times New Roman" w:cs="Times New Roman"/>
          <w:sz w:val="28"/>
          <w:szCs w:val="28"/>
        </w:rPr>
        <w:t>-</w:t>
      </w:r>
      <w:r w:rsidRPr="004A39E0">
        <w:rPr>
          <w:rFonts w:ascii="Times New Roman" w:hAnsi="Times New Roman" w:cs="Times New Roman"/>
          <w:sz w:val="28"/>
          <w:szCs w:val="28"/>
        </w:rPr>
        <w:t xml:space="preserve">25% при аналогічних обсягах операційного прибутку. Це робить воєнне страхування не просто інструментом захисту активів, а потужним драйвером капіталізації та </w:t>
      </w:r>
      <w:r w:rsidRPr="004A39E0">
        <w:rPr>
          <w:rFonts w:ascii="Times New Roman" w:hAnsi="Times New Roman" w:cs="Times New Roman"/>
          <w:sz w:val="28"/>
          <w:szCs w:val="28"/>
        </w:rPr>
        <w:lastRenderedPageBreak/>
        <w:t>стимулятором інвестицій у вітчизняний аграрний сектор в умовах тривалої інституційної нестабільності [</w:t>
      </w:r>
      <w:r w:rsidR="00C049BD">
        <w:rPr>
          <w:rFonts w:ascii="Times New Roman" w:hAnsi="Times New Roman" w:cs="Times New Roman"/>
          <w:sz w:val="28"/>
          <w:szCs w:val="28"/>
        </w:rPr>
        <w:t>52</w:t>
      </w:r>
      <w:r w:rsidRPr="004A39E0">
        <w:rPr>
          <w:rFonts w:ascii="Times New Roman" w:hAnsi="Times New Roman" w:cs="Times New Roman"/>
          <w:sz w:val="28"/>
          <w:szCs w:val="28"/>
        </w:rPr>
        <w:t>].</w:t>
      </w:r>
    </w:p>
    <w:p w14:paraId="31874459" w14:textId="2AF83134" w:rsidR="004A39E0" w:rsidRDefault="004A39E0" w:rsidP="004A39E0">
      <w:pPr>
        <w:spacing w:after="0" w:line="360" w:lineRule="auto"/>
        <w:ind w:firstLine="709"/>
        <w:jc w:val="both"/>
        <w:rPr>
          <w:rFonts w:ascii="Times New Roman" w:hAnsi="Times New Roman" w:cs="Times New Roman"/>
          <w:sz w:val="28"/>
          <w:szCs w:val="28"/>
        </w:rPr>
      </w:pPr>
      <w:r w:rsidRPr="004A39E0">
        <w:rPr>
          <w:rFonts w:ascii="Times New Roman" w:hAnsi="Times New Roman" w:cs="Times New Roman"/>
          <w:sz w:val="28"/>
          <w:szCs w:val="28"/>
        </w:rPr>
        <w:t>Систематизацію та порівняльний аналіз ключових архітектурних інструментів воєнно-політичного страхування, адаптованих до реалій функціонування суб'єктів аграрного сектора, деталізовано у табл. 3.7.</w:t>
      </w:r>
    </w:p>
    <w:p w14:paraId="09932A0A" w14:textId="52C31EF7" w:rsidR="004A39E0" w:rsidRDefault="004A39E0" w:rsidP="004A39E0">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3.7</w:t>
      </w:r>
    </w:p>
    <w:p w14:paraId="6DF37D2F" w14:textId="5168E29D" w:rsidR="004A39E0" w:rsidRPr="004A39E0" w:rsidRDefault="004A39E0" w:rsidP="004A39E0">
      <w:pPr>
        <w:spacing w:after="0" w:line="360" w:lineRule="auto"/>
        <w:jc w:val="center"/>
        <w:rPr>
          <w:rFonts w:ascii="Times New Roman" w:hAnsi="Times New Roman" w:cs="Times New Roman"/>
          <w:sz w:val="28"/>
          <w:szCs w:val="28"/>
        </w:rPr>
      </w:pPr>
      <w:r w:rsidRPr="004A39E0">
        <w:rPr>
          <w:rFonts w:ascii="Times New Roman" w:hAnsi="Times New Roman" w:cs="Times New Roman"/>
          <w:sz w:val="28"/>
          <w:szCs w:val="28"/>
        </w:rPr>
        <w:t>Порівняльний аналіз інструментів воєнно-політичного страхування інвестицій в АПК</w:t>
      </w:r>
    </w:p>
    <w:tbl>
      <w:tblPr>
        <w:tblStyle w:val="af0"/>
        <w:tblW w:w="0" w:type="auto"/>
        <w:tblLook w:val="04A0" w:firstRow="1" w:lastRow="0" w:firstColumn="1" w:lastColumn="0" w:noHBand="0" w:noVBand="1"/>
      </w:tblPr>
      <w:tblGrid>
        <w:gridCol w:w="1923"/>
        <w:gridCol w:w="1645"/>
        <w:gridCol w:w="2327"/>
        <w:gridCol w:w="1800"/>
        <w:gridCol w:w="1932"/>
      </w:tblGrid>
      <w:tr w:rsidR="004A39E0" w:rsidRPr="004A39E0" w14:paraId="7245C1EF" w14:textId="77777777" w:rsidTr="004A39E0">
        <w:tc>
          <w:tcPr>
            <w:tcW w:w="0" w:type="auto"/>
            <w:hideMark/>
          </w:tcPr>
          <w:p w14:paraId="31167181" w14:textId="77777777" w:rsidR="004A39E0" w:rsidRPr="004A39E0" w:rsidRDefault="004A39E0" w:rsidP="004A39E0">
            <w:pPr>
              <w:jc w:val="center"/>
              <w:rPr>
                <w:rFonts w:ascii="Times New Roman" w:hAnsi="Times New Roman" w:cs="Times New Roman"/>
                <w:sz w:val="24"/>
                <w:szCs w:val="24"/>
              </w:rPr>
            </w:pPr>
            <w:r w:rsidRPr="004A39E0">
              <w:rPr>
                <w:rFonts w:ascii="Times New Roman" w:hAnsi="Times New Roman" w:cs="Times New Roman"/>
                <w:sz w:val="24"/>
                <w:szCs w:val="24"/>
              </w:rPr>
              <w:t>Інституційний суб'єкт (Страховик / Гарант)</w:t>
            </w:r>
          </w:p>
        </w:tc>
        <w:tc>
          <w:tcPr>
            <w:tcW w:w="0" w:type="auto"/>
            <w:hideMark/>
          </w:tcPr>
          <w:p w14:paraId="450D3E66" w14:textId="77777777" w:rsidR="004A39E0" w:rsidRPr="004A39E0" w:rsidRDefault="004A39E0" w:rsidP="004A39E0">
            <w:pPr>
              <w:jc w:val="center"/>
              <w:rPr>
                <w:rFonts w:ascii="Times New Roman" w:hAnsi="Times New Roman" w:cs="Times New Roman"/>
                <w:sz w:val="24"/>
                <w:szCs w:val="24"/>
              </w:rPr>
            </w:pPr>
            <w:r w:rsidRPr="004A39E0">
              <w:rPr>
                <w:rFonts w:ascii="Times New Roman" w:hAnsi="Times New Roman" w:cs="Times New Roman"/>
                <w:sz w:val="24"/>
                <w:szCs w:val="24"/>
              </w:rPr>
              <w:t>Цільові фінансові інструменти та програми</w:t>
            </w:r>
          </w:p>
        </w:tc>
        <w:tc>
          <w:tcPr>
            <w:tcW w:w="0" w:type="auto"/>
            <w:hideMark/>
          </w:tcPr>
          <w:p w14:paraId="281FB569" w14:textId="77777777" w:rsidR="004A39E0" w:rsidRPr="004A39E0" w:rsidRDefault="004A39E0" w:rsidP="004A39E0">
            <w:pPr>
              <w:jc w:val="center"/>
              <w:rPr>
                <w:rFonts w:ascii="Times New Roman" w:hAnsi="Times New Roman" w:cs="Times New Roman"/>
                <w:sz w:val="24"/>
                <w:szCs w:val="24"/>
              </w:rPr>
            </w:pPr>
            <w:r w:rsidRPr="004A39E0">
              <w:rPr>
                <w:rFonts w:ascii="Times New Roman" w:hAnsi="Times New Roman" w:cs="Times New Roman"/>
                <w:sz w:val="24"/>
                <w:szCs w:val="24"/>
              </w:rPr>
              <w:t>Об’єкти страхування в аграрному секторі</w:t>
            </w:r>
          </w:p>
        </w:tc>
        <w:tc>
          <w:tcPr>
            <w:tcW w:w="0" w:type="auto"/>
            <w:hideMark/>
          </w:tcPr>
          <w:p w14:paraId="637F3544" w14:textId="77777777" w:rsidR="004A39E0" w:rsidRPr="004A39E0" w:rsidRDefault="004A39E0" w:rsidP="004A39E0">
            <w:pPr>
              <w:jc w:val="center"/>
              <w:rPr>
                <w:rFonts w:ascii="Times New Roman" w:hAnsi="Times New Roman" w:cs="Times New Roman"/>
                <w:sz w:val="24"/>
                <w:szCs w:val="24"/>
              </w:rPr>
            </w:pPr>
            <w:r w:rsidRPr="004A39E0">
              <w:rPr>
                <w:rFonts w:ascii="Times New Roman" w:hAnsi="Times New Roman" w:cs="Times New Roman"/>
                <w:sz w:val="24"/>
                <w:szCs w:val="24"/>
              </w:rPr>
              <w:t>Ліміти покриття та специфіка інжинірингу</w:t>
            </w:r>
          </w:p>
        </w:tc>
        <w:tc>
          <w:tcPr>
            <w:tcW w:w="0" w:type="auto"/>
            <w:hideMark/>
          </w:tcPr>
          <w:p w14:paraId="222B4D6B" w14:textId="77777777" w:rsidR="004A39E0" w:rsidRPr="004A39E0" w:rsidRDefault="004A39E0" w:rsidP="004A39E0">
            <w:pPr>
              <w:jc w:val="center"/>
              <w:rPr>
                <w:rFonts w:ascii="Times New Roman" w:hAnsi="Times New Roman" w:cs="Times New Roman"/>
                <w:sz w:val="24"/>
                <w:szCs w:val="24"/>
              </w:rPr>
            </w:pPr>
            <w:r w:rsidRPr="004A39E0">
              <w:rPr>
                <w:rFonts w:ascii="Times New Roman" w:hAnsi="Times New Roman" w:cs="Times New Roman"/>
                <w:sz w:val="24"/>
                <w:szCs w:val="24"/>
              </w:rPr>
              <w:t>Ефект для капіталізації та фінансової стійкості</w:t>
            </w:r>
          </w:p>
        </w:tc>
      </w:tr>
      <w:tr w:rsidR="004A39E0" w:rsidRPr="004A39E0" w14:paraId="5FA990B7" w14:textId="77777777" w:rsidTr="004A39E0">
        <w:tc>
          <w:tcPr>
            <w:tcW w:w="0" w:type="auto"/>
            <w:hideMark/>
          </w:tcPr>
          <w:p w14:paraId="792DD346"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MIGA </w:t>
            </w:r>
            <w:r w:rsidRPr="004A39E0">
              <w:rPr>
                <w:rFonts w:ascii="Times New Roman" w:hAnsi="Times New Roman" w:cs="Times New Roman"/>
                <w:i/>
                <w:iCs/>
                <w:sz w:val="24"/>
                <w:szCs w:val="24"/>
              </w:rPr>
              <w:t>(Багатостороннє агентство з гарантування інвестицій Групи Світового банку)</w:t>
            </w:r>
          </w:p>
        </w:tc>
        <w:tc>
          <w:tcPr>
            <w:tcW w:w="0" w:type="auto"/>
            <w:hideMark/>
          </w:tcPr>
          <w:p w14:paraId="6E0F2288" w14:textId="5F7A163B"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Гарантії від політичних ризиків, страхування воєнних дій та громадянських заворушень </w:t>
            </w:r>
          </w:p>
        </w:tc>
        <w:tc>
          <w:tcPr>
            <w:tcW w:w="0" w:type="auto"/>
            <w:hideMark/>
          </w:tcPr>
          <w:p w14:paraId="55ACB038" w14:textId="7A5CE53F"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Прямі іноземні інвестиції, великі інфраструктурні об'єкти (портові термінали, заводи з переробки біоетанолу/олії).</w:t>
            </w:r>
          </w:p>
        </w:tc>
        <w:tc>
          <w:tcPr>
            <w:tcW w:w="0" w:type="auto"/>
            <w:hideMark/>
          </w:tcPr>
          <w:p w14:paraId="5CF13513" w14:textId="4AB8F59F"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Довгострокові гарантії (до 15</w:t>
            </w:r>
            <w:r w:rsidR="00C45859">
              <w:rPr>
                <w:rFonts w:ascii="Times New Roman" w:hAnsi="Times New Roman" w:cs="Times New Roman"/>
                <w:sz w:val="24"/>
                <w:szCs w:val="24"/>
              </w:rPr>
              <w:t>-</w:t>
            </w:r>
            <w:r w:rsidRPr="004A39E0">
              <w:rPr>
                <w:rFonts w:ascii="Times New Roman" w:hAnsi="Times New Roman" w:cs="Times New Roman"/>
                <w:sz w:val="24"/>
                <w:szCs w:val="24"/>
              </w:rPr>
              <w:t>20 років). Покриття до 90% від обсягу інвестицій. Захист від експропріації та обмежень на репатріацію капіталу.</w:t>
            </w:r>
          </w:p>
        </w:tc>
        <w:tc>
          <w:tcPr>
            <w:tcW w:w="0" w:type="auto"/>
            <w:hideMark/>
          </w:tcPr>
          <w:p w14:paraId="2C8E06D9" w14:textId="5768620F"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Максимальне стиснення WACC</w:t>
            </w:r>
            <w:r w:rsidR="00C45859">
              <w:rPr>
                <w:rFonts w:ascii="Times New Roman" w:hAnsi="Times New Roman" w:cs="Times New Roman"/>
                <w:sz w:val="24"/>
                <w:szCs w:val="24"/>
              </w:rPr>
              <w:t xml:space="preserve"> </w:t>
            </w:r>
            <w:r w:rsidRPr="004A39E0">
              <w:rPr>
                <w:rFonts w:ascii="Times New Roman" w:hAnsi="Times New Roman" w:cs="Times New Roman"/>
                <w:sz w:val="24"/>
                <w:szCs w:val="24"/>
              </w:rPr>
              <w:t xml:space="preserve">знижує ставку дисконту іноземного інвестора, трансформуючи </w:t>
            </w:r>
            <w:proofErr w:type="spellStart"/>
            <w:r w:rsidRPr="004A39E0">
              <w:rPr>
                <w:rFonts w:ascii="Times New Roman" w:hAnsi="Times New Roman" w:cs="Times New Roman"/>
                <w:sz w:val="24"/>
                <w:szCs w:val="24"/>
              </w:rPr>
              <w:t>країновий</w:t>
            </w:r>
            <w:proofErr w:type="spellEnd"/>
            <w:r w:rsidRPr="004A39E0">
              <w:rPr>
                <w:rFonts w:ascii="Times New Roman" w:hAnsi="Times New Roman" w:cs="Times New Roman"/>
                <w:sz w:val="24"/>
                <w:szCs w:val="24"/>
              </w:rPr>
              <w:t xml:space="preserve"> ризик у керований. Напряму підвищує інвестиційну вартість</w:t>
            </w:r>
          </w:p>
        </w:tc>
      </w:tr>
      <w:tr w:rsidR="004A39E0" w:rsidRPr="004A39E0" w14:paraId="616A0D62" w14:textId="77777777" w:rsidTr="004A39E0">
        <w:tc>
          <w:tcPr>
            <w:tcW w:w="0" w:type="auto"/>
            <w:hideMark/>
          </w:tcPr>
          <w:p w14:paraId="0721AD2D"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DFC </w:t>
            </w:r>
            <w:r w:rsidRPr="004A39E0">
              <w:rPr>
                <w:rFonts w:ascii="Times New Roman" w:hAnsi="Times New Roman" w:cs="Times New Roman"/>
                <w:i/>
                <w:iCs/>
                <w:sz w:val="24"/>
                <w:szCs w:val="24"/>
              </w:rPr>
              <w:t>(Фінансова корпорація міжнародного розвитку США)</w:t>
            </w:r>
          </w:p>
        </w:tc>
        <w:tc>
          <w:tcPr>
            <w:tcW w:w="0" w:type="auto"/>
            <w:hideMark/>
          </w:tcPr>
          <w:p w14:paraId="31FD5205"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Пряме страхування політичних ризиків, довгострокове кредитне фінансування під гарантії.</w:t>
            </w:r>
          </w:p>
        </w:tc>
        <w:tc>
          <w:tcPr>
            <w:tcW w:w="0" w:type="auto"/>
            <w:hideMark/>
          </w:tcPr>
          <w:p w14:paraId="5E4045E8"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Капітальні інвестиції </w:t>
            </w:r>
            <w:proofErr w:type="spellStart"/>
            <w:r w:rsidRPr="004A39E0">
              <w:rPr>
                <w:rFonts w:ascii="Times New Roman" w:hAnsi="Times New Roman" w:cs="Times New Roman"/>
                <w:sz w:val="24"/>
                <w:szCs w:val="24"/>
              </w:rPr>
              <w:t>агрокомпаній</w:t>
            </w:r>
            <w:proofErr w:type="spellEnd"/>
            <w:r w:rsidRPr="004A39E0">
              <w:rPr>
                <w:rFonts w:ascii="Times New Roman" w:hAnsi="Times New Roman" w:cs="Times New Roman"/>
                <w:sz w:val="24"/>
                <w:szCs w:val="24"/>
              </w:rPr>
              <w:t xml:space="preserve"> з американським капіталом, закупівля високотехнологічного обладнання та техніки.</w:t>
            </w:r>
          </w:p>
        </w:tc>
        <w:tc>
          <w:tcPr>
            <w:tcW w:w="0" w:type="auto"/>
            <w:hideMark/>
          </w:tcPr>
          <w:p w14:paraId="62C6C90B"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Покриття збитків від фізичного знищення активів внаслідок бойових дій (до 100 млн </w:t>
            </w:r>
            <w:proofErr w:type="spellStart"/>
            <w:r w:rsidRPr="004A39E0">
              <w:rPr>
                <w:rFonts w:ascii="Times New Roman" w:hAnsi="Times New Roman" w:cs="Times New Roman"/>
                <w:sz w:val="24"/>
                <w:szCs w:val="24"/>
              </w:rPr>
              <w:t>дол</w:t>
            </w:r>
            <w:proofErr w:type="spellEnd"/>
            <w:r w:rsidRPr="004A39E0">
              <w:rPr>
                <w:rFonts w:ascii="Times New Roman" w:hAnsi="Times New Roman" w:cs="Times New Roman"/>
                <w:sz w:val="24"/>
                <w:szCs w:val="24"/>
              </w:rPr>
              <w:t>. США на один проєкт). Можливість страхування кредитів для комерційних банків.</w:t>
            </w:r>
          </w:p>
        </w:tc>
        <w:tc>
          <w:tcPr>
            <w:tcW w:w="0" w:type="auto"/>
            <w:hideMark/>
          </w:tcPr>
          <w:p w14:paraId="7F1B9D2F"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Елімінація ризику деградації капіталу: гарантує компенсацію вартості необоротних активів у разі їх знищення, що захищає статтю «чисті активи» Пасиву від раптового обвалу.</w:t>
            </w:r>
          </w:p>
        </w:tc>
      </w:tr>
      <w:tr w:rsidR="004A39E0" w:rsidRPr="004A39E0" w14:paraId="097CE7E1" w14:textId="77777777" w:rsidTr="004A39E0">
        <w:tc>
          <w:tcPr>
            <w:tcW w:w="0" w:type="auto"/>
            <w:hideMark/>
          </w:tcPr>
          <w:p w14:paraId="3C904570"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ЕКА України </w:t>
            </w:r>
            <w:r w:rsidRPr="004A39E0">
              <w:rPr>
                <w:rFonts w:ascii="Times New Roman" w:hAnsi="Times New Roman" w:cs="Times New Roman"/>
                <w:i/>
                <w:iCs/>
                <w:sz w:val="24"/>
                <w:szCs w:val="24"/>
              </w:rPr>
              <w:t>(Експортно-кредитне агентство)</w:t>
            </w:r>
          </w:p>
        </w:tc>
        <w:tc>
          <w:tcPr>
            <w:tcW w:w="0" w:type="auto"/>
            <w:hideMark/>
          </w:tcPr>
          <w:p w14:paraId="05C4B58E"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Страхування інвестицій від воєнних ризиків для внутрішніх та іноземних </w:t>
            </w:r>
            <w:r w:rsidRPr="004A39E0">
              <w:rPr>
                <w:rFonts w:ascii="Times New Roman" w:hAnsi="Times New Roman" w:cs="Times New Roman"/>
                <w:sz w:val="24"/>
                <w:szCs w:val="24"/>
              </w:rPr>
              <w:lastRenderedPageBreak/>
              <w:t>інвесторів (відповідно до Закону № 3494-IX).</w:t>
            </w:r>
          </w:p>
        </w:tc>
        <w:tc>
          <w:tcPr>
            <w:tcW w:w="0" w:type="auto"/>
            <w:hideMark/>
          </w:tcPr>
          <w:p w14:paraId="6675B039"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lastRenderedPageBreak/>
              <w:t xml:space="preserve">Об'єкти переробного АПК, елеваторне господарство, технологічні лінії, орієнтовані на </w:t>
            </w:r>
            <w:r w:rsidRPr="004A39E0">
              <w:rPr>
                <w:rFonts w:ascii="Times New Roman" w:hAnsi="Times New Roman" w:cs="Times New Roman"/>
                <w:sz w:val="24"/>
                <w:szCs w:val="24"/>
              </w:rPr>
              <w:lastRenderedPageBreak/>
              <w:t>експорт сільськогосподарської продукції.</w:t>
            </w:r>
          </w:p>
        </w:tc>
        <w:tc>
          <w:tcPr>
            <w:tcW w:w="0" w:type="auto"/>
            <w:hideMark/>
          </w:tcPr>
          <w:p w14:paraId="4BF657EB"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lastRenderedPageBreak/>
              <w:t xml:space="preserve">Покриття ризиків безпосередньо на території України. Співпраця з </w:t>
            </w:r>
            <w:r w:rsidRPr="004A39E0">
              <w:rPr>
                <w:rFonts w:ascii="Times New Roman" w:hAnsi="Times New Roman" w:cs="Times New Roman"/>
                <w:sz w:val="24"/>
                <w:szCs w:val="24"/>
              </w:rPr>
              <w:lastRenderedPageBreak/>
              <w:t>державними банками (кредитування під заставу страхового поліса ЕКА без додаткового твердого забезпечення).</w:t>
            </w:r>
          </w:p>
        </w:tc>
        <w:tc>
          <w:tcPr>
            <w:tcW w:w="0" w:type="auto"/>
            <w:hideMark/>
          </w:tcPr>
          <w:p w14:paraId="4497AAB6" w14:textId="37DB57AF"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lastRenderedPageBreak/>
              <w:t xml:space="preserve">Оптимізація структури пасивів: дозволяє залучати пільгові кредити </w:t>
            </w:r>
            <w:r w:rsidRPr="004A39E0">
              <w:rPr>
                <w:rFonts w:ascii="Times New Roman" w:hAnsi="Times New Roman" w:cs="Times New Roman"/>
                <w:sz w:val="24"/>
                <w:szCs w:val="24"/>
              </w:rPr>
              <w:lastRenderedPageBreak/>
              <w:t>(наприклад, «5-7-9%») під заставу поліса ЕКА. Знижує плече левериджу за рахунок дешевих довгострокових позик.</w:t>
            </w:r>
          </w:p>
        </w:tc>
      </w:tr>
      <w:tr w:rsidR="004A39E0" w:rsidRPr="004A39E0" w14:paraId="2C4C7560" w14:textId="77777777" w:rsidTr="004A39E0">
        <w:tc>
          <w:tcPr>
            <w:tcW w:w="0" w:type="auto"/>
            <w:hideMark/>
          </w:tcPr>
          <w:p w14:paraId="17D85B76"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lastRenderedPageBreak/>
              <w:t xml:space="preserve">Міжнародні пули перестрахування </w:t>
            </w:r>
            <w:r w:rsidRPr="004A39E0">
              <w:rPr>
                <w:rFonts w:ascii="Times New Roman" w:hAnsi="Times New Roman" w:cs="Times New Roman"/>
                <w:i/>
                <w:iCs/>
                <w:sz w:val="24"/>
                <w:szCs w:val="24"/>
              </w:rPr>
              <w:t>(</w:t>
            </w:r>
            <w:proofErr w:type="spellStart"/>
            <w:r w:rsidRPr="004A39E0">
              <w:rPr>
                <w:rFonts w:ascii="Times New Roman" w:hAnsi="Times New Roman" w:cs="Times New Roman"/>
                <w:i/>
                <w:iCs/>
                <w:sz w:val="24"/>
                <w:szCs w:val="24"/>
              </w:rPr>
              <w:t>Lloyd’s</w:t>
            </w:r>
            <w:proofErr w:type="spellEnd"/>
            <w:r w:rsidRPr="004A39E0">
              <w:rPr>
                <w:rFonts w:ascii="Times New Roman" w:hAnsi="Times New Roman" w:cs="Times New Roman"/>
                <w:i/>
                <w:iCs/>
                <w:sz w:val="24"/>
                <w:szCs w:val="24"/>
              </w:rPr>
              <w:t>, інвестиційні фонди)</w:t>
            </w:r>
          </w:p>
        </w:tc>
        <w:tc>
          <w:tcPr>
            <w:tcW w:w="0" w:type="auto"/>
            <w:hideMark/>
          </w:tcPr>
          <w:p w14:paraId="62398499" w14:textId="7750EE0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 xml:space="preserve">Синдиковані комерційні поліси страхування вантажів та логістичних ризиків </w:t>
            </w:r>
          </w:p>
        </w:tc>
        <w:tc>
          <w:tcPr>
            <w:tcW w:w="0" w:type="auto"/>
            <w:hideMark/>
          </w:tcPr>
          <w:p w14:paraId="53A0CD67"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Сільськогосподарська продукція у процесі транспортування («зернові коридори»), фрахт суден, портові запаси.</w:t>
            </w:r>
          </w:p>
        </w:tc>
        <w:tc>
          <w:tcPr>
            <w:tcW w:w="0" w:type="auto"/>
            <w:hideMark/>
          </w:tcPr>
          <w:p w14:paraId="5AF4D0DE" w14:textId="7777777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Короткострокові поліси на період операційного або логістичного циклу. Висока вартість премії (гнучка тарифна сітка залежно від поточної безпекової ситуації).</w:t>
            </w:r>
          </w:p>
        </w:tc>
        <w:tc>
          <w:tcPr>
            <w:tcW w:w="0" w:type="auto"/>
            <w:hideMark/>
          </w:tcPr>
          <w:p w14:paraId="7CFDB66D" w14:textId="115CC5F7" w:rsidR="004A39E0" w:rsidRPr="004A39E0" w:rsidRDefault="004A39E0" w:rsidP="00C45859">
            <w:pPr>
              <w:rPr>
                <w:rFonts w:ascii="Times New Roman" w:hAnsi="Times New Roman" w:cs="Times New Roman"/>
                <w:sz w:val="24"/>
                <w:szCs w:val="24"/>
              </w:rPr>
            </w:pPr>
            <w:r w:rsidRPr="004A39E0">
              <w:rPr>
                <w:rFonts w:ascii="Times New Roman" w:hAnsi="Times New Roman" w:cs="Times New Roman"/>
                <w:sz w:val="24"/>
                <w:szCs w:val="24"/>
              </w:rPr>
              <w:t>Захист операційного грошового потоку упереджує касові розриви через втрату врожаю під час транспортування. Запобігає утворенню простроченої кредиторської заборгованості перед постачальниками.</w:t>
            </w:r>
          </w:p>
        </w:tc>
      </w:tr>
    </w:tbl>
    <w:p w14:paraId="215299C5" w14:textId="77777777" w:rsidR="004A39E0" w:rsidRDefault="004A39E0" w:rsidP="004A39E0">
      <w:pPr>
        <w:spacing w:after="0" w:line="360" w:lineRule="auto"/>
        <w:jc w:val="right"/>
        <w:rPr>
          <w:rFonts w:ascii="Times New Roman" w:hAnsi="Times New Roman" w:cs="Times New Roman"/>
          <w:b/>
          <w:bCs/>
          <w:sz w:val="28"/>
          <w:szCs w:val="28"/>
        </w:rPr>
      </w:pPr>
    </w:p>
    <w:p w14:paraId="5C031DC5" w14:textId="435202DA" w:rsidR="009F33CD" w:rsidRDefault="004A39E0" w:rsidP="005D4CF3">
      <w:pPr>
        <w:spacing w:after="0" w:line="360" w:lineRule="auto"/>
        <w:ind w:firstLine="708"/>
        <w:jc w:val="both"/>
        <w:rPr>
          <w:rFonts w:ascii="Times New Roman" w:hAnsi="Times New Roman" w:cs="Times New Roman"/>
          <w:sz w:val="28"/>
          <w:szCs w:val="28"/>
        </w:rPr>
      </w:pPr>
      <w:r w:rsidRPr="004A39E0">
        <w:rPr>
          <w:rFonts w:ascii="Times New Roman" w:hAnsi="Times New Roman" w:cs="Times New Roman"/>
          <w:sz w:val="28"/>
          <w:szCs w:val="28"/>
        </w:rPr>
        <w:t xml:space="preserve">Дані таблиці 3.7 свідчать, що воєнно-політичне страхування в системі фінансового інжинірингу виконує подвійну функцію. З одного боку, інструменти таких глобальних інституцій як MIGA та DFC спрямовані на системне </w:t>
      </w:r>
      <w:proofErr w:type="spellStart"/>
      <w:r w:rsidRPr="004A39E0">
        <w:rPr>
          <w:rFonts w:ascii="Times New Roman" w:hAnsi="Times New Roman" w:cs="Times New Roman"/>
          <w:sz w:val="28"/>
          <w:szCs w:val="28"/>
        </w:rPr>
        <w:t>деризикування</w:t>
      </w:r>
      <w:proofErr w:type="spellEnd"/>
      <w:r w:rsidRPr="004A39E0">
        <w:rPr>
          <w:rFonts w:ascii="Times New Roman" w:hAnsi="Times New Roman" w:cs="Times New Roman"/>
          <w:sz w:val="28"/>
          <w:szCs w:val="28"/>
        </w:rPr>
        <w:t xml:space="preserve"> капіталу, що відображається у зменшенні ризикової премії у структурі WACC та автоматично збільшує ринкову оцінку підприємства. З іншого боку, вітчизняні інструменти перестрахування через ЕКА України виконують прикладну функцію — вони виступають високоліквідною заставою для комерційних банків. Це дозволяє агропідприємствам долати хронічний дефіцит ліквідності, залучати довгостроковий капітал для оновлення основних </w:t>
      </w:r>
      <w:r w:rsidR="00F92F4E">
        <w:rPr>
          <w:rFonts w:ascii="Times New Roman" w:hAnsi="Times New Roman" w:cs="Times New Roman"/>
          <w:sz w:val="28"/>
          <w:szCs w:val="28"/>
        </w:rPr>
        <w:t>фондів</w:t>
      </w:r>
      <w:r w:rsidRPr="004A39E0">
        <w:rPr>
          <w:rFonts w:ascii="Times New Roman" w:hAnsi="Times New Roman" w:cs="Times New Roman"/>
          <w:sz w:val="28"/>
          <w:szCs w:val="28"/>
        </w:rPr>
        <w:t xml:space="preserve"> та блокувати процеси фінансової деструкції пасивів</w:t>
      </w:r>
      <w:r w:rsidR="005D4CF3">
        <w:rPr>
          <w:rFonts w:ascii="Times New Roman" w:hAnsi="Times New Roman" w:cs="Times New Roman"/>
          <w:sz w:val="28"/>
          <w:szCs w:val="28"/>
        </w:rPr>
        <w:t>.</w:t>
      </w:r>
    </w:p>
    <w:sectPr w:rsidR="009F33CD" w:rsidSect="00051BAA">
      <w:headerReference w:type="default" r:id="rId9"/>
      <w:pgSz w:w="11906" w:h="16838"/>
      <w:pgMar w:top="1134" w:right="851" w:bottom="1134" w:left="1418"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3FA0" w14:textId="77777777" w:rsidR="00A13D51" w:rsidRDefault="00A13D51" w:rsidP="0045639C">
      <w:pPr>
        <w:spacing w:after="0" w:line="240" w:lineRule="auto"/>
      </w:pPr>
      <w:r>
        <w:separator/>
      </w:r>
    </w:p>
  </w:endnote>
  <w:endnote w:type="continuationSeparator" w:id="0">
    <w:p w14:paraId="32EEC50D" w14:textId="77777777" w:rsidR="00A13D51" w:rsidRDefault="00A13D51" w:rsidP="0045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3BF6" w14:textId="77777777" w:rsidR="00A13D51" w:rsidRDefault="00A13D51" w:rsidP="0045639C">
      <w:pPr>
        <w:spacing w:after="0" w:line="240" w:lineRule="auto"/>
      </w:pPr>
      <w:r>
        <w:separator/>
      </w:r>
    </w:p>
  </w:footnote>
  <w:footnote w:type="continuationSeparator" w:id="0">
    <w:p w14:paraId="62B88EAF" w14:textId="77777777" w:rsidR="00A13D51" w:rsidRDefault="00A13D51" w:rsidP="0045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50478"/>
      <w:docPartObj>
        <w:docPartGallery w:val="Page Numbers (Top of Page)"/>
        <w:docPartUnique/>
      </w:docPartObj>
    </w:sdtPr>
    <w:sdtContent>
      <w:p w14:paraId="2627D96E" w14:textId="35010EB6" w:rsidR="0045639C" w:rsidRDefault="0045639C" w:rsidP="0045639C">
        <w:pPr>
          <w:pStyle w:val="af1"/>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36D"/>
    <w:multiLevelType w:val="multilevel"/>
    <w:tmpl w:val="C5F4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6A95"/>
    <w:multiLevelType w:val="multilevel"/>
    <w:tmpl w:val="5156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31E8"/>
    <w:multiLevelType w:val="multilevel"/>
    <w:tmpl w:val="904E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E0C28"/>
    <w:multiLevelType w:val="multilevel"/>
    <w:tmpl w:val="0EB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C2B33"/>
    <w:multiLevelType w:val="multilevel"/>
    <w:tmpl w:val="E310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473F8"/>
    <w:multiLevelType w:val="multilevel"/>
    <w:tmpl w:val="79AA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D6D76"/>
    <w:multiLevelType w:val="multilevel"/>
    <w:tmpl w:val="4F2A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D4501"/>
    <w:multiLevelType w:val="multilevel"/>
    <w:tmpl w:val="DE44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A48F6"/>
    <w:multiLevelType w:val="multilevel"/>
    <w:tmpl w:val="90A6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671D3"/>
    <w:multiLevelType w:val="multilevel"/>
    <w:tmpl w:val="1E16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303127"/>
    <w:multiLevelType w:val="multilevel"/>
    <w:tmpl w:val="CF7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D07A5"/>
    <w:multiLevelType w:val="multilevel"/>
    <w:tmpl w:val="CB6C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0B36FE"/>
    <w:multiLevelType w:val="multilevel"/>
    <w:tmpl w:val="DCC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9282C"/>
    <w:multiLevelType w:val="multilevel"/>
    <w:tmpl w:val="D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355D3"/>
    <w:multiLevelType w:val="multilevel"/>
    <w:tmpl w:val="7A9E7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A03E7"/>
    <w:multiLevelType w:val="multilevel"/>
    <w:tmpl w:val="B24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B3598"/>
    <w:multiLevelType w:val="multilevel"/>
    <w:tmpl w:val="A43E4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E1939"/>
    <w:multiLevelType w:val="multilevel"/>
    <w:tmpl w:val="97E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855AB"/>
    <w:multiLevelType w:val="multilevel"/>
    <w:tmpl w:val="9A6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B2C0E"/>
    <w:multiLevelType w:val="multilevel"/>
    <w:tmpl w:val="872A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1323C9"/>
    <w:multiLevelType w:val="multilevel"/>
    <w:tmpl w:val="3656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90416"/>
    <w:multiLevelType w:val="multilevel"/>
    <w:tmpl w:val="E440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210DA"/>
    <w:multiLevelType w:val="multilevel"/>
    <w:tmpl w:val="800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791498"/>
    <w:multiLevelType w:val="multilevel"/>
    <w:tmpl w:val="7D0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04D5D"/>
    <w:multiLevelType w:val="multilevel"/>
    <w:tmpl w:val="3864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21BC9"/>
    <w:multiLevelType w:val="multilevel"/>
    <w:tmpl w:val="5984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97F92"/>
    <w:multiLevelType w:val="multilevel"/>
    <w:tmpl w:val="D44C1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04370D"/>
    <w:multiLevelType w:val="multilevel"/>
    <w:tmpl w:val="471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B5ABD"/>
    <w:multiLevelType w:val="multilevel"/>
    <w:tmpl w:val="99D8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26A22"/>
    <w:multiLevelType w:val="multilevel"/>
    <w:tmpl w:val="B44E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DA0C8D"/>
    <w:multiLevelType w:val="multilevel"/>
    <w:tmpl w:val="63A2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775F3"/>
    <w:multiLevelType w:val="multilevel"/>
    <w:tmpl w:val="74E2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9E34F4"/>
    <w:multiLevelType w:val="multilevel"/>
    <w:tmpl w:val="6F6A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07DD9"/>
    <w:multiLevelType w:val="multilevel"/>
    <w:tmpl w:val="712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40839"/>
    <w:multiLevelType w:val="multilevel"/>
    <w:tmpl w:val="463A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80775">
    <w:abstractNumId w:val="22"/>
  </w:num>
  <w:num w:numId="2" w16cid:durableId="1262108938">
    <w:abstractNumId w:val="25"/>
  </w:num>
  <w:num w:numId="3" w16cid:durableId="1715344085">
    <w:abstractNumId w:val="19"/>
  </w:num>
  <w:num w:numId="4" w16cid:durableId="364017161">
    <w:abstractNumId w:val="7"/>
  </w:num>
  <w:num w:numId="5" w16cid:durableId="773016632">
    <w:abstractNumId w:val="20"/>
  </w:num>
  <w:num w:numId="6" w16cid:durableId="2126345053">
    <w:abstractNumId w:val="28"/>
  </w:num>
  <w:num w:numId="7" w16cid:durableId="1403480100">
    <w:abstractNumId w:val="15"/>
  </w:num>
  <w:num w:numId="8" w16cid:durableId="325327514">
    <w:abstractNumId w:val="3"/>
  </w:num>
  <w:num w:numId="9" w16cid:durableId="1513035093">
    <w:abstractNumId w:val="12"/>
  </w:num>
  <w:num w:numId="10" w16cid:durableId="34240014">
    <w:abstractNumId w:val="29"/>
  </w:num>
  <w:num w:numId="11" w16cid:durableId="1146628993">
    <w:abstractNumId w:val="30"/>
  </w:num>
  <w:num w:numId="12" w16cid:durableId="606354632">
    <w:abstractNumId w:val="14"/>
  </w:num>
  <w:num w:numId="13" w16cid:durableId="30307779">
    <w:abstractNumId w:val="24"/>
  </w:num>
  <w:num w:numId="14" w16cid:durableId="35666274">
    <w:abstractNumId w:val="32"/>
  </w:num>
  <w:num w:numId="15" w16cid:durableId="1022510373">
    <w:abstractNumId w:val="10"/>
  </w:num>
  <w:num w:numId="16" w16cid:durableId="1953585621">
    <w:abstractNumId w:val="18"/>
  </w:num>
  <w:num w:numId="17" w16cid:durableId="1069695008">
    <w:abstractNumId w:val="5"/>
  </w:num>
  <w:num w:numId="18" w16cid:durableId="89279485">
    <w:abstractNumId w:val="21"/>
  </w:num>
  <w:num w:numId="19" w16cid:durableId="97412081">
    <w:abstractNumId w:val="33"/>
  </w:num>
  <w:num w:numId="20" w16cid:durableId="1473906328">
    <w:abstractNumId w:val="27"/>
  </w:num>
  <w:num w:numId="21" w16cid:durableId="645284367">
    <w:abstractNumId w:val="26"/>
  </w:num>
  <w:num w:numId="22" w16cid:durableId="265965200">
    <w:abstractNumId w:val="4"/>
  </w:num>
  <w:num w:numId="23" w16cid:durableId="1935630535">
    <w:abstractNumId w:val="13"/>
  </w:num>
  <w:num w:numId="24" w16cid:durableId="161505695">
    <w:abstractNumId w:val="0"/>
  </w:num>
  <w:num w:numId="25" w16cid:durableId="68502626">
    <w:abstractNumId w:val="1"/>
  </w:num>
  <w:num w:numId="26" w16cid:durableId="781648352">
    <w:abstractNumId w:val="34"/>
  </w:num>
  <w:num w:numId="27" w16cid:durableId="558438858">
    <w:abstractNumId w:val="11"/>
  </w:num>
  <w:num w:numId="28" w16cid:durableId="605695854">
    <w:abstractNumId w:val="6"/>
  </w:num>
  <w:num w:numId="29" w16cid:durableId="2038658362">
    <w:abstractNumId w:val="17"/>
  </w:num>
  <w:num w:numId="30" w16cid:durableId="618490808">
    <w:abstractNumId w:val="9"/>
  </w:num>
  <w:num w:numId="31" w16cid:durableId="1074663571">
    <w:abstractNumId w:val="8"/>
  </w:num>
  <w:num w:numId="32" w16cid:durableId="300575012">
    <w:abstractNumId w:val="31"/>
  </w:num>
  <w:num w:numId="33" w16cid:durableId="1601328207">
    <w:abstractNumId w:val="16"/>
  </w:num>
  <w:num w:numId="34" w16cid:durableId="1183208169">
    <w:abstractNumId w:val="2"/>
  </w:num>
  <w:num w:numId="35" w16cid:durableId="11687936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C0"/>
    <w:rsid w:val="000222E7"/>
    <w:rsid w:val="0003352B"/>
    <w:rsid w:val="0004050A"/>
    <w:rsid w:val="00051BAA"/>
    <w:rsid w:val="000606AF"/>
    <w:rsid w:val="000F3938"/>
    <w:rsid w:val="000F3DA9"/>
    <w:rsid w:val="0013709F"/>
    <w:rsid w:val="001615F5"/>
    <w:rsid w:val="00166262"/>
    <w:rsid w:val="00172926"/>
    <w:rsid w:val="001D25DE"/>
    <w:rsid w:val="00200EFE"/>
    <w:rsid w:val="00202E09"/>
    <w:rsid w:val="00272AF3"/>
    <w:rsid w:val="002A0C6F"/>
    <w:rsid w:val="002B5A2A"/>
    <w:rsid w:val="002D6E2B"/>
    <w:rsid w:val="00311892"/>
    <w:rsid w:val="00341210"/>
    <w:rsid w:val="0035211F"/>
    <w:rsid w:val="003839CF"/>
    <w:rsid w:val="00390F33"/>
    <w:rsid w:val="003A102A"/>
    <w:rsid w:val="003B4599"/>
    <w:rsid w:val="003C7E65"/>
    <w:rsid w:val="003D3D49"/>
    <w:rsid w:val="003E24B1"/>
    <w:rsid w:val="00454EE9"/>
    <w:rsid w:val="0045639C"/>
    <w:rsid w:val="00470E07"/>
    <w:rsid w:val="004A39E0"/>
    <w:rsid w:val="004A427A"/>
    <w:rsid w:val="004C3569"/>
    <w:rsid w:val="004D7A66"/>
    <w:rsid w:val="005332C6"/>
    <w:rsid w:val="00540930"/>
    <w:rsid w:val="00560105"/>
    <w:rsid w:val="00584D5C"/>
    <w:rsid w:val="00586717"/>
    <w:rsid w:val="00596726"/>
    <w:rsid w:val="005B0CBE"/>
    <w:rsid w:val="005B38FE"/>
    <w:rsid w:val="005C175A"/>
    <w:rsid w:val="005D4CF3"/>
    <w:rsid w:val="005D7E72"/>
    <w:rsid w:val="006356F9"/>
    <w:rsid w:val="006622F6"/>
    <w:rsid w:val="00666CF8"/>
    <w:rsid w:val="006727CF"/>
    <w:rsid w:val="006A1D45"/>
    <w:rsid w:val="006A290D"/>
    <w:rsid w:val="006B1CAB"/>
    <w:rsid w:val="006B65F1"/>
    <w:rsid w:val="006D0D6B"/>
    <w:rsid w:val="006F463A"/>
    <w:rsid w:val="00701F7C"/>
    <w:rsid w:val="007266C8"/>
    <w:rsid w:val="00751348"/>
    <w:rsid w:val="00782A8D"/>
    <w:rsid w:val="00794D50"/>
    <w:rsid w:val="007B0D59"/>
    <w:rsid w:val="007B78AD"/>
    <w:rsid w:val="007D2157"/>
    <w:rsid w:val="00861819"/>
    <w:rsid w:val="00863616"/>
    <w:rsid w:val="008F4F62"/>
    <w:rsid w:val="0091209C"/>
    <w:rsid w:val="00956B77"/>
    <w:rsid w:val="009753AD"/>
    <w:rsid w:val="00975C66"/>
    <w:rsid w:val="00984A28"/>
    <w:rsid w:val="009B0D73"/>
    <w:rsid w:val="009B45C0"/>
    <w:rsid w:val="009C4D5E"/>
    <w:rsid w:val="009C7449"/>
    <w:rsid w:val="009F33CD"/>
    <w:rsid w:val="00A13D51"/>
    <w:rsid w:val="00A94BE4"/>
    <w:rsid w:val="00AA3691"/>
    <w:rsid w:val="00AA5B06"/>
    <w:rsid w:val="00AB116E"/>
    <w:rsid w:val="00AD29BB"/>
    <w:rsid w:val="00AF1CF7"/>
    <w:rsid w:val="00AF7C75"/>
    <w:rsid w:val="00B102B1"/>
    <w:rsid w:val="00B23D3B"/>
    <w:rsid w:val="00B251B9"/>
    <w:rsid w:val="00B378ED"/>
    <w:rsid w:val="00B60CF7"/>
    <w:rsid w:val="00B66A85"/>
    <w:rsid w:val="00B71412"/>
    <w:rsid w:val="00B760B2"/>
    <w:rsid w:val="00B92069"/>
    <w:rsid w:val="00BA3FF1"/>
    <w:rsid w:val="00C00A63"/>
    <w:rsid w:val="00C02F7D"/>
    <w:rsid w:val="00C049BD"/>
    <w:rsid w:val="00C3436D"/>
    <w:rsid w:val="00C36B03"/>
    <w:rsid w:val="00C45859"/>
    <w:rsid w:val="00C45913"/>
    <w:rsid w:val="00C46636"/>
    <w:rsid w:val="00C55463"/>
    <w:rsid w:val="00C7752E"/>
    <w:rsid w:val="00C8376A"/>
    <w:rsid w:val="00C871DF"/>
    <w:rsid w:val="00CB3942"/>
    <w:rsid w:val="00CD1FD7"/>
    <w:rsid w:val="00CD51A1"/>
    <w:rsid w:val="00CE2A56"/>
    <w:rsid w:val="00D01C09"/>
    <w:rsid w:val="00D11F19"/>
    <w:rsid w:val="00D12C23"/>
    <w:rsid w:val="00D41825"/>
    <w:rsid w:val="00D54683"/>
    <w:rsid w:val="00D935C2"/>
    <w:rsid w:val="00DC1D06"/>
    <w:rsid w:val="00DE457F"/>
    <w:rsid w:val="00DF13DF"/>
    <w:rsid w:val="00E110D9"/>
    <w:rsid w:val="00E2402B"/>
    <w:rsid w:val="00E60D58"/>
    <w:rsid w:val="00EB4033"/>
    <w:rsid w:val="00EC1D61"/>
    <w:rsid w:val="00EE19AF"/>
    <w:rsid w:val="00F25564"/>
    <w:rsid w:val="00F2595E"/>
    <w:rsid w:val="00F8126E"/>
    <w:rsid w:val="00F81777"/>
    <w:rsid w:val="00F81C33"/>
    <w:rsid w:val="00F92F4E"/>
    <w:rsid w:val="00FC0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EBF9"/>
  <w15:chartTrackingRefBased/>
  <w15:docId w15:val="{432BE11B-8DA5-47C5-B849-C72C4414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4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B4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B45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9B45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45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45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45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45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45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5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B45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B45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9B45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B45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B45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45C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45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45C0"/>
    <w:rPr>
      <w:rFonts w:eastAsiaTheme="majorEastAsia" w:cstheme="majorBidi"/>
      <w:color w:val="272727" w:themeColor="text1" w:themeTint="D8"/>
    </w:rPr>
  </w:style>
  <w:style w:type="paragraph" w:styleId="a3">
    <w:name w:val="Title"/>
    <w:basedOn w:val="a"/>
    <w:next w:val="a"/>
    <w:link w:val="a4"/>
    <w:uiPriority w:val="10"/>
    <w:qFormat/>
    <w:rsid w:val="009B4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4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5C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45C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45C0"/>
    <w:pPr>
      <w:spacing w:before="160"/>
      <w:jc w:val="center"/>
    </w:pPr>
    <w:rPr>
      <w:i/>
      <w:iCs/>
      <w:color w:val="404040" w:themeColor="text1" w:themeTint="BF"/>
    </w:rPr>
  </w:style>
  <w:style w:type="character" w:customStyle="1" w:styleId="a8">
    <w:name w:val="Цитата Знак"/>
    <w:basedOn w:val="a0"/>
    <w:link w:val="a7"/>
    <w:uiPriority w:val="29"/>
    <w:rsid w:val="009B45C0"/>
    <w:rPr>
      <w:i/>
      <w:iCs/>
      <w:color w:val="404040" w:themeColor="text1" w:themeTint="BF"/>
    </w:rPr>
  </w:style>
  <w:style w:type="paragraph" w:styleId="a9">
    <w:name w:val="List Paragraph"/>
    <w:basedOn w:val="a"/>
    <w:uiPriority w:val="34"/>
    <w:qFormat/>
    <w:rsid w:val="009B45C0"/>
    <w:pPr>
      <w:ind w:left="720"/>
      <w:contextualSpacing/>
    </w:pPr>
  </w:style>
  <w:style w:type="character" w:styleId="aa">
    <w:name w:val="Intense Emphasis"/>
    <w:basedOn w:val="a0"/>
    <w:uiPriority w:val="21"/>
    <w:qFormat/>
    <w:rsid w:val="009B45C0"/>
    <w:rPr>
      <w:i/>
      <w:iCs/>
      <w:color w:val="2F5496" w:themeColor="accent1" w:themeShade="BF"/>
    </w:rPr>
  </w:style>
  <w:style w:type="paragraph" w:styleId="ab">
    <w:name w:val="Intense Quote"/>
    <w:basedOn w:val="a"/>
    <w:next w:val="a"/>
    <w:link w:val="ac"/>
    <w:uiPriority w:val="30"/>
    <w:qFormat/>
    <w:rsid w:val="009B4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B45C0"/>
    <w:rPr>
      <w:i/>
      <w:iCs/>
      <w:color w:val="2F5496" w:themeColor="accent1" w:themeShade="BF"/>
    </w:rPr>
  </w:style>
  <w:style w:type="character" w:styleId="ad">
    <w:name w:val="Intense Reference"/>
    <w:basedOn w:val="a0"/>
    <w:uiPriority w:val="32"/>
    <w:qFormat/>
    <w:rsid w:val="009B45C0"/>
    <w:rPr>
      <w:b/>
      <w:bCs/>
      <w:smallCaps/>
      <w:color w:val="2F5496" w:themeColor="accent1" w:themeShade="BF"/>
      <w:spacing w:val="5"/>
    </w:rPr>
  </w:style>
  <w:style w:type="character" w:styleId="ae">
    <w:name w:val="Hyperlink"/>
    <w:basedOn w:val="a0"/>
    <w:uiPriority w:val="99"/>
    <w:unhideWhenUsed/>
    <w:rsid w:val="009B45C0"/>
    <w:rPr>
      <w:color w:val="0563C1" w:themeColor="hyperlink"/>
      <w:u w:val="single"/>
    </w:rPr>
  </w:style>
  <w:style w:type="character" w:styleId="af">
    <w:name w:val="Unresolved Mention"/>
    <w:basedOn w:val="a0"/>
    <w:uiPriority w:val="99"/>
    <w:semiHidden/>
    <w:unhideWhenUsed/>
    <w:rsid w:val="009B45C0"/>
    <w:rPr>
      <w:color w:val="605E5C"/>
      <w:shd w:val="clear" w:color="auto" w:fill="E1DFDD"/>
    </w:rPr>
  </w:style>
  <w:style w:type="table" w:styleId="af0">
    <w:name w:val="Table Grid"/>
    <w:basedOn w:val="a1"/>
    <w:uiPriority w:val="39"/>
    <w:rsid w:val="004C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a0"/>
    <w:rsid w:val="004C3569"/>
  </w:style>
  <w:style w:type="paragraph" w:styleId="af1">
    <w:name w:val="header"/>
    <w:basedOn w:val="a"/>
    <w:link w:val="af2"/>
    <w:uiPriority w:val="99"/>
    <w:unhideWhenUsed/>
    <w:rsid w:val="0045639C"/>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45639C"/>
  </w:style>
  <w:style w:type="paragraph" w:styleId="af3">
    <w:name w:val="footer"/>
    <w:basedOn w:val="a"/>
    <w:link w:val="af4"/>
    <w:uiPriority w:val="99"/>
    <w:unhideWhenUsed/>
    <w:rsid w:val="0045639C"/>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45639C"/>
  </w:style>
  <w:style w:type="paragraph" w:styleId="af5">
    <w:name w:val="Normal (Web)"/>
    <w:basedOn w:val="a"/>
    <w:uiPriority w:val="99"/>
    <w:semiHidden/>
    <w:unhideWhenUsed/>
    <w:rsid w:val="003D3D4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6">
    <w:name w:val="Strong"/>
    <w:basedOn w:val="a0"/>
    <w:uiPriority w:val="22"/>
    <w:qFormat/>
    <w:rsid w:val="003D3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school.club/blog/znaky-bilshe-menshe-abo-dorivnyuy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A877-9DA9-448C-BCBA-966AD101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60</Pages>
  <Words>71493</Words>
  <Characters>40752</Characters>
  <Application>Microsoft Office Word</Application>
  <DocSecurity>0</DocSecurity>
  <Lines>339</Lines>
  <Paragraphs>224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Am</cp:lastModifiedBy>
  <cp:revision>42</cp:revision>
  <dcterms:created xsi:type="dcterms:W3CDTF">2026-05-27T18:39:00Z</dcterms:created>
  <dcterms:modified xsi:type="dcterms:W3CDTF">2026-06-16T18:07:00Z</dcterms:modified>
</cp:coreProperties>
</file>