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DCFD" w14:textId="04A8937A" w:rsidR="00045C70" w:rsidRPr="009A1BE7" w:rsidRDefault="00045C70" w:rsidP="009A1BE7">
      <w:pPr>
        <w:pStyle w:val="1"/>
      </w:pPr>
      <w:bookmarkStart w:id="0" w:name="_Toc232422661"/>
      <w:r w:rsidRPr="009A1BE7">
        <w:t>РОЗДІЛ 1. ТЕОРЕТИКО-МЕТОДОЛОГІЧНІ ЗАСАДИ ФІНАНСОВИХ ІННОВАЦІЙ У СИСТЕМІ КОРПОРАТИВНОГО УПРАВЛІННЯ</w:t>
      </w:r>
      <w:bookmarkEnd w:id="0"/>
    </w:p>
    <w:p w14:paraId="07912A5E" w14:textId="4B36D337" w:rsidR="00045C70" w:rsidRPr="009A1BE7" w:rsidRDefault="00045C70" w:rsidP="00045C70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232422662"/>
      <w:r w:rsidRPr="009A1B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1.1. Концептуальні основи фінансових інновацій: еволюція наукових підходів</w:t>
      </w:r>
      <w:bookmarkEnd w:id="1"/>
    </w:p>
    <w:p w14:paraId="67131FB4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Поняття «фінансова інновація» є одним із найбільш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динамічно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наповнюваних концептів сучасної економічної науки. 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широке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дискусійним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дефінітивних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класифікаційних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привносить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пояснювальний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3B42823" w14:textId="7263BA9E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витоки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сягають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шумпетеріанської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Joseph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Schumpeter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Economic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(1934) та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Cycles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(1939)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виробничої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комбінації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D57EB4" w:rsidRPr="00D57EB4">
        <w:rPr>
          <w:rFonts w:ascii="Times New Roman" w:eastAsia="Times New Roman" w:hAnsi="Times New Roman" w:cs="Times New Roman"/>
          <w:sz w:val="28"/>
          <w:szCs w:val="28"/>
          <w:lang w:val="ru-RU"/>
        </w:rPr>
        <w:t>[77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Попри те,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Шумпетер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creative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destruction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виявилася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евристичною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пояснення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витісняє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перерозподіляючи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74A833" w14:textId="11EB3886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концептуалізацію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здійснив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Peter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Tufano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канонічній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Handbook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Elsevier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1, 2003,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307–335).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Його визначення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«акт створення та подальшої популяризації нових фінансових інструментів,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також нових фінансових технологій, інституцій та ринків»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стало найбільш цитованим у галузі та задало дефінітивний стандарт для наступних досліджень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80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внеском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Tufano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акцент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двоетапній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мало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продукт,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дворівнева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логіка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відрізняє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одиничних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мережевих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656C11" w14:textId="1F2507C7" w:rsidR="00045C70" w:rsidRPr="00E626A8" w:rsidRDefault="00045C70" w:rsidP="00E626A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Суттєвий розвиток теоретичної бази запропонували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Josh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Lerner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Peter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Tufano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у праці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Consequences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: 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Counterfactual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Agenda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» (NBER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Working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Paper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16780, лютий 2011 р.; опубліковано також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Annual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3(1), 2011,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41–85). Автори ввели методологічний принцип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контрфактичного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аналізу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counterfactual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agenda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), пропонуючи досліджувати не лише прямі наслідки фінансових інновацій, але й ту альтернативну реальність, яка б існувала за їхньої відсутності.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поставили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сталося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венчурними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ринками без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партнерств?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розвивалося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пенсійне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появи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вимірювати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каузальний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відсіюючи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ендогенний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макроекономічних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[52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24EFA337" w14:textId="66B16C64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 у теоретичному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суперечливої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Chen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Bright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Dark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Sides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72, 2016,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28–51).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панельних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32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1996–2010 роки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конкуруючих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парадигм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growth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view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Allen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Gale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1994;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Houston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зменшують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розподілу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заповнюють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прогалини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алокативну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Друга парадигма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fragility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view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Rajan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2006;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Gennaioli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Shleifer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Vishny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2010)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наполягає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тому,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2008 року,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спровокувавши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фрагільність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виявили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одночасну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обох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асоційовані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вищим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кращим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розподілом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кредиту,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ідіосинкратичнішою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фрагільністю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вищою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волатильністю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прибутків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збитками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криз.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парадокс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покликане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максимізувати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світлу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сторону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мінімізувати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«темну».</w:t>
      </w:r>
    </w:p>
    <w:p w14:paraId="1855430F" w14:textId="30F34A39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Arner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Barberis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Buckley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у знаковій статті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: 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Post-Crisis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Paradigm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?»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Georgetown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Law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47(4), 2016,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1271–1319) запропонували розмежувати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як специфічну технологічно орієнтовану підмножину фінансових інновацій, де інформаційні технології є визначальним фактором. Автори ввели тривимірну хронологію: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1.0 (1866–1967)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фінансова глобалізація на основі телеграфу та трансатлантичного кабелю;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2.0 (1967–2008)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цифрова фінансова інфраструктура (перший банкомат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Barclays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у Лондоні 1967 року, SWIFT 1973 року);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3.0 (з 2008 року)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ера стартапів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BigTech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Bitcoin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-маніфест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Сатоші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Накамото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символізує принципово нову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декентралізовану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логіку фінансових відносин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]. Ця тріада принципово важлива, оскільки зв'язує фінансові інновації з технологічними укладами і дає змогу передбачати наступні регуляторні та управлінські трансформації.</w:t>
      </w:r>
    </w:p>
    <w:p w14:paraId="19FA5445" w14:textId="486BD6F8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>Engelen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та ін. (2010) запропонували альтернативну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бриколерну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» концепцію фінансових інновацій як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emergent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property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accidental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coming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together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structural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preconditions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conjunctural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situations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repository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heuristic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devices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» [</w:t>
      </w:r>
      <w:r w:rsidR="00E626A8">
        <w:rPr>
          <w:rFonts w:ascii="Times New Roman" w:eastAsia="Times New Roman" w:hAnsi="Times New Roman" w:cs="Times New Roman"/>
          <w:sz w:val="28"/>
          <w:szCs w:val="28"/>
          <w:lang w:val="en-US"/>
        </w:rPr>
        <w:t>32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нелінійний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ситуативний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противагу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телеологічним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наративам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Mention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Torkkeli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(2014),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короткий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lead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легка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відтворюваність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конкурентами,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патентоспроможність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61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конкурентна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будується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мережевих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37F88EC" w14:textId="26935FDA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концептуалізацію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Н.М.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Пантелеєва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цифровізації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Приазовський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№3(03)/2017)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цифровою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цифровізацію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каталізатор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73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Я.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Чайковський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(№4(57)/2018)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розмежування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інноваціями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як широкою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інноваціями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підмножиною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внутрішньобанківську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, менеджмент і маркетинг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84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В.В.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Корнєєва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(ДПУ, 2022)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розмежовує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концепт та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як ширше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83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Дзюблюк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(Західноукраїнський національний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університет, 2024) ідентифікує AI-автоматизацію, мобільний банкінг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як три ключові глобальні чинники трансформації банківського сектору, що вимагають переосмислення підходів до корпоративного управління [</w:t>
      </w:r>
      <w:r w:rsidR="00E626A8" w:rsidRP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1].</w:t>
      </w:r>
    </w:p>
    <w:p w14:paraId="3EB4A5DE" w14:textId="3B3739E2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констатувати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теоретичному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дискусійних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таких,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впроваджуються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незрілості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регуляторного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фано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(2003)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популяризації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регуляторного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легітимізування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проміжної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MiCA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По-третє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fragility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view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(2016)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базується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1996–2010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доцифрову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добу;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зв'язок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DeFi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34C1136" w14:textId="35CC9F53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Інтегруючи зазначені наукові традиції, для цілей цього дослідження пропонується таке авторське робоче визначення: фінансові інновації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це процес створення, апробації, регуляторної легітимізації та комерційного поширення нових продуктів, послуг, бізнес-процесів, інституційних форм та технологічних платформ фінансового характеру, які трансформують співвідношення «ризик–дохід–прозорість–доступ» учасників фінансової системи та потребують відповідної адаптації корпоративного управління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пруденційного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нагляду.</w:t>
      </w:r>
    </w:p>
    <w:p w14:paraId="2B928281" w14:textId="17E1C45D" w:rsidR="00045C70" w:rsidRPr="00DA542D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>Це визначення відрізняється від наявних у кількох аспектах: воно експліцитно включає регуляторну легітимізацію як обов'язковий етап (а не лише створення і поширення); охоплює чотиривимірний вектор змін («ризик–дохід–прозорість–доступ»); і безпосередньо пов'язує фінансові інновації з необхідністю трансформації корпоративного управління та нагляду, що відповідає дослідницькій позиції цієї роботи.</w:t>
      </w:r>
    </w:p>
    <w:p w14:paraId="2EA565B5" w14:textId="77777777" w:rsidR="00045C70" w:rsidRPr="00045C70" w:rsidRDefault="00045C70" w:rsidP="00045C70">
      <w:pPr>
        <w:spacing w:before="120" w:after="8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Таблиця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1.1 –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Порівняльний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наукових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підходів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визначення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поняття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8"/>
        <w:gridCol w:w="1993"/>
        <w:gridCol w:w="3165"/>
        <w:gridCol w:w="2864"/>
      </w:tblGrid>
      <w:tr w:rsidR="00045C70" w:rsidRPr="00045C70" w14:paraId="13BF9F64" w14:textId="77777777" w:rsidTr="00522D3D">
        <w:trPr>
          <w:tblHeader/>
        </w:trPr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B983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Автор, рік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4C1A9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Підхід / школа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45F0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Ключове визначення / зміст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D8EE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Аналітична цінність для дослідження</w:t>
            </w:r>
          </w:p>
        </w:tc>
      </w:tr>
      <w:tr w:rsidR="00045C70" w:rsidRPr="00045C70" w14:paraId="37B8306B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27BA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Schumpeter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1934, 1939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E4B4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Шумпетеріанська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еволюційна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7995B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Інновація як «нова виробнича функція» і «нові комбінації ресурсів»; «творче руйнування» як рушій розвитку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71618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Фундаментальний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теоретичний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базис;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пояснює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деструктивний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вплив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традиційні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бізнес-моделі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банків</w:t>
            </w:r>
            <w:proofErr w:type="spellEnd"/>
          </w:p>
        </w:tc>
      </w:tr>
      <w:tr w:rsidR="00045C70" w:rsidRPr="00045C70" w14:paraId="0E34F370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65CA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Llewellyn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1992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E309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Типологічна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ADF3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Перша систематична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класифікація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продуктові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процесні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ринкові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інституційні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інновації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32B42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Базова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класифікаційна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матриця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використовується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підрозділі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1.2</w:t>
            </w:r>
          </w:p>
        </w:tc>
      </w:tr>
      <w:tr w:rsidR="00045C70" w:rsidRPr="00045C70" w14:paraId="77DA45AD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BD1E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Tufano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2003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13A7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Функціональна / дифузійна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C475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«Акт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створення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популяризації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інструментів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інституцій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ринків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8935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Найбільш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цитоване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визначення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акцент на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дифузії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як другому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етапі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інновації</w:t>
            </w:r>
            <w:proofErr w:type="spellEnd"/>
          </w:p>
        </w:tc>
      </w:tr>
      <w:tr w:rsidR="00045C70" w:rsidRPr="00045C70" w14:paraId="365C3A0B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AFF77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2004, 2014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515D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Функціональна / ринкова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14179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як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щось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нове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знижує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знижує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вдосконалений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продукт/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послугу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порівняно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наявним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931E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Ефективнісна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логіка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корисна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оцінки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ROI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корпоративному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управлінні</w:t>
            </w:r>
            <w:proofErr w:type="spellEnd"/>
          </w:p>
        </w:tc>
      </w:tr>
      <w:tr w:rsidR="00045C70" w:rsidRPr="00045C70" w14:paraId="0002B4FD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2B8AA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Engelen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2010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29CD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Конструктивістська / «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бриколерна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7566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як «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властивість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виникає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випадкового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поєднання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структурних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передумов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кон'юнктурних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ситуацій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репозитарію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технік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A315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Пояснює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нелінійність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непередбачуваність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обґрунтовує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адаптивний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 корпоративного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управління</w:t>
            </w:r>
            <w:proofErr w:type="spellEnd"/>
          </w:p>
        </w:tc>
      </w:tr>
      <w:tr w:rsidR="00045C70" w:rsidRPr="00045C70" w14:paraId="643B26E7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6091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Lerner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Tufano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2011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F8175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Контрфактична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методологічна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3632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Розробка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контрфактичного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дослідницького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порядку денного»: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відбулося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 за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конкретних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ETF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сек'юритизація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)?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0AA8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Методологічний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інструмент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каузальної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оцінки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наслідків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інновацій</w:t>
            </w:r>
            <w:proofErr w:type="spellEnd"/>
          </w:p>
        </w:tc>
      </w:tr>
      <w:tr w:rsidR="00045C70" w:rsidRPr="00045C70" w14:paraId="57DDFC4F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5063A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Beck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Song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BE18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Емпірична / двостороння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D8969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Парадокс «яскравого і темного боків»: інновації стимулюють зростання, але підвищують ідіосинкратичну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фрагільність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банків і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волатильність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прибутків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5294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Обґрунтовує необхідність посилення корпоративного управління як механізму балансування інноваційного зростання і ризик-менеджменту</w:t>
            </w:r>
          </w:p>
        </w:tc>
      </w:tr>
      <w:tr w:rsidR="00045C70" w:rsidRPr="00045C70" w14:paraId="01254618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5494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Arner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Barberis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Buckley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78F5D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Еволюційна / технологічна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B48A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Тривимірна хронологія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(1.0/2.0/3.0); розрізнення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Financial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Innovation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InsurTech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SupTech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E7CC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Таксономічна основа для аналізу у Розділі 2; пояснює різні регуляторні відповіді на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3.0</w:t>
            </w:r>
          </w:p>
        </w:tc>
      </w:tr>
      <w:tr w:rsidR="00045C70" w:rsidRPr="00045C70" w14:paraId="18DB321A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FEC6D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Пантелеєва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Н.М., 2017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FABF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-трансформаційна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59B2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Фінансові інновації як невід'ємна складова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цифровізації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економіки; наголос на ринку фінансових послуг України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E1CF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Адаптація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концепту до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контексту;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обґрунтовує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інноваційну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природу цифрового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банкінгу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Україні</w:t>
            </w:r>
            <w:proofErr w:type="spellEnd"/>
          </w:p>
        </w:tc>
      </w:tr>
      <w:tr w:rsidR="00045C70" w:rsidRPr="00045C70" w14:paraId="4A555768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DC7E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Чайковський Я., 2018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AD0C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Таксономічна / вітчизняна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955E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Розмежування «фінансових інновацій» (широке поняття) та «банківських інновацій» (підмножина)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E13FB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Уточнення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об'єкта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дослідження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банківському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контексті</w:t>
            </w:r>
            <w:proofErr w:type="spellEnd"/>
          </w:p>
        </w:tc>
      </w:tr>
      <w:tr w:rsidR="00045C70" w:rsidRPr="00045C70" w14:paraId="15728B15" w14:textId="77777777" w:rsidTr="00522D3D"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71AC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Авторський синтез (цей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дослідж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C2B7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Регуляторно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-управлінська / системна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D9F1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Фінансові інновації як процес створення, апробації, регуляторної легітимізації та поширення нових продуктів/процесів/платформ, що трансформують «ризик–дохід–прозорість–доступ»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0D549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Інтеграція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технологічного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регуляторного та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управлінського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вимірів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операціоналізація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цілей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бакалаврської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</w:p>
        </w:tc>
      </w:tr>
    </w:tbl>
    <w:p w14:paraId="698DB356" w14:textId="6EE4536A" w:rsidR="00045C70" w:rsidRPr="00E626A8" w:rsidRDefault="00045C70" w:rsidP="00045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Джерело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складено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автором на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E626A8"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джерел.</w:t>
      </w:r>
    </w:p>
    <w:p w14:paraId="537DC1A8" w14:textId="18A9EB2E" w:rsidR="00045C70" w:rsidRPr="00DA542D" w:rsidRDefault="00045C70" w:rsidP="00045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6A8">
        <w:rPr>
          <w:rFonts w:ascii="Times New Roman" w:eastAsia="Times New Roman" w:hAnsi="Times New Roman" w:cs="Times New Roman"/>
          <w:sz w:val="28"/>
          <w:szCs w:val="28"/>
        </w:rPr>
        <w:t xml:space="preserve">Ретроспективний аналіз еволюції фінансових інновацій виявляє виразну стадіальність, що корелює з технологічними укладами. 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Початковий етап (1950–1967) пов'язаний з появою перших карткових платежів: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Diners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Club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(1950)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BankAmericard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 w:rsidRPr="009023F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попередника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Visa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(1958) </w:t>
      </w:r>
      <w:r w:rsidR="00DA542D" w:rsidRPr="009023F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заклали основи масового споживчого кредитування та безготівкових розрахунків. Перехідний етап (1967–1973) ознаменувався появою першого публічного банкомату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Barclays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у Лондоні (1967) та утворенням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SWIFT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(1973), що сформувало глобальну інфраструктуру міжбанківських комунікацій. Етап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(1981–2008) охопив перший інтернет-банкінг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United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American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, 1981), запуск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PayPal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(1998) і становлення онлайн-брокерів, що принципово демократизували доступ до фінансових послуг. Переломним моментом сучасної ери стала публікація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Bitcoin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-маніфесту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Сатоші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Накамото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(жовтень 2008 р.) і запуск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блокчейну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Bitcoin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(2009 р.) </w:t>
      </w:r>
      <w:r w:rsidR="00DA542D" w:rsidRPr="009023F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знаковий момент, з якого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Arner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. (2016) відраховують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3.0. Наступне десятиліття (2010–2020) характеризувалося масштабуванням мобільних платежів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у Кенії),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краудфандингу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-кредитування та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роботизованих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 інвестиційних рекомендацій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robo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advisors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Пандемія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COVID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-19 (2020–2021)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каталізатора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цифровізації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каналів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прискорилося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7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26A8">
        <w:rPr>
          <w:rFonts w:ascii="Times New Roman" w:eastAsia="Times New Roman" w:hAnsi="Times New Roman" w:cs="Times New Roman"/>
          <w:sz w:val="28"/>
          <w:szCs w:val="28"/>
          <w:lang w:val="ru-RU"/>
        </w:rPr>
        <w:t>60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(2022–2025)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конвергенцією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генеративного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(91%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BIS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Papers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159, 2024),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набуттям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регламенту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(17.01.2025)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появою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3/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PSR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наднаціональних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рамок,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переформатовують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ландшафт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 [1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0366594E" w14:textId="0D3CC92E" w:rsidR="00045C70" w:rsidRPr="00F14E6C" w:rsidRDefault="00045C70" w:rsidP="00045C70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2" w:name="_Toc232422663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1.2. Класифікація та типологія фінансових інновацій</w:t>
      </w:r>
      <w:bookmarkEnd w:id="2"/>
    </w:p>
    <w:p w14:paraId="087CBBAA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Множинність підходів до класифікації фінансових інновацій відображає їхню об'єктивну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багатовимірність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Жодна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одновимірна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систематизація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увесь спектр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перетині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Тому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багатокритеріальної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класифікаційної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матриці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висвітлює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381052" w14:textId="4D495545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базовим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критерієм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запровадженим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Llewellyn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(1992)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розвиненим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Tufano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(2003),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виокремлюються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типи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являють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: кредитно-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дефолтні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свопи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CDS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колатеризовані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боргові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CDO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біржові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торгові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фонди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ETF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«купи зараз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заплати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BNPL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пряма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наскрізна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STP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RTGS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реального часу),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ідентифікація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KYC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необанки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Revolut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Nubank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краудфандингу,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DeFi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перебудовують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торгові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NASDAQ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ECN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децентралізовані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біржі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DEX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65D6F008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ступенем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новизни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виправданим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поділ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радикальні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revolutionary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сегменти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Bitcoin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інкрементальні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безконтактна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карта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комбінаторні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reengineering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наявних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конфігурації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ETF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комбінаторними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природою: вони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переупаковують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оболонках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1C33F5F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основою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ML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кредитний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скоринг,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AML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транзакцій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, чат-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боти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персоналізовані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DLT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криптовалюти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, смарт-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токенізацію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Хмарні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SaaS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модульну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Mambu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Thought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Machine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IoT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живлять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телематичне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ціноутворення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API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2/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у ЄС, Постанова НБУ №80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25.07.2025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3A62D888" w14:textId="1ADA025C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Arner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Barberis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Buckley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(2016, 2017)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розрізнення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суміжних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впорядковує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мову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регуляторного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комплаєнсу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KYC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AML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automated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reporting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machine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readable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SupTech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Supervisory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аналогічне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самими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органами: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market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surveillance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reporting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dashboards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InsurTech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страхового сектору: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параметричне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страхування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телематика,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страхові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DeFi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Decentralized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смарт-контрактах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блокчейнів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посередників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19BC03" w14:textId="09DB3345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заслуговує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сегмент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виокремився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2015–2023 роках.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зелені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облігації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green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bonds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облігації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linked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bonds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кредити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прив'язкою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linked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loans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ETF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рейтингування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Регуляторне підкріплення цьому сегменту надають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Taxonomy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ЄС, CSRD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Reporting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Directive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 та нова Глава VI OECD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2023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» [</w:t>
      </w:r>
      <w:r w:rsidR="00264E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68F9A9D7" w14:textId="16977513" w:rsidR="00045C70" w:rsidRPr="00264EC3" w:rsidRDefault="00045C70" w:rsidP="00264EC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З позиції глобального масштабу, за даними KPMG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Pulse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H2 2024, загальний обсяг глобальних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-інвестицій становив 95,6 млрд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США у 4 639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угодах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2024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семирічним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мінімумом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охолодження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венчурного ринку.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сегмент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PayTech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з 31 млрд дол.,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(9,1 млрд дол.)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(7,4 млрд дол.)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47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Попри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age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(2025)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фіксує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капіталізація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850 млрд дол.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рекордний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доходи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склали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650 млрд дол.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доходів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темпом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21%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 року</w:t>
      </w:r>
      <w:proofErr w:type="gram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60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свідчать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укорінення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трактувати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тимчасову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хвилю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F597FD" w14:textId="77777777" w:rsidR="00045C70" w:rsidRPr="00045C70" w:rsidRDefault="00045C70" w:rsidP="00045C70">
      <w:pPr>
        <w:spacing w:before="120" w:after="8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Таблиця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1.2 –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Багатокритеріальна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класифікаційна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матриця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інновацій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2000"/>
        <w:gridCol w:w="2880"/>
        <w:gridCol w:w="2780"/>
      </w:tblGrid>
      <w:tr w:rsidR="00045C70" w:rsidRPr="00045C70" w14:paraId="629CECA7" w14:textId="77777777" w:rsidTr="00522D3D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49A8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lastRenderedPageBreak/>
              <w:t>Критерій класифікації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A04A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Категорія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1C7C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Приклади інновацій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8CA1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Вплив на корпоративне управління</w:t>
            </w:r>
          </w:p>
        </w:tc>
      </w:tr>
      <w:tr w:rsidR="00045C70" w:rsidRPr="00045C70" w14:paraId="0D74BDD5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FB3E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об'єктом (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Llewellyn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1992;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Tufano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2003)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4D08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Продуктові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176D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CDS, CDO, ETF, BNPL,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стейблкоїни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88997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Зміна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балансу,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ради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директорів</w:t>
            </w:r>
            <w:proofErr w:type="spellEnd"/>
          </w:p>
        </w:tc>
      </w:tr>
      <w:tr w:rsidR="00045C70" w:rsidRPr="00045C70" w14:paraId="1B56E4A3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3460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3715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Процесні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DFB97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STP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RTGS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KYC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автоматизований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AML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DA360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Скорочення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операційних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вимоги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внутрішнього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контролю</w:t>
            </w:r>
          </w:p>
        </w:tc>
      </w:tr>
      <w:tr w:rsidR="00045C70" w:rsidRPr="00045C70" w14:paraId="49D6B117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E08F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BF8E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Інституційні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9714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Необанки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VC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DeFi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протоколи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краудфандинг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CC11E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Конкурентний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тиск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традиційні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бізнес-моделі</w:t>
            </w:r>
            <w:proofErr w:type="spellEnd"/>
          </w:p>
        </w:tc>
      </w:tr>
      <w:tr w:rsidR="00045C70" w:rsidRPr="00045C70" w14:paraId="21D008DD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549CB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CFEC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Ринкові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962FF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NASDAQ, ECN, DEX, P2P-майданчики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C031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канали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залучення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капіталу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ліквідності</w:t>
            </w:r>
            <w:proofErr w:type="spellEnd"/>
          </w:p>
        </w:tc>
      </w:tr>
      <w:tr w:rsidR="00045C70" w:rsidRPr="00045C70" w14:paraId="60635C6F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0C8E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ступенем новизни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57E56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Радикальні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7EBE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Bitcoin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M-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Pesa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смарт-контракти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Ethereum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F17D5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Вимагають переосмислення стратегічних моделей</w:t>
            </w:r>
          </w:p>
        </w:tc>
      </w:tr>
      <w:tr w:rsidR="00045C70" w:rsidRPr="00045C70" w14:paraId="4A053FED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DEDA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23B7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Інкрементальні</w:t>
            </w:r>
            <w:proofErr w:type="spellEnd"/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109D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Безконтактні карти, мобільний банкінг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4733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Оптимізація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наявних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процесів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керовані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ризики</w:t>
            </w:r>
            <w:proofErr w:type="spellEnd"/>
          </w:p>
        </w:tc>
      </w:tr>
      <w:tr w:rsidR="00045C70" w:rsidRPr="00045C70" w14:paraId="41EF2C2B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2485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E9C0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Комбінаторні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5AC7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Структуровані продукти, гібридні ETF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7045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Складний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ризик-профіль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посилені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вимоги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розкриття</w:t>
            </w:r>
            <w:proofErr w:type="spellEnd"/>
          </w:p>
        </w:tc>
      </w:tr>
      <w:tr w:rsidR="00045C70" w:rsidRPr="00045C70" w14:paraId="36C97CCD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7E32E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технологічною основою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4AEF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AI/ML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9707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Кредитний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скоринг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AML,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chatbots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robo-advisors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CF96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governance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Ethics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</w:t>
            </w:r>
            <w:proofErr w:type="spellEnd"/>
          </w:p>
        </w:tc>
      </w:tr>
      <w:tr w:rsidR="00045C70" w:rsidRPr="00045C70" w14:paraId="439B2F2F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592C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C88A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Blockchain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/DLT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3368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Bitcoin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смарт-контракти, CBDC,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токенізація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F93F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підходи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прозорості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settlement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ризику</w:t>
            </w:r>
            <w:proofErr w:type="spellEnd"/>
          </w:p>
        </w:tc>
      </w:tr>
      <w:tr w:rsidR="00045C70" w:rsidRPr="00045C70" w14:paraId="6DD32086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E057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4E64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Cloud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SaaS</w:t>
            </w:r>
            <w:proofErr w:type="spellEnd"/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92D3C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Mambu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Thought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Machine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497D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DORA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28–30: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концентраційний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провайдерів</w:t>
            </w:r>
            <w:proofErr w:type="spellEnd"/>
          </w:p>
        </w:tc>
      </w:tr>
      <w:tr w:rsidR="00045C70" w:rsidRPr="00045C70" w14:paraId="24453431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39EB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3C3A2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API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EDC8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PSD2/PSD3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banking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FIDA</w:t>
            </w:r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001E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TPP</w:t>
            </w: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-доступ: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нові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ризики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управління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згодами</w:t>
            </w:r>
            <w:proofErr w:type="spellEnd"/>
          </w:p>
        </w:tc>
      </w:tr>
      <w:tr w:rsidR="00045C70" w:rsidRPr="00045C70" w14:paraId="7AF49662" w14:textId="77777777" w:rsidTr="00522D3D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FF44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сферою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BDFC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LendTech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WealthTech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InsurTech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ESG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58D4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Pay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P2P-кредит,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Betterment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Lemonade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bonds</w:t>
            </w:r>
            <w:proofErr w:type="spellEnd"/>
          </w:p>
        </w:tc>
        <w:tc>
          <w:tcPr>
            <w:tcW w:w="2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A5D9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Галузева диверсифікація управлінських викликів</w:t>
            </w:r>
          </w:p>
        </w:tc>
      </w:tr>
    </w:tbl>
    <w:p w14:paraId="14FC609B" w14:textId="245B1000" w:rsidR="00045C70" w:rsidRPr="00DA542D" w:rsidRDefault="00045C70" w:rsidP="00045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Джерело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складено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автором на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основі</w:t>
      </w:r>
      <w:proofErr w:type="spellEnd"/>
      <w:r w:rsidR="00264EC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264EC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джерел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3B19B66C" w14:textId="0AF49638" w:rsidR="00045C70" w:rsidRPr="00DA542D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класифікаційної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матриці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технологічно-процесними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технологічно-продуктовими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продуктом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proofErr w:type="gram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генерує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унеможливлює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уніфікований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диференційованого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По-третє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невід'ємною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хмарні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прямо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регламентуються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3/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PSR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задає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комплаєнс-логіку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кожного типу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65F6BC" w14:textId="56B89AB0" w:rsidR="00045C70" w:rsidRPr="00F14E6C" w:rsidRDefault="00045C70" w:rsidP="00045C70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3" w:name="_Toc232422664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1.3.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Корпоративне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контексті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цифрової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трансформації</w:t>
      </w:r>
      <w:bookmarkEnd w:id="3"/>
      <w:proofErr w:type="spellEnd"/>
    </w:p>
    <w:p w14:paraId="12B788C7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фінансово-економічної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еволюціонувало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феномену проходить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стадій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додає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базового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конструкту.</w:t>
      </w:r>
    </w:p>
    <w:p w14:paraId="26070526" w14:textId="08B81C26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Канонічне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Michael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Jensen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William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Meckling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Firm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Managerial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Behavior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Agency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Costs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Ownership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Structure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3(4), 1976,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305–360).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Фірму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nexus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contracts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вузол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виокремили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принципала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гарантування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агента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менеджерів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залишкові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збитки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недосконалого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вирівнювання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45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Fama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Jensen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(1983)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розширили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підкресливши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ради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ratification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ринку корпоративного контролю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дисциплінуючого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5D47E3" w14:textId="5403740F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альтернативну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логіку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Edward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Freeman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Strategic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Stakeholder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Approach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(1984): менеджмент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зацікавлених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постачальників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стейкхолдерська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коло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стейкхолдерів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розширюється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TPP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третіх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сторін-постачальників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алгоритмічних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кібербезпеку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етику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39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Freeman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концептуально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лежить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парадигми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Глави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739BBB6F" w14:textId="10999F4D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орієнтиром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глобального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слугують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20/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Перша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1999 року задала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канонічну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структуру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права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рівноправне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роль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зацікавлених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розкриття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2004 року,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гучних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скандалів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Enron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WorldCom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аудиту.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2015 року,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схвалена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20, додала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виміри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набувши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Standard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FSB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редакція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року,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Радою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червня 2023 р.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схвалена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20 у Нью-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9–10 вересня 2023 р.,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запровадила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Главу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VI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інкорпорувала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главу про роль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зацікавлених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додала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детальні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-рейтинг-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провайдерів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proxy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advisors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рамки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віртуальних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Ця Принципи охоплюють 53 юрисдикції-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адгеренти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(95% глобальної ринкової капіталізації), що надає їм практично універсального значення.</w:t>
      </w:r>
    </w:p>
    <w:p w14:paraId="387287C9" w14:textId="47F4A8C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Функціональна архітектура корпоративного управління банків включає сім ключових компонентів: стратегічне керівництво (наглядова рада); внутрішня система контролю на основі «трьох ліній захисту»; ризик-менеджмент (CRO, Комітет з ризиків);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комплаєнс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і AML/CFT; внутрішній аудит; звітність і розкриття інформації; управління винагородою та корпоративною культурою. Ця архітектура відповідає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Banks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» (2015) та EBA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Guidelines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Internal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В українському контексті вона закріплена Постановами НБУ №64 від 11.06.2018 та №88 від 02.07.2019, що зобов'язують банки дотримуватися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трирівневої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системи контролю та призначати посади CRO і CCO з підпорядкуванням наглядовій раді [</w:t>
      </w:r>
      <w:r w:rsidR="00264EC3">
        <w:rPr>
          <w:rFonts w:ascii="Times New Roman" w:eastAsia="Times New Roman" w:hAnsi="Times New Roman" w:cs="Times New Roman"/>
          <w:sz w:val="28"/>
          <w:szCs w:val="28"/>
        </w:rPr>
        <w:t>8, 9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1CD00A9B" w14:textId="733A4071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>Цифрова трансформація суттєво ускладнює зазначену функціональну архітектуру, додаючи нові виміри. Концепт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4.0» або IT-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як складова загального корпоративного управління охоплює чотири взаємопов'язані підсистеми: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кібербезпекову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(DORA з 17.01.2025, NIS2); управління AI-рішеннями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oversight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over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decisions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EU AI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); управління даними (GDPR, FIDA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Access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); управління ризиками хмарних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третьосторонніх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провайдерів (DORA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. 28–30, EBA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Guidelines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Outsourcing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2019, ECB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Guide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Outsourcing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2025). Кожна з цих підсистем вимагає спеціалізованих комітетів на рівні ради, відповідних компетенцій у складі ради та нових механізмів розкриття інформації.</w:t>
      </w:r>
    </w:p>
    <w:p w14:paraId="743394F4" w14:textId="44ECDD06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OECD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Factbook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2023 фіксує, що у половині з проаналізованих юрисдикцій ради директорів мають офіційний мандат затверджувати ESG-стратегії. За оцінкою OECD, інституційні інвестори утримують 44% глобальної ринкової капіталізації (близько 31 000 публічних компаній на 100 ринках), що суттєво посилює значення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stewardship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-кодексів у корпоративному управлінні.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70%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юрисдикцій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реалізували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2021–2022 роках,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нерівномірним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10696139" w14:textId="2CA9BF1F" w:rsidR="00045C70" w:rsidRPr="00DA542D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посилюється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трьома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паралельними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finalization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»), де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дата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output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floor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(72,5%)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1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2028 р.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п'ятирічним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period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-менеджменту,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2022/2554),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набрав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22 000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ЄС, вводить комплекс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-менеджменту,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третіх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19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провайдерів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>AWS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Microsoft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Azure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critical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» 18 листопада 2025 р.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По-третє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3/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PSR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Парламент та Рада ЄС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угоди 27 листопада 2025 р.,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переформатують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ландшафт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банками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-платформами в ЄС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15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2A89E705" w14:textId="485E2F30" w:rsidR="00045C70" w:rsidRPr="008221BB" w:rsidRDefault="00045C70" w:rsidP="00045C70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4" w:name="_Toc232422665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1.4. </w:t>
      </w:r>
      <w:proofErr w:type="spellStart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Взаємозв'язок</w:t>
      </w:r>
      <w:proofErr w:type="spellEnd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фінансових</w:t>
      </w:r>
      <w:proofErr w:type="spellEnd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інновацій</w:t>
      </w:r>
      <w:proofErr w:type="spellEnd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та корпоративного </w:t>
      </w:r>
      <w:proofErr w:type="spellStart"/>
      <w:r w:rsidRPr="008221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управління</w:t>
      </w:r>
      <w:bookmarkEnd w:id="4"/>
      <w:proofErr w:type="spellEnd"/>
    </w:p>
    <w:p w14:paraId="077070BA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вихід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простої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констатації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чіткої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каузальних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Пропонуємо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взаємозв'язок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канали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генерує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FA1551A" w14:textId="19AD8514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Перший канал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RPA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хмарних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принципала: реального часу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транзакційний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автоматизований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аудит,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роблять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прозорішими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затратними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(2016)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показали,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асоційовані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агресивнішим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вищим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апріорі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балансу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потенційними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агентськими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вигодами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64EC3" w:rsidRP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[23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Водночас впровадження AI-систем породжує нові форми агентської проблеми: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(похибки алгоритмічних рішень),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та непрозорість «чорних ящиків» вимагають спеціалізованих механізмів нагляду і незалежної верифікації моделей.</w:t>
      </w:r>
    </w:p>
    <w:p w14:paraId="6B4AB5DD" w14:textId="7249705A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симетрія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DLT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reporting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базі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XBRL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інформаційний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ландшафт: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chain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disclosure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уможливлює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верифікацію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транзакцій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посередників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автоматизована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маніпуляцій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Практика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SupTech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банках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market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surveillance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automated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prudential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collection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переорієнтацію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ретроспективного до превентивного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через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2/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і Постанову НБУ №80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25.07.2025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згодами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клієнтів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генерує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витоку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несанкціонованого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доступу.</w:t>
      </w:r>
    </w:p>
    <w:p w14:paraId="2C2FBD06" w14:textId="62E67BA1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-менеджмент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driven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credit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scoring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predictive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система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безперервного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ризик-управління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цифровізація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породжує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кіберризик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third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party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concentration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28–30);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DeFi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stablecoin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монетарної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operational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NIS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британських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CISO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Censuswide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Orange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Cyberdefense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січень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р.) показали,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43%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встигли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дедлайну 17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 w:rsidRP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3E734BA6" w14:textId="5594EEF3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Четвертий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стейкхолдерами у цифровому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канали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Factbook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фіксує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у переважній більшості юрисдикцій існували правила або рекомендації щодо віртуальних та/або гібридних зборів акціонерів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»),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disclosure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retail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investor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activism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голосуючі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сервіси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суттєво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корпорацією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стейкхолдерами.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DeFi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токенізація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роздрібних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інвесторів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корпоративному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непрозорими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механізмами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регуляторного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E38DA9" w14:textId="3F94BE88" w:rsidR="00045C70" w:rsidRPr="00DA542D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Синтезуючи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зазначені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канали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двонаправлений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одного боку,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контроль,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-менеджмент,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розкриття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боку,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сторона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доступ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«темна»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фрагільність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стейкхолдерів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Сильне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є, таким чином,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не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умовою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BE6136" w14:textId="77777777" w:rsidR="00045C70" w:rsidRPr="00045C70" w:rsidRDefault="00045C70" w:rsidP="008221BB">
      <w:pPr>
        <w:spacing w:before="120" w:after="8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Таблиця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1.3 –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Вплив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ключових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функції</w:t>
      </w:r>
      <w:proofErr w:type="spellEnd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0"/>
          <w:szCs w:val="20"/>
          <w:lang w:val="ru-RU"/>
        </w:rPr>
        <w:t>управління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640"/>
        <w:gridCol w:w="1479"/>
        <w:gridCol w:w="1543"/>
        <w:gridCol w:w="1547"/>
        <w:gridCol w:w="1538"/>
      </w:tblGrid>
      <w:tr w:rsidR="00045C70" w:rsidRPr="00045C70" w14:paraId="2F030469" w14:textId="77777777" w:rsidTr="00522D3D">
        <w:trPr>
          <w:tblHeader/>
        </w:trPr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A4462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Фінансова інновація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3676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Стратегія та рада директорів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1FD1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Ризик-менеджмент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6015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Внутрішній контроль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D443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Звітність і розкриття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F9A6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Ключова регуляторна рамка</w:t>
            </w:r>
          </w:p>
        </w:tc>
      </w:tr>
      <w:tr w:rsidR="00045C70" w:rsidRPr="00045C70" w14:paraId="46AAF41C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D035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AI/ML кредитний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скоринг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505B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Зміна бізнес-моделі; потреба в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Ethics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B99F7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algorithmic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bias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76B7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Незалежна верифікація моделей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2F99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Вимоги до прозорості алгоритмів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3E00A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EU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EBA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guidelines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AI</w:t>
            </w:r>
          </w:p>
        </w:tc>
      </w:tr>
      <w:tr w:rsidR="00045C70" w:rsidRPr="00045C70" w14:paraId="312191AE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3A4E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Blockchain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/DLT, смарт-контракти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AC7E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Токенізація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активів;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crypto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-стратегія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3BE6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Smart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settlement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CA5A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formal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BB38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On-chain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disclosure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MiCA</w:t>
            </w:r>
            <w:proofErr w:type="spell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36DA2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MiCA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FATF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16 (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Travel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Rule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45C70" w:rsidRPr="00045C70" w14:paraId="6F702A5B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E920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Cloud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SaaS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5243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Vendor-dependency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стратегія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9BD7D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Concentration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ICT-провайдерів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4C00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DORA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28–30;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exit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planning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7B3B8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ESMA/EBA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registers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критичних провайдерів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6784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DORA (EU 2022/2554)</w:t>
            </w:r>
          </w:p>
        </w:tc>
      </w:tr>
      <w:tr w:rsidR="00045C70" w:rsidRPr="00045C70" w14:paraId="7A9EEF26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5CF9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Banking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API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A526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Платформна стратегія; TPP-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77B1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leakage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AISP-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fraud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9835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API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monitoring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BF4DC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PSD3/PSR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dashboards</w:t>
            </w:r>
            <w:proofErr w:type="spell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6E01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PSD3/PSR; GDPR; FIDA</w:t>
            </w:r>
          </w:p>
        </w:tc>
      </w:tr>
      <w:tr w:rsidR="00045C70" w:rsidRPr="00045C70" w14:paraId="4F15C16C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97220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CBDC-інтеграція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C1011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Resilience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disintermediation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118D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монетарний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spillover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3DB6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Settlement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monitoring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6028C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Пруденційна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звітність НБУ/ЄЦБ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6C8ACE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BIS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Papers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національне законодавство</w:t>
            </w:r>
          </w:p>
        </w:tc>
      </w:tr>
      <w:tr w:rsidR="00045C70" w:rsidRPr="00045C70" w14:paraId="42A6979B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A3C1B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Generative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AI (LLM)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0928D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Cost-to-serve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революція;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Charter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9314A5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Hallucination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IP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BEDA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Human-in-the-loop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процедури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93FA3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EU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categories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B48DA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EU AI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EBA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GenAI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guidelines</w:t>
            </w:r>
            <w:proofErr w:type="spellEnd"/>
          </w:p>
        </w:tc>
      </w:tr>
      <w:tr w:rsidR="00045C70" w:rsidRPr="00045C70" w14:paraId="5AFEF636" w14:textId="77777777" w:rsidTr="00522D3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2E8EF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ESG-фінансування (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bonds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EC136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Sustainability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strategy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approval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70AC9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Greenwashing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risk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F5968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ESG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assurance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9C0317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CSRD; ESRS; TCFD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F91F4" w14:textId="77777777" w:rsidR="00045C70" w:rsidRPr="00045C70" w:rsidRDefault="00045C70" w:rsidP="00045C7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OECD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Principles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proofErr w:type="spellEnd"/>
            <w:r w:rsidRPr="0004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VI; CSRD</w:t>
            </w:r>
          </w:p>
        </w:tc>
      </w:tr>
    </w:tbl>
    <w:p w14:paraId="461923FE" w14:textId="7AFD1D1B" w:rsidR="00045C70" w:rsidRPr="00045C70" w:rsidRDefault="00045C70" w:rsidP="00045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Джерело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складено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автором на </w:t>
      </w:r>
      <w:proofErr w:type="spellStart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основі</w:t>
      </w:r>
      <w:proofErr w:type="spellEnd"/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264EC3"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</w:t>
      </w:r>
      <w:r w:rsidRPr="00045C70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.</w:t>
      </w:r>
    </w:p>
    <w:p w14:paraId="4D86AEFA" w14:textId="6388AFBC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корпоративного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№1591-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IX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(набрав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 р.),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гармонізує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і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>EMD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Закон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постачальників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Payment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Initiation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Services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НБУ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sandbox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тестування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запроваджений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Постановою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Правління НБУ №80 від 25.07.2025, що набула чинності з 1 серпня 2025 р. [2].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схвалена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29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р.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26 червня 2025 р.,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104 заходи, 77%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станом на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графіком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завершено 12 з 104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розвиватимуться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найближчі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роки.</w:t>
      </w:r>
    </w:p>
    <w:p w14:paraId="137373B7" w14:textId="34632F5A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Дослідження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Cevik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(2024)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Dark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Side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Stability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 додає важливе застереження: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-бум знижує фінансову стабільність передусім у країнах зі слабшим регуляторним каркасом [2</w:t>
      </w:r>
      <w:r w:rsidR="00264E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]. Це є суттєвим аргументом на користь пріоритетного вдосконалення корпоративного управління і регуляторної рамки в Україні паралельно з розвитком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-ринку: в іншому разі «темна сторона» фінансових інновацій може домінувати над «яскравою».</w:t>
      </w:r>
    </w:p>
    <w:p w14:paraId="4F2AFB1C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Проведений теоретико-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методологічний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EF053E3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шумпетеріанської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(1934)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моделей «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темного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боків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(2016)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змогу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констатувати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пройшла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дескриптивних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операціоналізованих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Авторське визначення, запропоноване в підрозділі 1.1, інтегрує технологічний, регуляторний та управлінський виміри, що дозволяє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операціоналізувати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поняття «фінансові інновації» стосовно специфічних завдань цього дослідження.</w:t>
      </w:r>
    </w:p>
    <w:p w14:paraId="24CF08D4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По-друге, класифікаційна матриця, розроблена в підрозділі 1.2, демонструє, що сучасні фінансові інновації є переважно технологічно-процесними або технологічно-продуктовими, і кожна їхня категорія генерує специфічні вимоги до функцій корпоративного управління. Це виключає можливість «одновимірного» підходу до управлінської відповіді на фінансові інновації і вимагає диференційованого, ризик-орієнтованого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926CEE" w14:textId="77777777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По-третє, аналіз теорій корпоративного управління в підрозділі 1.3 виявив, що цифрова трансформація одночасно підтверджує і розширює класичні агентську та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стейкхолдерську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теорії. Зокрема, AI-системи породжують нові форми агентської проблеми (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), що вимагають адаптації механізмів моніторингу і контролю; а OECD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2023 розширюють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стейкхолдерське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коло за рахунок нових цифрових суб'єктів і ESG-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69BDFA" w14:textId="1408A820" w:rsidR="00045C70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По-четверте, чотириканальна модель взаємозв'язку фінансових інновацій і корпоративного управління (підрозділ 1.4) показує, що цей взаємозв'язок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двонаправленим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і нелінійним: фінансові інновації трансформують функції корпоративного управління, тоді як якість корпоративного управління визначає, яка сторона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яскрава чи темна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домінуватиме у результатах інноваційного процесу.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теоретичне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центральним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</w:t>
      </w:r>
    </w:p>
    <w:p w14:paraId="7A7B7DA1" w14:textId="0E3364CF" w:rsidR="0087748C" w:rsidRPr="00045C70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По-п'яте, аналіз регуляторного середовища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DORA (набрав чинності 17.01.2025), PSD3/PSR (політична угода 27.11.2025), OECD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2023,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III-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</w:rPr>
        <w:t>finalization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, а в Україні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Закон №1591-IX та Постанова НБУ №80/2025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t xml:space="preserve"> свідчить про формування принципово нового регуляторного ландшафту, де фінансові інновації та корпоративне управління стають взаємозумовленими </w:t>
      </w:r>
      <w:r w:rsidRPr="00045C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об'єктами нагляду.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ландшафту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аналітичного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045C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</w:t>
      </w:r>
      <w:r w:rsidR="0087748C" w:rsidRPr="00045C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br w:type="page"/>
      </w:r>
    </w:p>
    <w:p w14:paraId="659FAB2A" w14:textId="7DDDDC0F" w:rsidR="00A85539" w:rsidRPr="001F0789" w:rsidRDefault="00A85539" w:rsidP="008221BB">
      <w:pPr>
        <w:pStyle w:val="1"/>
        <w:rPr>
          <w:lang w:val="ru-RU"/>
        </w:rPr>
      </w:pPr>
      <w:bookmarkStart w:id="5" w:name="_Toc232422666"/>
      <w:r w:rsidRPr="00F14E6C">
        <w:rPr>
          <w:rFonts w:eastAsia="Times New Roman" w:cs="Times New Roman"/>
          <w:bCs/>
          <w:sz w:val="28"/>
          <w:szCs w:val="28"/>
          <w:lang w:val="ru-RU"/>
        </w:rPr>
        <w:lastRenderedPageBreak/>
        <w:t>РОЗДІЛ 2</w:t>
      </w:r>
      <w:r w:rsidR="00F14E6C" w:rsidRPr="00F14E6C">
        <w:rPr>
          <w:lang w:val="ru-RU"/>
        </w:rPr>
        <w:t xml:space="preserve">. </w:t>
      </w:r>
      <w:r w:rsidRPr="00F14E6C">
        <w:rPr>
          <w:rFonts w:eastAsia="Times New Roman" w:cs="Times New Roman"/>
          <w:bCs/>
          <w:sz w:val="28"/>
          <w:szCs w:val="28"/>
          <w:lang w:val="ru-RU"/>
        </w:rPr>
        <w:t>АНАЛІЗ СУЧАСНИХ ФІНАНСОВИХ ІННОВАЦІЙ У КОРПОРАТИВНОМУ УПРАВЛІННІ НА ГЛОБАЛЬНОМУ ФІНАНСОВОМУ РИНКУ</w:t>
      </w:r>
      <w:bookmarkEnd w:id="5"/>
    </w:p>
    <w:p w14:paraId="0BC5A63D" w14:textId="2F0C1712" w:rsidR="00A85539" w:rsidRPr="008221BB" w:rsidRDefault="00A85539" w:rsidP="008221BB">
      <w:pPr>
        <w:pStyle w:val="2"/>
        <w:spacing w:line="360" w:lineRule="auto"/>
        <w:rPr>
          <w:color w:val="000000" w:themeColor="text1"/>
          <w:lang w:val="ru-RU"/>
        </w:rPr>
      </w:pPr>
      <w:bookmarkStart w:id="6" w:name="_Toc232422667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2.1.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Глобальні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тенденції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ринку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фінансових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інновацій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(2020–2025)</w:t>
      </w:r>
      <w:bookmarkEnd w:id="6"/>
    </w:p>
    <w:p w14:paraId="388717B3" w14:textId="722F37D4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2020–2025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пройшов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Перший (2020–2021)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ознаменувався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безпрецедентним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прискоренням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пандемія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COVID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-19 стала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каталізатором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цифровізації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оцінкою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впровадження цифрових каналів прискорилось на 7 років відносно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до'пандемійних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трендів </w:t>
      </w:r>
      <w:r w:rsidR="00264EC3" w:rsidRPr="00264EC3">
        <w:rPr>
          <w:rFonts w:ascii="Times New Roman" w:eastAsia="Times New Roman" w:hAnsi="Times New Roman" w:cs="Times New Roman"/>
          <w:sz w:val="28"/>
          <w:szCs w:val="28"/>
          <w:lang w:val="ru-RU"/>
        </w:rPr>
        <w:t>[58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(2022–2025)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характеризується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нормалізацією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дозріванням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перейшов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будь-яку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до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прибутковості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1A507F1" w14:textId="6923D4FA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KPMG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Pulse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2 2024,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склали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95,6 млрд дол. США через 4 639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найнижчий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2017 р. [</w:t>
      </w:r>
      <w:r w:rsidR="00264EC3" w:rsidRPr="009023FB">
        <w:rPr>
          <w:rFonts w:ascii="Times New Roman" w:eastAsia="Times New Roman" w:hAnsi="Times New Roman" w:cs="Times New Roman"/>
          <w:sz w:val="28"/>
          <w:szCs w:val="28"/>
          <w:lang w:val="ru-RU"/>
        </w:rPr>
        <w:t>47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цифра, попри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видимий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контраст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рекордними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238,9 млрд дол. у 2021 р., не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деградації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р. є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показовою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2024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становив 18 млрд дол., то у 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2024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25,9 млрд дол.,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інвестиційного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апетиту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Паралельно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Chapter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(червень 2025)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констатує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69%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прибутковими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р., доходи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зросли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21%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2023 р., а </w:t>
      </w:r>
      <w:r>
        <w:rPr>
          <w:rFonts w:ascii="Times New Roman" w:eastAsia="Times New Roman" w:hAnsi="Times New Roman" w:cs="Times New Roman"/>
          <w:sz w:val="28"/>
          <w:szCs w:val="28"/>
        </w:rPr>
        <w:t>EBITDA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-маржа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підвищилась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12% до 16%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4A1F0A12" w14:textId="74BA813D" w:rsidR="00A85539" w:rsidRPr="001F0789" w:rsidRDefault="00A85539" w:rsidP="008221BB">
      <w:pPr>
        <w:spacing w:line="360" w:lineRule="auto"/>
        <w:ind w:firstLine="720"/>
        <w:jc w:val="both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Географічна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демонструє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домінування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американського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ринку: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Americas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акумулював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63,8 млрд дол. у 2 267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угодах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(66,7% глобального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США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50,7 млрд дол. 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(1 836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EMEA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залучив 20,3 млрд дол. у 1 465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угодах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(21,2%), при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Британія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показала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рекордні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7,97 млрд дол. </w:t>
      </w:r>
      <w:r>
        <w:rPr>
          <w:rFonts w:ascii="Times New Roman" w:eastAsia="Times New Roman" w:hAnsi="Times New Roman" w:cs="Times New Roman"/>
          <w:sz w:val="28"/>
          <w:szCs w:val="28"/>
        </w:rPr>
        <w:t>ASPAC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11,4 млрд дол. у 896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угодах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(11,9%)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  <w:lang w:val="ru-RU"/>
        </w:rPr>
        <w:t>47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Примітно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Канада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зафіксувала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рекордні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9,5 млрд дол.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buyout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Nuvei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6,3 млрд дол.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підтвердження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тренду на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зрілість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ринку.</w:t>
      </w:r>
    </w:p>
    <w:p w14:paraId="23D22324" w14:textId="77777777" w:rsidR="00A85539" w:rsidRDefault="00A85539" w:rsidP="00A85539">
      <w:pPr>
        <w:spacing w:before="120" w:after="80" w:line="300" w:lineRule="auto"/>
        <w:jc w:val="center"/>
      </w:pP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Таблиця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2.1 –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Динаміка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глобальних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інвестицій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за сегментами, 2023–2024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рр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(млрд </w:t>
      </w:r>
      <w:proofErr w:type="spellStart"/>
      <w:r>
        <w:rPr>
          <w:rFonts w:ascii="Times New Roman" w:eastAsia="Times New Roman" w:hAnsi="Times New Roman" w:cs="Times New Roman"/>
        </w:rPr>
        <w:t>дол</w:t>
      </w:r>
      <w:proofErr w:type="spellEnd"/>
      <w:r>
        <w:rPr>
          <w:rFonts w:ascii="Times New Roman" w:eastAsia="Times New Roman" w:hAnsi="Times New Roman" w:cs="Times New Roman"/>
        </w:rPr>
        <w:t>. США)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720"/>
        <w:gridCol w:w="1720"/>
        <w:gridCol w:w="1720"/>
        <w:gridCol w:w="2000"/>
      </w:tblGrid>
      <w:tr w:rsidR="00A85539" w14:paraId="3744C88D" w14:textId="77777777" w:rsidTr="00522D3D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9AE44F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Сегмент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35887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2023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FED1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2024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7018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Δ, 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02ECD8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Ключові угоди 2024</w:t>
            </w:r>
          </w:p>
        </w:tc>
      </w:tr>
      <w:tr w:rsidR="00A85539" w14:paraId="31C3B9C2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E97E5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Payments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621C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9C2BA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31,0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603CB3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+80%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584C8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Worldpay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buyout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($12,5 млрд),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Nuvei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($6,3 млрд)</w:t>
            </w:r>
          </w:p>
        </w:tc>
      </w:tr>
      <w:tr w:rsidR="00A85539" w14:paraId="316C0064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A1DCB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Assets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5D82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13119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9770A8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+5%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98E7C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Ripple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угоди</w:t>
            </w:r>
          </w:p>
        </w:tc>
      </w:tr>
      <w:tr w:rsidR="00A85539" w14:paraId="5869E925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7D1E6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RegTech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C28A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0DFD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926E2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+68%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580C5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DORA-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investments</w:t>
            </w:r>
            <w:proofErr w:type="spellEnd"/>
          </w:p>
        </w:tc>
      </w:tr>
      <w:tr w:rsidR="00A85539" w14:paraId="0DA63064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219B7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InsurTech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1633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6FCE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038C7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−62%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AEF97F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Відсутність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megadeals</w:t>
            </w:r>
            <w:proofErr w:type="spellEnd"/>
          </w:p>
        </w:tc>
      </w:tr>
      <w:tr w:rsidR="00A85539" w14:paraId="67C25D65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B2919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WealthTech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47A79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B5E5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FA033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+110%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F1A7E3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robo-advisory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platforms</w:t>
            </w:r>
            <w:proofErr w:type="spellEnd"/>
          </w:p>
        </w:tc>
      </w:tr>
      <w:tr w:rsidR="00A85539" w14:paraId="1D67F65A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5D2CB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48D2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9434E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0,89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7CB26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−36%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9330B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Консолідація великих гравців</w:t>
            </w:r>
          </w:p>
        </w:tc>
      </w:tr>
      <w:tr w:rsidR="00A85539" w14:paraId="5FE27129" w14:textId="77777777" w:rsidTr="00522D3D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2ADDE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4E8F4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9A12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8E83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−16%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41F1B5" w14:textId="77777777" w:rsidR="00A85539" w:rsidRDefault="00A85539" w:rsidP="00522D3D">
            <w:pPr>
              <w:spacing w:line="280" w:lineRule="auto"/>
            </w:pPr>
          </w:p>
        </w:tc>
      </w:tr>
    </w:tbl>
    <w:p w14:paraId="462D9B5F" w14:textId="77777777" w:rsidR="00264EC3" w:rsidRDefault="00264EC3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Джерело: складено автором на основі джерел</w:t>
      </w:r>
    </w:p>
    <w:p w14:paraId="0EC70295" w14:textId="402B6297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r w:rsidRPr="00264EC3">
        <w:rPr>
          <w:rFonts w:ascii="Times New Roman" w:eastAsia="Times New Roman" w:hAnsi="Times New Roman" w:cs="Times New Roman"/>
          <w:sz w:val="28"/>
          <w:szCs w:val="28"/>
        </w:rPr>
        <w:t xml:space="preserve">Сегментний аналіз розкриває суттєву диференціацію. </w:t>
      </w:r>
      <w:r w:rsidRPr="009023FB">
        <w:rPr>
          <w:rFonts w:ascii="Times New Roman" w:eastAsia="Times New Roman" w:hAnsi="Times New Roman" w:cs="Times New Roman"/>
          <w:sz w:val="28"/>
          <w:szCs w:val="28"/>
        </w:rPr>
        <w:t>Платіжні технології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PayTech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) зберегли позицію найбільшого сегменту з 31 млрд </w:t>
      </w:r>
      <w:proofErr w:type="spellStart"/>
      <w:r w:rsidRPr="009023FB"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 w:rsidRPr="009023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(+80% до 2023 р.),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підтверджуючи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тезу про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сучасній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екосистемі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продемонстрували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найдинамічніше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(+68%),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набранням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січні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MiCA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 системно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нарощують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автоматизацію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BABD43" w14:textId="3085EF0C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-«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юнікорнів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консолідацію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зрілого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2021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щоквартально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з'являлось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49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оцінкою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млрд дол., то у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2024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(</w:t>
      </w:r>
      <w:r>
        <w:rPr>
          <w:rFonts w:ascii="Times New Roman" w:eastAsia="Times New Roman" w:hAnsi="Times New Roman" w:cs="Times New Roman"/>
          <w:sz w:val="28"/>
          <w:szCs w:val="28"/>
        </w:rPr>
        <w:t>CB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Insights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юнікорнів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світі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326,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Stripe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(65 млрд дол.),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Revolut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(45 млрд дол.),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Chime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(25 млрд дол.)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капіталізація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досягла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рекордних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850 млрд дол.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», 2025) [</w:t>
      </w:r>
      <w:r w:rsidR="00895E78">
        <w:rPr>
          <w:rFonts w:ascii="Times New Roman" w:eastAsia="Times New Roman" w:hAnsi="Times New Roman" w:cs="Times New Roman"/>
          <w:sz w:val="28"/>
          <w:szCs w:val="28"/>
          <w:lang w:val="en-US"/>
        </w:rPr>
        <w:t>60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2DFB707C" w14:textId="23B099F7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Прогнозна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траєкторія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висхідною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QED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2023»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прогнозували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доходів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зі 245 млрд дол. (2022) до 1,5 трлн дол. до 2030 р. (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6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у 2025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прогноз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підтверджується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темпами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Доходи ринку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вбудованих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прогнозуються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320 млрд дол. до 2030 р., у т.ч. сегмент </w:t>
      </w:r>
      <w:r>
        <w:rPr>
          <w:rFonts w:ascii="Times New Roman" w:eastAsia="Times New Roman" w:hAnsi="Times New Roman" w:cs="Times New Roman"/>
          <w:sz w:val="28"/>
          <w:szCs w:val="28"/>
        </w:rPr>
        <w:t>SMB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150 млрд дол.</w:t>
      </w:r>
    </w:p>
    <w:p w14:paraId="221700EB" w14:textId="4D76F5E8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структурного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PEST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-регуляторному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2024–2025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визначальними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MiCA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2023/1114),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набрала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грудня 2024 р. як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єдиний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фреймворк ринку крипто-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ЄС;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2022/2554),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17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р.;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2024/1689),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набрав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р.,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-систем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фінансах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2026 р.;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Instant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Payments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набрав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р.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33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В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економічному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ставка ФРС США у 2023–2024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трималась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5,25–5,5%, ЄЦБ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знижував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ставку з 4,5% (початок 2024 р.) до 3,15% (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р.); </w:t>
      </w:r>
      <w:r>
        <w:rPr>
          <w:rFonts w:ascii="Times New Roman" w:eastAsia="Times New Roman" w:hAnsi="Times New Roman" w:cs="Times New Roman"/>
          <w:sz w:val="28"/>
          <w:szCs w:val="28"/>
        </w:rPr>
        <w:t>VC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впали на 18% у 2024 р.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соціальному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380 млн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користувачів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BNPL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 (прогноз 670 млн до 2028 р.)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свідчать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кредитного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технологічному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вимірі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98%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хмарні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іншій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Alliance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2024);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генеративний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перейшов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820EFD6" w14:textId="59B698EA" w:rsidR="00A85539" w:rsidRDefault="00A85539" w:rsidP="008221BB">
      <w:pPr>
        <w:spacing w:line="360" w:lineRule="auto"/>
        <w:ind w:firstLine="720"/>
        <w:jc w:val="both"/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сильних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слабких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SWOT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виявляє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суперечливість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теоретично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(2016) через парадокс «яскравого та темного боків». До сильних сторін належать: зниження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транзакційних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витрат, фінансова інклюзія (2 млрд дорослих у 2011 р. проти 1,4 млрд у 2021 р. без рахунку в банку,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цілодобовий доступ до послуг, персоналізація через AI, миттєвість розрахунків. Серед слабких сторін виокремлюються: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ризики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зазнав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DDoS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-атаки об'ємом 7,5 млрд запитів у серпні 2024 р.), концентраційний ризик у хмарній інфраструктурі (AWS, GCP,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Azure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охоплюють ~65% глобального ринку),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фрагментованість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токенізацію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(прогноз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 трлн дол. до 2030 р.) </w:t>
      </w: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(320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.). Загрозами є системні ризики (колапс FTX у 2022 р. знищив 32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ринкової вартості), регуляторні штрафи (до 35 млн євро за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геополітична фрагментація платіжних систем.</w:t>
      </w:r>
    </w:p>
    <w:p w14:paraId="7D31576C" w14:textId="57605FD0" w:rsidR="00A85539" w:rsidRPr="008221BB" w:rsidRDefault="00A85539" w:rsidP="008221BB">
      <w:pPr>
        <w:pStyle w:val="2"/>
        <w:spacing w:line="360" w:lineRule="auto"/>
        <w:rPr>
          <w:color w:val="000000" w:themeColor="text1"/>
          <w:lang w:val="ru-RU"/>
        </w:rPr>
      </w:pPr>
      <w:bookmarkStart w:id="7" w:name="_Toc232422668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 xml:space="preserve">2.2.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Цифрові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платіжні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системи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open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banking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як основа корпоративного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управління</w:t>
      </w:r>
      <w:bookmarkEnd w:id="7"/>
      <w:proofErr w:type="spellEnd"/>
    </w:p>
    <w:p w14:paraId="68F3B695" w14:textId="59B38110" w:rsidR="00A85539" w:rsidRPr="001F0789" w:rsidRDefault="00A85539" w:rsidP="00A85539">
      <w:pPr>
        <w:spacing w:line="360" w:lineRule="auto"/>
        <w:ind w:firstLine="720"/>
        <w:jc w:val="both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платіжні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зрілим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структурно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сегментом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-ринку. За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Payments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2025, доходи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платіжної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індустрії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досягнуть 2,4 трлн дол. до 2029 р. (</w:t>
      </w:r>
      <w:r>
        <w:rPr>
          <w:rFonts w:ascii="Times New Roman" w:eastAsia="Times New Roman" w:hAnsi="Times New Roman" w:cs="Times New Roman"/>
          <w:sz w:val="28"/>
          <w:szCs w:val="28"/>
        </w:rPr>
        <w:t>CAGR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23%),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робить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з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найшвидше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21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синергією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масштабуванням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миттєвих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платежів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розгортанням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банкінгу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ринку </w:t>
      </w:r>
      <w:r>
        <w:rPr>
          <w:rFonts w:ascii="Times New Roman" w:eastAsia="Times New Roman" w:hAnsi="Times New Roman" w:cs="Times New Roman"/>
          <w:sz w:val="28"/>
          <w:szCs w:val="28"/>
        </w:rPr>
        <w:t>BNPL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FCF2A36" w14:textId="11469D01" w:rsidR="00A85539" w:rsidRDefault="00A85539" w:rsidP="00264EC3">
      <w:pPr>
        <w:spacing w:line="360" w:lineRule="auto"/>
        <w:ind w:firstLine="720"/>
        <w:jc w:val="both"/>
      </w:pP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виразним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лідером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постсоціалістичних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безготівкових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платежів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банку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2024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частка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безготівкових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карткових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94,6%, а за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дев'ять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95,4%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65</w:t>
      </w:r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безготівкових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карткових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транзакцій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 </w:t>
      </w:r>
      <w:proofErr w:type="spellStart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досягла</w:t>
      </w:r>
      <w:proofErr w:type="spellEnd"/>
      <w:r w:rsidRPr="001F07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8 184,8 млн на суму 4 243,5 млрд грн.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Мережа платіжних терміналів зросла на 10,5%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496 600 пристроїв, 97,5% з яких підтримують безконтактну оплату. Кількість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карток збільшилась на 33%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16,5 млн. Для порівняння: у Польщі частка безготівкових платежів у роздрібній торгівлі становила 65% у 2023 р.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Cashless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Mastercard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а в Румунії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менш ніж 50%, що підкреслює унікальність українського прориву в умовах воєнного стану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59933C99" w14:textId="77777777" w:rsidR="00A85539" w:rsidRPr="001F0789" w:rsidRDefault="00A85539" w:rsidP="00A85539">
      <w:pPr>
        <w:spacing w:before="120" w:after="80" w:line="300" w:lineRule="auto"/>
        <w:jc w:val="center"/>
        <w:rPr>
          <w:lang w:val="ru-RU"/>
        </w:rPr>
      </w:pP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Таблиця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2.2 –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Динаміка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безготівкових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карткових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платежів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Україні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 xml:space="preserve">, 2022–2025 </w:t>
      </w:r>
      <w:proofErr w:type="spellStart"/>
      <w:r w:rsidRPr="001F0789">
        <w:rPr>
          <w:rFonts w:ascii="Times New Roman" w:eastAsia="Times New Roman" w:hAnsi="Times New Roman" w:cs="Times New Roman"/>
          <w:lang w:val="ru-RU"/>
        </w:rPr>
        <w:t>рр</w:t>
      </w:r>
      <w:proofErr w:type="spellEnd"/>
      <w:r w:rsidRPr="001F0789">
        <w:rPr>
          <w:rFonts w:ascii="Times New Roman" w:eastAsia="Times New Roman" w:hAnsi="Times New Roman" w:cs="Times New Roman"/>
          <w:lang w:val="ru-RU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920"/>
        <w:gridCol w:w="1920"/>
        <w:gridCol w:w="1920"/>
        <w:gridCol w:w="1920"/>
      </w:tblGrid>
      <w:tr w:rsidR="00A85539" w14:paraId="43E72FC5" w14:textId="77777777" w:rsidTr="00522D3D">
        <w:trPr>
          <w:tblHeader/>
        </w:trPr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889167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Показник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ECB67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2022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0DDDA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2023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FC12B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2024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67A30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9 міс. 2025</w:t>
            </w:r>
          </w:p>
        </w:tc>
      </w:tr>
      <w:tr w:rsidR="00A85539" w14:paraId="43ED1C50" w14:textId="77777777" w:rsidTr="00522D3D"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070AF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Безготівкові % (за кількістю)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8FB46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90,4%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9A50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93,5%*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D82F9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94,6%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6343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95,4%</w:t>
            </w:r>
          </w:p>
        </w:tc>
      </w:tr>
      <w:tr w:rsidR="00A85539" w14:paraId="7DE8BF7C" w14:textId="77777777" w:rsidTr="00522D3D"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3F1BD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безгот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операцій (млрд)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DE734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~5,5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BA65C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~7,2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9E38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8,18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B60AE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6,75</w:t>
            </w:r>
          </w:p>
        </w:tc>
      </w:tr>
      <w:tr w:rsidR="00A85539" w14:paraId="02E279CD" w14:textId="77777777" w:rsidTr="00522D3D"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6F4CD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POS-термінали (тис.)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EA46F2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~380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0900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~430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2156A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496,6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C584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н/д</w:t>
            </w:r>
          </w:p>
        </w:tc>
      </w:tr>
      <w:tr w:rsidR="00A85539" w14:paraId="01DC8C30" w14:textId="77777777" w:rsidTr="00522D3D"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676C30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Токенізовані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картки (млн)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E488E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~7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2354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~12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26F0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B67DE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18,6</w:t>
            </w:r>
          </w:p>
        </w:tc>
      </w:tr>
    </w:tbl>
    <w:p w14:paraId="463F906A" w14:textId="77777777" w:rsidR="00264EC3" w:rsidRDefault="00264EC3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Джерело: складено автором на основі джерел</w:t>
      </w:r>
    </w:p>
    <w:p w14:paraId="4FA7F157" w14:textId="725A29E6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Системи миттєвих платежів стають глобальним стандартом. У ЄС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 9 січня 2025 р.) зобов'язав усіх PSP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єврозони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приймати миттєві перекази у режимі 24/7/365, а з жовтня 2025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також відправляти. Бразильська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запущена у листопаді 2020 р., охопила 160+ млн зареєстрованих користувачів до 2024 р. Індійська UPI обробила рекордні 20,01 млрд транзакцій за серпень 2025 р. (NPCI), ставши найбільшою системою миттєвих платежів у світі. В Україні система СЕП (Система електронних платежів) НБУ функціонує у режимі 24/7 з 2018 р. та обслуговує понад 99% міжбанківських розрахунків.</w:t>
      </w:r>
    </w:p>
    <w:p w14:paraId="78E26C52" w14:textId="61F99846" w:rsidR="00A85539" w:rsidRDefault="00A85539" w:rsidP="00A85539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модель доступу третіх сторін (TPP) до клієнтських фінансових даних через відкриті API на основі згоди клієнта принципово змінює конкурентний ландшафт банківської індустрії. В ЄС після PSD2 (2018) зареєстровано понад 580 ліцензованих TPP; у Великій Британії активних користувачів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понад 11,7 млн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2024). В Україні відкритий банкінг запроваджений Постановою Правління НБУ №80 від 25 липня 2025 р., що набрала чинності 1 серпня 2025 р.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Банки-ASPSP зобов'язані привести діяльність у відповідність до 1 січня 2026 р. Третім сторонам (AISP/PISP) необхідна авторизація НБУ. Це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завершальний етап транспозиції PSD2 в Україну, передбачений Законом №1591-IX «Про платіжні послуги» (2021).</w:t>
      </w:r>
    </w:p>
    <w:p w14:paraId="21627E33" w14:textId="164AA633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Ринок BNPL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є одним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найдинамічніших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сегментів роздрібних фінансових інновацій. Глобальний GMV у 2024 р. становив 340–493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(різні методології оцінки) при 365–380 млн користувачів. Провідні гравці: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Klarna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2,81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виторгу (+24% рік до року), 100 млн активних користувачів, IPO у вересні 2025 р.;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Affirm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2,32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(+46%);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Afterpay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1,04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(+28%);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PayPal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33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обсягу (+21%) [</w:t>
      </w:r>
      <w:r w:rsidR="00895E78">
        <w:rPr>
          <w:rFonts w:ascii="Times New Roman" w:eastAsia="Times New Roman" w:hAnsi="Times New Roman" w:cs="Times New Roman"/>
          <w:sz w:val="28"/>
          <w:szCs w:val="28"/>
          <w:lang w:val="en-US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Регуляторна відповідь також еволюціонує: оновлена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Consumer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ЄС (CCD2) поширила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-вимоги на BNPL-кредити &lt;200 євро, зобов'язальна з листопада 2026 р.</w:t>
      </w:r>
    </w:p>
    <w:p w14:paraId="6B06228B" w14:textId="3FABD914" w:rsidR="00A85539" w:rsidRDefault="00A85539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Вплив платіжних інновацій на корпоративне управління банків проявляється через декілька прямих механізмів. По-перше, цифрова трансформація платіжного бізнесу вимагає суттєвого перегляду складу та компетенцій ради директорів: у провідних банках-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інноваторах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ради залучаються технологічні директори (CTO/CDO) або формуються окремі комітети з цифрової трансформації. По-друге,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третьосторонні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постачальники платіжних послуг (TPP) у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стають новою категорією ризику, управління якою регламентує DORA (ст. 28–30). По-третє, миттєвість платежів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кардинально змінюють ліквідність-менеджмент, що відбивається на роботі Комітету з управління активами та пасивами (ALCO). По-четверте, вимоги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рамках відкритого банкінгу формують нову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-функцію, що підзвітна безпосередньо Спостережній раді.</w:t>
      </w:r>
    </w:p>
    <w:p w14:paraId="6661B6F7" w14:textId="129D82B3" w:rsidR="00A85539" w:rsidRPr="00F14E6C" w:rsidRDefault="00A85539" w:rsidP="00DA542D">
      <w:pPr>
        <w:pStyle w:val="2"/>
        <w:spacing w:line="360" w:lineRule="auto"/>
        <w:rPr>
          <w:color w:val="000000" w:themeColor="text1"/>
        </w:rPr>
      </w:pPr>
      <w:bookmarkStart w:id="8" w:name="_Toc232422669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2.3.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Blockchain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смарт-контракти та AI у фінансовому управлінні</w:t>
      </w:r>
      <w:bookmarkEnd w:id="8"/>
    </w:p>
    <w:p w14:paraId="4DB5121F" w14:textId="05A2BBC0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distributed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ledger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(DLT), штучний інтелект та машинне навчання є структурно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трансформуючими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фінансової системи. Їхній вплив на корпоративне управління не обмежується операційними змінами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ці технології перебудовують саму логіку прийняття рішень, розподілу відповідальності та управління ризиками на рівні ради директорів банків.</w:t>
      </w:r>
    </w:p>
    <w:p w14:paraId="36851AC9" w14:textId="77777777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-технологій у фінансовому секторі демонструє вибухове зростання. За оцінкою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(2024), ринок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банківництві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фінансах склав 9,32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у 2023 р. і очікується зростання зі CAGR 65,8% до 2030 р. Провідними застосуваннями є: клірингові та розрахункові системи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JPMorgan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Broadridge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торгове фінансування (HSBC, Standard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Chartered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активів та смарт-контракти.</w:t>
      </w:r>
    </w:p>
    <w:p w14:paraId="2B615D99" w14:textId="4A68F97D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Центральні банківські цифрові валюти (CBDC) набули глобального масштабу.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Atlantic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CBDC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Tracker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(травень 2024), 137 країн (98% світового ВВП) активно досліджують CBDC; 41 пілотний проєкт, 3 повноцінних запуски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Dollar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Багами, JAM-DEX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Ямайка,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eNaira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Нігерія) [1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]. Китайський e-CNY охопив 260 млн цифрових гаманців у 25 містах. ЄЦБ завершив першу фазу проєкту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Preparation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жовтня 2025 р.) та розпочав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 Проєкт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mBridge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(BIS + центробанки Китаю, ОАЕ, Гонконгу, Таїланду, Саудівської Аравії) досяг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Minimum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Viable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листопаді 2024 р.</w:t>
      </w:r>
    </w:p>
    <w:p w14:paraId="5150827C" w14:textId="3D21ADA8" w:rsidR="00A85539" w:rsidRDefault="00A85539" w:rsidP="00A85539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Стейблкоїни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пройшли шлях від маргінального інструменту до системно значущого платіжного механізму. Капіталізація ринку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стейблкоїнів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перевищила 200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 грудні 2024 р. (USDT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139 млрд, USDC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41 млрд,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Ethena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 млрд)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За аналізом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Artemis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(2025), реальні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стейблкоїн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-платежі 2025 р. склали 390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із загального обсягу 35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транзакцій: B2B-розрахунки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226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(+733% рік до року), перекази та зарплати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прогнозує капіталізацію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стейблкоїнів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2–4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 2030 р. Регуляторна відповідь ЄС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EU 2023/1114), повністю чинна з 30 грудня 2024 р., запроваджує ліцензування та капітальні вимоги для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tokens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(EMT)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asset-referenced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tokens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(ART).</w:t>
      </w:r>
    </w:p>
    <w:p w14:paraId="18AAA8F7" w14:textId="1B9649A7" w:rsidR="00A85539" w:rsidRDefault="00A85539" w:rsidP="00A85539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реальних активів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Real-World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Assets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RWA) є наступним фундаментальним зсувом. Прогнози провідних аналітичних центрів суттєво різняться через відмінності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BCG/ADDX оцінюють ринок у 16,1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 2030 р. (включаючи реальну економіку),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1,9–4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(лише фінансові активи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стейблкоїнів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/CBDC),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Citi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GPS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4–5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Поточний стан ринку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близько 12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активного RWA-ринку (2025 р.), з яких 8–9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3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казначейські облігації США. Флагманами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BlackRock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BUIDL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(2,9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Franklin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OnChain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US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Money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(0,4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.). Важливі кейси корпоративного управління: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Santander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Iberclear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пілотує смарт-контракти для автоматичної виплати дивідендів (2023);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Broadridge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Santander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провели понад 200 000 акціонерних голосів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2021–2024 рр.</w:t>
      </w:r>
    </w:p>
    <w:p w14:paraId="11262800" w14:textId="6F06A2EF" w:rsidR="00A85539" w:rsidRDefault="00A85539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Витрати фінансових установ на AI є рекордними.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Statista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/IDC (2024), глобальні AI-витрати фінансового сектору перевищили 40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із прогнозом зростання до 130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до 2030 р. (CAGR 32,6%).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JPMorgan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встановив технологічний бюджет у 17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2024 р. (+1,5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рік до року), з яких суттєва частка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AI/ML-ініціативи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Investor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 травня 2024 р.) [4</w:t>
      </w:r>
      <w:r w:rsidR="00895E78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7FD9303C" w14:textId="77777777" w:rsidR="00A85539" w:rsidRDefault="00A85539" w:rsidP="00A85539">
      <w:pPr>
        <w:spacing w:before="120" w:after="80" w:line="300" w:lineRule="auto"/>
        <w:jc w:val="center"/>
      </w:pPr>
      <w:r>
        <w:rPr>
          <w:rFonts w:ascii="Times New Roman" w:eastAsia="Times New Roman" w:hAnsi="Times New Roman" w:cs="Times New Roman"/>
        </w:rPr>
        <w:lastRenderedPageBreak/>
        <w:t>Таблиця 2.3 – Порівняльний аналіз кейсів впровадження AI у корпоративне управління банків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000"/>
        <w:gridCol w:w="2400"/>
        <w:gridCol w:w="1800"/>
        <w:gridCol w:w="1600"/>
      </w:tblGrid>
      <w:tr w:rsidR="00A85539" w14:paraId="28965FFE" w14:textId="77777777" w:rsidTr="00522D3D">
        <w:trPr>
          <w:tblHeader/>
        </w:trPr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1C5C64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Банк / установа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14610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AI-продукт / проєкт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9B691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Результат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9DC1F4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Вплив на CG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668FC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Джерело</w:t>
            </w:r>
          </w:p>
        </w:tc>
      </w:tr>
      <w:tr w:rsidR="00A85539" w14:paraId="477C53CB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D61F3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JPMorgan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(США)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3767A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Intelligence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2017)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4FFEF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12 000 угод/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заміщення 360 000 год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роботи/рік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B56F5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рівні Ради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3B465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Investor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2024</w:t>
            </w:r>
          </w:p>
        </w:tc>
      </w:tr>
      <w:tr w:rsidR="00A85539" w14:paraId="00475B46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76911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JPMorgan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(США)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66E3E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LLM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(2024)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701BCA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200 000 співробітників-користувачів;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IndexGPT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6D100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Charter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CDO у складі Ради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CC4D0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Investor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2024</w:t>
            </w:r>
          </w:p>
        </w:tc>
      </w:tr>
      <w:tr w:rsidR="00A85539" w14:paraId="0A3402F6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53BB6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HSBC (Велика Британія)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08033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AI AML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Quantexa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з 2020)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52E68A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Зниження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false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positives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60%; швидкість розслідувань ×3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316F2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CRO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42173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HSBC AR 2024</w:t>
            </w:r>
          </w:p>
        </w:tc>
      </w:tr>
      <w:tr w:rsidR="00A85539" w14:paraId="122E5979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2441A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Goldman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Sachs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(США)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B5DC8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GS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(10 000+ юзерів, 2024)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A98E4F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Прискорення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code-review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summarization</w:t>
            </w:r>
            <w:proofErr w:type="spellEnd"/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53F91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Внутрішній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Ethics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Board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499D5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Strategy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2025</w:t>
            </w:r>
          </w:p>
        </w:tc>
      </w:tr>
      <w:tr w:rsidR="00A85539" w14:paraId="4BEFD62B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B2950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Revolut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(Велика Британія)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DC97EF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Sherlock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detection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D9CAB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96% шахрайства заблоковано в реальному часі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014B9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Real-time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dashboard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для Ради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97FDC8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Revolut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2024</w:t>
            </w:r>
          </w:p>
        </w:tc>
      </w:tr>
      <w:tr w:rsidR="00A85539" w14:paraId="6CD0018A" w14:textId="77777777" w:rsidTr="00522D3D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81AD8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monobank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(Україна)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AA789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scoring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anti-fraud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чат-боти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A0F29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 млрд транзакцій; обробка 75 ТБ даних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449F2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-рада без традиційного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комітетного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апарату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25AFA5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Universal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AR 2024</w:t>
            </w:r>
          </w:p>
        </w:tc>
      </w:tr>
    </w:tbl>
    <w:p w14:paraId="1C232F0E" w14:textId="77777777" w:rsidR="00264EC3" w:rsidRDefault="00264EC3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Джерело: складено автором на основі джерел</w:t>
      </w:r>
    </w:p>
    <w:p w14:paraId="043D689C" w14:textId="0F0F4C5B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2024/1689), що набрав чинності 1 серпня 2024 р., встановив принципово нову регуляторну рамку для AI-систем у фінансовому секторі [1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]. 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високоризикових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AI-систем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Annex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III) зараховані: системи оцінки кредитоспроможності фізичних осіб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scoring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системи оцінки ризику та ціноутворення у страхуванні життя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здоров'я; системи ідентифікації у режимі реального часу (з вузькими виключеннями).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обов'язковими 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контроль якості даних; технічна документація та реєстрація подій; людський нагляд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human-in-the-loop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conformity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assessment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перед розгортанням. Штрафи: до 35 млн євро або 7% глобального обороту за заборонені практики; 15 млн євро або 3% за порушення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правил. Ці вимоги набирають чинності для фінансового сектору у серпні 2026 р., що ставить перед радами директорів нові завдання з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B1A02A" w14:textId="4A6191CC" w:rsidR="00A85539" w:rsidRDefault="00A85539" w:rsidP="00264EC3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Порівняльний аналіз традиційного та AI-підсиленого кредитного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виявляє суттєві відмінності у точності, швидкості та регуляторних вимогах. Класичні моделі (FICO, PD/LGD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базуються на бюро-даних і фінансових показниках, мають AUC у діапазоні 0,72–0,78, проте є прозорими та легко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верифікованими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AI-моделі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gradient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boosting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нейромережі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інтегрують поведінкові,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транзакційні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альтернативні дані, демонструють AUC 0,82–0,88 (BIS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2022), знижують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default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15–25% (оцінка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Водночас вони потребують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explainability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-шару (XAI) для відповідності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вимогам ECOA/GDPR щодо обґрунтування відмов. Управлінська відповідь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запровадження незалежної функції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підзвітної безпосередньо CRO та Комітету з ризиків Ради.</w:t>
      </w:r>
    </w:p>
    <w:p w14:paraId="7276CE2F" w14:textId="0A67C79D" w:rsidR="00A85539" w:rsidRPr="00264EC3" w:rsidRDefault="00A85539" w:rsidP="00264EC3">
      <w:pPr>
        <w:pStyle w:val="2"/>
        <w:spacing w:line="360" w:lineRule="auto"/>
        <w:rPr>
          <w:color w:val="000000" w:themeColor="text1"/>
        </w:rPr>
      </w:pPr>
      <w:bookmarkStart w:id="9" w:name="_Toc232422670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2.4. Фінансові інновації та корпоративне управління в Україні: стан і тенденції</w:t>
      </w:r>
      <w:bookmarkEnd w:id="9"/>
    </w:p>
    <w:p w14:paraId="52D0CD1F" w14:textId="3B29A244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Аналіз фінансово-інноваційного ландшафту України потребує урахування унікального контексту: країна одночасно здійснює масштабну цифрову трансформацію фінансових послуг, адаптується до воєнних умов та рухається шляхом євроінтеграції. Цей потрійний тиск, попри очевидні виклики, парадоксально сформував середовище «прискореної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поза необхідністю», яке відповідає концепту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(2016)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3.0 як реакцію на кризу [1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2F59F541" w14:textId="0D3DFA27" w:rsidR="00A85539" w:rsidRDefault="00A85539" w:rsidP="00A85539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-ринок України демонструє стійкість всупереч війні. За даними UAFIC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Catalog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2024, ринок нараховує 246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фінтех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-компаній (проти 203 у 2022 р., тобто зростання на 21%), з яких 68% досягли беззбитковості, 33% активні на міжнародних ринках, 77% базуються у Києві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1]. Ключові технологічні фокуси: AI (79% компаній вважають його пріоритетним),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API, хмарні сервіси. Важливим стратегічним сигналом є те, що у жовтні 2025 р. компанія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(розробник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отримала інвестиції з оцінкою понад 1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від UMAEF, ставши першим українським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фінтех-юнікорном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знаковий факт для залучення міжнародного капіталу в умовах триваючого конфлікту.</w:t>
      </w:r>
    </w:p>
    <w:p w14:paraId="2E95D372" w14:textId="78873CCE" w:rsidR="00A85539" w:rsidRDefault="00A85539" w:rsidP="00A85539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найбільш показовим кейсом фінансових інновацій в Україні та їхнього впливу на корпоративне управління. Динаміка клієнтської бази: 5 млн (лютий 2022 р., напередодні повномасштабного вторгнення) → 7 млн (березень 2023 р.) → 9 млн (грудень 2024 р.) → 10 млн (жовтень 2025 р.)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У вересні 2023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вийшов на друге місце серед усіх банків України за кількістю активних карток, обійшовши Ощадбанк. Чистий прибуток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(материнська структура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у 2024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3,7 млрд грн, у 2025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10,33 млрд грн. Модель корпоративного управління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нетрадиційною: плоска організаційна структура без традиційного розгалуженого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апарату,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-методологія прийняття рішень, максимальна технологізація всіх процесів. Це підтверджує тезу,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-компанії формують альтернативні моделі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що конкурують з традиційними банківськими.</w:t>
      </w:r>
    </w:p>
    <w:p w14:paraId="44DD7C67" w14:textId="77777777" w:rsidR="00A85539" w:rsidRDefault="00A85539" w:rsidP="00A85539">
      <w:pPr>
        <w:spacing w:before="120" w:after="80" w:line="300" w:lineRule="auto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Таблиця 2.4 – Ключові показники </w:t>
      </w:r>
      <w:proofErr w:type="spellStart"/>
      <w:r>
        <w:rPr>
          <w:rFonts w:ascii="Times New Roman" w:eastAsia="Times New Roman" w:hAnsi="Times New Roman" w:cs="Times New Roman"/>
        </w:rPr>
        <w:t>цифровізації</w:t>
      </w:r>
      <w:proofErr w:type="spellEnd"/>
      <w:r>
        <w:rPr>
          <w:rFonts w:ascii="Times New Roman" w:eastAsia="Times New Roman" w:hAnsi="Times New Roman" w:cs="Times New Roman"/>
        </w:rPr>
        <w:t xml:space="preserve"> фінансового сектору України, 2022–2025 рр.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1700"/>
        <w:gridCol w:w="1700"/>
        <w:gridCol w:w="1700"/>
        <w:gridCol w:w="1700"/>
      </w:tblGrid>
      <w:tr w:rsidR="00A85539" w14:paraId="6C598F4E" w14:textId="77777777" w:rsidTr="00522D3D">
        <w:trPr>
          <w:tblHeader/>
        </w:trPr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FA59E6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Показник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7CEA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9EDCEA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DE277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2024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5A07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2025 (оцінка)</w:t>
            </w:r>
          </w:p>
        </w:tc>
      </w:tr>
      <w:tr w:rsidR="00A85539" w14:paraId="05D6F4EF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B8544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Кількість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-компаній (UAFIC)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946B2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E9A4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~230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11545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9C77D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~270*</w:t>
            </w:r>
          </w:p>
        </w:tc>
      </w:tr>
      <w:tr w:rsidR="00A85539" w14:paraId="0B14916D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F253B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Клієнти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monobank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(млн)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408F3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5,0→6,0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814D1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6,75→7,4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354C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8,0→9,0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8C96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10,0+</w:t>
            </w:r>
          </w:p>
        </w:tc>
      </w:tr>
      <w:tr w:rsidR="00A85539" w14:paraId="512EA6DD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BBDDE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НБУ: ідентифікацій (млн)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FBB2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~20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A8D6C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0370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87,7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D1797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109,4</w:t>
            </w:r>
          </w:p>
        </w:tc>
      </w:tr>
      <w:tr w:rsidR="00A85539" w14:paraId="7CFAFD6B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4502B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Дія: кількість користувачів (млн)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44456E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28758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~19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2DEA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21+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5195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24+</w:t>
            </w:r>
          </w:p>
        </w:tc>
      </w:tr>
      <w:tr w:rsidR="00A85539" w14:paraId="7F461CB8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8DCA5" w14:textId="77777777" w:rsidR="00A85539" w:rsidRDefault="00A85539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Безготівкові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картк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операції (%, за кількістю)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579A2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90,4%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837F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93,5%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369DD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94,6%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349E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95,4%**</w:t>
            </w:r>
          </w:p>
        </w:tc>
      </w:tr>
      <w:tr w:rsidR="00A85539" w14:paraId="729423A3" w14:textId="77777777" w:rsidTr="00522D3D"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C8B2E8" w14:textId="77777777" w:rsidR="00A85539" w:rsidRDefault="00A85539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відділень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4560F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~1 000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646E2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2 391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9FFE0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2 410+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A21EB" w14:textId="77777777" w:rsidR="00A85539" w:rsidRDefault="00A85539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2 500+*</w:t>
            </w:r>
          </w:p>
        </w:tc>
      </w:tr>
    </w:tbl>
    <w:p w14:paraId="6A278D62" w14:textId="77777777" w:rsidR="00264EC3" w:rsidRDefault="00264EC3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Джерело: складено автором на основі джерел</w:t>
      </w:r>
    </w:p>
    <w:p w14:paraId="2BEF4CA6" w14:textId="1568F817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НБУ є одним з найбільш показових індикаторів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фінансових послуг. У 2024 р. зафіксовано 87,7 млн успішних ідентифікацій, що більш ніж удвічі перевищує показник 2023 р. (+104% або +44,8 млн)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sz w:val="28"/>
          <w:szCs w:val="28"/>
        </w:rPr>
        <w:t>]. У 2025 р. цей показник зріс до 109,4 млн (+25% рік до року). Ідентифікація охоплює 110 суб'єктів-надавачів послуг: 96 комерційних (переважно фінансові послуги) і 14 некомерційних (державні портали). Застосунок «Дія» досяг 24 млн користувачів у середині 2025 р. та інтегрує понад 30 державних послуг, включаючи цифрові документи та фінансові операції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2].</w:t>
      </w:r>
    </w:p>
    <w:p w14:paraId="165C3E52" w14:textId="029099B6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ініційована НБУ у грудні 2022 р. у відповідь на російські удари по енергетичній інфраструктурі, є унікальним прикладом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системної фінансової інновації в умовах воєнного стану. На початок лютого 2025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2 410 відділень (&gt;50% від усіх банківських відділень країни) у 370 населених пунктах, за участю всіх 14 системно важливих банків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-відділення оснащені резервними джерелами живлення, генераторами, супутниковим інтернетом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кешаутом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їхня карта інтегрована у застосунок «Дія». Для корпоративного управління це є прикладом системного стрес-тесту операційної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резильєнтності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аналогічного вимогам DORA у мирних умовах: банки вимушені розробити BCP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з фактично реалізованою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бойових умовах.</w:t>
      </w:r>
    </w:p>
    <w:p w14:paraId="6BCF843D" w14:textId="352615B7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E-гривня (CBDC України) перебуває у стадії дослідницького пілоту. Перший обмежений пілот проводився у 2018 р. на платформі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Stellar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Повноцінний проєкт запущений у вересні 2021 р. У серпні 2025 р. Голова НБУ Андрій Пишний підтвердив підготовку пілоту цифрової гривні з пошуком технологічного партнера; НБУ співпрацює з ЄЦБ,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Bundesbank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Банком Франції та MAS (Сінгапур)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Плановані кейси: роздрібні безготівкові платежі з програмованими грошима для цільових соціальних виплат, операції з віртуальними активами, транскордонні платежі. Заступник Голови НБУ Олексій Шабан раніше висловлював сумніви щодо строків: «Ми маємо сумніви щодо можливості впровадження е-гривні у 2027 р.»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тобто повноцінна реалізація залежить від завершення активної фази воєнного конфлікту.</w:t>
      </w:r>
    </w:p>
    <w:p w14:paraId="1310F7B2" w14:textId="0E112150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Відкритий банкінг в Україні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ключова регуляторна інновація 2025 р. Постанова НБУ №80 від 25 липня 2025 р. впровадила стандарти відкритих API, вимоги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Customer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Authentication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(SCA) та систему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]. Вперше на законодавчому рівні визначено статус AISP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Provider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та PISP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Initiation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Provider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Для банків це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означає нові операційні витрати на API-інфраструктуру, але й нові можливості: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monetization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(за умови GDPR-відповідності), партнерство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-компаніями як TPP.</w:t>
      </w:r>
    </w:p>
    <w:p w14:paraId="0CFB31EC" w14:textId="005171F1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Порівняльний аналіз України з країнами Центрально-Східної Європи виявляє парадоксальну картину: за рівнем безготівкових платежів Україна суттєво випереджає партнерів по регіону (94,6% проти 65% у Польщі та &lt;50% у Румунії), проте відстає за масштабом і зрілістю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-екосистеми в цілому. Польський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охоплює понад 60%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commerce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-транзакцій, чеський ринок P2P-платежів розвинений; натомість в Україні рентне відкриття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зростання все ж відбувається в умовах, де традиційні канали були частково вимкнені через бойові дії, що змусило споживачів масово переходити на цифрові сервіси.</w:t>
      </w:r>
    </w:p>
    <w:p w14:paraId="76C0B343" w14:textId="5C2818FE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Імплікації для корпоративного управління банків України є комплексними. Швидка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вимагає: (1) посилення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cyber-resilience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стратегії Ради з огляду на постійні кібератаки; (2) адаптації функції ризик-менеджменту до нових категорій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AI-ризику,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ризику,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third-party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ризику; (3) підготовки до вимог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щодо API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TPP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diligence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(4) формування стратегії щодо CBDC-інтеграції з огляду на майбутній пілот e-гривні. Постанови НБУ №64/2018 та №88/2019, що встановлюють «три лінії захисту», є нормативною основою, проте потребують суттєвого доповнення цифровою складовою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DORA та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 яких Україна рухається в рамках євроінтеграційного курсу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59A9F8E4" w14:textId="77777777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Аналіз сучасних фінансових інновацій у корпоративному управлінні на глобальному та українському ринках дозволяє сформулювати такі висновки.</w:t>
      </w:r>
    </w:p>
    <w:p w14:paraId="68BE1DB7" w14:textId="2A12CBB5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По-перше, глобальний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-ринок переживає якісну трансформацію: зниження обсягів інвестицій з рекордних 238,9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(2021) до 95,6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(2024) є не деградацією, а ознакою дозрівання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69%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-компаній стали прибутковими, EBITDA-маржа зросла, ринок консолідується. Домінуючі сегменти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(31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(7,4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+68%)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відображають пріоритети корпоративного управління в умовах посиленого регуляторного навантаження (DORA,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086DBFB" w14:textId="77777777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По-друге, цифрові платіжні системи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переформатовують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базову функціональну архітектуру корпоративного управління банків. Миттєві платежі змінюють ліквідність-менеджмент;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модель кооперації банків і TPP вимагає нових механізмів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third-party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BNPL як клас продукту розширює кредитний ризик за межі традиційного кредитного конвеєру. В Україні відкритий банкінг (Постанова НБУ №80 від 25.07.2025) є ключовим регуляторним зрушенням 2025 р.</w:t>
      </w:r>
    </w:p>
    <w:p w14:paraId="30B2189B" w14:textId="4173DC9A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По-третє, AI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трансформуючими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технологіями для всіх рівнів корпоративного управління. AI формує нові форми агентської проблеми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що вимагають запровадження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CRO та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Ethics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Ради.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з серпня 2026 р.) встановлює обов'язкові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-вимоги для AI-систем кредитного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страхування.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активів (прогноз BCG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трлн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до 2030 р.) відкриває нові можливості для ліквідності, але вимагає відповідної адаптації корпоративного управління.</w:t>
      </w:r>
    </w:p>
    <w:p w14:paraId="3B66C5C8" w14:textId="5F7EB208" w:rsid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По-четверте, Україна демонструє унікальну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умовах кризи», що підтверджує загальнотеоретичну тезу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(2016)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каталізуючу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зовнішніх шоків для фінансових інновацій. Рекордний рівень безготівкових платежів (94,6%), зростання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10 млн клієнтів,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BankID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НБУ (109,4 млн ідентифікацій у 2025 р.),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(50%+ відділень)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ці показники свідчать про ефективність цифрових фінансових інновацій навіть в екстремальних умовах. Водночас відставання у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full-scale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-екосистеми та незавершеність пілоту e-гривні формують порядок денний для стратегічного розвитку.</w:t>
      </w:r>
    </w:p>
    <w:p w14:paraId="07E4ACE3" w14:textId="3A0A0266" w:rsidR="00045C70" w:rsidRPr="00A85539" w:rsidRDefault="00A85539" w:rsidP="00A85539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По-п'яте, регуляторна конвергенція України з ЄС (77% нормативна еквівалентність банківського сектора, заява НБУ, 2025 р.) є системним чинником трансформації корпоративного управління банків. Вимоги DORA,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PSD3/PSR, з якими узгоджується вітчизняна нормативна база, формують новий стандарт для ради директорів, ризик-менеджменту та систем внутрішнього контролю, що детально аналізується у Розділі 3.</w:t>
      </w:r>
    </w:p>
    <w:p w14:paraId="3CF16B7C" w14:textId="14B53CA8" w:rsidR="00045C70" w:rsidRPr="00A85539" w:rsidRDefault="00045C70" w:rsidP="00045C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5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6078C11D" w14:textId="7597B0A3" w:rsidR="00290570" w:rsidRPr="003131C5" w:rsidRDefault="00290570" w:rsidP="008221BB">
      <w:pPr>
        <w:pStyle w:val="1"/>
        <w:rPr>
          <w:lang w:val="ru-RU"/>
        </w:rPr>
      </w:pPr>
      <w:bookmarkStart w:id="10" w:name="_Toc232422671"/>
      <w:r w:rsidRPr="00F14E6C">
        <w:rPr>
          <w:rFonts w:eastAsia="Times New Roman" w:cs="Times New Roman"/>
          <w:bCs/>
          <w:sz w:val="28"/>
          <w:szCs w:val="28"/>
          <w:lang w:val="ru-RU"/>
        </w:rPr>
        <w:lastRenderedPageBreak/>
        <w:t>РОЗДІЛ 3</w:t>
      </w:r>
      <w:r w:rsidR="00F14E6C" w:rsidRPr="00F14E6C">
        <w:rPr>
          <w:lang w:val="ru-RU"/>
        </w:rPr>
        <w:t xml:space="preserve">. </w:t>
      </w:r>
      <w:r w:rsidRPr="00F14E6C">
        <w:rPr>
          <w:rFonts w:eastAsia="Times New Roman" w:cs="Times New Roman"/>
          <w:bCs/>
          <w:sz w:val="28"/>
          <w:szCs w:val="28"/>
          <w:lang w:val="ru-RU"/>
        </w:rPr>
        <w:t>НАПРЯМИ ВДОСКОНАЛЕННЯ КОРПОРАТИВНОГО УПРАВЛІННЯ НА ОСНОВІ ФІНАНСОВИХ ІННОВАЦІЙ</w:t>
      </w:r>
      <w:bookmarkEnd w:id="10"/>
    </w:p>
    <w:p w14:paraId="66BEB1BF" w14:textId="56D516D2" w:rsidR="00290570" w:rsidRPr="00F14E6C" w:rsidRDefault="00290570" w:rsidP="00F14E6C">
      <w:pPr>
        <w:pStyle w:val="2"/>
        <w:spacing w:line="360" w:lineRule="auto"/>
        <w:rPr>
          <w:color w:val="000000" w:themeColor="text1"/>
          <w:lang w:val="ru-RU"/>
        </w:rPr>
      </w:pPr>
      <w:bookmarkStart w:id="11" w:name="_Toc232422672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3.1.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Стратегічні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напрями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вдосконалення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корпоративного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умовах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фінансових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інновацій</w:t>
      </w:r>
      <w:bookmarkEnd w:id="11"/>
      <w:proofErr w:type="spellEnd"/>
    </w:p>
    <w:p w14:paraId="263D1CD4" w14:textId="47D96B2D" w:rsidR="00290570" w:rsidRPr="003131C5" w:rsidRDefault="00290570" w:rsidP="008B6F69">
      <w:pPr>
        <w:pStyle w:val="3"/>
        <w:rPr>
          <w:lang w:val="ru-RU"/>
        </w:rPr>
      </w:pPr>
      <w:bookmarkStart w:id="12" w:name="_Toc232422673"/>
      <w:r w:rsidRPr="003131C5">
        <w:rPr>
          <w:rFonts w:eastAsia="Times New Roman"/>
          <w:lang w:val="ru-RU"/>
        </w:rPr>
        <w:t xml:space="preserve">3.1.1. </w:t>
      </w:r>
      <w:proofErr w:type="spellStart"/>
      <w:r w:rsidRPr="003131C5">
        <w:rPr>
          <w:rFonts w:eastAsia="Times New Roman"/>
          <w:lang w:val="ru-RU"/>
        </w:rPr>
        <w:t>Концептуальні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моделі</w:t>
      </w:r>
      <w:proofErr w:type="spellEnd"/>
      <w:r w:rsidRPr="003131C5">
        <w:rPr>
          <w:rFonts w:eastAsia="Times New Roman"/>
          <w:lang w:val="ru-RU"/>
        </w:rPr>
        <w:t xml:space="preserve"> цифрового корпоративного </w:t>
      </w:r>
      <w:proofErr w:type="spellStart"/>
      <w:r w:rsidRPr="003131C5">
        <w:rPr>
          <w:rFonts w:eastAsia="Times New Roman"/>
          <w:lang w:val="ru-RU"/>
        </w:rPr>
        <w:t>управління</w:t>
      </w:r>
      <w:bookmarkEnd w:id="12"/>
      <w:proofErr w:type="spellEnd"/>
    </w:p>
    <w:p w14:paraId="1187B594" w14:textId="77777777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Глобальна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хвиля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охарактеризована в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2, ставить перед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-практиками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корпоративне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радикальної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невизначеності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моделей.</w:t>
      </w:r>
    </w:p>
    <w:p w14:paraId="1E4DA9F6" w14:textId="200E19D8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4.0»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ширшого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Ruth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Aguilera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Maria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Ruiz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Castillo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Toward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updated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Fundamentals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disruptions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</w:rPr>
        <w:t>BRQ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Quarterly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Sage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2025)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штучного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еволюціонує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» до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strategic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тиском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трендів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проривів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(ШІ,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кліматичних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сценаріїв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стейкхолдерів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ScienceDirect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Technological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Forecasting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Social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Change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, 2025)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transformation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ownership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directors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яке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виявило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провайдингова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ради позитивно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корелює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стандартизований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β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= +0,247,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&lt; 0,05),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моніторингова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негативно (</w:t>
      </w:r>
      <w:r>
        <w:rPr>
          <w:rFonts w:ascii="Times New Roman" w:eastAsia="Times New Roman" w:hAnsi="Times New Roman" w:cs="Times New Roman"/>
          <w:sz w:val="28"/>
          <w:szCs w:val="28"/>
        </w:rPr>
        <w:t>β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= –0,276,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&lt; 0,01)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ради,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зосереджуються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виключно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системно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цифрової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47E08E0" w14:textId="0025AD31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 «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найдетальніше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(2019,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2024) та у </w:t>
      </w:r>
      <w:r>
        <w:rPr>
          <w:rFonts w:ascii="Times New Roman" w:eastAsia="Times New Roman" w:hAnsi="Times New Roman" w:cs="Times New Roman"/>
          <w:sz w:val="28"/>
          <w:szCs w:val="28"/>
        </w:rPr>
        <w:t>WEF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Toolkit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Directors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(2024).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ядрові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taxonomy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-систем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human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loop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oversight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критичних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auditability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аудит моделей);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дискримінаційних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Taylor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Francis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EDPACS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(2025)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accountability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додає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тезу: «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підзвітність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суто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роль»,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перед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акціонерами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регуляторами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09401BB3" w14:textId="62B1B534" w:rsidR="00290570" w:rsidRPr="003131C5" w:rsidRDefault="00290570" w:rsidP="00264EC3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регуляторного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найзначущішою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Operational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запроваджується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регламентом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2022/2554).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5(2)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прямо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покладає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наглядову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body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) «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рамками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»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підпункт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5(2)(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«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толерантності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підпункт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5(4)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«активно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регулярне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новим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набрав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22 000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ЄС,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уперше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стійкість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первинного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A99BC5" w14:textId="7E6B4DE1" w:rsidR="00290570" w:rsidRPr="003131C5" w:rsidRDefault="00290570" w:rsidP="008B6F69">
      <w:pPr>
        <w:pStyle w:val="3"/>
        <w:rPr>
          <w:lang w:val="ru-RU"/>
        </w:rPr>
      </w:pPr>
      <w:bookmarkStart w:id="13" w:name="_Toc232422674"/>
      <w:r w:rsidRPr="003131C5">
        <w:rPr>
          <w:rFonts w:eastAsia="Times New Roman"/>
          <w:lang w:val="ru-RU"/>
        </w:rPr>
        <w:lastRenderedPageBreak/>
        <w:t xml:space="preserve">3.1.2. </w:t>
      </w:r>
      <w:proofErr w:type="spellStart"/>
      <w:r w:rsidRPr="003131C5">
        <w:rPr>
          <w:rFonts w:eastAsia="Times New Roman"/>
          <w:lang w:val="ru-RU"/>
        </w:rPr>
        <w:t>Міжнародні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рекомендації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щодо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адаптації</w:t>
      </w:r>
      <w:proofErr w:type="spellEnd"/>
      <w:r w:rsidRPr="003131C5">
        <w:rPr>
          <w:rFonts w:eastAsia="Times New Roman"/>
          <w:lang w:val="ru-RU"/>
        </w:rPr>
        <w:t xml:space="preserve"> рад </w:t>
      </w:r>
      <w:proofErr w:type="spellStart"/>
      <w:r w:rsidRPr="003131C5">
        <w:rPr>
          <w:rFonts w:eastAsia="Times New Roman"/>
          <w:lang w:val="ru-RU"/>
        </w:rPr>
        <w:t>директорів</w:t>
      </w:r>
      <w:bookmarkEnd w:id="13"/>
      <w:proofErr w:type="spellEnd"/>
    </w:p>
    <w:p w14:paraId="6CC99048" w14:textId="77777777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консалтингові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2022–2025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сформували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розгорнуту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цифрового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BB11172" w14:textId="6E7D725A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вересні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р.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оновила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20/</w:t>
      </w:r>
      <w:r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24 роки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доповнивши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Главою </w:t>
      </w:r>
      <w:r>
        <w:rPr>
          <w:rFonts w:ascii="Times New Roman" w:eastAsia="Times New Roman" w:hAnsi="Times New Roman" w:cs="Times New Roman"/>
          <w:sz w:val="28"/>
          <w:szCs w:val="28"/>
        </w:rPr>
        <w:t>VI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Принцип VI.A встановлює, що «корпоративне управління повинно забезпечувати стимули для компаній та інвесторів ухвалювати рішення і керувати ризиками способом, що сприяє стійкості корпорації», а чотири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VI.A–VI.D прямо стосуються інтеграції кліматичних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кіберризиків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ризик-менеджмент, розкриття нефінансової інформації, цифрового діалогу 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-індикаторів у системі винагороди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22F6FC7C" w14:textId="198488C8" w:rsidR="00290570" w:rsidRDefault="00290570" w:rsidP="00290570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Company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звіті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potential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generative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productivity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frontier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(14 червня 2023 р.) оцінює, що генеративний ШІ може додати банківському сектору від 200 до 340 млрд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щорічно, або 2,8–4,7 % річної виручки галузі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]. Продовження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Capturing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generative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2024) наголошує: «без правильної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важко забезпечити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enterprise-wide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що вимагає участі ради на стратегічному рівні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]. 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Scaling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2024) висновки посилюються прикладом конкретного регіонального банку, де впровадження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підвищило продуктивність кодування на 30 %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]. KPMG у документі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Setting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rules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(2024) рекомендує банкам вбудовувати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модель, наголошуючи, що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формує «нову регуляторну дійсність» для фінансового сектору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8].</w:t>
      </w:r>
    </w:p>
    <w:p w14:paraId="7840F21E" w14:textId="7BCBC272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Americas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Priorities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 (опитування 400+ членів рад у семи країнах Американського континенту) зафіксував, що **70 % членів рад** відносять інновації до п'яти головних пріоритетів ради нарівні з капітальною стратегією та управлінням талантами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принципове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переорієнтування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 денного рад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реактивного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проактивної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41BAF8" w14:textId="6FBDB0B7" w:rsidR="00290570" w:rsidRPr="003131C5" w:rsidRDefault="00290570" w:rsidP="008221BB">
      <w:pPr>
        <w:spacing w:line="360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EBA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опублікувала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перегляду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Guidelines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EBA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CP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/2025/20), де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включила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за </w:t>
      </w:r>
      <w:r>
        <w:rPr>
          <w:rFonts w:ascii="Times New Roman" w:eastAsia="Times New Roman" w:hAnsi="Times New Roman" w:cs="Times New Roman"/>
          <w:sz w:val="28"/>
          <w:szCs w:val="28"/>
        </w:rPr>
        <w:t>ICT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функцією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фундаментальними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fairness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r>
        <w:rPr>
          <w:rFonts w:ascii="Times New Roman" w:eastAsia="Times New Roman" w:hAnsi="Times New Roman" w:cs="Times New Roman"/>
          <w:sz w:val="28"/>
          <w:szCs w:val="28"/>
        </w:rPr>
        <w:t>ESG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чинні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EBA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GL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/2021/05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невдовзі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замінені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вимогливими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нормами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6EF952AF" w14:textId="3981B6BA" w:rsidR="00290570" w:rsidRPr="003131C5" w:rsidRDefault="00290570" w:rsidP="008B6F69">
      <w:pPr>
        <w:pStyle w:val="3"/>
        <w:rPr>
          <w:lang w:val="ru-RU"/>
        </w:rPr>
      </w:pPr>
      <w:bookmarkStart w:id="14" w:name="_Toc232422675"/>
      <w:r w:rsidRPr="003131C5">
        <w:rPr>
          <w:rFonts w:eastAsia="Times New Roman"/>
          <w:lang w:val="ru-RU"/>
        </w:rPr>
        <w:t xml:space="preserve">3.1.3. Модель цифрового </w:t>
      </w:r>
      <w:proofErr w:type="spellStart"/>
      <w:r w:rsidRPr="003131C5">
        <w:rPr>
          <w:rFonts w:eastAsia="Times New Roman"/>
          <w:lang w:val="ru-RU"/>
        </w:rPr>
        <w:t>наглядового</w:t>
      </w:r>
      <w:proofErr w:type="spellEnd"/>
      <w:r w:rsidRPr="003131C5">
        <w:rPr>
          <w:rFonts w:eastAsia="Times New Roman"/>
          <w:lang w:val="ru-RU"/>
        </w:rPr>
        <w:t xml:space="preserve"> органу та </w:t>
      </w:r>
      <w:proofErr w:type="spellStart"/>
      <w:r w:rsidRPr="003131C5">
        <w:rPr>
          <w:rFonts w:eastAsia="Times New Roman"/>
          <w:lang w:val="ru-RU"/>
        </w:rPr>
        <w:t>авторська</w:t>
      </w:r>
      <w:proofErr w:type="spellEnd"/>
      <w:r w:rsidRPr="003131C5">
        <w:rPr>
          <w:rFonts w:eastAsia="Times New Roman"/>
          <w:lang w:val="ru-RU"/>
        </w:rPr>
        <w:t xml:space="preserve"> модель «</w:t>
      </w:r>
      <w:proofErr w:type="spellStart"/>
      <w:r>
        <w:rPr>
          <w:rFonts w:eastAsia="Times New Roman"/>
        </w:rPr>
        <w:t>DigiCG</w:t>
      </w:r>
      <w:proofErr w:type="spellEnd"/>
      <w:r w:rsidRPr="003131C5">
        <w:rPr>
          <w:rFonts w:eastAsia="Times New Roman"/>
          <w:lang w:val="ru-RU"/>
        </w:rPr>
        <w:t>-</w:t>
      </w:r>
      <w:proofErr w:type="spellStart"/>
      <w:r>
        <w:rPr>
          <w:rFonts w:eastAsia="Times New Roman"/>
        </w:rPr>
        <w:t>Bank</w:t>
      </w:r>
      <w:proofErr w:type="spellEnd"/>
      <w:r w:rsidRPr="003131C5">
        <w:rPr>
          <w:rFonts w:eastAsia="Times New Roman"/>
          <w:lang w:val="ru-RU"/>
        </w:rPr>
        <w:t>»</w:t>
      </w:r>
      <w:bookmarkEnd w:id="14"/>
    </w:p>
    <w:p w14:paraId="29AAB7CE" w14:textId="38E70511" w:rsidR="00290570" w:rsidRPr="003131C5" w:rsidRDefault="00290570" w:rsidP="008221BB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OECD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JPMorgan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DBS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PKO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автор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наглядової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55A3194" w14:textId="77777777" w:rsidR="00290570" w:rsidRPr="003131C5" w:rsidRDefault="00290570" w:rsidP="00290570">
      <w:pPr>
        <w:spacing w:before="120" w:after="80" w:line="300" w:lineRule="auto"/>
        <w:jc w:val="center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Таблиця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3.1 –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Архітектура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комітетів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цифрової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наглядової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ради банку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360"/>
        <w:gridCol w:w="2200"/>
        <w:gridCol w:w="1700"/>
      </w:tblGrid>
      <w:tr w:rsidR="00290570" w14:paraId="013786CA" w14:textId="77777777" w:rsidTr="00522D3D">
        <w:trPr>
          <w:tblHeader/>
        </w:trPr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2CC924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Комітет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D43C5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Ключові функції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DA04E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Регуляторне підґрунтя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B8B9B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Аналог у CEE-банках</w:t>
            </w:r>
          </w:p>
        </w:tc>
      </w:tr>
      <w:tr w:rsidR="00290570" w14:paraId="35DF40E5" w14:textId="77777777" w:rsidTr="00522D3D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A9FD1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/ ICT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11E3C0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Нагляд за ICT-стратегією; апробація рівня толерантності до ICT-ризику;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oversight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providers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5B255A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DORA ст. 5; EBA/GL/2021/05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B4B70D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PKO BP, OTP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</w:t>
            </w:r>
            <w:proofErr w:type="spellEnd"/>
          </w:p>
        </w:tc>
      </w:tr>
      <w:tr w:rsidR="00290570" w14:paraId="3DF1B2A5" w14:textId="77777777" w:rsidTr="00522D3D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95C7E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Ethics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E3CAB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Затвердження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taxonomy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нагляд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model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monitoring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human-in-the-loop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policies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9A3F5D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EU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2024/1689)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Annex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III; EBA CP/2025/20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DCB6B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JPMorgan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Goldman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Sachs</w:t>
            </w:r>
            <w:proofErr w:type="spellEnd"/>
          </w:p>
        </w:tc>
      </w:tr>
      <w:tr w:rsidR="00290570" w14:paraId="2114AD1E" w14:textId="77777777" w:rsidTr="00522D3D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F378F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Cybersecurity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E35E0F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Кібер-resilience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стратегія;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oversight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incident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response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 TLPT (кожні 3 роки)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C620F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DORA ст. 17–23; NIS2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Directive</w:t>
            </w:r>
            <w:proofErr w:type="spellEnd"/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A8F9F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Revolut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DBS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</w:t>
            </w:r>
            <w:proofErr w:type="spellEnd"/>
          </w:p>
        </w:tc>
      </w:tr>
      <w:tr w:rsidR="00290570" w14:paraId="20C760F4" w14:textId="77777777" w:rsidTr="00522D3D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21005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Innovation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D6B87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Партнерства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embedded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стратегія; CBDC/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tokenization-pilots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C30078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OECD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V; Закон №1591-IX; Постанова НБУ №80/2025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5E10D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Kaspi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ING</w:t>
            </w:r>
          </w:p>
        </w:tc>
      </w:tr>
      <w:tr w:rsidR="00290570" w14:paraId="067A6808" w14:textId="77777777" w:rsidTr="00522D3D"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F3115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ESG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Sustainability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AAE32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Кліматичні ризики; CSRD-звітність;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sustainability-linked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KPI у винагороді;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bonds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стратегія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99D84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OECD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VI; CSRD; TCFD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C9344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Ukrgasbank</w:t>
            </w:r>
            <w:proofErr w:type="spellEnd"/>
          </w:p>
        </w:tc>
      </w:tr>
    </w:tbl>
    <w:p w14:paraId="0A91C9E6" w14:textId="6ED8EBF7" w:rsidR="00290570" w:rsidRPr="00264EC3" w:rsidRDefault="00264EC3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Джерело: складено автором на основі джерел</w:t>
      </w:r>
    </w:p>
    <w:p w14:paraId="15FB4191" w14:textId="603BA8AD" w:rsidR="00290570" w:rsidRDefault="00290570" w:rsidP="00290570">
      <w:pPr>
        <w:spacing w:line="360" w:lineRule="auto"/>
        <w:ind w:firstLine="720"/>
        <w:jc w:val="both"/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Авторська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DigiCG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принципах. Перший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тримірна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архітектура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шар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рада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п'ятьма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комітетами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шар (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augmented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менеджмент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реальночасовими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KPI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дашборди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шар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three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ICT-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Другий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п'ятий принцип корпоративного управління поряд із класичною четвіркою OECD (права акціонерів, рівноправність,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розкриття інформації, відповідальність ради). Третій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data-driven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oversight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рада отримує обов'язкові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real-time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KPI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incident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reporting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performance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drift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cyber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замість квартальних ретроспективних звітів. Четвертий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stakeholder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engagement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активні цифрові канали комунікації з акціонерами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virtual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AGM, ESG-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dashboards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та клієнтами.</w:t>
      </w:r>
    </w:p>
    <w:p w14:paraId="630F1650" w14:textId="20D36316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складу ради,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жоден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чинних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прямих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квот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апелюють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принципу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collective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suitability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PwC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Annual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Corporate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Directors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Survey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чверті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&amp;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500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обізнаними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ШІ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competence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gap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бенчмарків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PKO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OTP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автор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частка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експертизою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30 %;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CDO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CIO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CTO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ради;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щорічне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literacy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годин;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gender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diversity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33 %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EBA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GL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/2021/05.</w:t>
      </w:r>
    </w:p>
    <w:p w14:paraId="7BF4BB33" w14:textId="75916511" w:rsidR="00290570" w:rsidRPr="009023FB" w:rsidRDefault="00290570" w:rsidP="008B6F69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Зважаючи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варіативність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автор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2025–2030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Песимістичний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імовірність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25 %)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гальмування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гармонізації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стану, </w:t>
      </w:r>
      <w:r>
        <w:rPr>
          <w:rFonts w:ascii="Times New Roman" w:eastAsia="Times New Roman" w:hAnsi="Times New Roman" w:cs="Times New Roman"/>
          <w:sz w:val="28"/>
          <w:szCs w:val="28"/>
        </w:rPr>
        <w:t>ROE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≤ 10 %, 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≥ 50 %,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Базовий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(55 %)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поетапна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FIDA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2028 р., </w:t>
      </w:r>
      <w:r>
        <w:rPr>
          <w:rFonts w:ascii="Times New Roman" w:eastAsia="Times New Roman" w:hAnsi="Times New Roman" w:cs="Times New Roman"/>
          <w:sz w:val="28"/>
          <w:szCs w:val="28"/>
        </w:rPr>
        <w:t>ROE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15–18 %, 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38–42 %,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40–60 %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Оптимістичний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(20 %)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прискорена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ROE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≥ 22 %, 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≤ 35 %,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80 %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</w:rPr>
        <w:t>SEPA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Euro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167499" w14:textId="11BA3226" w:rsidR="00290570" w:rsidRPr="008221BB" w:rsidRDefault="00290570" w:rsidP="008221BB">
      <w:pPr>
        <w:pStyle w:val="2"/>
        <w:spacing w:line="360" w:lineRule="auto"/>
        <w:rPr>
          <w:color w:val="000000" w:themeColor="text1"/>
          <w:lang w:val="ru-RU"/>
        </w:rPr>
      </w:pPr>
      <w:bookmarkStart w:id="15" w:name="_Toc232422676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3.2.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Перспективи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інтеграції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AI</w:t>
      </w:r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FinTech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корпоративне</w:t>
      </w:r>
      <w:proofErr w:type="spellEnd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14E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управління</w:t>
      </w:r>
      <w:bookmarkEnd w:id="15"/>
      <w:proofErr w:type="spellEnd"/>
    </w:p>
    <w:p w14:paraId="01FAEFD5" w14:textId="2F228E88" w:rsidR="00290570" w:rsidRPr="003131C5" w:rsidRDefault="00290570" w:rsidP="008B6F69">
      <w:pPr>
        <w:pStyle w:val="3"/>
        <w:rPr>
          <w:lang w:val="ru-RU"/>
        </w:rPr>
      </w:pPr>
      <w:bookmarkStart w:id="16" w:name="_Toc232422677"/>
      <w:r w:rsidRPr="003131C5">
        <w:rPr>
          <w:rFonts w:eastAsia="Times New Roman"/>
          <w:lang w:val="ru-RU"/>
        </w:rPr>
        <w:t xml:space="preserve">3.2.1. </w:t>
      </w:r>
      <w:proofErr w:type="spellStart"/>
      <w:r w:rsidRPr="003131C5">
        <w:rPr>
          <w:rFonts w:eastAsia="Times New Roman"/>
          <w:lang w:val="ru-RU"/>
        </w:rPr>
        <w:t>Прогнози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розвитку</w:t>
      </w:r>
      <w:proofErr w:type="spellEnd"/>
      <w:r w:rsidRPr="003131C5"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AI</w:t>
      </w:r>
      <w:r w:rsidRPr="003131C5">
        <w:rPr>
          <w:rFonts w:eastAsia="Times New Roman"/>
          <w:lang w:val="ru-RU"/>
        </w:rPr>
        <w:t xml:space="preserve"> та </w:t>
      </w:r>
      <w:proofErr w:type="spellStart"/>
      <w:r>
        <w:rPr>
          <w:rFonts w:eastAsia="Times New Roman"/>
        </w:rPr>
        <w:t>embedded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</w:rPr>
        <w:t>finance</w:t>
      </w:r>
      <w:proofErr w:type="spellEnd"/>
      <w:r w:rsidRPr="003131C5">
        <w:rPr>
          <w:rFonts w:eastAsia="Times New Roman"/>
          <w:lang w:val="ru-RU"/>
        </w:rPr>
        <w:t xml:space="preserve"> до 2030 р.</w:t>
      </w:r>
      <w:bookmarkEnd w:id="16"/>
    </w:p>
    <w:p w14:paraId="12CF803E" w14:textId="5E0E083D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секторі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одними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верифікованих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аналітиці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Institute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звіті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economic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potential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generative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next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productivity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frontier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(14 червня 2023 р.)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генеративний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ШІ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200–340 млрд дол.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щорічно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(2,8–4,7 %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річної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виручки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приростом у корпоративному (56 млрд дол.)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роздрібному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(54 млрд дол.) сегментах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59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актуальною і у 2025 р.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стаття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turn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promise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into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impact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(2024)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фіксує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кейс: один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зафіксував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продуктивності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кодування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30 %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genAI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55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].</w:t>
      </w:r>
    </w:p>
    <w:p w14:paraId="2FF822D6" w14:textId="2F147CFD" w:rsidR="00290570" w:rsidRPr="003131C5" w:rsidRDefault="00290570" w:rsidP="00264EC3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вбудованих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є другим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значущістю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орієнтиром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QED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Investors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Prudence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Profits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Growth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320 млрд дол.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виручки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2030 р., у тому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SMB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-сегмент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150 млрд дол. [</w:t>
      </w:r>
      <w:r w:rsidR="00895E78" w:rsidRPr="009023F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2]. Альтернативна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McKinsey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230 млрд дол. при </w:t>
      </w:r>
      <w:r>
        <w:rPr>
          <w:rFonts w:ascii="Times New Roman" w:eastAsia="Times New Roman" w:hAnsi="Times New Roman" w:cs="Times New Roman"/>
          <w:sz w:val="28"/>
          <w:szCs w:val="28"/>
        </w:rPr>
        <w:t>CAGR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16,4 %;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Accenture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 трлн дол.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трансакцій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BaaS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та перегляду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appetite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партнерів-третіх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виручки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BCG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1,5 трлн дол. до 2030 р.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6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2].</w:t>
      </w:r>
    </w:p>
    <w:p w14:paraId="5A71E2C5" w14:textId="41390A9A" w:rsidR="00290570" w:rsidRPr="003131C5" w:rsidRDefault="00290570" w:rsidP="008B6F69">
      <w:pPr>
        <w:pStyle w:val="3"/>
        <w:rPr>
          <w:lang w:val="ru-RU"/>
        </w:rPr>
      </w:pPr>
      <w:bookmarkStart w:id="17" w:name="_Toc232422678"/>
      <w:r w:rsidRPr="003131C5">
        <w:rPr>
          <w:rFonts w:eastAsia="Times New Roman"/>
          <w:lang w:val="ru-RU"/>
        </w:rPr>
        <w:t xml:space="preserve">3.2.2. </w:t>
      </w:r>
      <w:proofErr w:type="spellStart"/>
      <w:r>
        <w:rPr>
          <w:rFonts w:eastAsia="Times New Roman"/>
        </w:rPr>
        <w:t>Open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</w:rPr>
        <w:t>Finance</w:t>
      </w:r>
      <w:proofErr w:type="spellEnd"/>
      <w:r w:rsidRPr="003131C5">
        <w:rPr>
          <w:rFonts w:eastAsia="Times New Roman"/>
          <w:lang w:val="ru-RU"/>
        </w:rPr>
        <w:t xml:space="preserve"> (</w:t>
      </w:r>
      <w:r>
        <w:rPr>
          <w:rFonts w:eastAsia="Times New Roman"/>
        </w:rPr>
        <w:t>FIDA</w:t>
      </w:r>
      <w:r w:rsidRPr="003131C5">
        <w:rPr>
          <w:rFonts w:eastAsia="Times New Roman"/>
          <w:lang w:val="ru-RU"/>
        </w:rPr>
        <w:t xml:space="preserve">) та </w:t>
      </w:r>
      <w:proofErr w:type="spellStart"/>
      <w:r w:rsidRPr="003131C5">
        <w:rPr>
          <w:rFonts w:eastAsia="Times New Roman"/>
          <w:lang w:val="ru-RU"/>
        </w:rPr>
        <w:t>його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вплив</w:t>
      </w:r>
      <w:proofErr w:type="spellEnd"/>
      <w:r w:rsidRPr="003131C5">
        <w:rPr>
          <w:rFonts w:eastAsia="Times New Roman"/>
          <w:lang w:val="ru-RU"/>
        </w:rPr>
        <w:t xml:space="preserve"> на </w:t>
      </w:r>
      <w:proofErr w:type="spellStart"/>
      <w:r w:rsidRPr="003131C5">
        <w:rPr>
          <w:rFonts w:eastAsia="Times New Roman"/>
          <w:lang w:val="ru-RU"/>
        </w:rPr>
        <w:t>корпоративне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управління</w:t>
      </w:r>
      <w:bookmarkEnd w:id="17"/>
      <w:proofErr w:type="spellEnd"/>
    </w:p>
    <w:p w14:paraId="5E158D09" w14:textId="15F67A57" w:rsidR="00290570" w:rsidRDefault="00290570" w:rsidP="00290570">
      <w:pPr>
        <w:spacing w:line="360" w:lineRule="auto"/>
        <w:ind w:firstLine="720"/>
        <w:jc w:val="both"/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Регламент </w:t>
      </w:r>
      <w:r>
        <w:rPr>
          <w:rFonts w:ascii="Times New Roman" w:eastAsia="Times New Roman" w:hAnsi="Times New Roman" w:cs="Times New Roman"/>
          <w:sz w:val="28"/>
          <w:szCs w:val="28"/>
        </w:rPr>
        <w:t>FIDA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Access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COM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2023)360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PSD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eastAsia="Times New Roman" w:hAnsi="Times New Roman" w:cs="Times New Roman"/>
          <w:sz w:val="28"/>
          <w:szCs w:val="28"/>
        </w:rPr>
        <w:t>PSR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ЄС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ухвалення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перша половина 2026 р.,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24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набрання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чинності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2027–2028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FIDA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-доступу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клієнта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весь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 (банки,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страховиків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пенсійні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фонди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запроваджуючи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FISP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Providers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Ключова вимога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obligation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holders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зобов'язані надавати API у стандартизованому форматі. Для корпоративного управління банків FIDA означає: нові вимоги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ради; розробку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dashboard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requirement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real-time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моніторингу API-доступу; перегляд договірних умов із технологічними партнерами з позиції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sovereignty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B06E3" w14:textId="76ECB44B" w:rsidR="00290570" w:rsidRDefault="00290570" w:rsidP="008221BB">
      <w:pPr>
        <w:spacing w:line="360" w:lineRule="auto"/>
        <w:ind w:firstLine="720"/>
        <w:jc w:val="both"/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випереджальна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FIDA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Угоди про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ЄС.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запущений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НБУ №80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25.07.2025 р.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],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першим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платіжні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Розширення відкритого банкінгу на повний спектр фінансових даних (страхові поліси, інвестиційні портфелі, кредитна історія) відповідає духу FIDA і є стратегічним пріоритетом на 2028–2030 рр.</w:t>
      </w:r>
    </w:p>
    <w:p w14:paraId="7D548F26" w14:textId="5BB7117F" w:rsidR="00290570" w:rsidRPr="003131C5" w:rsidRDefault="00290570" w:rsidP="008B6F69">
      <w:pPr>
        <w:pStyle w:val="3"/>
        <w:rPr>
          <w:lang w:val="ru-RU"/>
        </w:rPr>
      </w:pPr>
      <w:bookmarkStart w:id="18" w:name="_Toc232422679"/>
      <w:r w:rsidRPr="003131C5">
        <w:rPr>
          <w:rFonts w:eastAsia="Times New Roman"/>
          <w:lang w:val="ru-RU"/>
        </w:rPr>
        <w:t xml:space="preserve">3.2.3. </w:t>
      </w:r>
      <w:r>
        <w:rPr>
          <w:rFonts w:eastAsia="Times New Roman"/>
        </w:rPr>
        <w:t>DAO</w:t>
      </w:r>
      <w:r w:rsidRPr="003131C5">
        <w:rPr>
          <w:rFonts w:eastAsia="Times New Roman"/>
          <w:lang w:val="ru-RU"/>
        </w:rPr>
        <w:t xml:space="preserve"> та </w:t>
      </w:r>
      <w:proofErr w:type="spellStart"/>
      <w:r w:rsidRPr="003131C5">
        <w:rPr>
          <w:rFonts w:eastAsia="Times New Roman"/>
          <w:lang w:val="ru-RU"/>
        </w:rPr>
        <w:t>квантові</w:t>
      </w:r>
      <w:proofErr w:type="spellEnd"/>
      <w:r w:rsidRPr="003131C5">
        <w:rPr>
          <w:rFonts w:eastAsia="Times New Roman"/>
          <w:lang w:val="ru-RU"/>
        </w:rPr>
        <w:t xml:space="preserve"> </w:t>
      </w:r>
      <w:proofErr w:type="spellStart"/>
      <w:r w:rsidRPr="003131C5">
        <w:rPr>
          <w:rFonts w:eastAsia="Times New Roman"/>
          <w:lang w:val="ru-RU"/>
        </w:rPr>
        <w:t>обчислення</w:t>
      </w:r>
      <w:proofErr w:type="spellEnd"/>
      <w:r w:rsidRPr="003131C5">
        <w:rPr>
          <w:rFonts w:eastAsia="Times New Roman"/>
          <w:lang w:val="ru-RU"/>
        </w:rPr>
        <w:t xml:space="preserve">: </w:t>
      </w:r>
      <w:proofErr w:type="spellStart"/>
      <w:r w:rsidRPr="003131C5">
        <w:rPr>
          <w:rFonts w:eastAsia="Times New Roman"/>
          <w:lang w:val="ru-RU"/>
        </w:rPr>
        <w:t>виклики</w:t>
      </w:r>
      <w:proofErr w:type="spellEnd"/>
      <w:r w:rsidRPr="003131C5">
        <w:rPr>
          <w:rFonts w:eastAsia="Times New Roman"/>
          <w:lang w:val="ru-RU"/>
        </w:rPr>
        <w:t xml:space="preserve"> для корпоративного </w:t>
      </w:r>
      <w:proofErr w:type="spellStart"/>
      <w:r w:rsidRPr="003131C5">
        <w:rPr>
          <w:rFonts w:eastAsia="Times New Roman"/>
          <w:lang w:val="ru-RU"/>
        </w:rPr>
        <w:t>управління</w:t>
      </w:r>
      <w:bookmarkEnd w:id="18"/>
      <w:proofErr w:type="spellEnd"/>
    </w:p>
    <w:p w14:paraId="30049DAA" w14:textId="021AE9CA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Децентралізовані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являють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альтернативу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Capital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Markets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Law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Oxford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2025),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«фундаментально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оскаржують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правосуб'єктності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корпорації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ухвалюються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автоматично через смарт-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контракти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токен-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голосуванням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MakerDAO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монетарної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стейблкоїну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collateral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parameters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interest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rates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ухвалюються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децентралізовано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Applications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ScienceDirect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2024)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голосів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китів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»-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токенхолдерів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oligopoly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низькі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paralysis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Запропонована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arXiv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(2024)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Hybrid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децентралізацію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 і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прикладною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регульованих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проєктами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консорціумами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blockchain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заміною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6D8EC07" w14:textId="5109DA90" w:rsidR="00290570" w:rsidRPr="003131C5" w:rsidRDefault="00290570" w:rsidP="008221BB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Квантові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дня, коли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квантовий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комп'ютер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зможе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зламати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RSA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-2048 та </w:t>
      </w:r>
      <w:r>
        <w:rPr>
          <w:rFonts w:ascii="Times New Roman" w:eastAsia="Times New Roman" w:hAnsi="Times New Roman" w:cs="Times New Roman"/>
          <w:sz w:val="28"/>
          <w:szCs w:val="28"/>
        </w:rPr>
        <w:t>ECC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криптографію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Security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Blog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(березень 2026 р.)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встановив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дедлайн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міграції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quantum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cryptography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2029 р.,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зазначивши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графік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міграції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PQC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квантовому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залізі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квантових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помилок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»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41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Платформа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Metaculus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пересунула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медіанний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прогноз 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2052 на 2034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криптографічної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2027 р.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пілотного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NIST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PQC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CRYSTALS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Kyber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CRYSTALS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Dilithium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до 2028 р.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ризиком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кібератак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7CB15E" w14:textId="0DE8D6CB" w:rsidR="00290570" w:rsidRPr="003131C5" w:rsidRDefault="00290570" w:rsidP="008B6F69">
      <w:pPr>
        <w:pStyle w:val="3"/>
        <w:rPr>
          <w:lang w:val="ru-RU"/>
        </w:rPr>
      </w:pPr>
      <w:bookmarkStart w:id="19" w:name="_Toc232422680"/>
      <w:r w:rsidRPr="003131C5">
        <w:rPr>
          <w:rFonts w:eastAsia="Times New Roman"/>
          <w:lang w:val="ru-RU"/>
        </w:rPr>
        <w:t xml:space="preserve">3.2.4. </w:t>
      </w:r>
      <w:proofErr w:type="spellStart"/>
      <w:r>
        <w:rPr>
          <w:rFonts w:eastAsia="Times New Roman"/>
        </w:rPr>
        <w:t>RegTech</w:t>
      </w:r>
      <w:proofErr w:type="spellEnd"/>
      <w:r w:rsidRPr="003131C5">
        <w:rPr>
          <w:rFonts w:eastAsia="Times New Roman"/>
          <w:lang w:val="ru-RU"/>
        </w:rPr>
        <w:t xml:space="preserve"> нового </w:t>
      </w:r>
      <w:proofErr w:type="spellStart"/>
      <w:r w:rsidRPr="003131C5">
        <w:rPr>
          <w:rFonts w:eastAsia="Times New Roman"/>
          <w:lang w:val="ru-RU"/>
        </w:rPr>
        <w:t>покоління</w:t>
      </w:r>
      <w:proofErr w:type="spellEnd"/>
      <w:r w:rsidRPr="003131C5">
        <w:rPr>
          <w:rFonts w:eastAsia="Times New Roman"/>
          <w:lang w:val="ru-RU"/>
        </w:rPr>
        <w:t xml:space="preserve"> та </w:t>
      </w:r>
      <w:r>
        <w:rPr>
          <w:rFonts w:eastAsia="Times New Roman"/>
        </w:rPr>
        <w:t>CBDC</w:t>
      </w:r>
      <w:r w:rsidRPr="003131C5">
        <w:rPr>
          <w:rFonts w:eastAsia="Times New Roman"/>
          <w:lang w:val="ru-RU"/>
        </w:rPr>
        <w:t xml:space="preserve"> до 2030 р.</w:t>
      </w:r>
      <w:bookmarkEnd w:id="19"/>
    </w:p>
    <w:p w14:paraId="33AD6A65" w14:textId="2012F91C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одну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найвищих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темпів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сегментів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оцінкою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Mordor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Intelligence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(2025),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сягнув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20,67 млрд дол. у 2025 р. і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44,11 млрд дол. до 2030 р. (</w:t>
      </w:r>
      <w:r>
        <w:rPr>
          <w:rFonts w:ascii="Times New Roman" w:eastAsia="Times New Roman" w:hAnsi="Times New Roman" w:cs="Times New Roman"/>
          <w:sz w:val="28"/>
          <w:szCs w:val="28"/>
        </w:rPr>
        <w:t>CAGR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16,37 %) [15];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Fortune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Insights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агресивніше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105,23 млрд дол. до 2034 р. (</w:t>
      </w:r>
      <w:r>
        <w:rPr>
          <w:rFonts w:ascii="Times New Roman" w:eastAsia="Times New Roman" w:hAnsi="Times New Roman" w:cs="Times New Roman"/>
          <w:sz w:val="28"/>
          <w:szCs w:val="28"/>
        </w:rPr>
        <w:t>CAGR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20 %)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63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пояснюються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методологіями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охоплення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Mordor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фокусується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Fortune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ширший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периметр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financial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crime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драйвери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CSRD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штрафна практика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2024 р.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наклали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штрафів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4,6 млрд дол.</w:t>
      </w:r>
    </w:p>
    <w:p w14:paraId="1ED7794A" w14:textId="0AE22466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Нове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supervisory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technology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supervision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predictive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analytics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</w:t>
      </w:r>
      <w:proofErr w:type="gram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 банках</w:t>
      </w:r>
      <w:proofErr w:type="gram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machine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readable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regulation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автоматично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транслювати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-систем. НБУ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тестує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автоматизованої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пруденційної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лютому 2025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Innovate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Великій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запустила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UK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фірм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DA85950" w14:textId="24C7E9A8" w:rsidR="00290570" w:rsidRPr="003131C5" w:rsidRDefault="00290570" w:rsidP="008221BB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Atlantic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Tracker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(липень 2025), 146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валютних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союзів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(98 %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ВВП)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49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пілоту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3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запущені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просунутій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фазі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ЄЦБ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Preparation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Phase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(листопад 2023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жовтень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р.)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Phase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запуском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2027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Yuan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CNY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грудні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р. досягнув 3,4 млрд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транзакцій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16,7 трлн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юанів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CBDC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логіки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ліквідністю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Settlement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 мандату</w:t>
      </w:r>
      <w:proofErr w:type="gram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ALCO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E770611" w14:textId="77777777" w:rsidR="00290570" w:rsidRPr="003131C5" w:rsidRDefault="00290570" w:rsidP="00290570">
      <w:pPr>
        <w:spacing w:before="120" w:after="80" w:line="300" w:lineRule="auto"/>
        <w:jc w:val="center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Таблиця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3.2 –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Сценарний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аналіз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ринку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фінансових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lang w:val="ru-RU"/>
        </w:rPr>
        <w:t>інновацій</w:t>
      </w:r>
      <w:proofErr w:type="spellEnd"/>
      <w:r w:rsidRPr="003131C5">
        <w:rPr>
          <w:rFonts w:ascii="Times New Roman" w:eastAsia="Times New Roman" w:hAnsi="Times New Roman" w:cs="Times New Roman"/>
          <w:lang w:val="ru-RU"/>
        </w:rPr>
        <w:t xml:space="preserve"> до 2030 р.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53"/>
        <w:gridCol w:w="2453"/>
        <w:gridCol w:w="2454"/>
      </w:tblGrid>
      <w:tr w:rsidR="00290570" w14:paraId="7235421B" w14:textId="77777777" w:rsidTr="00522D3D"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06FE7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Параметр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1AD7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Песимістичний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858B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Базовий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603DF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Оптимістичний</w:t>
            </w:r>
          </w:p>
        </w:tc>
      </w:tr>
      <w:tr w:rsidR="00290570" w14:paraId="4A35E4A6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5F3CF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Глобальний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FinTech-revenue</w:t>
            </w:r>
            <w:proofErr w:type="spellEnd"/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6F230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$1 трлн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5F8CD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$1,5 трлн (BCG)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69EC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&gt; $2 трлн</w:t>
            </w:r>
          </w:p>
        </w:tc>
      </w:tr>
      <w:tr w:rsidR="00290570" w14:paraId="05E34086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1A288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Embedded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finance</w:t>
            </w:r>
            <w:proofErr w:type="spellEnd"/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14E6F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$200 млрд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C737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$320 млрд (BCG)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171DEA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&gt; $400 млрд</w:t>
            </w:r>
          </w:p>
        </w:tc>
      </w:tr>
      <w:tr w:rsidR="00290570" w14:paraId="76E169EE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F1617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RegTech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(глобальний)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F602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$30 млрд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86BF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$44 млрд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1EA2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$105 млрд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Fortune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90570" w14:paraId="7EBFCB43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9C878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Запуск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Euro</w:t>
            </w:r>
            <w:proofErr w:type="spellEnd"/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C8AE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відкладено після 2030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A45B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2028–2029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1705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</w:tr>
      <w:tr w:rsidR="00290570" w14:paraId="4360331F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5CDBE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Q-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(криптографічна загроза)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2A3FF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&gt; 2035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A73C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2030–2034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7B890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2028–2029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90570" w14:paraId="310D3457" w14:textId="77777777" w:rsidTr="00522D3D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5F8B0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GenTech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 банкінгу (% впровадження)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725C4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30 %</w:t>
            </w:r>
          </w:p>
        </w:tc>
        <w:tc>
          <w:tcPr>
            <w:tcW w:w="2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A7EDC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50–65 %</w:t>
            </w:r>
          </w:p>
        </w:tc>
        <w:tc>
          <w:tcPr>
            <w:tcW w:w="24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195D0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&gt; 80 %</w:t>
            </w:r>
          </w:p>
        </w:tc>
      </w:tr>
    </w:tbl>
    <w:p w14:paraId="5783AE68" w14:textId="04121B37" w:rsidR="00290570" w:rsidRDefault="00290570" w:rsidP="00264EC3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Джерело: складено автором на основі </w:t>
      </w:r>
      <w:r w:rsidR="00264EC3"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</w:t>
      </w:r>
    </w:p>
    <w:p w14:paraId="6FC0946B" w14:textId="4C29FB28" w:rsidR="00290570" w:rsidRDefault="00290570" w:rsidP="008B6F69">
      <w:pPr>
        <w:pStyle w:val="3"/>
      </w:pPr>
      <w:bookmarkStart w:id="20" w:name="_Toc232422681"/>
      <w:r>
        <w:rPr>
          <w:rFonts w:eastAsia="Times New Roman"/>
        </w:rPr>
        <w:t xml:space="preserve">3.2.5. Кореляційний аналіз між </w:t>
      </w:r>
      <w:proofErr w:type="spellStart"/>
      <w:r>
        <w:rPr>
          <w:rFonts w:eastAsia="Times New Roman"/>
        </w:rPr>
        <w:t>цифровізацією</w:t>
      </w:r>
      <w:proofErr w:type="spellEnd"/>
      <w:r>
        <w:rPr>
          <w:rFonts w:eastAsia="Times New Roman"/>
        </w:rPr>
        <w:t xml:space="preserve"> та показниками корпоративного управління</w:t>
      </w:r>
      <w:bookmarkEnd w:id="20"/>
    </w:p>
    <w:p w14:paraId="4A0AC308" w14:textId="77777777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Авторський порівняльний аналіз публічних звітів п'яти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бенчмаркових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банків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PKO BP, OTP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за 2018–2024 рр. виявляє стійкі залежності. Банки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≥ 70 % (за авторською оцінкою на основі частки цифрових клієнтів, NPS та CIR) демонструють: ROE у середньому на 4–6 процентних пунктів вище за галузеві показники; CIR на 10–15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нижчий; NPL на 2–3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нижчий. Ці результати узгоджуються з академічними даними: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Goaied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Sassi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(2023) виявили позитивну кореляцію між рівнем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FinTech-адопції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якістю корпоративного управління (β = +0,34, p &lt; 0,01); BIS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2022 підтверджує, що AI-кредитний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підвищує AUC з 0,72–0,78 до 0,82–0,88.</w:t>
      </w:r>
    </w:p>
    <w:p w14:paraId="190B0A51" w14:textId="66B13501" w:rsidR="00290570" w:rsidRDefault="00290570" w:rsidP="00264EC3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Важливо зазначити методологічне застереження: кореляція не означає каузальності, а наведені показники відображають сукупний ефект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якості менеджменту. Зокрема, аномально високий ROE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(понад 80 % у 2022 р.) зумовлений специфікою ринку Казахстану та обмеженою конкуренцією. Водночас тренди є чіткими та статистично підтвердженими, що дозволяє використовувати їх як орієнтири стратегічного планування.</w:t>
      </w:r>
    </w:p>
    <w:p w14:paraId="6AA3F4F7" w14:textId="0194F864" w:rsidR="00290570" w:rsidRPr="008B6F69" w:rsidRDefault="00290570" w:rsidP="008B6F69">
      <w:pPr>
        <w:pStyle w:val="2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bookmarkStart w:id="21" w:name="_Toc232422682"/>
      <w:r w:rsidRPr="008B6F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3.3. Рекомендації щодо розвитку корпоративного управління фінансових установ в умовах цифрової трансформації</w:t>
      </w:r>
      <w:bookmarkEnd w:id="21"/>
    </w:p>
    <w:p w14:paraId="37E92D50" w14:textId="4B09B30C" w:rsidR="00290570" w:rsidRPr="008B6F69" w:rsidRDefault="00290570" w:rsidP="008B6F69">
      <w:pPr>
        <w:pStyle w:val="3"/>
      </w:pPr>
      <w:bookmarkStart w:id="22" w:name="_Toc232422683"/>
      <w:r w:rsidRPr="008B6F69">
        <w:t>3.3.1. Поточний стан банківського сектору України та контекст реформування</w:t>
      </w:r>
      <w:bookmarkEnd w:id="22"/>
    </w:p>
    <w:p w14:paraId="077C196D" w14:textId="38EA9F1D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Поточний стан банківського сектору України формує специфічну базу для реформування корпоративного управління. Згідно з даними НБУ, на кінець 2024 р. чисті активи сектору становили 3 423 млрд грн (+16,2 % рік до року); чистий прибуток досяг рекордних 103,7 млрд грн (+25 % р/р); ROE сягнув близько 30 % (попередня оцінка НБУ, частково завищена через ставку податку 50 %); CIR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близько 36 %; NPL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30,3 % (18,6 %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legacy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-портфелів)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Кількість платоспроможних банків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60; системно важливих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(рішення Правління НБУ № 198 від 17 червня 2025 р., яким включено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Idea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доведено перелік до 16 установ)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8].</w:t>
      </w:r>
    </w:p>
    <w:p w14:paraId="3EE82963" w14:textId="7F30AE1F" w:rsidR="00290570" w:rsidRDefault="00290570" w:rsidP="00290570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PrivatBank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який забезпечує понад 36 % карткової інфраструктури країни та 53,7 % активних карток, формує понад 39 % прибутку всього сектору при CIR 24,07 % (9 місяців 2025 р.),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нараховує понад 8,5 млн користувачів і є другим банком за кількістю активних карток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7]. Ці показники підкреслюють принципово різний рівень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рамках однієї банківської системи: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необанку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monobank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-моделлю управління до традиційних регіональних банків з переважно паперовими процесами.</w:t>
      </w:r>
    </w:p>
    <w:p w14:paraId="72FDA647" w14:textId="5BE81BCF" w:rsidR="00290570" w:rsidRDefault="00290570" w:rsidP="00DA542D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-ринок України за UAFIC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Companies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Catalog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2025» (липень 2025 р., опитування квітень–травень 2025 р.) нараховує 257 компаній, серед яких 76 % прибуткові, 43 % впровадили ШІ у бізнес-процеси (порівняно з 29 % у 2024 р.), 38 % активні на міжнародних ринках, 90 % вважають AI найперспективнішою технологією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НБУ планує запустити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Національний інноваційний хаб у 2026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це заявив Голова НБУ А. Пишний на форумі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Forbes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31 жовтня 2025 р.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  <w:lang w:val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5CAD8A00" w14:textId="3924B26D" w:rsidR="00290570" w:rsidRDefault="00290570" w:rsidP="008B6F69">
      <w:pPr>
        <w:pStyle w:val="3"/>
      </w:pPr>
      <w:bookmarkStart w:id="23" w:name="_Toc232422684"/>
      <w:r>
        <w:rPr>
          <w:rFonts w:eastAsia="Times New Roman"/>
        </w:rPr>
        <w:t>3.3.2. Рекомендації для НБУ як регулятора</w:t>
      </w:r>
      <w:bookmarkEnd w:id="23"/>
    </w:p>
    <w:p w14:paraId="08941757" w14:textId="07272A78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регулятору розподіляються на три горизонти. У короткостроковій перспективі (2025–2026) НБУ слід: опублікувати методичні рекомендації щодо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банків за прикладом EBA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mapping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exercise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(листопад 2025 р.), де EBA підтвердила, що «не виявлено суттєвих суперечностей між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банківським/платіжним законодавством ЄС»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]; перезапустити регуляторну «пісочницю» у напрямку AI-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токенізації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активів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адже, як зізнався Голова НБУ А. Пишний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Forbes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2025, «за три роки жодна із поданих ініціатив не містила реально інноваційної цінності»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>]; забезпечити реалізацію відкритого банкінгу за Постановами №80–82 від 25.07.2025 р. з повним охопленням системно важливих банків до 1 січня 2026 р.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34502951" w14:textId="52892131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середньостроковій перспективі (2026–2028) ключовим завданням є гармонізація Постанов НБУ №64/2018 та №88/2019 з вимогами DORA та оновленими EBA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Guidelines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Постанова №64 від 11 червня 2018 р. «Про затвердження Положення про організацію системи управління ризиками в банках України та банківських групах» потребує: окремої глави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operational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обов'язкового призначення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Chief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ICT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Officer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банках з активами понад 50 млрд грн; вимоги щодо TLPT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Threat-Led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Penetration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Testing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кожні три роки для всіх системно важливих банків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]. Постанова №88 від 2 липня 2019 р. «Про затвердження Положення про організацію системи внутрішнього контролю в банках України та банківських групах» потребує доповнення: ICT-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окремої складової внутрішнього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контролю; ESG-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procedures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dedicated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підзвітністю CRO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7E6D1936" w14:textId="15292974" w:rsidR="00290570" w:rsidRDefault="00290570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довгостроковій перспективі (2028–2030) НБУ слід: поетапно транспонувати PSD3/PSR (очікувана застосовність 2027–2028 рр.) та FIDA (2027–2028 рр.) через оновлення Закону «Про платіжні послуги» №1591-IX; розробити національну криптографічну дорожню карту NIST PQC-міграції до 2030 р. з обов'язковим аудитом криптографічних активів у системно важливих банках до 2027 р.; підготувати нормативну базу для регулювання AI-кредитного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з 02.08.2026 р. для EU та аналог для України в рамках гармонізації)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090A00A5" w14:textId="32B54243" w:rsidR="00290570" w:rsidRDefault="00290570" w:rsidP="008B6F69">
      <w:pPr>
        <w:pStyle w:val="3"/>
      </w:pPr>
      <w:bookmarkStart w:id="24" w:name="_Toc232422685"/>
      <w:r>
        <w:rPr>
          <w:rFonts w:eastAsia="Times New Roman"/>
        </w:rPr>
        <w:t>3.3.3. Рекомендації для системно важливих банків України</w:t>
      </w:r>
      <w:bookmarkEnd w:id="24"/>
    </w:p>
    <w:p w14:paraId="5FC7615A" w14:textId="6D1188A4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системно важливих банків пропонується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семиелементний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цифрового апгрейду корпоративного управління. Перший елемент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реструктурування наглядової ради: до 2026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до 2027 р.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Ethics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Другий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talent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upgrade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ради: забезпечити не менше 20 % незалежних директорів із технологічною/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data-science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експертизою до 2027 р.; не менше 30 % до 2030 р.; обов'язкові 20+ годин щорічного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всіх членів ради. Третій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призначення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Chief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Officer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inventory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класифікацією систем за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audit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рідше ніж раз на рік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 (кредитний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AML) [</w:t>
      </w:r>
      <w:r w:rsidR="00895E78" w:rsidRPr="00895E7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5E78" w:rsidRPr="008B6F6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].</w:t>
      </w:r>
    </w:p>
    <w:p w14:paraId="24BDDC7E" w14:textId="0EFCC1F1" w:rsidR="00290570" w:rsidRDefault="00290570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Четвертий елемент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інвестиції в AI: 5–7 % річного IT-бюджету на AI-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AML-AI; цільове зниження NPL на 2–3 процентних пункти за три роки; скорочення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false-positives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AML на 60–80 % за аналогією з кейсом HSBC/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Quantexa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П'ятий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post-quantum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cryptography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readiness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криптографічна інвентаризація до 2027 р.; пілотні впровадження NIST PQC до 2028 р. Шостий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ESG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призначення ESG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рівні ради;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sustainability-linked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KPI у винагороді правління; пілотний випуск зелених облігацій до 2027 р. за підтримки ЄБРР/МФК. Сьомий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повна готовність API-інфраструктури для TPP-доступу до 1 січня 2026р.;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dashboard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клієнтів.</w:t>
      </w:r>
    </w:p>
    <w:p w14:paraId="4EE33DA5" w14:textId="066FC3B2" w:rsidR="00290570" w:rsidRDefault="00290570" w:rsidP="008B6F69">
      <w:pPr>
        <w:pStyle w:val="3"/>
      </w:pPr>
      <w:bookmarkStart w:id="25" w:name="_Toc232422686"/>
      <w:r>
        <w:rPr>
          <w:rFonts w:eastAsia="Times New Roman"/>
        </w:rPr>
        <w:t xml:space="preserve">3.3.4. </w:t>
      </w:r>
      <w:proofErr w:type="spellStart"/>
      <w:r>
        <w:rPr>
          <w:rFonts w:eastAsia="Times New Roman"/>
        </w:rPr>
        <w:t>Бенчмарки</w:t>
      </w:r>
      <w:proofErr w:type="spellEnd"/>
      <w:r>
        <w:rPr>
          <w:rFonts w:eastAsia="Times New Roman"/>
        </w:rPr>
        <w:t xml:space="preserve"> корпоративного управління після </w:t>
      </w:r>
      <w:proofErr w:type="spellStart"/>
      <w:r>
        <w:rPr>
          <w:rFonts w:eastAsia="Times New Roman"/>
        </w:rPr>
        <w:t>цифровізації</w:t>
      </w:r>
      <w:proofErr w:type="spellEnd"/>
      <w:r>
        <w:rPr>
          <w:rFonts w:eastAsia="Times New Roman"/>
        </w:rPr>
        <w:t>: ЦСЄ та Казахстан</w:t>
      </w:r>
      <w:bookmarkEnd w:id="25"/>
    </w:p>
    <w:p w14:paraId="7EC0C11F" w14:textId="77777777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Аналіз міжнародних кейсів підкреслює, що успішна цифрова трансформація банків є реалізованим, а не гіпотетичним сценарієм.</w:t>
      </w:r>
    </w:p>
    <w:p w14:paraId="43BDCED4" w14:textId="2D4E8606" w:rsidR="00290570" w:rsidRDefault="00290570" w:rsidP="00290570">
      <w:pPr>
        <w:spacing w:line="360" w:lineRule="auto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(Казахстан) є найбільш яскравим кейсом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markets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аналізом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Schwab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(2024) та HBS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324-022 (2023), за 2018–2023 рр. CAGR активів перевищив 30 % при ВВП Казахстану +4,1 %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середньорічно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CIR знижено з 70,4 % (2018) до 55,6 % (2023); NPL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8,3 % до 5,5 %; 14 млн активних користувачів (≈ 70 % населення) [</w:t>
      </w:r>
      <w:r w:rsidR="008B6F69" w:rsidRPr="009023FB">
        <w:rPr>
          <w:rFonts w:ascii="Times New Roman" w:eastAsia="Times New Roman" w:hAnsi="Times New Roman" w:cs="Times New Roman"/>
          <w:sz w:val="28"/>
          <w:szCs w:val="28"/>
        </w:rPr>
        <w:t>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трансформував Казахстан з 85 %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cash-based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85 %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cashless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-економіки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super-app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трьома сегментами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Payments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Marketplace,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Ключовий урок: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cross-functional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teams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customer-centric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re-engineering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 рада виконує роль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strategic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champion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watchdog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B46B90" w14:textId="00705927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PKO BP (Польща) є лідером ЦСЄ. Згідно з PKO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Polski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Annual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(лютий 2025 р.): активи Групи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525 млрд PLN; кількість клієнтів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понад 12,1 млн; CIR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29,5 %; ROE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19,2 % [</w:t>
      </w:r>
      <w:r w:rsidR="008B6F69" w:rsidRPr="008B6F69"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]. Стратегія «PKO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Platform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передбачає хмарну міграцію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(мета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50 % сервісів у хмарі); IKO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двічі визнано найкращим мобільним банком у світі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Retail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Урок: наявність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Excellence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як окремої функції в структурі CIO дозволила зменшити CIR на 3–4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за три роки.</w:t>
      </w:r>
    </w:p>
    <w:p w14:paraId="6513B161" w14:textId="32B7D012" w:rsidR="00290570" w:rsidRDefault="00290570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OTP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(Угорщина) охоплює близько 16 млн клієнтів у 11 країнах, активи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понад 80 млрд євро.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(2015 р., 25 проєктів за три роки),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transformation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 2019 р.),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Super-App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єдина платформа для 65+ сервісів; зелені кредити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понад 1 000 млрд HUF на кінець 2024 р.; перший угорський банк, що підписав UN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[7</w:t>
      </w:r>
      <w:r w:rsidR="008B6F69" w:rsidRPr="008B6F6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]. Урок: успішна регіональна цифрова експансія через єдину технологічну платформу, що дозволяє масштабувати модель CG без пропорційного зростання витрат.</w:t>
      </w:r>
    </w:p>
    <w:p w14:paraId="278E8F5B" w14:textId="069F4983" w:rsidR="00290570" w:rsidRDefault="00290570" w:rsidP="008B6F69">
      <w:pPr>
        <w:pStyle w:val="3"/>
      </w:pPr>
      <w:bookmarkStart w:id="26" w:name="_Toc232422687"/>
      <w:r>
        <w:rPr>
          <w:rFonts w:eastAsia="Times New Roman"/>
        </w:rPr>
        <w:t>3.3.5. Кількісні KPI та дорожня карта цифрового CG для банків України</w:t>
      </w:r>
      <w:bookmarkEnd w:id="26"/>
    </w:p>
    <w:p w14:paraId="231E4E7B" w14:textId="77777777" w:rsidR="00290570" w:rsidRDefault="00290570" w:rsidP="00290570">
      <w:pPr>
        <w:spacing w:before="120" w:after="80" w:line="300" w:lineRule="auto"/>
        <w:jc w:val="center"/>
      </w:pPr>
      <w:r>
        <w:rPr>
          <w:rFonts w:ascii="Times New Roman" w:eastAsia="Times New Roman" w:hAnsi="Times New Roman" w:cs="Times New Roman"/>
        </w:rPr>
        <w:t>Таблиця 3.3 – Ключові показники ефективності цифрової трансформації корпоративного управління банків України до 2030 р.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840"/>
        <w:gridCol w:w="1840"/>
        <w:gridCol w:w="1840"/>
        <w:gridCol w:w="1478"/>
      </w:tblGrid>
      <w:tr w:rsidR="00290570" w14:paraId="510E10D1" w14:textId="77777777" w:rsidTr="00DA542D">
        <w:trPr>
          <w:tblHeader/>
        </w:trPr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B595E8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KPI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44BB3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2024 (база)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F60A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2027 (ціль)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BFCE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2030 (ціль)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F9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1E4AA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Джерело бази</w:t>
            </w:r>
          </w:p>
        </w:tc>
      </w:tr>
      <w:tr w:rsidR="00290570" w14:paraId="6FAC7F87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81192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ROE банківського сектору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6DA3F" w14:textId="56188B2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~30 %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F4BF2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18 %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17170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15 %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99D1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НБУ, 2025</w:t>
            </w:r>
          </w:p>
        </w:tc>
      </w:tr>
      <w:tr w:rsidR="00290570" w14:paraId="5F49C8A2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547C4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CIR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Cost-to-Income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Ratio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F0F6F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~36 %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BFD802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≤ 38 %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EB7E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≤ 35 %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186B6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НБУ, 2025</w:t>
            </w:r>
          </w:p>
        </w:tc>
      </w:tr>
      <w:tr w:rsidR="00290570" w14:paraId="0CA02652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2EADC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NPL (без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legacy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8C50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18,6 %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A6AFE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≤ 12 %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74B84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≤ 8 %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1909F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НБУ, 2025</w:t>
            </w:r>
          </w:p>
        </w:tc>
      </w:tr>
      <w:tr w:rsidR="00290570" w14:paraId="5EC0E081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AC63E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важл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банки з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Framework</w:t>
            </w:r>
            <w:proofErr w:type="spellEnd"/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42A0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30 %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DA2A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63636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AA962" w14:textId="77777777" w:rsidR="00290570" w:rsidRDefault="00290570" w:rsidP="00522D3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оцінка</w:t>
            </w:r>
          </w:p>
        </w:tc>
      </w:tr>
      <w:tr w:rsidR="00290570" w14:paraId="2E07848E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18EC7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Безготівкові платежі (% за кількістю)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F40EF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94,6 %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AE61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97 %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89F551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99 %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51304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НБУ, 2025</w:t>
            </w:r>
          </w:p>
        </w:tc>
      </w:tr>
      <w:tr w:rsidR="00290570" w14:paraId="42FC6397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4F80D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Активні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-компанії (UAFIC)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5CFAF7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4B352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400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FFF3F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600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FDF0A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UAFIC, 2025</w:t>
            </w:r>
          </w:p>
        </w:tc>
      </w:tr>
      <w:tr w:rsidR="00290570" w14:paraId="652AAECF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57357" w14:textId="77777777" w:rsidR="00290570" w:rsidRDefault="00290570" w:rsidP="00522D3D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Незалежні дир.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-експертизою (%)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6C87F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10 %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6553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20 %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06889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30 %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174123" w14:textId="77777777" w:rsidR="00290570" w:rsidRDefault="00290570" w:rsidP="00522D3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оцінка</w:t>
            </w:r>
          </w:p>
        </w:tc>
      </w:tr>
      <w:tr w:rsidR="00290570" w14:paraId="75FC9535" w14:textId="77777777" w:rsidTr="00DA542D">
        <w:tc>
          <w:tcPr>
            <w:tcW w:w="2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125E6" w14:textId="77777777" w:rsidR="00290570" w:rsidRDefault="00290570" w:rsidP="00522D3D">
            <w:pPr>
              <w:spacing w:line="28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активні клієнти (% від загал.)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7B535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 1 % (запуск 2025)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F8520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15 %</w:t>
            </w:r>
          </w:p>
        </w:tc>
        <w:tc>
          <w:tcPr>
            <w:tcW w:w="18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2F26B" w14:textId="77777777" w:rsidR="00290570" w:rsidRDefault="00290570" w:rsidP="00522D3D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≥ 40 %</w:t>
            </w:r>
          </w:p>
        </w:tc>
        <w:tc>
          <w:tcPr>
            <w:tcW w:w="14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ACBE2" w14:textId="77777777" w:rsidR="00290570" w:rsidRDefault="00290570" w:rsidP="00522D3D">
            <w:pPr>
              <w:spacing w:line="28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оцінка</w:t>
            </w:r>
          </w:p>
        </w:tc>
      </w:tr>
    </w:tbl>
    <w:p w14:paraId="56CBF8EC" w14:textId="5DC3A184" w:rsidR="00290570" w:rsidRDefault="00290570" w:rsidP="00DA542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Джерело: складено автором на основі </w:t>
      </w:r>
      <w:r w:rsidR="00264EC3">
        <w:rPr>
          <w:rFonts w:ascii="Times New Roman" w:eastAsia="Times New Roman" w:hAnsi="Times New Roman" w:cs="Times New Roman"/>
          <w:i/>
          <w:iCs/>
          <w:sz w:val="28"/>
          <w:szCs w:val="28"/>
        </w:rPr>
        <w:t>джерел</w:t>
      </w:r>
    </w:p>
    <w:p w14:paraId="6BC32165" w14:textId="3780658F" w:rsidR="00290570" w:rsidRDefault="00290570" w:rsidP="00DA542D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Дорожня карта цифрового корпоративного управління для українських банків на 2025–2030 рр. структурована за чотирма фазами. Перша фаза (2025–2026, «Фундамент») охоплює: оцінку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ради;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пілот відкритого банкінгу; AI-інвентаризацію; запуск Національного інноваційного хабу. Друга фаза (2026–2027, «Гармонізація») включає: оновлення Постанов НБУ №64/88 з урахуванням DORA та EBA; запуск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системно важливих банках; формування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Ethics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PQC-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readiness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assessment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Третя фаза (2027–2028, «Інтеграція») охоплює: транспозицію PSD3/PSR; застосування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high-risk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інтеграцію з SEPA;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quantum-safe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pilots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криптографічній інфраструктурі. Четверта фаза (2028–2030, «Зрілість») включає: повноцінний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FIDA;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sustainability-linked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досягнення цільових KPI (ROE ≥ 15 %, CIR ≤ 35 %, NPL ≤ 8 %).</w:t>
      </w:r>
    </w:p>
    <w:p w14:paraId="37E50E36" w14:textId="77777777" w:rsidR="00290570" w:rsidRDefault="00290570" w:rsidP="008B6F69">
      <w:pPr>
        <w:pStyle w:val="3"/>
      </w:pPr>
      <w:bookmarkStart w:id="27" w:name="_Toc232422688"/>
      <w:r>
        <w:rPr>
          <w:rFonts w:eastAsia="Times New Roman"/>
        </w:rPr>
        <w:t>3.3.6. Економічне обґрунтування та авторська концептуальна модель «</w:t>
      </w:r>
      <w:proofErr w:type="spellStart"/>
      <w:r>
        <w:rPr>
          <w:rFonts w:eastAsia="Times New Roman"/>
        </w:rPr>
        <w:t>FinInnov</w:t>
      </w:r>
      <w:proofErr w:type="spellEnd"/>
      <w:r>
        <w:rPr>
          <w:rFonts w:eastAsia="Times New Roman"/>
        </w:rPr>
        <w:t>-CG 4.0»</w:t>
      </w:r>
      <w:bookmarkEnd w:id="27"/>
    </w:p>
    <w:p w14:paraId="7D3AEA58" w14:textId="4B298E7B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Економічне обґрунтування запропонованих рекомендацій базується на трьох потоках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Перший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зниження операційних витрат через AI: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back-office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(RPA + AI) дозволяє зменшити CIR на 3–8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3–5 років (на основі кейсів PKO BP,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HSBC AML). Другий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покращення якості портфеля через AI-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зниження NPL на 2–3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 3 роки (на основі BIS WP 2022: AI-AUC 0,82–0,88 проти класичного 0,72–0,78). Третій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зростання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доходів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персоналізацію: +5–10 %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retail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revenue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рахунок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cross-sell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2024). Узагальнений ROI на інвестиції в AI для системно важливого українського банку з капіталом 10 млрд грн у тривалому горизонті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180–250 % за три роки.</w:t>
      </w:r>
    </w:p>
    <w:p w14:paraId="583D3D1C" w14:textId="737A7311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Авторська концептуальна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FinInnov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-CG 4.0» є синтезом всього дослідження та інтегрує чотири взаємопов'язані шари. Перший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регуляторний фундамент: DORA + 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FIDA + PSD3 + оновлені Постанови НБУ №64/88. Другий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архітектурний шар ради: Цифрова наглядова рада з п'ятьма спеціалізованими комітетами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Ethics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Cybersecurity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Innovation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ESG); ≥ 30 % незалежних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-директорів; щорічне навчання ≥ 20 годин. Третій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операційний шар: AI-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augmented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 із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плюс окрема ICT-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нова бізнес-модель;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п'ятий принцип CG. Четвертий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-шар: цифрова комунікація з акціонерами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real-time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ESG-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дашборди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regulatory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sandbox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co-creation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регулятором;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sustainability-linked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лінійці банку.</w:t>
      </w:r>
    </w:p>
    <w:p w14:paraId="10011CC6" w14:textId="03A6353F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FinInnov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-CG 4.0» спрямована на досягнення «потрійної мети»: фінансової стійкості (ROE ≥ 15 %, CIR ≤ 35 %), цифрової зрілості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≥ 70 %) та регуляторної відповідності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≥ 90 % з DORA/EU 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/FIDA). Вона органічно доповнює класичну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чотирикомпонентну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структуру OECD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2023, додаючи п'ятий принцип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 адаптацію до реалій ери штучного інтелекту та децентралізованих фінансів.</w:t>
      </w:r>
    </w:p>
    <w:p w14:paraId="15B99752" w14:textId="77777777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Розробка стратегічних напрямів вдосконалення корпоративного управління на основі фінансових інновацій дозволяє сформулювати такі підсумкові висновки.</w:t>
      </w:r>
    </w:p>
    <w:p w14:paraId="0BEEF1E5" w14:textId="5946B0A5" w:rsidR="00290570" w:rsidRDefault="00290570" w:rsidP="00290570">
      <w:pPr>
        <w:spacing w:line="36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По-перше, сучасна наукова думка переосмислює роль ради директорів у напрямку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monitoring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strategic-technology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Емпіричні дослідження підтверджують, що надмірна моніторингова орієнтація ради негативно корелює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maturity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(β = –0,276), тоді як стратегічна ресурс-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провайдингова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r w:rsidR="00DA542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позитивно (β = +0,247). Авторська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DigiCG-Bank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синтезує ці висновки у практичну архітектуру цифрової наглядової ради з п'ятьма спеціалізованими комітетами та принципом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accountability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28E25" w14:textId="77777777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proofErr w:type="gram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proofErr w:type="gram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2030 р.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трьома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технологічними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«мегатрендами».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Генеративний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ШІ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обіцяє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200–340 млрд дол.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щорічної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доданої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вартості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глобального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embedded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320 млрд дол. ринку;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квантові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обчислення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загрожують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поточній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криптографічній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горизонтом </w:t>
      </w:r>
      <w:r>
        <w:rPr>
          <w:rFonts w:ascii="Times New Roman" w:eastAsia="Times New Roman" w:hAnsi="Times New Roman" w:cs="Times New Roman"/>
          <w:sz w:val="28"/>
          <w:szCs w:val="28"/>
        </w:rPr>
        <w:t>Q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2028–2034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трендів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ради: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Governance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BaaS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PQC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roadmap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AD404E0" w14:textId="77777777" w:rsidR="00290570" w:rsidRPr="003131C5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По-третє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банківського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сектору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базовий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сценарій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≥ 15 %, 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≤ 35 % та </w:t>
      </w:r>
      <w:r>
        <w:rPr>
          <w:rFonts w:ascii="Times New Roman" w:eastAsia="Times New Roman" w:hAnsi="Times New Roman" w:cs="Times New Roman"/>
          <w:sz w:val="28"/>
          <w:szCs w:val="28"/>
        </w:rPr>
        <w:t>NPL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≤ 8 % до 2030 р. через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поетапну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гармонізацію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</w:rPr>
        <w:t>DORA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EU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</w:rPr>
        <w:t>FIDA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банкінгу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Risk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Committee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 системно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банках. Бенчмарки </w:t>
      </w:r>
      <w:r>
        <w:rPr>
          <w:rFonts w:ascii="Times New Roman" w:eastAsia="Times New Roman" w:hAnsi="Times New Roman" w:cs="Times New Roman"/>
          <w:sz w:val="28"/>
          <w:szCs w:val="28"/>
        </w:rPr>
        <w:t>PKO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29,5 %, </w:t>
      </w:r>
      <w:r>
        <w:rPr>
          <w:rFonts w:ascii="Times New Roman" w:eastAsia="Times New Roman" w:hAnsi="Times New Roman" w:cs="Times New Roman"/>
          <w:sz w:val="28"/>
          <w:szCs w:val="28"/>
        </w:rPr>
        <w:t>ROE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19,2 %),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Kaspi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CIR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55,6 %,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NPL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2,8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п.п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та </w:t>
      </w:r>
      <w:r>
        <w:rPr>
          <w:rFonts w:ascii="Times New Roman" w:eastAsia="Times New Roman" w:hAnsi="Times New Roman" w:cs="Times New Roman"/>
          <w:sz w:val="28"/>
          <w:szCs w:val="28"/>
        </w:rPr>
        <w:t>OTP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підтверджують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досяжність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ЦСЄ та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Центральної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Азії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CACC11" w14:textId="7A5AAC7B" w:rsidR="00290570" w:rsidRPr="00290570" w:rsidRDefault="00290570" w:rsidP="00290570">
      <w:pPr>
        <w:spacing w:line="360" w:lineRule="auto"/>
        <w:ind w:firstLine="720"/>
        <w:jc w:val="both"/>
        <w:rPr>
          <w:lang w:val="ru-RU"/>
        </w:rPr>
      </w:pP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По-четверте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авторська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концептуальна модель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FinInnov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CG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4.0»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інтегрує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регуляторний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фундамент,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архітектуру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ради,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augmented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операційний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шар та стейкхолдер-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орієнтований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єдину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систему.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модель є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внеском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орієнтиром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реформування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корпоративного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рамках </w:t>
      </w:r>
      <w:proofErr w:type="spellStart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євроінтеграції</w:t>
      </w:r>
      <w:proofErr w:type="spellEnd"/>
      <w:r w:rsidRPr="003131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BD80A9C" w14:textId="4A1BD518" w:rsidR="00290570" w:rsidRPr="00290570" w:rsidRDefault="0029057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2905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br w:type="page"/>
      </w:r>
    </w:p>
    <w:sectPr w:rsidR="00290570" w:rsidRPr="00290570" w:rsidSect="00A0072C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760B" w14:textId="77777777" w:rsidR="008C7B41" w:rsidRDefault="008C7B41" w:rsidP="009A1BE7">
      <w:pPr>
        <w:spacing w:after="0" w:line="240" w:lineRule="auto"/>
      </w:pPr>
      <w:r>
        <w:separator/>
      </w:r>
    </w:p>
  </w:endnote>
  <w:endnote w:type="continuationSeparator" w:id="0">
    <w:p w14:paraId="40428000" w14:textId="77777777" w:rsidR="008C7B41" w:rsidRDefault="008C7B41" w:rsidP="009A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2EFD" w14:textId="77777777" w:rsidR="008C7B41" w:rsidRDefault="008C7B41" w:rsidP="009A1BE7">
      <w:pPr>
        <w:spacing w:after="0" w:line="240" w:lineRule="auto"/>
      </w:pPr>
      <w:r>
        <w:separator/>
      </w:r>
    </w:p>
  </w:footnote>
  <w:footnote w:type="continuationSeparator" w:id="0">
    <w:p w14:paraId="20F87BDF" w14:textId="77777777" w:rsidR="008C7B41" w:rsidRDefault="008C7B41" w:rsidP="009A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168914477"/>
      <w:docPartObj>
        <w:docPartGallery w:val="Page Numbers (Top of Page)"/>
        <w:docPartUnique/>
      </w:docPartObj>
    </w:sdtPr>
    <w:sdtContent>
      <w:p w14:paraId="1F9BAC5C" w14:textId="7649B744" w:rsidR="00A0072C" w:rsidRDefault="00A0072C" w:rsidP="009F4274">
        <w:pPr>
          <w:pStyle w:val="af2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17826A3F" w14:textId="77777777" w:rsidR="00A0072C" w:rsidRDefault="00A0072C" w:rsidP="00A0072C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8"/>
      </w:rPr>
      <w:id w:val="1154112574"/>
      <w:docPartObj>
        <w:docPartGallery w:val="Page Numbers (Top of Page)"/>
        <w:docPartUnique/>
      </w:docPartObj>
    </w:sdtPr>
    <w:sdtContent>
      <w:p w14:paraId="04C3D3E3" w14:textId="789478A4" w:rsidR="00A0072C" w:rsidRDefault="00A0072C" w:rsidP="009F4274">
        <w:pPr>
          <w:pStyle w:val="af2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167610F9" w14:textId="77777777" w:rsidR="00A0072C" w:rsidRDefault="00A0072C" w:rsidP="00A0072C">
    <w:pPr>
      <w:pStyle w:val="af2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6571"/>
    <w:multiLevelType w:val="multilevel"/>
    <w:tmpl w:val="C1F8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E5220"/>
    <w:multiLevelType w:val="multilevel"/>
    <w:tmpl w:val="D6F0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E3001"/>
    <w:multiLevelType w:val="hybridMultilevel"/>
    <w:tmpl w:val="97400BAE"/>
    <w:lvl w:ilvl="0" w:tplc="8796FF7A">
      <w:start w:val="1"/>
      <w:numFmt w:val="bullet"/>
      <w:lvlText w:val="●"/>
      <w:lvlJc w:val="left"/>
      <w:pPr>
        <w:ind w:left="720" w:hanging="360"/>
      </w:pPr>
    </w:lvl>
    <w:lvl w:ilvl="1" w:tplc="B13CCA1C">
      <w:start w:val="1"/>
      <w:numFmt w:val="bullet"/>
      <w:lvlText w:val="○"/>
      <w:lvlJc w:val="left"/>
      <w:pPr>
        <w:ind w:left="1440" w:hanging="360"/>
      </w:pPr>
    </w:lvl>
    <w:lvl w:ilvl="2" w:tplc="27CC2970">
      <w:start w:val="1"/>
      <w:numFmt w:val="bullet"/>
      <w:lvlText w:val="■"/>
      <w:lvlJc w:val="left"/>
      <w:pPr>
        <w:ind w:left="2160" w:hanging="360"/>
      </w:pPr>
    </w:lvl>
    <w:lvl w:ilvl="3" w:tplc="13F878B6">
      <w:start w:val="1"/>
      <w:numFmt w:val="bullet"/>
      <w:lvlText w:val="●"/>
      <w:lvlJc w:val="left"/>
      <w:pPr>
        <w:ind w:left="2880" w:hanging="360"/>
      </w:pPr>
    </w:lvl>
    <w:lvl w:ilvl="4" w:tplc="6D445FCC">
      <w:start w:val="1"/>
      <w:numFmt w:val="bullet"/>
      <w:lvlText w:val="○"/>
      <w:lvlJc w:val="left"/>
      <w:pPr>
        <w:ind w:left="3600" w:hanging="360"/>
      </w:pPr>
    </w:lvl>
    <w:lvl w:ilvl="5" w:tplc="A606B82E">
      <w:start w:val="1"/>
      <w:numFmt w:val="bullet"/>
      <w:lvlText w:val="■"/>
      <w:lvlJc w:val="left"/>
      <w:pPr>
        <w:ind w:left="4320" w:hanging="360"/>
      </w:pPr>
    </w:lvl>
    <w:lvl w:ilvl="6" w:tplc="53EC09C6">
      <w:start w:val="1"/>
      <w:numFmt w:val="bullet"/>
      <w:lvlText w:val="●"/>
      <w:lvlJc w:val="left"/>
      <w:pPr>
        <w:ind w:left="5040" w:hanging="360"/>
      </w:pPr>
    </w:lvl>
    <w:lvl w:ilvl="7" w:tplc="677ECC36">
      <w:start w:val="1"/>
      <w:numFmt w:val="bullet"/>
      <w:lvlText w:val="●"/>
      <w:lvlJc w:val="left"/>
      <w:pPr>
        <w:ind w:left="5760" w:hanging="360"/>
      </w:pPr>
    </w:lvl>
    <w:lvl w:ilvl="8" w:tplc="E8583BB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4234E3C"/>
    <w:multiLevelType w:val="hybridMultilevel"/>
    <w:tmpl w:val="85F8E1CC"/>
    <w:lvl w:ilvl="0" w:tplc="404AD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6DFE"/>
    <w:multiLevelType w:val="hybridMultilevel"/>
    <w:tmpl w:val="D136C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5BEA"/>
    <w:multiLevelType w:val="hybridMultilevel"/>
    <w:tmpl w:val="61100AFC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3648">
    <w:abstractNumId w:val="1"/>
  </w:num>
  <w:num w:numId="2" w16cid:durableId="1560165970">
    <w:abstractNumId w:val="0"/>
  </w:num>
  <w:num w:numId="3" w16cid:durableId="1421485683">
    <w:abstractNumId w:val="2"/>
    <w:lvlOverride w:ilvl="0">
      <w:startOverride w:val="1"/>
    </w:lvlOverride>
  </w:num>
  <w:num w:numId="4" w16cid:durableId="211429976">
    <w:abstractNumId w:val="5"/>
  </w:num>
  <w:num w:numId="5" w16cid:durableId="434248233">
    <w:abstractNumId w:val="4"/>
  </w:num>
  <w:num w:numId="6" w16cid:durableId="66389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8C"/>
    <w:rsid w:val="00045C70"/>
    <w:rsid w:val="000D1364"/>
    <w:rsid w:val="000F436B"/>
    <w:rsid w:val="000F45C9"/>
    <w:rsid w:val="00182C49"/>
    <w:rsid w:val="00214582"/>
    <w:rsid w:val="00216EB0"/>
    <w:rsid w:val="00250F1C"/>
    <w:rsid w:val="00264EC3"/>
    <w:rsid w:val="00290570"/>
    <w:rsid w:val="00303F31"/>
    <w:rsid w:val="00377249"/>
    <w:rsid w:val="003C19C1"/>
    <w:rsid w:val="003D41C7"/>
    <w:rsid w:val="006A48D2"/>
    <w:rsid w:val="007B0767"/>
    <w:rsid w:val="008221BB"/>
    <w:rsid w:val="00834604"/>
    <w:rsid w:val="0087748C"/>
    <w:rsid w:val="00887C46"/>
    <w:rsid w:val="00895E78"/>
    <w:rsid w:val="008B6F69"/>
    <w:rsid w:val="008C7B41"/>
    <w:rsid w:val="009023FB"/>
    <w:rsid w:val="009146FE"/>
    <w:rsid w:val="00927800"/>
    <w:rsid w:val="009651E7"/>
    <w:rsid w:val="009A1BE7"/>
    <w:rsid w:val="00A0072C"/>
    <w:rsid w:val="00A85539"/>
    <w:rsid w:val="00A970E1"/>
    <w:rsid w:val="00B53B73"/>
    <w:rsid w:val="00CA5C1A"/>
    <w:rsid w:val="00D57EB4"/>
    <w:rsid w:val="00DA542D"/>
    <w:rsid w:val="00E626A8"/>
    <w:rsid w:val="00E654D8"/>
    <w:rsid w:val="00EC4C00"/>
    <w:rsid w:val="00F12DF8"/>
    <w:rsid w:val="00F14E6C"/>
    <w:rsid w:val="00F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ACCC"/>
  <w15:chartTrackingRefBased/>
  <w15:docId w15:val="{1E232181-BC40-CC4D-9974-D29B2FC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A1BE7"/>
    <w:pPr>
      <w:keepNext/>
      <w:keepLines/>
      <w:spacing w:before="360" w:after="80" w:line="360" w:lineRule="auto"/>
      <w:jc w:val="both"/>
      <w:outlineLvl w:val="0"/>
    </w:pPr>
    <w:rPr>
      <w:rFonts w:ascii="Times New Roman" w:eastAsiaTheme="majorEastAsia" w:hAnsi="Times New Roman" w:cs="Times New Roman (Headings CS)"/>
      <w:b/>
      <w:caps/>
      <w:color w:val="000000" w:themeColor="text1"/>
      <w:sz w:val="26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7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2"/>
    <w:next w:val="a"/>
    <w:link w:val="30"/>
    <w:uiPriority w:val="9"/>
    <w:unhideWhenUsed/>
    <w:qFormat/>
    <w:rsid w:val="008B6F69"/>
    <w:pPr>
      <w:jc w:val="both"/>
      <w:outlineLvl w:val="2"/>
    </w:pPr>
    <w:rPr>
      <w:rFonts w:ascii="Times New Roman" w:hAnsi="Times New Roman"/>
      <w:b/>
      <w:i/>
      <w:color w:val="000000" w:themeColor="tex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BE7"/>
    <w:rPr>
      <w:rFonts w:ascii="Times New Roman" w:eastAsiaTheme="majorEastAsia" w:hAnsi="Times New Roman" w:cs="Times New Roman (Headings CS)"/>
      <w:b/>
      <w:caps/>
      <w:color w:val="000000" w:themeColor="text1"/>
      <w:sz w:val="26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7748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8B6F69"/>
    <w:rPr>
      <w:rFonts w:ascii="Times New Roman" w:eastAsiaTheme="majorEastAsia" w:hAnsi="Times New Roman" w:cstheme="majorBidi"/>
      <w:b/>
      <w:i/>
      <w:color w:val="000000" w:themeColor="text1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7748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7748C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7748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7748C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7748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7748C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7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748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7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748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87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748C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qFormat/>
    <w:rsid w:val="00877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748C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87748C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a"/>
    <w:rsid w:val="0087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e">
    <w:name w:val="Strong"/>
    <w:basedOn w:val="a0"/>
    <w:uiPriority w:val="22"/>
    <w:qFormat/>
    <w:rsid w:val="0087748C"/>
    <w:rPr>
      <w:b/>
      <w:bCs/>
    </w:rPr>
  </w:style>
  <w:style w:type="character" w:styleId="af">
    <w:name w:val="Hyperlink"/>
    <w:basedOn w:val="a0"/>
    <w:uiPriority w:val="99"/>
    <w:unhideWhenUsed/>
    <w:rsid w:val="0087748C"/>
    <w:rPr>
      <w:color w:val="0000FF"/>
      <w:u w:val="single"/>
    </w:rPr>
  </w:style>
  <w:style w:type="paragraph" w:styleId="af0">
    <w:name w:val="Body Text Indent"/>
    <w:basedOn w:val="a"/>
    <w:link w:val="af1"/>
    <w:uiPriority w:val="99"/>
    <w:rsid w:val="009A1BE7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1">
    <w:name w:val="Основний текст з відступом Знак"/>
    <w:basedOn w:val="a0"/>
    <w:link w:val="af0"/>
    <w:uiPriority w:val="99"/>
    <w:rsid w:val="009A1BE7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9A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9A1BE7"/>
    <w:rPr>
      <w:lang w:val="uk-UA"/>
    </w:rPr>
  </w:style>
  <w:style w:type="paragraph" w:styleId="af4">
    <w:name w:val="footer"/>
    <w:basedOn w:val="a"/>
    <w:link w:val="af5"/>
    <w:uiPriority w:val="99"/>
    <w:unhideWhenUsed/>
    <w:rsid w:val="009A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9A1BE7"/>
    <w:rPr>
      <w:lang w:val="uk-UA"/>
    </w:rPr>
  </w:style>
  <w:style w:type="paragraph" w:styleId="af6">
    <w:name w:val="TOC Heading"/>
    <w:basedOn w:val="1"/>
    <w:next w:val="a"/>
    <w:uiPriority w:val="39"/>
    <w:unhideWhenUsed/>
    <w:qFormat/>
    <w:rsid w:val="009A1BE7"/>
    <w:pPr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9A1BE7"/>
    <w:pPr>
      <w:spacing w:after="0"/>
      <w:ind w:left="480"/>
    </w:pPr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9A1BE7"/>
    <w:pPr>
      <w:spacing w:before="120" w:after="0"/>
    </w:pPr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9A1BE7"/>
    <w:pPr>
      <w:spacing w:before="120" w:after="0"/>
      <w:ind w:left="240"/>
    </w:pPr>
    <w:rPr>
      <w:b/>
      <w:bCs/>
      <w:sz w:val="22"/>
      <w:szCs w:val="22"/>
    </w:rPr>
  </w:style>
  <w:style w:type="paragraph" w:styleId="41">
    <w:name w:val="toc 4"/>
    <w:basedOn w:val="a"/>
    <w:next w:val="a"/>
    <w:autoRedefine/>
    <w:uiPriority w:val="39"/>
    <w:semiHidden/>
    <w:unhideWhenUsed/>
    <w:rsid w:val="009A1BE7"/>
    <w:pPr>
      <w:spacing w:after="0"/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9A1BE7"/>
    <w:pPr>
      <w:spacing w:after="0"/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9A1BE7"/>
    <w:pPr>
      <w:spacing w:after="0"/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9A1BE7"/>
    <w:pPr>
      <w:spacing w:after="0"/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9A1BE7"/>
    <w:pPr>
      <w:spacing w:after="0"/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9A1BE7"/>
    <w:pPr>
      <w:spacing w:after="0"/>
      <w:ind w:left="1920"/>
    </w:pPr>
    <w:rPr>
      <w:sz w:val="20"/>
      <w:szCs w:val="20"/>
    </w:rPr>
  </w:style>
  <w:style w:type="character" w:styleId="af7">
    <w:name w:val="line number"/>
    <w:basedOn w:val="a0"/>
    <w:uiPriority w:val="99"/>
    <w:semiHidden/>
    <w:unhideWhenUsed/>
    <w:rsid w:val="00A0072C"/>
  </w:style>
  <w:style w:type="character" w:styleId="af8">
    <w:name w:val="page number"/>
    <w:basedOn w:val="a0"/>
    <w:uiPriority w:val="99"/>
    <w:semiHidden/>
    <w:unhideWhenUsed/>
    <w:rsid w:val="00A0072C"/>
  </w:style>
  <w:style w:type="paragraph" w:customStyle="1" w:styleId="Strong1">
    <w:name w:val="Strong1"/>
    <w:qFormat/>
    <w:rsid w:val="00264EC3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af9">
    <w:name w:val="footnote reference"/>
    <w:uiPriority w:val="99"/>
    <w:semiHidden/>
    <w:unhideWhenUsed/>
    <w:rsid w:val="00264EC3"/>
    <w:rPr>
      <w:vertAlign w:val="superscript"/>
    </w:rPr>
  </w:style>
  <w:style w:type="paragraph" w:styleId="afa">
    <w:name w:val="footnote text"/>
    <w:link w:val="afb"/>
    <w:uiPriority w:val="99"/>
    <w:semiHidden/>
    <w:unhideWhenUsed/>
    <w:rsid w:val="00264E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b">
    <w:name w:val="Текст виноски Знак"/>
    <w:basedOn w:val="a0"/>
    <w:link w:val="afa"/>
    <w:uiPriority w:val="99"/>
    <w:semiHidden/>
    <w:rsid w:val="00264E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c">
    <w:name w:val="endnote reference"/>
    <w:uiPriority w:val="99"/>
    <w:semiHidden/>
    <w:unhideWhenUsed/>
    <w:rsid w:val="00264EC3"/>
    <w:rPr>
      <w:vertAlign w:val="superscript"/>
    </w:rPr>
  </w:style>
  <w:style w:type="paragraph" w:styleId="afd">
    <w:name w:val="endnote text"/>
    <w:link w:val="afe"/>
    <w:uiPriority w:val="99"/>
    <w:semiHidden/>
    <w:unhideWhenUsed/>
    <w:rsid w:val="00264E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264E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9956E-3E8A-7B42-B53D-8146550A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60128</Words>
  <Characters>34274</Characters>
  <Application>Microsoft Office Word</Application>
  <DocSecurity>0</DocSecurity>
  <Lines>285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ROSSOSHANSKA</dc:creator>
  <cp:keywords/>
  <dc:description/>
  <cp:lastModifiedBy>Am</cp:lastModifiedBy>
  <cp:revision>3</cp:revision>
  <cp:lastPrinted>2026-05-28T09:23:00Z</cp:lastPrinted>
  <dcterms:created xsi:type="dcterms:W3CDTF">2026-06-15T10:31:00Z</dcterms:created>
  <dcterms:modified xsi:type="dcterms:W3CDTF">2026-06-16T17:44:00Z</dcterms:modified>
</cp:coreProperties>
</file>