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60DB" w:rsidRDefault="00BC60DB" w:rsidP="00BC60DB">
      <w:pPr>
        <w:spacing w:after="0" w:line="360" w:lineRule="auto"/>
        <w:jc w:val="center"/>
        <w:rPr>
          <w:rFonts w:ascii="Times New Roman" w:hAnsi="Times New Roman" w:cs="Times New Roman"/>
          <w:sz w:val="28"/>
          <w:szCs w:val="28"/>
          <w:lang w:val="uk-UA"/>
        </w:rPr>
      </w:pPr>
      <w:r w:rsidRPr="00951461">
        <w:rPr>
          <w:rFonts w:ascii="Times New Roman" w:hAnsi="Times New Roman" w:cs="Times New Roman"/>
          <w:b/>
          <w:bCs/>
          <w:sz w:val="28"/>
          <w:szCs w:val="28"/>
          <w:lang w:val="uk-UA"/>
        </w:rPr>
        <w:t>ВСТУП</w:t>
      </w:r>
    </w:p>
    <w:p w:rsidR="00BC60DB" w:rsidRPr="00BC60DB" w:rsidRDefault="00BC60DB" w:rsidP="00BC60DB">
      <w:pPr>
        <w:spacing w:after="0" w:line="360" w:lineRule="auto"/>
        <w:ind w:firstLine="709"/>
        <w:jc w:val="both"/>
        <w:rPr>
          <w:rFonts w:ascii="Times New Roman" w:hAnsi="Times New Roman" w:cs="Times New Roman"/>
          <w:sz w:val="28"/>
          <w:szCs w:val="28"/>
          <w:lang w:val="uk-UA"/>
        </w:rPr>
      </w:pPr>
    </w:p>
    <w:p w:rsidR="00BC60DB" w:rsidRDefault="00BC60DB" w:rsidP="00BC60DB">
      <w:pPr>
        <w:spacing w:after="0" w:line="360" w:lineRule="auto"/>
        <w:ind w:firstLine="709"/>
        <w:jc w:val="both"/>
        <w:rPr>
          <w:rFonts w:ascii="Times New Roman" w:hAnsi="Times New Roman" w:cs="Times New Roman"/>
          <w:sz w:val="28"/>
          <w:szCs w:val="28"/>
          <w:lang w:val="uk-UA"/>
        </w:rPr>
      </w:pPr>
      <w:r w:rsidRPr="00BC60DB">
        <w:rPr>
          <w:rFonts w:ascii="Times New Roman" w:hAnsi="Times New Roman" w:cs="Times New Roman"/>
          <w:sz w:val="28"/>
          <w:szCs w:val="28"/>
          <w:lang w:val="uk-UA"/>
        </w:rPr>
        <w:t xml:space="preserve">Стан та динаміка </w:t>
      </w:r>
      <w:r>
        <w:rPr>
          <w:rFonts w:ascii="Times New Roman" w:hAnsi="Times New Roman" w:cs="Times New Roman"/>
          <w:sz w:val="28"/>
          <w:szCs w:val="28"/>
          <w:lang w:val="uk-UA"/>
        </w:rPr>
        <w:t xml:space="preserve">банківської складової </w:t>
      </w:r>
      <w:r w:rsidRPr="00BC60DB">
        <w:rPr>
          <w:rFonts w:ascii="Times New Roman" w:hAnsi="Times New Roman" w:cs="Times New Roman"/>
          <w:sz w:val="28"/>
          <w:szCs w:val="28"/>
          <w:lang w:val="uk-UA"/>
        </w:rPr>
        <w:t>національної економіки безпосередньо визначаються функціонуванням фінансових інституцій. Водночас масштаби та ефективність цього впливу зумовлені ступенем зрілості самої фінансово-кредитної сфери, яка наразі змушена адаптуватися до викликів і обмежень воєнного стану.</w:t>
      </w:r>
    </w:p>
    <w:p w:rsidR="00BC60DB" w:rsidRDefault="00BC60DB" w:rsidP="00BC60DB">
      <w:pPr>
        <w:spacing w:after="0" w:line="360" w:lineRule="auto"/>
        <w:ind w:firstLine="709"/>
        <w:jc w:val="both"/>
        <w:rPr>
          <w:rFonts w:ascii="Times New Roman" w:hAnsi="Times New Roman" w:cs="Times New Roman"/>
          <w:sz w:val="28"/>
          <w:szCs w:val="28"/>
          <w:lang w:val="uk-UA"/>
        </w:rPr>
      </w:pPr>
      <w:r w:rsidRPr="00BC60DB">
        <w:rPr>
          <w:rFonts w:ascii="Times New Roman" w:hAnsi="Times New Roman" w:cs="Times New Roman"/>
          <w:sz w:val="28"/>
          <w:szCs w:val="28"/>
          <w:lang w:val="uk-UA"/>
        </w:rPr>
        <w:t xml:space="preserve">Дані чинники виступають каталізатором для модифікації банківської діяльності відповідно до нових параметрів попиту і пропозиції, що детерміновані розвитком ІТ-сфери, міграцією споживачів та екстраординарними умовами функціонування. Процеси ринкової оптимізації, </w:t>
      </w:r>
      <w:proofErr w:type="spellStart"/>
      <w:r w:rsidRPr="00BC60DB">
        <w:rPr>
          <w:rFonts w:ascii="Times New Roman" w:hAnsi="Times New Roman" w:cs="Times New Roman"/>
          <w:sz w:val="28"/>
          <w:szCs w:val="28"/>
          <w:lang w:val="uk-UA"/>
        </w:rPr>
        <w:t>інтерnationalізація</w:t>
      </w:r>
      <w:proofErr w:type="spellEnd"/>
      <w:r w:rsidRPr="00BC60DB">
        <w:rPr>
          <w:rFonts w:ascii="Times New Roman" w:hAnsi="Times New Roman" w:cs="Times New Roman"/>
          <w:sz w:val="28"/>
          <w:szCs w:val="28"/>
          <w:lang w:val="uk-UA"/>
        </w:rPr>
        <w:t xml:space="preserve"> економіки, активізація альтернативних фінансових посередників та дифузія новітніх телекомунікаційних рішень доводять об'єктивну потребу формування теоретико-методологічного базису управління фінансовими установами на засадах маркетингового підходу.</w:t>
      </w:r>
    </w:p>
    <w:p w:rsidR="00C74131" w:rsidRDefault="00C74131" w:rsidP="00C74131">
      <w:pPr>
        <w:spacing w:after="0" w:line="360" w:lineRule="auto"/>
        <w:ind w:firstLine="709"/>
        <w:jc w:val="both"/>
        <w:rPr>
          <w:rFonts w:ascii="Times New Roman" w:hAnsi="Times New Roman" w:cs="Times New Roman"/>
          <w:sz w:val="28"/>
          <w:szCs w:val="28"/>
          <w:lang w:val="uk-UA"/>
        </w:rPr>
      </w:pPr>
      <w:r w:rsidRPr="00032C14">
        <w:rPr>
          <w:rFonts w:ascii="Times New Roman" w:hAnsi="Times New Roman" w:cs="Times New Roman"/>
          <w:sz w:val="28"/>
          <w:szCs w:val="28"/>
          <w:lang w:val="uk-UA"/>
        </w:rPr>
        <w:t xml:space="preserve">У сучасній науковій дискусії простежується тенденція до зростання інтересу репрезентантів вітчизняної та іншомовної академічних спільнот до проблематики впровадження маркетингового інструментарію в банківській індустрії. Зокрема, дослідницька увага зосереджена на стратегічному плануванні маркетингової активності як базового детермінанта формування клієнтської лояльності. </w:t>
      </w:r>
    </w:p>
    <w:p w:rsidR="00C74131" w:rsidRPr="00032C14" w:rsidRDefault="00C74131" w:rsidP="00C74131">
      <w:pPr>
        <w:spacing w:after="0" w:line="360" w:lineRule="auto"/>
        <w:ind w:firstLine="709"/>
        <w:jc w:val="both"/>
        <w:rPr>
          <w:rFonts w:ascii="Times New Roman" w:hAnsi="Times New Roman" w:cs="Times New Roman"/>
          <w:sz w:val="28"/>
          <w:szCs w:val="28"/>
          <w:lang w:val="uk-UA"/>
        </w:rPr>
      </w:pPr>
      <w:r w:rsidRPr="00032C14">
        <w:rPr>
          <w:rFonts w:ascii="Times New Roman" w:hAnsi="Times New Roman" w:cs="Times New Roman"/>
          <w:sz w:val="28"/>
          <w:szCs w:val="28"/>
          <w:lang w:val="uk-UA"/>
        </w:rPr>
        <w:t xml:space="preserve">Фундаментальні аспекти цієї тематики закладені у працях таких іноземних авторів, як Ф. </w:t>
      </w:r>
      <w:proofErr w:type="spellStart"/>
      <w:r w:rsidRPr="00032C14">
        <w:rPr>
          <w:rFonts w:ascii="Times New Roman" w:hAnsi="Times New Roman" w:cs="Times New Roman"/>
          <w:sz w:val="28"/>
          <w:szCs w:val="28"/>
          <w:lang w:val="uk-UA"/>
        </w:rPr>
        <w:t>Котлер</w:t>
      </w:r>
      <w:proofErr w:type="spellEnd"/>
      <w:r w:rsidRPr="00032C14">
        <w:rPr>
          <w:rFonts w:ascii="Times New Roman" w:hAnsi="Times New Roman" w:cs="Times New Roman"/>
          <w:sz w:val="28"/>
          <w:szCs w:val="28"/>
          <w:lang w:val="uk-UA"/>
        </w:rPr>
        <w:t xml:space="preserve">, П. </w:t>
      </w:r>
      <w:proofErr w:type="spellStart"/>
      <w:r w:rsidRPr="00032C14">
        <w:rPr>
          <w:rFonts w:ascii="Times New Roman" w:hAnsi="Times New Roman" w:cs="Times New Roman"/>
          <w:sz w:val="28"/>
          <w:szCs w:val="28"/>
          <w:lang w:val="uk-UA"/>
        </w:rPr>
        <w:t>Роуз</w:t>
      </w:r>
      <w:proofErr w:type="spellEnd"/>
      <w:r w:rsidRPr="00032C14">
        <w:rPr>
          <w:rFonts w:ascii="Times New Roman" w:hAnsi="Times New Roman" w:cs="Times New Roman"/>
          <w:sz w:val="28"/>
          <w:szCs w:val="28"/>
          <w:lang w:val="uk-UA"/>
        </w:rPr>
        <w:t xml:space="preserve">, У. </w:t>
      </w:r>
      <w:proofErr w:type="spellStart"/>
      <w:r w:rsidRPr="00032C14">
        <w:rPr>
          <w:rFonts w:ascii="Times New Roman" w:hAnsi="Times New Roman" w:cs="Times New Roman"/>
          <w:sz w:val="28"/>
          <w:szCs w:val="28"/>
          <w:lang w:val="uk-UA"/>
        </w:rPr>
        <w:t>Бреддік</w:t>
      </w:r>
      <w:proofErr w:type="spellEnd"/>
      <w:r w:rsidRPr="00032C14">
        <w:rPr>
          <w:rFonts w:ascii="Times New Roman" w:hAnsi="Times New Roman" w:cs="Times New Roman"/>
          <w:sz w:val="28"/>
          <w:szCs w:val="28"/>
          <w:lang w:val="uk-UA"/>
        </w:rPr>
        <w:t xml:space="preserve">, Р. </w:t>
      </w:r>
      <w:proofErr w:type="spellStart"/>
      <w:r w:rsidRPr="00032C14">
        <w:rPr>
          <w:rFonts w:ascii="Times New Roman" w:hAnsi="Times New Roman" w:cs="Times New Roman"/>
          <w:sz w:val="28"/>
          <w:szCs w:val="28"/>
          <w:lang w:val="uk-UA"/>
        </w:rPr>
        <w:t>Джозлін</w:t>
      </w:r>
      <w:proofErr w:type="spellEnd"/>
      <w:r w:rsidRPr="00032C14">
        <w:rPr>
          <w:rFonts w:ascii="Times New Roman" w:hAnsi="Times New Roman" w:cs="Times New Roman"/>
          <w:sz w:val="28"/>
          <w:szCs w:val="28"/>
          <w:lang w:val="uk-UA"/>
        </w:rPr>
        <w:t xml:space="preserve"> та Д. </w:t>
      </w:r>
      <w:proofErr w:type="spellStart"/>
      <w:r w:rsidRPr="00032C14">
        <w:rPr>
          <w:rFonts w:ascii="Times New Roman" w:hAnsi="Times New Roman" w:cs="Times New Roman"/>
          <w:sz w:val="28"/>
          <w:szCs w:val="28"/>
          <w:lang w:val="uk-UA"/>
        </w:rPr>
        <w:t>Хамфріз</w:t>
      </w:r>
      <w:proofErr w:type="spellEnd"/>
      <w:r w:rsidRPr="00032C14">
        <w:rPr>
          <w:rFonts w:ascii="Times New Roman" w:hAnsi="Times New Roman" w:cs="Times New Roman"/>
          <w:sz w:val="28"/>
          <w:szCs w:val="28"/>
          <w:lang w:val="uk-UA"/>
        </w:rPr>
        <w:t>. Водночас теоретико-методологічне підґрунтя розвитку банківського маркетингу в національних реаліях суттєво збагатили вітчизняні дослідники, серед яких особливої уваги заслуговують напрацювання Т.Д. Косової, І.Ю. Тарасова та інших науковців.</w:t>
      </w:r>
    </w:p>
    <w:p w:rsidR="00C74131" w:rsidRDefault="00C74131" w:rsidP="00BC60DB">
      <w:pPr>
        <w:spacing w:after="0" w:line="360" w:lineRule="auto"/>
        <w:ind w:firstLine="709"/>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 xml:space="preserve">Концептуальна значущість системного маркетингового підходу до управління споживчою лояльністю у фінансово-кредитній сфері в умовах екстраординарних воєнних ризиків стала головним чинником актуалізації цієї </w:t>
      </w:r>
      <w:r w:rsidRPr="00C74131">
        <w:rPr>
          <w:rFonts w:ascii="Times New Roman" w:hAnsi="Times New Roman" w:cs="Times New Roman"/>
          <w:sz w:val="28"/>
          <w:szCs w:val="28"/>
          <w:lang w:val="uk-UA"/>
        </w:rPr>
        <w:lastRenderedPageBreak/>
        <w:t>праці. Зазначене підґрунтя безпосередньо зумовило цільову спрямованість кваліфікаційного дослідження та логіку формування його завдань.</w:t>
      </w:r>
    </w:p>
    <w:p w:rsidR="00C74131" w:rsidRPr="00C74131" w:rsidRDefault="00C74131" w:rsidP="00C74131">
      <w:pPr>
        <w:spacing w:after="0" w:line="360" w:lineRule="auto"/>
        <w:ind w:firstLine="709"/>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Високий ступінь суспільно-економічної значущості окресленого кола питань став передумовою для обґрунтування теми магістерської роботи, а також детермінував її цільові орієнтири та завдання. Науковий пошук орієнтований на системний аналіз процесів модернізації маркетингової політики фінансових інституцій у період воєнного стану шляхом розробки та впровадження ефективної програми клієнтської лояльності.</w:t>
      </w:r>
    </w:p>
    <w:p w:rsidR="00C74131" w:rsidRPr="00C74131" w:rsidRDefault="00C74131" w:rsidP="00C74131">
      <w:pPr>
        <w:spacing w:after="0" w:line="360" w:lineRule="auto"/>
        <w:ind w:firstLine="709"/>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 xml:space="preserve">Метою кваліфікаційної </w:t>
      </w:r>
      <w:r>
        <w:rPr>
          <w:rFonts w:ascii="Times New Roman" w:hAnsi="Times New Roman" w:cs="Times New Roman"/>
          <w:sz w:val="28"/>
          <w:szCs w:val="28"/>
          <w:lang w:val="uk-UA"/>
        </w:rPr>
        <w:t xml:space="preserve">бакалаврської </w:t>
      </w:r>
      <w:r w:rsidRPr="00C74131">
        <w:rPr>
          <w:rFonts w:ascii="Times New Roman" w:hAnsi="Times New Roman" w:cs="Times New Roman"/>
          <w:sz w:val="28"/>
          <w:szCs w:val="28"/>
          <w:lang w:val="uk-UA"/>
        </w:rPr>
        <w:t>роботи виступає теоретико-методологічне обґрунтування та практичне проектування системного інструментарію щодо забезпечення прихильності споживачів банківських послуг в умовах дії воєнного стану та макроекономічної нестабільності.</w:t>
      </w:r>
    </w:p>
    <w:p w:rsidR="00C74131" w:rsidRPr="00C74131" w:rsidRDefault="00C74131" w:rsidP="00BC60DB">
      <w:pPr>
        <w:spacing w:after="0" w:line="360" w:lineRule="auto"/>
        <w:ind w:firstLine="709"/>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Об’єктом дослідження є архітектоніка формування, впровадження та оцінки ефективності клієнтських програм лояльності в банківському секторі.</w:t>
      </w:r>
    </w:p>
    <w:p w:rsidR="00C74131" w:rsidRPr="00C74131" w:rsidRDefault="00C74131" w:rsidP="00C74131">
      <w:pPr>
        <w:spacing w:after="0" w:line="360" w:lineRule="auto"/>
        <w:ind w:firstLine="709"/>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Предметом дослідження є комплекс теоретичних положень і методичних підходів стосовно оптимізації та модернізації систем управління лояльністю суб'єктів ринку фінансових послуг.</w:t>
      </w:r>
    </w:p>
    <w:p w:rsidR="00C74131" w:rsidRPr="00C74131" w:rsidRDefault="00C74131" w:rsidP="00C74131">
      <w:pPr>
        <w:spacing w:after="0" w:line="360" w:lineRule="auto"/>
        <w:ind w:firstLine="709"/>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Для реалізації визначеної мети дослідження було поставлено й розв'язано такі науково-практичні завдання:</w:t>
      </w:r>
    </w:p>
    <w:p w:rsidR="00C74131" w:rsidRPr="00C74131" w:rsidRDefault="00C74131" w:rsidP="00C74131">
      <w:pPr>
        <w:pStyle w:val="a4"/>
        <w:numPr>
          <w:ilvl w:val="0"/>
          <w:numId w:val="2"/>
        </w:numPr>
        <w:spacing w:after="0" w:line="360" w:lineRule="auto"/>
        <w:ind w:left="0" w:firstLine="0"/>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здійснити ретроспективний аналіз та експлікацію сутності дефініції «лояльність споживача»;</w:t>
      </w:r>
    </w:p>
    <w:p w:rsidR="00C74131" w:rsidRPr="00C74131" w:rsidRDefault="00C74131" w:rsidP="00C74131">
      <w:pPr>
        <w:pStyle w:val="a4"/>
        <w:numPr>
          <w:ilvl w:val="0"/>
          <w:numId w:val="2"/>
        </w:numPr>
        <w:spacing w:after="0" w:line="360" w:lineRule="auto"/>
        <w:ind w:left="0" w:firstLine="0"/>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дати розгорнуту маркетингову експертизу архітектоніки та функціональних параметрів програм лояльності;</w:t>
      </w:r>
    </w:p>
    <w:p w:rsidR="00C74131" w:rsidRPr="00C74131" w:rsidRDefault="00C74131" w:rsidP="00C74131">
      <w:pPr>
        <w:pStyle w:val="a4"/>
        <w:numPr>
          <w:ilvl w:val="0"/>
          <w:numId w:val="2"/>
        </w:numPr>
        <w:spacing w:after="0" w:line="360" w:lineRule="auto"/>
        <w:ind w:left="0" w:firstLine="0"/>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методологічно довести доцільність застосування маркетингового аналізу як предикату проектування клієнтських програм;</w:t>
      </w:r>
    </w:p>
    <w:p w:rsidR="00C74131" w:rsidRPr="00C74131" w:rsidRDefault="00C74131" w:rsidP="00C74131">
      <w:pPr>
        <w:pStyle w:val="a4"/>
        <w:numPr>
          <w:ilvl w:val="0"/>
          <w:numId w:val="2"/>
        </w:numPr>
        <w:spacing w:after="0" w:line="360" w:lineRule="auto"/>
        <w:ind w:left="0" w:firstLine="0"/>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проаналізувати сучасні тенденції, кон'юнктуру та структурну динаміку вітчизняного ринку банківських послуг;</w:t>
      </w:r>
    </w:p>
    <w:p w:rsidR="00C74131" w:rsidRPr="00C74131" w:rsidRDefault="00C74131" w:rsidP="00C74131">
      <w:pPr>
        <w:pStyle w:val="a4"/>
        <w:numPr>
          <w:ilvl w:val="0"/>
          <w:numId w:val="2"/>
        </w:numPr>
        <w:spacing w:after="0" w:line="360" w:lineRule="auto"/>
        <w:ind w:left="0" w:firstLine="0"/>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сформувати комплексну маркетингову характеристику діяльності АТ «А-БАНК»;</w:t>
      </w:r>
    </w:p>
    <w:p w:rsidR="00C74131" w:rsidRPr="00C74131" w:rsidRDefault="00C74131" w:rsidP="00C74131">
      <w:pPr>
        <w:pStyle w:val="a4"/>
        <w:numPr>
          <w:ilvl w:val="0"/>
          <w:numId w:val="2"/>
        </w:numPr>
        <w:spacing w:after="0" w:line="360" w:lineRule="auto"/>
        <w:ind w:left="0" w:firstLine="0"/>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провести критичну оцінку існуючих програм лояльності АТ «А-БАНК» та розробити прикладні рекомендації щодо підвищення їхньої ефективності.</w:t>
      </w:r>
    </w:p>
    <w:p w:rsidR="00C74131" w:rsidRDefault="00C74131" w:rsidP="00BC60DB">
      <w:pPr>
        <w:spacing w:after="0" w:line="360" w:lineRule="auto"/>
        <w:ind w:firstLine="709"/>
        <w:jc w:val="both"/>
        <w:rPr>
          <w:rFonts w:ascii="Times New Roman" w:hAnsi="Times New Roman" w:cs="Times New Roman"/>
          <w:sz w:val="28"/>
          <w:szCs w:val="28"/>
          <w:lang w:val="uk-UA"/>
        </w:rPr>
      </w:pPr>
    </w:p>
    <w:p w:rsidR="00C74131" w:rsidRPr="00C74131" w:rsidRDefault="00C74131" w:rsidP="00C74131">
      <w:pPr>
        <w:spacing w:after="0" w:line="360" w:lineRule="auto"/>
        <w:ind w:firstLine="709"/>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Інформаційно-емпіричний базис дослідження сформовано на основі чинного законодавства та нормативно-правового забезпечення України, фундаментальних напрацювань вітчизняних і закордонних авторів у сфері банківського менеджменту, ринкової аналітики та теорії споживчої поведінки. Крім того, залучено матеріали наукових монографій, періодичних профільних видань, збірників тез конференцій, офіційні статистичні звіти та автентичні цифрові ресурси.</w:t>
      </w:r>
    </w:p>
    <w:p w:rsidR="00C74131" w:rsidRPr="00C74131" w:rsidRDefault="00C74131" w:rsidP="00C74131">
      <w:pPr>
        <w:spacing w:after="0" w:line="360" w:lineRule="auto"/>
        <w:ind w:firstLine="709"/>
        <w:jc w:val="both"/>
        <w:rPr>
          <w:rFonts w:ascii="Times New Roman" w:hAnsi="Times New Roman" w:cs="Times New Roman"/>
          <w:sz w:val="28"/>
          <w:szCs w:val="28"/>
          <w:lang w:val="uk-UA"/>
        </w:rPr>
      </w:pPr>
      <w:r w:rsidRPr="00C74131">
        <w:rPr>
          <w:rFonts w:ascii="Times New Roman" w:hAnsi="Times New Roman" w:cs="Times New Roman"/>
          <w:sz w:val="28"/>
          <w:szCs w:val="28"/>
          <w:lang w:val="uk-UA"/>
        </w:rPr>
        <w:t>Наукова новизна одержаних результатів полягає у теоретико-методологічному розширенні та прикладній модернізації наявного інструментарію проектування та оптимізації клієнтських програм лояльності у банківському секторі з урахуванням специфіки та обмежень воєнного стану.</w:t>
      </w:r>
    </w:p>
    <w:p w:rsidR="00CE7E8F" w:rsidRDefault="00CE7E8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E7E8F" w:rsidRPr="00951461" w:rsidRDefault="00CE7E8F" w:rsidP="00CE7E8F">
      <w:pPr>
        <w:spacing w:after="0" w:line="360" w:lineRule="auto"/>
        <w:jc w:val="center"/>
        <w:rPr>
          <w:rFonts w:ascii="Times New Roman" w:hAnsi="Times New Roman" w:cs="Times New Roman"/>
          <w:b/>
          <w:bCs/>
          <w:sz w:val="28"/>
          <w:szCs w:val="28"/>
          <w:lang w:val="uk-UA"/>
        </w:rPr>
      </w:pPr>
      <w:bookmarkStart w:id="0" w:name="_GoBack"/>
      <w:r w:rsidRPr="00951461">
        <w:rPr>
          <w:rFonts w:ascii="Times New Roman" w:hAnsi="Times New Roman" w:cs="Times New Roman"/>
          <w:b/>
          <w:bCs/>
          <w:sz w:val="28"/>
          <w:szCs w:val="28"/>
          <w:lang w:val="uk-UA"/>
        </w:rPr>
        <w:lastRenderedPageBreak/>
        <w:t>1. ХАРАКТЕРИСТИКА ЛОЯЛЬНОСТІ СПОЖИВАЧА В МАРКЕТИНГОВІЙ ДІЯЛЬНОСТІ БАНКІВ</w:t>
      </w:r>
    </w:p>
    <w:p w:rsidR="00CE7E8F" w:rsidRPr="00951461" w:rsidRDefault="00CE7E8F" w:rsidP="00CE7E8F">
      <w:pPr>
        <w:spacing w:after="0" w:line="360" w:lineRule="auto"/>
        <w:jc w:val="center"/>
        <w:rPr>
          <w:rFonts w:ascii="Times New Roman" w:hAnsi="Times New Roman" w:cs="Times New Roman"/>
          <w:b/>
          <w:bCs/>
          <w:sz w:val="28"/>
          <w:szCs w:val="28"/>
          <w:lang w:val="uk-UA"/>
        </w:rPr>
      </w:pPr>
      <w:r w:rsidRPr="00951461">
        <w:rPr>
          <w:rFonts w:ascii="Times New Roman" w:hAnsi="Times New Roman" w:cs="Times New Roman"/>
          <w:b/>
          <w:bCs/>
          <w:sz w:val="28"/>
          <w:szCs w:val="28"/>
          <w:lang w:val="uk-UA"/>
        </w:rPr>
        <w:t>1.1. Сутність та розвиток поняття «лояльність споживача»</w:t>
      </w:r>
    </w:p>
    <w:bookmarkEnd w:id="0"/>
    <w:p w:rsidR="00CE7E8F" w:rsidRDefault="00CE7E8F" w:rsidP="00CE7E8F">
      <w:pPr>
        <w:spacing w:after="0" w:line="360" w:lineRule="auto"/>
        <w:ind w:firstLine="709"/>
        <w:jc w:val="both"/>
        <w:rPr>
          <w:rFonts w:ascii="Times New Roman" w:hAnsi="Times New Roman" w:cs="Times New Roman"/>
          <w:sz w:val="28"/>
          <w:szCs w:val="28"/>
          <w:lang w:val="uk-UA"/>
        </w:rPr>
      </w:pPr>
    </w:p>
    <w:p w:rsidR="00BC60DB" w:rsidRDefault="00CE7E8F" w:rsidP="00C74131">
      <w:pPr>
        <w:spacing w:after="0" w:line="360" w:lineRule="auto"/>
        <w:ind w:firstLine="709"/>
        <w:jc w:val="both"/>
        <w:rPr>
          <w:rFonts w:ascii="Times New Roman" w:hAnsi="Times New Roman" w:cs="Times New Roman"/>
          <w:sz w:val="28"/>
          <w:szCs w:val="28"/>
          <w:lang w:val="uk-UA"/>
        </w:rPr>
      </w:pPr>
      <w:r w:rsidRPr="00CE7E8F">
        <w:rPr>
          <w:rFonts w:ascii="Times New Roman" w:hAnsi="Times New Roman" w:cs="Times New Roman"/>
          <w:sz w:val="28"/>
          <w:szCs w:val="28"/>
          <w:lang w:val="uk-UA"/>
        </w:rPr>
        <w:t>Дефініція «лояльність споживача» виступає фундаментальним конструктом ринкової стратегії та операційної діяльності будь-якого суб'єкта господарювання (зокрема й фінансової установи), оскільки забезпечує генерацію стабільного клієнтського сегмента та підвищує загальну ефективність економічної діяльності.</w:t>
      </w:r>
    </w:p>
    <w:p w:rsidR="00CE7E8F" w:rsidRDefault="00CE7E8F" w:rsidP="00C74131">
      <w:pPr>
        <w:spacing w:after="0" w:line="360" w:lineRule="auto"/>
        <w:ind w:firstLine="709"/>
        <w:jc w:val="both"/>
        <w:rPr>
          <w:rFonts w:ascii="Times New Roman" w:hAnsi="Times New Roman" w:cs="Times New Roman"/>
          <w:sz w:val="28"/>
          <w:szCs w:val="28"/>
          <w:lang w:val="uk-UA"/>
        </w:rPr>
      </w:pPr>
      <w:r w:rsidRPr="00CE7E8F">
        <w:rPr>
          <w:rFonts w:ascii="Times New Roman" w:hAnsi="Times New Roman" w:cs="Times New Roman"/>
          <w:sz w:val="28"/>
          <w:szCs w:val="28"/>
          <w:lang w:val="uk-UA"/>
        </w:rPr>
        <w:t xml:space="preserve">Теоретико-методологічний базис цього феномену закладено у працях таких класиків світової маркетингової думки, як </w:t>
      </w:r>
      <w:r w:rsidR="00A21186" w:rsidRPr="00CE7E8F">
        <w:rPr>
          <w:rFonts w:ascii="Times New Roman" w:hAnsi="Times New Roman" w:cs="Times New Roman"/>
          <w:sz w:val="28"/>
          <w:szCs w:val="28"/>
          <w:lang w:val="uk-UA"/>
        </w:rPr>
        <w:t xml:space="preserve">П. </w:t>
      </w:r>
      <w:proofErr w:type="spellStart"/>
      <w:r w:rsidR="00A21186" w:rsidRPr="00CE7E8F">
        <w:rPr>
          <w:rFonts w:ascii="Times New Roman" w:hAnsi="Times New Roman" w:cs="Times New Roman"/>
          <w:sz w:val="28"/>
          <w:szCs w:val="28"/>
          <w:lang w:val="uk-UA"/>
        </w:rPr>
        <w:t>Дойль</w:t>
      </w:r>
      <w:proofErr w:type="spellEnd"/>
      <w:r w:rsidR="00A21186" w:rsidRPr="00CE7E8F">
        <w:rPr>
          <w:rFonts w:ascii="Times New Roman" w:hAnsi="Times New Roman" w:cs="Times New Roman"/>
          <w:sz w:val="28"/>
          <w:szCs w:val="28"/>
          <w:lang w:val="uk-UA"/>
        </w:rPr>
        <w:t xml:space="preserve">, </w:t>
      </w:r>
      <w:r w:rsidRPr="00CE7E8F">
        <w:rPr>
          <w:rFonts w:ascii="Times New Roman" w:hAnsi="Times New Roman" w:cs="Times New Roman"/>
          <w:sz w:val="28"/>
          <w:szCs w:val="28"/>
          <w:lang w:val="uk-UA"/>
        </w:rPr>
        <w:t xml:space="preserve">П. </w:t>
      </w:r>
      <w:proofErr w:type="spellStart"/>
      <w:r w:rsidRPr="00CE7E8F">
        <w:rPr>
          <w:rFonts w:ascii="Times New Roman" w:hAnsi="Times New Roman" w:cs="Times New Roman"/>
          <w:sz w:val="28"/>
          <w:szCs w:val="28"/>
          <w:lang w:val="uk-UA"/>
        </w:rPr>
        <w:t>Гембл</w:t>
      </w:r>
      <w:proofErr w:type="spellEnd"/>
      <w:r w:rsidRPr="00CE7E8F">
        <w:rPr>
          <w:rFonts w:ascii="Times New Roman" w:hAnsi="Times New Roman" w:cs="Times New Roman"/>
          <w:sz w:val="28"/>
          <w:szCs w:val="28"/>
          <w:lang w:val="uk-UA"/>
        </w:rPr>
        <w:t xml:space="preserve">, </w:t>
      </w:r>
      <w:r w:rsidR="00A21186" w:rsidRPr="00CE7E8F">
        <w:rPr>
          <w:rFonts w:ascii="Times New Roman" w:hAnsi="Times New Roman" w:cs="Times New Roman"/>
          <w:sz w:val="28"/>
          <w:szCs w:val="28"/>
          <w:lang w:val="uk-UA"/>
        </w:rPr>
        <w:t xml:space="preserve">Д. </w:t>
      </w:r>
      <w:proofErr w:type="spellStart"/>
      <w:r w:rsidR="00A21186" w:rsidRPr="00CE7E8F">
        <w:rPr>
          <w:rFonts w:ascii="Times New Roman" w:hAnsi="Times New Roman" w:cs="Times New Roman"/>
          <w:sz w:val="28"/>
          <w:szCs w:val="28"/>
          <w:lang w:val="uk-UA"/>
        </w:rPr>
        <w:t>Аакер</w:t>
      </w:r>
      <w:proofErr w:type="spellEnd"/>
      <w:r w:rsidR="00A21186" w:rsidRPr="00CE7E8F">
        <w:rPr>
          <w:rFonts w:ascii="Times New Roman" w:hAnsi="Times New Roman" w:cs="Times New Roman"/>
          <w:sz w:val="28"/>
          <w:szCs w:val="28"/>
          <w:lang w:val="uk-UA"/>
        </w:rPr>
        <w:t xml:space="preserve">, </w:t>
      </w:r>
      <w:r w:rsidRPr="00CE7E8F">
        <w:rPr>
          <w:rFonts w:ascii="Times New Roman" w:hAnsi="Times New Roman" w:cs="Times New Roman"/>
          <w:sz w:val="28"/>
          <w:szCs w:val="28"/>
          <w:lang w:val="uk-UA"/>
        </w:rPr>
        <w:t xml:space="preserve">Ф. </w:t>
      </w:r>
      <w:proofErr w:type="spellStart"/>
      <w:r w:rsidRPr="00CE7E8F">
        <w:rPr>
          <w:rFonts w:ascii="Times New Roman" w:hAnsi="Times New Roman" w:cs="Times New Roman"/>
          <w:sz w:val="28"/>
          <w:szCs w:val="28"/>
          <w:lang w:val="uk-UA"/>
        </w:rPr>
        <w:t>Котлер</w:t>
      </w:r>
      <w:proofErr w:type="spellEnd"/>
      <w:r w:rsidRPr="00CE7E8F">
        <w:rPr>
          <w:rFonts w:ascii="Times New Roman" w:hAnsi="Times New Roman" w:cs="Times New Roman"/>
          <w:sz w:val="28"/>
          <w:szCs w:val="28"/>
          <w:lang w:val="uk-UA"/>
        </w:rPr>
        <w:t xml:space="preserve">, </w:t>
      </w:r>
      <w:r w:rsidR="00A21186" w:rsidRPr="00CE7E8F">
        <w:rPr>
          <w:rFonts w:ascii="Times New Roman" w:hAnsi="Times New Roman" w:cs="Times New Roman"/>
          <w:sz w:val="28"/>
          <w:szCs w:val="28"/>
          <w:lang w:val="uk-UA"/>
        </w:rPr>
        <w:t xml:space="preserve">М. </w:t>
      </w:r>
      <w:proofErr w:type="spellStart"/>
      <w:r w:rsidR="00A21186" w:rsidRPr="00CE7E8F">
        <w:rPr>
          <w:rFonts w:ascii="Times New Roman" w:hAnsi="Times New Roman" w:cs="Times New Roman"/>
          <w:sz w:val="28"/>
          <w:szCs w:val="28"/>
          <w:lang w:val="uk-UA"/>
        </w:rPr>
        <w:t>Райт</w:t>
      </w:r>
      <w:proofErr w:type="spellEnd"/>
      <w:r w:rsidR="00A21186" w:rsidRPr="00CE7E8F">
        <w:rPr>
          <w:rFonts w:ascii="Times New Roman" w:hAnsi="Times New Roman" w:cs="Times New Roman"/>
          <w:sz w:val="28"/>
          <w:szCs w:val="28"/>
          <w:lang w:val="uk-UA"/>
        </w:rPr>
        <w:t xml:space="preserve">, </w:t>
      </w:r>
      <w:r w:rsidRPr="00CE7E8F">
        <w:rPr>
          <w:rFonts w:ascii="Times New Roman" w:hAnsi="Times New Roman" w:cs="Times New Roman"/>
          <w:sz w:val="28"/>
          <w:szCs w:val="28"/>
          <w:lang w:val="uk-UA"/>
        </w:rPr>
        <w:t xml:space="preserve">Ж.-Ж. </w:t>
      </w:r>
      <w:proofErr w:type="spellStart"/>
      <w:r w:rsidRPr="00CE7E8F">
        <w:rPr>
          <w:rFonts w:ascii="Times New Roman" w:hAnsi="Times New Roman" w:cs="Times New Roman"/>
          <w:sz w:val="28"/>
          <w:szCs w:val="28"/>
          <w:lang w:val="uk-UA"/>
        </w:rPr>
        <w:t>Ламбен</w:t>
      </w:r>
      <w:proofErr w:type="spellEnd"/>
      <w:r w:rsidRPr="00CE7E8F">
        <w:rPr>
          <w:rFonts w:ascii="Times New Roman" w:hAnsi="Times New Roman" w:cs="Times New Roman"/>
          <w:sz w:val="28"/>
          <w:szCs w:val="28"/>
          <w:lang w:val="uk-UA"/>
        </w:rPr>
        <w:t xml:space="preserve">, Ф. </w:t>
      </w:r>
      <w:proofErr w:type="spellStart"/>
      <w:r w:rsidRPr="00CE7E8F">
        <w:rPr>
          <w:rFonts w:ascii="Times New Roman" w:hAnsi="Times New Roman" w:cs="Times New Roman"/>
          <w:sz w:val="28"/>
          <w:szCs w:val="28"/>
          <w:lang w:val="uk-UA"/>
        </w:rPr>
        <w:t>Райхельд</w:t>
      </w:r>
      <w:proofErr w:type="spellEnd"/>
      <w:r w:rsidRPr="00CE7E8F">
        <w:rPr>
          <w:rFonts w:ascii="Times New Roman" w:hAnsi="Times New Roman" w:cs="Times New Roman"/>
          <w:sz w:val="28"/>
          <w:szCs w:val="28"/>
          <w:lang w:val="uk-UA"/>
        </w:rPr>
        <w:t xml:space="preserve">, </w:t>
      </w:r>
      <w:r w:rsidR="00A21186" w:rsidRPr="00CE7E8F">
        <w:rPr>
          <w:rFonts w:ascii="Times New Roman" w:hAnsi="Times New Roman" w:cs="Times New Roman"/>
          <w:sz w:val="28"/>
          <w:szCs w:val="28"/>
          <w:lang w:val="uk-UA"/>
        </w:rPr>
        <w:t xml:space="preserve">М. Стоун, </w:t>
      </w:r>
      <w:proofErr w:type="spellStart"/>
      <w:r w:rsidRPr="00CE7E8F">
        <w:rPr>
          <w:rFonts w:ascii="Times New Roman" w:hAnsi="Times New Roman" w:cs="Times New Roman"/>
          <w:sz w:val="28"/>
          <w:szCs w:val="28"/>
          <w:lang w:val="uk-UA"/>
        </w:rPr>
        <w:t>Дж</w:t>
      </w:r>
      <w:proofErr w:type="spellEnd"/>
      <w:r w:rsidRPr="00CE7E8F">
        <w:rPr>
          <w:rFonts w:ascii="Times New Roman" w:hAnsi="Times New Roman" w:cs="Times New Roman"/>
          <w:sz w:val="28"/>
          <w:szCs w:val="28"/>
          <w:lang w:val="uk-UA"/>
        </w:rPr>
        <w:t xml:space="preserve">. </w:t>
      </w:r>
      <w:proofErr w:type="spellStart"/>
      <w:r w:rsidRPr="00CE7E8F">
        <w:rPr>
          <w:rFonts w:ascii="Times New Roman" w:hAnsi="Times New Roman" w:cs="Times New Roman"/>
          <w:sz w:val="28"/>
          <w:szCs w:val="28"/>
          <w:lang w:val="uk-UA"/>
        </w:rPr>
        <w:t>Росситер</w:t>
      </w:r>
      <w:proofErr w:type="spellEnd"/>
      <w:r w:rsidRPr="00CE7E8F">
        <w:rPr>
          <w:rFonts w:ascii="Times New Roman" w:hAnsi="Times New Roman" w:cs="Times New Roman"/>
          <w:sz w:val="28"/>
          <w:szCs w:val="28"/>
          <w:lang w:val="uk-UA"/>
        </w:rPr>
        <w:t xml:space="preserve">, У. Такер та О. </w:t>
      </w:r>
      <w:proofErr w:type="spellStart"/>
      <w:r w:rsidRPr="00CE7E8F">
        <w:rPr>
          <w:rFonts w:ascii="Times New Roman" w:hAnsi="Times New Roman" w:cs="Times New Roman"/>
          <w:sz w:val="28"/>
          <w:szCs w:val="28"/>
          <w:lang w:val="uk-UA"/>
        </w:rPr>
        <w:t>Хофман</w:t>
      </w:r>
      <w:proofErr w:type="spellEnd"/>
      <w:r w:rsidRPr="00CE7E8F">
        <w:rPr>
          <w:rFonts w:ascii="Times New Roman" w:hAnsi="Times New Roman" w:cs="Times New Roman"/>
          <w:sz w:val="28"/>
          <w:szCs w:val="28"/>
          <w:lang w:val="uk-UA"/>
        </w:rPr>
        <w:t xml:space="preserve">. На вітчизняному терені вагомий внесок у дослідження зазначеної проблематики зробили такі автори, як І.В. Альошина, </w:t>
      </w:r>
      <w:r w:rsidR="00A21186" w:rsidRPr="00CE7E8F">
        <w:rPr>
          <w:rFonts w:ascii="Times New Roman" w:hAnsi="Times New Roman" w:cs="Times New Roman"/>
          <w:sz w:val="28"/>
          <w:szCs w:val="28"/>
          <w:lang w:val="uk-UA"/>
        </w:rPr>
        <w:t xml:space="preserve">М.В. Михайлова, </w:t>
      </w:r>
      <w:r w:rsidRPr="00CE7E8F">
        <w:rPr>
          <w:rFonts w:ascii="Times New Roman" w:hAnsi="Times New Roman" w:cs="Times New Roman"/>
          <w:sz w:val="28"/>
          <w:szCs w:val="28"/>
          <w:lang w:val="uk-UA"/>
        </w:rPr>
        <w:t xml:space="preserve">В.В. Бакаєв, О.В. </w:t>
      </w:r>
      <w:proofErr w:type="spellStart"/>
      <w:r w:rsidRPr="00CE7E8F">
        <w:rPr>
          <w:rFonts w:ascii="Times New Roman" w:hAnsi="Times New Roman" w:cs="Times New Roman"/>
          <w:sz w:val="28"/>
          <w:szCs w:val="28"/>
          <w:lang w:val="uk-UA"/>
        </w:rPr>
        <w:t>Жегус</w:t>
      </w:r>
      <w:proofErr w:type="spellEnd"/>
      <w:r w:rsidRPr="00CE7E8F">
        <w:rPr>
          <w:rFonts w:ascii="Times New Roman" w:hAnsi="Times New Roman" w:cs="Times New Roman"/>
          <w:sz w:val="28"/>
          <w:szCs w:val="28"/>
          <w:lang w:val="uk-UA"/>
        </w:rPr>
        <w:t xml:space="preserve">, </w:t>
      </w:r>
      <w:r w:rsidR="00A21186" w:rsidRPr="00CE7E8F">
        <w:rPr>
          <w:rFonts w:ascii="Times New Roman" w:hAnsi="Times New Roman" w:cs="Times New Roman"/>
          <w:sz w:val="28"/>
          <w:szCs w:val="28"/>
          <w:lang w:val="uk-UA"/>
        </w:rPr>
        <w:t xml:space="preserve">Д.Є. </w:t>
      </w:r>
      <w:proofErr w:type="spellStart"/>
      <w:r w:rsidR="00A21186" w:rsidRPr="00CE7E8F">
        <w:rPr>
          <w:rFonts w:ascii="Times New Roman" w:hAnsi="Times New Roman" w:cs="Times New Roman"/>
          <w:sz w:val="28"/>
          <w:szCs w:val="28"/>
          <w:lang w:val="uk-UA"/>
        </w:rPr>
        <w:t>Горелік</w:t>
      </w:r>
      <w:proofErr w:type="spellEnd"/>
      <w:r w:rsidR="00A21186" w:rsidRPr="00CE7E8F">
        <w:rPr>
          <w:rFonts w:ascii="Times New Roman" w:hAnsi="Times New Roman" w:cs="Times New Roman"/>
          <w:sz w:val="28"/>
          <w:szCs w:val="28"/>
          <w:lang w:val="uk-UA"/>
        </w:rPr>
        <w:t xml:space="preserve">, </w:t>
      </w:r>
      <w:r w:rsidRPr="00CE7E8F">
        <w:rPr>
          <w:rFonts w:ascii="Times New Roman" w:hAnsi="Times New Roman" w:cs="Times New Roman"/>
          <w:sz w:val="28"/>
          <w:szCs w:val="28"/>
          <w:lang w:val="uk-UA"/>
        </w:rPr>
        <w:t xml:space="preserve">О.В. </w:t>
      </w:r>
      <w:proofErr w:type="spellStart"/>
      <w:r w:rsidRPr="00CE7E8F">
        <w:rPr>
          <w:rFonts w:ascii="Times New Roman" w:hAnsi="Times New Roman" w:cs="Times New Roman"/>
          <w:sz w:val="28"/>
          <w:szCs w:val="28"/>
          <w:lang w:val="uk-UA"/>
        </w:rPr>
        <w:t>Зозульов</w:t>
      </w:r>
      <w:proofErr w:type="spellEnd"/>
      <w:r w:rsidRPr="00CE7E8F">
        <w:rPr>
          <w:rFonts w:ascii="Times New Roman" w:hAnsi="Times New Roman" w:cs="Times New Roman"/>
          <w:sz w:val="28"/>
          <w:szCs w:val="28"/>
          <w:lang w:val="uk-UA"/>
        </w:rPr>
        <w:t xml:space="preserve">, </w:t>
      </w:r>
      <w:r w:rsidR="00A21186" w:rsidRPr="00CE7E8F">
        <w:rPr>
          <w:rFonts w:ascii="Times New Roman" w:hAnsi="Times New Roman" w:cs="Times New Roman"/>
          <w:sz w:val="28"/>
          <w:szCs w:val="28"/>
          <w:lang w:val="uk-UA"/>
        </w:rPr>
        <w:t>І.Ю. Тарасов</w:t>
      </w:r>
      <w:r w:rsidR="00A21186">
        <w:rPr>
          <w:rFonts w:ascii="Times New Roman" w:hAnsi="Times New Roman" w:cs="Times New Roman"/>
          <w:sz w:val="28"/>
          <w:szCs w:val="28"/>
          <w:lang w:val="uk-UA"/>
        </w:rPr>
        <w:t>,</w:t>
      </w:r>
      <w:r w:rsidR="00A21186" w:rsidRPr="00CE7E8F">
        <w:rPr>
          <w:rFonts w:ascii="Times New Roman" w:hAnsi="Times New Roman" w:cs="Times New Roman"/>
          <w:sz w:val="28"/>
          <w:szCs w:val="28"/>
          <w:lang w:val="uk-UA"/>
        </w:rPr>
        <w:t xml:space="preserve"> </w:t>
      </w:r>
      <w:r w:rsidRPr="00CE7E8F">
        <w:rPr>
          <w:rFonts w:ascii="Times New Roman" w:hAnsi="Times New Roman" w:cs="Times New Roman"/>
          <w:sz w:val="28"/>
          <w:szCs w:val="28"/>
          <w:lang w:val="uk-UA"/>
        </w:rPr>
        <w:t>Н.Л. Савицька та їхні наукові послідовники.</w:t>
      </w:r>
    </w:p>
    <w:p w:rsidR="00A21186" w:rsidRDefault="00A21186" w:rsidP="00C74131">
      <w:pPr>
        <w:spacing w:after="0" w:line="360" w:lineRule="auto"/>
        <w:ind w:firstLine="709"/>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t>Витоки детермінації цього явища сягають 1923 року, коли М. Коупленд здійснив першу спробу концептуалізації прихильності до торговельної марки, трактуючи лояльного споживача як суб'єкта, що здійснює повторні закупівлі виключно продукції конкретного бренду у 100% випадків [12].</w:t>
      </w:r>
    </w:p>
    <w:p w:rsidR="00A21186" w:rsidRDefault="00A21186" w:rsidP="00C74131">
      <w:pPr>
        <w:spacing w:after="0" w:line="360" w:lineRule="auto"/>
        <w:ind w:firstLine="709"/>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t>Сучасний академічний дискурс щодо сутності споживчої лояльності зосереджений навколо таких домінантних атрибутів:</w:t>
      </w:r>
    </w:p>
    <w:p w:rsidR="00A21186" w:rsidRDefault="00A21186" w:rsidP="00A21186">
      <w:pPr>
        <w:spacing w:after="0" w:line="360" w:lineRule="auto"/>
        <w:jc w:val="center"/>
        <w:rPr>
          <w:rFonts w:ascii="Times New Roman" w:hAnsi="Times New Roman" w:cs="Times New Roman"/>
          <w:sz w:val="28"/>
          <w:szCs w:val="28"/>
          <w:lang w:val="uk-UA"/>
        </w:rPr>
      </w:pPr>
      <w:r w:rsidRPr="00FE7A9D">
        <w:rPr>
          <w:rFonts w:ascii="Times New Roman" w:hAnsi="Times New Roman" w:cs="Times New Roman"/>
          <w:noProof/>
          <w:sz w:val="28"/>
          <w:szCs w:val="28"/>
          <w:lang w:val="uk-UA"/>
        </w:rPr>
        <w:drawing>
          <wp:inline distT="0" distB="0" distL="0" distR="0" wp14:anchorId="5E79F2BE" wp14:editId="07624C60">
            <wp:extent cx="6119495" cy="21666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sharpenSoften amount="50000"/>
                              </a14:imgEffect>
                              <a14:imgEffect>
                                <a14:brightnessContrast contrast="-40000"/>
                              </a14:imgEffect>
                            </a14:imgLayer>
                          </a14:imgProps>
                        </a:ext>
                      </a:extLst>
                    </a:blip>
                    <a:stretch>
                      <a:fillRect/>
                    </a:stretch>
                  </pic:blipFill>
                  <pic:spPr>
                    <a:xfrm>
                      <a:off x="0" y="0"/>
                      <a:ext cx="6119495" cy="2166620"/>
                    </a:xfrm>
                    <a:prstGeom prst="rect">
                      <a:avLst/>
                    </a:prstGeom>
                  </pic:spPr>
                </pic:pic>
              </a:graphicData>
            </a:graphic>
          </wp:inline>
        </w:drawing>
      </w:r>
    </w:p>
    <w:p w:rsidR="00A21186" w:rsidRDefault="00A21186" w:rsidP="00A21186">
      <w:pPr>
        <w:spacing w:after="0" w:line="360" w:lineRule="auto"/>
        <w:jc w:val="center"/>
        <w:rPr>
          <w:rFonts w:ascii="Times New Roman" w:hAnsi="Times New Roman" w:cs="Times New Roman"/>
          <w:sz w:val="28"/>
          <w:szCs w:val="28"/>
          <w:lang w:val="uk-UA"/>
        </w:rPr>
      </w:pPr>
      <w:r w:rsidRPr="00FE7A9D">
        <w:rPr>
          <w:rFonts w:ascii="Times New Roman" w:hAnsi="Times New Roman" w:cs="Times New Roman"/>
          <w:sz w:val="28"/>
          <w:szCs w:val="28"/>
          <w:lang w:val="uk-UA"/>
        </w:rPr>
        <w:t xml:space="preserve">Рис. 1.1. </w:t>
      </w:r>
      <w:r>
        <w:rPr>
          <w:rFonts w:ascii="Times New Roman" w:hAnsi="Times New Roman" w:cs="Times New Roman"/>
          <w:sz w:val="28"/>
          <w:szCs w:val="28"/>
          <w:lang w:val="uk-UA"/>
        </w:rPr>
        <w:t>В</w:t>
      </w:r>
      <w:r w:rsidRPr="00FE7A9D">
        <w:rPr>
          <w:rFonts w:ascii="Times New Roman" w:hAnsi="Times New Roman" w:cs="Times New Roman"/>
          <w:sz w:val="28"/>
          <w:szCs w:val="28"/>
          <w:lang w:val="uk-UA"/>
        </w:rPr>
        <w:t>изначення поняття «лояльн</w:t>
      </w:r>
      <w:r>
        <w:rPr>
          <w:rFonts w:ascii="Times New Roman" w:hAnsi="Times New Roman" w:cs="Times New Roman"/>
          <w:sz w:val="28"/>
          <w:szCs w:val="28"/>
          <w:lang w:val="uk-UA"/>
        </w:rPr>
        <w:t>о</w:t>
      </w:r>
      <w:r w:rsidRPr="00FE7A9D">
        <w:rPr>
          <w:rFonts w:ascii="Times New Roman" w:hAnsi="Times New Roman" w:cs="Times New Roman"/>
          <w:sz w:val="28"/>
          <w:szCs w:val="28"/>
          <w:lang w:val="uk-UA"/>
        </w:rPr>
        <w:t>ст</w:t>
      </w:r>
      <w:r>
        <w:rPr>
          <w:rFonts w:ascii="Times New Roman" w:hAnsi="Times New Roman" w:cs="Times New Roman"/>
          <w:sz w:val="28"/>
          <w:szCs w:val="28"/>
          <w:lang w:val="uk-UA"/>
        </w:rPr>
        <w:t>і</w:t>
      </w:r>
      <w:r w:rsidRPr="00FE7A9D">
        <w:rPr>
          <w:rFonts w:ascii="Times New Roman" w:hAnsi="Times New Roman" w:cs="Times New Roman"/>
          <w:sz w:val="28"/>
          <w:szCs w:val="28"/>
          <w:lang w:val="uk-UA"/>
        </w:rPr>
        <w:t xml:space="preserve"> споживача»</w:t>
      </w:r>
    </w:p>
    <w:p w:rsidR="00A21186" w:rsidRDefault="00A21186" w:rsidP="00A21186">
      <w:pPr>
        <w:spacing w:after="0" w:line="360" w:lineRule="auto"/>
        <w:ind w:firstLine="709"/>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lastRenderedPageBreak/>
        <w:t>Систематизацію та порівняльний аналіз підходів провідних теоретиків до</w:t>
      </w:r>
      <w:r w:rsidRPr="00A21186">
        <w:rPr>
          <w:rFonts w:ascii="Arial" w:eastAsia="Times New Roman" w:hAnsi="Arial" w:cs="Arial"/>
          <w:sz w:val="24"/>
          <w:szCs w:val="24"/>
          <w:lang w:eastAsia="ru-RU"/>
        </w:rPr>
        <w:t xml:space="preserve"> </w:t>
      </w:r>
      <w:r w:rsidRPr="00A21186">
        <w:rPr>
          <w:rFonts w:ascii="Times New Roman" w:hAnsi="Times New Roman" w:cs="Times New Roman"/>
          <w:sz w:val="28"/>
          <w:szCs w:val="28"/>
          <w:lang w:val="uk-UA"/>
        </w:rPr>
        <w:t>інтерпретації сутності дефініції «лояльність» узагальнено у табл. 1.1.</w:t>
      </w:r>
    </w:p>
    <w:p w:rsidR="00A21186" w:rsidRDefault="00A21186" w:rsidP="00A21186">
      <w:pPr>
        <w:spacing w:after="0" w:line="240" w:lineRule="auto"/>
        <w:jc w:val="right"/>
        <w:rPr>
          <w:rFonts w:ascii="Times New Roman" w:hAnsi="Times New Roman" w:cs="Times New Roman"/>
          <w:sz w:val="28"/>
          <w:szCs w:val="28"/>
          <w:lang w:val="uk-UA"/>
        </w:rPr>
      </w:pPr>
      <w:r w:rsidRPr="00FE7A9D">
        <w:rPr>
          <w:rFonts w:ascii="Times New Roman" w:hAnsi="Times New Roman" w:cs="Times New Roman"/>
          <w:sz w:val="28"/>
          <w:szCs w:val="28"/>
          <w:lang w:val="uk-UA"/>
        </w:rPr>
        <w:t>Таблиця 1.1</w:t>
      </w:r>
      <w:r>
        <w:rPr>
          <w:rFonts w:ascii="Times New Roman" w:hAnsi="Times New Roman" w:cs="Times New Roman"/>
          <w:sz w:val="28"/>
          <w:szCs w:val="28"/>
          <w:lang w:val="uk-UA"/>
        </w:rPr>
        <w:t>.</w:t>
      </w:r>
      <w:r w:rsidRPr="00FE7A9D">
        <w:rPr>
          <w:rFonts w:ascii="Times New Roman" w:hAnsi="Times New Roman" w:cs="Times New Roman"/>
          <w:sz w:val="28"/>
          <w:szCs w:val="28"/>
          <w:lang w:val="uk-UA"/>
        </w:rPr>
        <w:t xml:space="preserve"> </w:t>
      </w:r>
    </w:p>
    <w:p w:rsidR="00A21186" w:rsidRDefault="00A21186" w:rsidP="00A21186">
      <w:pPr>
        <w:spacing w:after="0" w:line="240" w:lineRule="auto"/>
        <w:jc w:val="center"/>
        <w:rPr>
          <w:rFonts w:ascii="Times New Roman" w:hAnsi="Times New Roman" w:cs="Times New Roman"/>
          <w:sz w:val="28"/>
          <w:szCs w:val="28"/>
          <w:lang w:val="uk-UA"/>
        </w:rPr>
      </w:pPr>
      <w:r w:rsidRPr="00FE7A9D">
        <w:rPr>
          <w:rFonts w:ascii="Times New Roman" w:hAnsi="Times New Roman" w:cs="Times New Roman"/>
          <w:sz w:val="28"/>
          <w:szCs w:val="28"/>
          <w:lang w:val="uk-UA"/>
        </w:rPr>
        <w:t xml:space="preserve">Визначення поняття </w:t>
      </w:r>
      <w:r>
        <w:rPr>
          <w:rFonts w:ascii="Times New Roman" w:hAnsi="Times New Roman" w:cs="Times New Roman"/>
          <w:sz w:val="28"/>
          <w:szCs w:val="28"/>
          <w:lang w:val="uk-UA"/>
        </w:rPr>
        <w:t>«</w:t>
      </w:r>
      <w:r w:rsidRPr="00FE7A9D">
        <w:rPr>
          <w:rFonts w:ascii="Times New Roman" w:hAnsi="Times New Roman" w:cs="Times New Roman"/>
          <w:sz w:val="28"/>
          <w:szCs w:val="28"/>
          <w:lang w:val="uk-UA"/>
        </w:rPr>
        <w:t>лояльн</w:t>
      </w:r>
      <w:r>
        <w:rPr>
          <w:rFonts w:ascii="Times New Roman" w:hAnsi="Times New Roman" w:cs="Times New Roman"/>
          <w:sz w:val="28"/>
          <w:szCs w:val="28"/>
          <w:lang w:val="uk-UA"/>
        </w:rPr>
        <w:t>і</w:t>
      </w:r>
      <w:r w:rsidRPr="00FE7A9D">
        <w:rPr>
          <w:rFonts w:ascii="Times New Roman" w:hAnsi="Times New Roman" w:cs="Times New Roman"/>
          <w:sz w:val="28"/>
          <w:szCs w:val="28"/>
          <w:lang w:val="uk-UA"/>
        </w:rPr>
        <w:t>ст</w:t>
      </w:r>
      <w:r>
        <w:rPr>
          <w:rFonts w:ascii="Times New Roman" w:hAnsi="Times New Roman" w:cs="Times New Roman"/>
          <w:sz w:val="28"/>
          <w:szCs w:val="28"/>
          <w:lang w:val="uk-UA"/>
        </w:rPr>
        <w:t>ь</w:t>
      </w:r>
      <w:r w:rsidRPr="00FE7A9D">
        <w:rPr>
          <w:rFonts w:ascii="Times New Roman" w:hAnsi="Times New Roman" w:cs="Times New Roman"/>
          <w:sz w:val="28"/>
          <w:szCs w:val="28"/>
          <w:lang w:val="uk-UA"/>
        </w:rPr>
        <w:t xml:space="preserve"> споживач</w:t>
      </w:r>
      <w:r>
        <w:rPr>
          <w:rFonts w:ascii="Times New Roman" w:hAnsi="Times New Roman" w:cs="Times New Roman"/>
          <w:sz w:val="28"/>
          <w:szCs w:val="28"/>
          <w:lang w:val="uk-UA"/>
        </w:rPr>
        <w:t>а»*</w:t>
      </w:r>
    </w:p>
    <w:p w:rsidR="00A21186" w:rsidRDefault="00A21186" w:rsidP="00A21186">
      <w:pPr>
        <w:spacing w:after="0" w:line="240" w:lineRule="auto"/>
        <w:jc w:val="center"/>
        <w:rPr>
          <w:rFonts w:ascii="Times New Roman" w:hAnsi="Times New Roman" w:cs="Times New Roman"/>
          <w:sz w:val="28"/>
          <w:szCs w:val="28"/>
          <w:lang w:val="uk-UA"/>
        </w:rPr>
      </w:pPr>
      <w:r w:rsidRPr="00FE7A9D">
        <w:rPr>
          <w:rFonts w:ascii="Times New Roman" w:hAnsi="Times New Roman" w:cs="Times New Roman"/>
          <w:noProof/>
          <w:sz w:val="28"/>
          <w:szCs w:val="28"/>
          <w:lang w:val="uk-UA"/>
        </w:rPr>
        <w:drawing>
          <wp:inline distT="0" distB="0" distL="0" distR="0" wp14:anchorId="44588255" wp14:editId="128CC4F5">
            <wp:extent cx="5925185" cy="417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Lst>
                    </a:blip>
                    <a:stretch>
                      <a:fillRect/>
                    </a:stretch>
                  </pic:blipFill>
                  <pic:spPr>
                    <a:xfrm>
                      <a:off x="0" y="0"/>
                      <a:ext cx="5925399" cy="4172101"/>
                    </a:xfrm>
                    <a:prstGeom prst="rect">
                      <a:avLst/>
                    </a:prstGeom>
                  </pic:spPr>
                </pic:pic>
              </a:graphicData>
            </a:graphic>
          </wp:inline>
        </w:drawing>
      </w:r>
    </w:p>
    <w:p w:rsidR="00A21186" w:rsidRDefault="00A21186" w:rsidP="00A21186">
      <w:pPr>
        <w:spacing w:after="0" w:line="240" w:lineRule="auto"/>
        <w:jc w:val="center"/>
        <w:rPr>
          <w:rFonts w:ascii="Times New Roman" w:hAnsi="Times New Roman" w:cs="Times New Roman"/>
          <w:sz w:val="28"/>
          <w:szCs w:val="28"/>
          <w:lang w:val="uk-UA"/>
        </w:rPr>
      </w:pPr>
      <w:r w:rsidRPr="00FE7A9D">
        <w:rPr>
          <w:rFonts w:ascii="Times New Roman" w:hAnsi="Times New Roman" w:cs="Times New Roman"/>
          <w:noProof/>
          <w:sz w:val="28"/>
          <w:szCs w:val="28"/>
          <w:lang w:val="uk-UA"/>
        </w:rPr>
        <w:drawing>
          <wp:inline distT="0" distB="0" distL="0" distR="0" wp14:anchorId="3D6CA8D2" wp14:editId="0C955483">
            <wp:extent cx="5915025" cy="21145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50000"/>
                              </a14:imgEffect>
                              <a14:imgEffect>
                                <a14:brightnessContrast contrast="-40000"/>
                              </a14:imgEffect>
                            </a14:imgLayer>
                          </a14:imgProps>
                        </a:ext>
                      </a:extLst>
                    </a:blip>
                    <a:stretch>
                      <a:fillRect/>
                    </a:stretch>
                  </pic:blipFill>
                  <pic:spPr>
                    <a:xfrm>
                      <a:off x="0" y="0"/>
                      <a:ext cx="5915889" cy="2114859"/>
                    </a:xfrm>
                    <a:prstGeom prst="rect">
                      <a:avLst/>
                    </a:prstGeom>
                  </pic:spPr>
                </pic:pic>
              </a:graphicData>
            </a:graphic>
          </wp:inline>
        </w:drawing>
      </w:r>
    </w:p>
    <w:p w:rsidR="00A21186" w:rsidRDefault="00A21186" w:rsidP="00A21186">
      <w:pPr>
        <w:spacing w:after="0" w:line="240" w:lineRule="auto"/>
        <w:jc w:val="center"/>
        <w:rPr>
          <w:rFonts w:ascii="Times New Roman" w:hAnsi="Times New Roman" w:cs="Times New Roman"/>
          <w:sz w:val="28"/>
          <w:szCs w:val="28"/>
          <w:lang w:val="uk-UA"/>
        </w:rPr>
      </w:pPr>
      <w:r w:rsidRPr="00FE7A9D">
        <w:rPr>
          <w:rFonts w:ascii="Times New Roman" w:hAnsi="Times New Roman" w:cs="Times New Roman"/>
          <w:noProof/>
          <w:sz w:val="28"/>
          <w:szCs w:val="28"/>
          <w:lang w:val="uk-UA"/>
        </w:rPr>
        <w:drawing>
          <wp:inline distT="0" distB="0" distL="0" distR="0" wp14:anchorId="57D7DF5C" wp14:editId="0FA0A7FD">
            <wp:extent cx="5915025" cy="19907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Lst>
                    </a:blip>
                    <a:stretch>
                      <a:fillRect/>
                    </a:stretch>
                  </pic:blipFill>
                  <pic:spPr>
                    <a:xfrm>
                      <a:off x="0" y="0"/>
                      <a:ext cx="5915875" cy="1991011"/>
                    </a:xfrm>
                    <a:prstGeom prst="rect">
                      <a:avLst/>
                    </a:prstGeom>
                  </pic:spPr>
                </pic:pic>
              </a:graphicData>
            </a:graphic>
          </wp:inline>
        </w:drawing>
      </w:r>
    </w:p>
    <w:p w:rsidR="00A21186" w:rsidRDefault="00A21186" w:rsidP="00A21186">
      <w:pPr>
        <w:spacing w:after="0" w:line="240" w:lineRule="auto"/>
        <w:rPr>
          <w:rFonts w:ascii="Times New Roman" w:hAnsi="Times New Roman" w:cs="Times New Roman"/>
          <w:sz w:val="24"/>
          <w:szCs w:val="24"/>
          <w:lang w:val="uk-UA"/>
        </w:rPr>
      </w:pPr>
      <w:r w:rsidRPr="00FE7A9D">
        <w:rPr>
          <w:rFonts w:ascii="Times New Roman" w:hAnsi="Times New Roman" w:cs="Times New Roman"/>
          <w:sz w:val="24"/>
          <w:szCs w:val="24"/>
          <w:lang w:val="uk-UA"/>
        </w:rPr>
        <w:t>*Джерело: складено автором на підставі (12, 42)</w:t>
      </w:r>
    </w:p>
    <w:p w:rsidR="00A21186" w:rsidRDefault="00A21186" w:rsidP="00A21186">
      <w:pPr>
        <w:spacing w:after="0" w:line="360" w:lineRule="auto"/>
        <w:ind w:firstLine="709"/>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lastRenderedPageBreak/>
        <w:t xml:space="preserve">На наше переконання, споживчу лояльність доцільно інтерпретувати як ліміт резистентності (нечутливості) клієнта до маркетингового тиску та пропозицій з боку конкуруючих суб'єктів ринку. Пролонгація взаємодії зі споживачем та його трансформація у категорію постійних контрагентів досягається виключно шляхом забезпечення преференційних та оптимізованих умов довгострокового партнерства. Систематизований та ієрархічно структурований комплекс таких інструментів </w:t>
      </w:r>
      <w:proofErr w:type="spellStart"/>
      <w:r w:rsidRPr="00A21186">
        <w:rPr>
          <w:rFonts w:ascii="Times New Roman" w:hAnsi="Times New Roman" w:cs="Times New Roman"/>
          <w:sz w:val="28"/>
          <w:szCs w:val="28"/>
          <w:lang w:val="uk-UA"/>
        </w:rPr>
        <w:t>ініціюється</w:t>
      </w:r>
      <w:proofErr w:type="spellEnd"/>
      <w:r w:rsidRPr="00A21186">
        <w:rPr>
          <w:rFonts w:ascii="Times New Roman" w:hAnsi="Times New Roman" w:cs="Times New Roman"/>
          <w:sz w:val="28"/>
          <w:szCs w:val="28"/>
          <w:lang w:val="uk-UA"/>
        </w:rPr>
        <w:t xml:space="preserve"> у формі «програми лояльності». Крім того, категорія прихильності перебуває у нерозривному кореляційному зв'язку з поняттям бренду, оскільки ідентифікація клієнта з конкретною торговельною маркою генерує для нього низку специфічних утилітарних та емоційних </w:t>
      </w:r>
      <w:proofErr w:type="spellStart"/>
      <w:r w:rsidRPr="00A21186">
        <w:rPr>
          <w:rFonts w:ascii="Times New Roman" w:hAnsi="Times New Roman" w:cs="Times New Roman"/>
          <w:sz w:val="28"/>
          <w:szCs w:val="28"/>
          <w:lang w:val="uk-UA"/>
        </w:rPr>
        <w:t>вигод</w:t>
      </w:r>
      <w:proofErr w:type="spellEnd"/>
      <w:r w:rsidRPr="00A211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див. </w:t>
      </w:r>
      <w:r w:rsidRPr="00A21186">
        <w:rPr>
          <w:rFonts w:ascii="Times New Roman" w:hAnsi="Times New Roman" w:cs="Times New Roman"/>
          <w:sz w:val="28"/>
          <w:szCs w:val="28"/>
          <w:lang w:val="uk-UA"/>
        </w:rPr>
        <w:t>рис. 1.2).</w:t>
      </w:r>
    </w:p>
    <w:p w:rsidR="00A21186" w:rsidRDefault="00A21186" w:rsidP="00A21186">
      <w:pPr>
        <w:spacing w:after="0" w:line="360" w:lineRule="auto"/>
        <w:jc w:val="center"/>
        <w:rPr>
          <w:rFonts w:ascii="Times New Roman" w:hAnsi="Times New Roman" w:cs="Times New Roman"/>
          <w:sz w:val="28"/>
          <w:szCs w:val="28"/>
          <w:lang w:val="uk-UA"/>
        </w:rPr>
      </w:pPr>
      <w:r w:rsidRPr="00FE0C35">
        <w:rPr>
          <w:rFonts w:ascii="Times New Roman" w:hAnsi="Times New Roman" w:cs="Times New Roman"/>
          <w:noProof/>
          <w:sz w:val="28"/>
          <w:szCs w:val="28"/>
          <w:lang w:val="uk-UA"/>
        </w:rPr>
        <w:drawing>
          <wp:inline distT="0" distB="0" distL="0" distR="0" wp14:anchorId="13391F13" wp14:editId="1169D467">
            <wp:extent cx="4210638" cy="278168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50000"/>
                              </a14:imgEffect>
                              <a14:imgEffect>
                                <a14:brightnessContrast contrast="-40000"/>
                              </a14:imgEffect>
                            </a14:imgLayer>
                          </a14:imgProps>
                        </a:ext>
                      </a:extLst>
                    </a:blip>
                    <a:stretch>
                      <a:fillRect/>
                    </a:stretch>
                  </pic:blipFill>
                  <pic:spPr>
                    <a:xfrm>
                      <a:off x="0" y="0"/>
                      <a:ext cx="4210638" cy="2781688"/>
                    </a:xfrm>
                    <a:prstGeom prst="rect">
                      <a:avLst/>
                    </a:prstGeom>
                  </pic:spPr>
                </pic:pic>
              </a:graphicData>
            </a:graphic>
          </wp:inline>
        </w:drawing>
      </w:r>
    </w:p>
    <w:p w:rsidR="00A21186" w:rsidRDefault="00A21186" w:rsidP="00A21186">
      <w:pPr>
        <w:spacing w:after="0" w:line="360" w:lineRule="auto"/>
        <w:jc w:val="center"/>
        <w:rPr>
          <w:rFonts w:ascii="Times New Roman" w:hAnsi="Times New Roman" w:cs="Times New Roman"/>
          <w:sz w:val="28"/>
          <w:szCs w:val="28"/>
          <w:lang w:val="uk-UA"/>
        </w:rPr>
      </w:pPr>
      <w:r w:rsidRPr="00FE0C35">
        <w:rPr>
          <w:rFonts w:ascii="Times New Roman" w:hAnsi="Times New Roman" w:cs="Times New Roman"/>
          <w:sz w:val="28"/>
          <w:szCs w:val="28"/>
          <w:lang w:val="uk-UA"/>
        </w:rPr>
        <w:t xml:space="preserve">Рис. 1.2. </w:t>
      </w:r>
      <w:r>
        <w:rPr>
          <w:rFonts w:ascii="Times New Roman" w:hAnsi="Times New Roman" w:cs="Times New Roman"/>
          <w:sz w:val="28"/>
          <w:szCs w:val="28"/>
          <w:lang w:val="uk-UA"/>
        </w:rPr>
        <w:t>Л</w:t>
      </w:r>
      <w:r w:rsidRPr="00FE0C35">
        <w:rPr>
          <w:rFonts w:ascii="Times New Roman" w:hAnsi="Times New Roman" w:cs="Times New Roman"/>
          <w:sz w:val="28"/>
          <w:szCs w:val="28"/>
          <w:lang w:val="uk-UA"/>
        </w:rPr>
        <w:t>ояльн</w:t>
      </w:r>
      <w:r>
        <w:rPr>
          <w:rFonts w:ascii="Times New Roman" w:hAnsi="Times New Roman" w:cs="Times New Roman"/>
          <w:sz w:val="28"/>
          <w:szCs w:val="28"/>
          <w:lang w:val="uk-UA"/>
        </w:rPr>
        <w:t>і</w:t>
      </w:r>
      <w:r w:rsidRPr="00FE0C35">
        <w:rPr>
          <w:rFonts w:ascii="Times New Roman" w:hAnsi="Times New Roman" w:cs="Times New Roman"/>
          <w:sz w:val="28"/>
          <w:szCs w:val="28"/>
          <w:lang w:val="uk-UA"/>
        </w:rPr>
        <w:t>ст</w:t>
      </w:r>
      <w:r>
        <w:rPr>
          <w:rFonts w:ascii="Times New Roman" w:hAnsi="Times New Roman" w:cs="Times New Roman"/>
          <w:sz w:val="28"/>
          <w:szCs w:val="28"/>
          <w:lang w:val="uk-UA"/>
        </w:rPr>
        <w:t>ь</w:t>
      </w:r>
      <w:r w:rsidRPr="00FE0C35">
        <w:rPr>
          <w:rFonts w:ascii="Times New Roman" w:hAnsi="Times New Roman" w:cs="Times New Roman"/>
          <w:sz w:val="28"/>
          <w:szCs w:val="28"/>
          <w:lang w:val="uk-UA"/>
        </w:rPr>
        <w:t xml:space="preserve"> до бренду</w:t>
      </w:r>
      <w:r>
        <w:rPr>
          <w:rFonts w:ascii="Times New Roman" w:hAnsi="Times New Roman" w:cs="Times New Roman"/>
          <w:sz w:val="28"/>
          <w:szCs w:val="28"/>
          <w:lang w:val="uk-UA"/>
        </w:rPr>
        <w:t>:</w:t>
      </w:r>
      <w:r w:rsidRPr="00FE0C35">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FE0C35">
        <w:rPr>
          <w:rFonts w:ascii="Times New Roman" w:hAnsi="Times New Roman" w:cs="Times New Roman"/>
          <w:sz w:val="28"/>
          <w:szCs w:val="28"/>
          <w:lang w:val="uk-UA"/>
        </w:rPr>
        <w:t>игоди споживача</w:t>
      </w:r>
    </w:p>
    <w:p w:rsidR="00A21186" w:rsidRPr="00A21186" w:rsidRDefault="00A21186" w:rsidP="00A21186">
      <w:pPr>
        <w:spacing w:after="0" w:line="360" w:lineRule="auto"/>
        <w:ind w:firstLine="709"/>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t>Водночас імплементація програм лояльності генерує низку стратегічних переваг і безпосередньо для фінансово-кредитної установи:</w:t>
      </w:r>
    </w:p>
    <w:p w:rsidR="00A21186" w:rsidRPr="00A21186" w:rsidRDefault="00A21186" w:rsidP="00A21186">
      <w:pPr>
        <w:pStyle w:val="a4"/>
        <w:numPr>
          <w:ilvl w:val="0"/>
          <w:numId w:val="2"/>
        </w:numPr>
        <w:spacing w:after="0" w:line="360" w:lineRule="auto"/>
        <w:ind w:left="0" w:firstLine="0"/>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t>мінімізація трансакційних витрат на рекламу та залучення нових сегментів споживачів;</w:t>
      </w:r>
    </w:p>
    <w:p w:rsidR="00A21186" w:rsidRPr="00A21186" w:rsidRDefault="00A21186" w:rsidP="00A21186">
      <w:pPr>
        <w:pStyle w:val="a4"/>
        <w:numPr>
          <w:ilvl w:val="0"/>
          <w:numId w:val="2"/>
        </w:numPr>
        <w:spacing w:after="0" w:line="360" w:lineRule="auto"/>
        <w:ind w:left="0" w:firstLine="0"/>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t>максимізація маржинального доходу за рахунок утримання адаптованої та поінформованої клієнтської бази;</w:t>
      </w:r>
    </w:p>
    <w:p w:rsidR="00A21186" w:rsidRPr="00A21186" w:rsidRDefault="00A21186" w:rsidP="00A21186">
      <w:pPr>
        <w:pStyle w:val="a4"/>
        <w:numPr>
          <w:ilvl w:val="0"/>
          <w:numId w:val="2"/>
        </w:numPr>
        <w:spacing w:after="0" w:line="360" w:lineRule="auto"/>
        <w:ind w:left="0" w:firstLine="0"/>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t>зниження еластичності попиту за ціною серед постійних контрагентів фінансової установи;</w:t>
      </w:r>
    </w:p>
    <w:p w:rsidR="00A21186" w:rsidRPr="00A21186" w:rsidRDefault="00A21186" w:rsidP="00A21186">
      <w:pPr>
        <w:pStyle w:val="a4"/>
        <w:numPr>
          <w:ilvl w:val="0"/>
          <w:numId w:val="2"/>
        </w:numPr>
        <w:spacing w:after="0" w:line="360" w:lineRule="auto"/>
        <w:ind w:left="0" w:firstLine="0"/>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t xml:space="preserve">оптимізація бюджету маркетингу завдяки нижчій вартості утримання наявних суб'єктів порівняно із </w:t>
      </w:r>
      <w:proofErr w:type="spellStart"/>
      <w:r w:rsidRPr="00A21186">
        <w:rPr>
          <w:rFonts w:ascii="Times New Roman" w:hAnsi="Times New Roman" w:cs="Times New Roman"/>
          <w:sz w:val="28"/>
          <w:szCs w:val="28"/>
          <w:lang w:val="uk-UA"/>
        </w:rPr>
        <w:t>рекрутингом</w:t>
      </w:r>
      <w:proofErr w:type="spellEnd"/>
      <w:r w:rsidRPr="00A21186">
        <w:rPr>
          <w:rFonts w:ascii="Times New Roman" w:hAnsi="Times New Roman" w:cs="Times New Roman"/>
          <w:sz w:val="28"/>
          <w:szCs w:val="28"/>
          <w:lang w:val="uk-UA"/>
        </w:rPr>
        <w:t xml:space="preserve"> нових;</w:t>
      </w:r>
    </w:p>
    <w:p w:rsidR="00A21186" w:rsidRPr="00A21186" w:rsidRDefault="00A21186" w:rsidP="00A21186">
      <w:pPr>
        <w:pStyle w:val="a4"/>
        <w:numPr>
          <w:ilvl w:val="0"/>
          <w:numId w:val="2"/>
        </w:numPr>
        <w:spacing w:after="0" w:line="360" w:lineRule="auto"/>
        <w:ind w:left="0" w:firstLine="0"/>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lastRenderedPageBreak/>
        <w:t>скорочення коефіцієнта відтоку (плинності) споживачів фінансових послуг;</w:t>
      </w:r>
    </w:p>
    <w:p w:rsidR="00A21186" w:rsidRPr="00A21186" w:rsidRDefault="00A21186" w:rsidP="00A21186">
      <w:pPr>
        <w:pStyle w:val="a4"/>
        <w:numPr>
          <w:ilvl w:val="0"/>
          <w:numId w:val="2"/>
        </w:numPr>
        <w:spacing w:after="0" w:line="360" w:lineRule="auto"/>
        <w:ind w:left="0" w:firstLine="0"/>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t>кумуляція релевантних масивів інформації для розгортання стратегій маркетингу взаємовідносин.</w:t>
      </w:r>
    </w:p>
    <w:p w:rsidR="00A21186" w:rsidRDefault="00A21186" w:rsidP="00A21186">
      <w:pPr>
        <w:spacing w:after="0" w:line="360" w:lineRule="auto"/>
        <w:ind w:firstLine="709"/>
        <w:jc w:val="both"/>
        <w:rPr>
          <w:rFonts w:ascii="Times New Roman" w:hAnsi="Times New Roman" w:cs="Times New Roman"/>
          <w:sz w:val="28"/>
          <w:szCs w:val="28"/>
          <w:lang w:val="uk-UA"/>
        </w:rPr>
      </w:pPr>
      <w:r w:rsidRPr="00A21186">
        <w:rPr>
          <w:rFonts w:ascii="Times New Roman" w:hAnsi="Times New Roman" w:cs="Times New Roman"/>
          <w:sz w:val="28"/>
          <w:szCs w:val="28"/>
          <w:lang w:val="uk-UA"/>
        </w:rPr>
        <w:t>Ієрархічну архітектоніку та градацію рівнів прихильності клієнтів, що виокремлюються у сучасних наукових підходах, систематизовано та візуалізовано на рис. 1.3.</w:t>
      </w:r>
    </w:p>
    <w:p w:rsidR="00A21186" w:rsidRDefault="00A21186" w:rsidP="00A21186">
      <w:pPr>
        <w:spacing w:after="0" w:line="360" w:lineRule="auto"/>
        <w:jc w:val="center"/>
        <w:rPr>
          <w:rFonts w:ascii="Times New Roman" w:hAnsi="Times New Roman" w:cs="Times New Roman"/>
          <w:sz w:val="28"/>
          <w:szCs w:val="28"/>
          <w:lang w:val="uk-UA"/>
        </w:rPr>
      </w:pPr>
      <w:r w:rsidRPr="00FE0C35">
        <w:rPr>
          <w:rFonts w:ascii="Times New Roman" w:hAnsi="Times New Roman" w:cs="Times New Roman"/>
          <w:noProof/>
          <w:sz w:val="28"/>
          <w:szCs w:val="28"/>
          <w:lang w:val="uk-UA"/>
        </w:rPr>
        <w:drawing>
          <wp:inline distT="0" distB="0" distL="0" distR="0" wp14:anchorId="7550368B" wp14:editId="21496B22">
            <wp:extent cx="3934374" cy="2467319"/>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Lst>
                    </a:blip>
                    <a:stretch>
                      <a:fillRect/>
                    </a:stretch>
                  </pic:blipFill>
                  <pic:spPr>
                    <a:xfrm>
                      <a:off x="0" y="0"/>
                      <a:ext cx="3934374" cy="2467319"/>
                    </a:xfrm>
                    <a:prstGeom prst="rect">
                      <a:avLst/>
                    </a:prstGeom>
                  </pic:spPr>
                </pic:pic>
              </a:graphicData>
            </a:graphic>
          </wp:inline>
        </w:drawing>
      </w:r>
    </w:p>
    <w:p w:rsidR="00A21186" w:rsidRDefault="00A21186" w:rsidP="00A21186">
      <w:pPr>
        <w:spacing w:after="0" w:line="360" w:lineRule="auto"/>
        <w:jc w:val="center"/>
        <w:rPr>
          <w:rFonts w:ascii="Times New Roman" w:hAnsi="Times New Roman" w:cs="Times New Roman"/>
          <w:sz w:val="28"/>
          <w:szCs w:val="28"/>
          <w:lang w:val="uk-UA"/>
        </w:rPr>
      </w:pPr>
      <w:r w:rsidRPr="00FE0C35">
        <w:rPr>
          <w:rFonts w:ascii="Times New Roman" w:hAnsi="Times New Roman" w:cs="Times New Roman"/>
          <w:sz w:val="28"/>
          <w:szCs w:val="28"/>
          <w:lang w:val="uk-UA"/>
        </w:rPr>
        <w:t xml:space="preserve">Рис. 1.3. </w:t>
      </w:r>
      <w:r>
        <w:rPr>
          <w:rFonts w:ascii="Times New Roman" w:hAnsi="Times New Roman" w:cs="Times New Roman"/>
          <w:sz w:val="28"/>
          <w:szCs w:val="28"/>
          <w:lang w:val="uk-UA"/>
        </w:rPr>
        <w:t>Певні р</w:t>
      </w:r>
      <w:r w:rsidRPr="00FE0C35">
        <w:rPr>
          <w:rFonts w:ascii="Times New Roman" w:hAnsi="Times New Roman" w:cs="Times New Roman"/>
          <w:sz w:val="28"/>
          <w:szCs w:val="28"/>
          <w:lang w:val="uk-UA"/>
        </w:rPr>
        <w:t>івні лояльності споживача</w:t>
      </w:r>
    </w:p>
    <w:p w:rsidR="00A21186" w:rsidRPr="009F42F8" w:rsidRDefault="009F42F8" w:rsidP="00A21186">
      <w:pPr>
        <w:spacing w:after="0" w:line="360" w:lineRule="auto"/>
        <w:ind w:firstLine="709"/>
        <w:jc w:val="both"/>
        <w:rPr>
          <w:rFonts w:ascii="Times New Roman" w:hAnsi="Times New Roman" w:cs="Times New Roman"/>
          <w:sz w:val="28"/>
          <w:szCs w:val="28"/>
          <w:lang w:val="uk-UA"/>
        </w:rPr>
      </w:pPr>
      <w:r w:rsidRPr="009F42F8">
        <w:rPr>
          <w:rFonts w:ascii="Times New Roman" w:hAnsi="Times New Roman" w:cs="Times New Roman"/>
          <w:sz w:val="28"/>
          <w:szCs w:val="28"/>
          <w:lang w:val="uk-UA"/>
        </w:rPr>
        <w:t xml:space="preserve">Зазначені градації, за аналогією з класичною комунікативною моделлю «рекламної піраміди», обґрунтовують доцільність стратегічного супроводу клієнта в межах його еволюційного переходу від первинної когнітивної прихильності до вищої форми — партнерської взаємодії. Саме такий послідовний менеджмент взаємовідносин дозволяє фінансовому інституту повною мірою акумулювати весь спектр </w:t>
      </w:r>
      <w:proofErr w:type="spellStart"/>
      <w:r w:rsidRPr="009F42F8">
        <w:rPr>
          <w:rFonts w:ascii="Times New Roman" w:hAnsi="Times New Roman" w:cs="Times New Roman"/>
          <w:sz w:val="28"/>
          <w:szCs w:val="28"/>
          <w:lang w:val="uk-UA"/>
        </w:rPr>
        <w:t>вищеокреслених</w:t>
      </w:r>
      <w:proofErr w:type="spellEnd"/>
      <w:r w:rsidRPr="009F42F8">
        <w:rPr>
          <w:rFonts w:ascii="Times New Roman" w:hAnsi="Times New Roman" w:cs="Times New Roman"/>
          <w:sz w:val="28"/>
          <w:szCs w:val="28"/>
          <w:lang w:val="uk-UA"/>
        </w:rPr>
        <w:t xml:space="preserve"> економічних та ринкових переваг.</w:t>
      </w:r>
    </w:p>
    <w:p w:rsidR="009F42F8" w:rsidRPr="009F42F8" w:rsidRDefault="009F42F8" w:rsidP="009F42F8">
      <w:pPr>
        <w:spacing w:after="0" w:line="360" w:lineRule="auto"/>
        <w:ind w:firstLine="709"/>
        <w:jc w:val="both"/>
        <w:rPr>
          <w:rFonts w:ascii="Times New Roman" w:hAnsi="Times New Roman" w:cs="Times New Roman"/>
          <w:sz w:val="28"/>
          <w:szCs w:val="28"/>
          <w:lang w:val="uk-UA"/>
        </w:rPr>
      </w:pPr>
      <w:r w:rsidRPr="009F42F8">
        <w:rPr>
          <w:rFonts w:ascii="Times New Roman" w:hAnsi="Times New Roman" w:cs="Times New Roman"/>
          <w:sz w:val="28"/>
          <w:szCs w:val="28"/>
          <w:lang w:val="uk-UA"/>
        </w:rPr>
        <w:t xml:space="preserve">Варто наголосити, що на формування споживчої прихильності та динаміку її </w:t>
      </w:r>
      <w:proofErr w:type="spellStart"/>
      <w:r w:rsidRPr="009F42F8">
        <w:rPr>
          <w:rFonts w:ascii="Times New Roman" w:hAnsi="Times New Roman" w:cs="Times New Roman"/>
          <w:sz w:val="28"/>
          <w:szCs w:val="28"/>
          <w:lang w:val="uk-UA"/>
        </w:rPr>
        <w:t>міжрівневої</w:t>
      </w:r>
      <w:proofErr w:type="spellEnd"/>
      <w:r w:rsidRPr="009F42F8">
        <w:rPr>
          <w:rFonts w:ascii="Times New Roman" w:hAnsi="Times New Roman" w:cs="Times New Roman"/>
          <w:sz w:val="28"/>
          <w:szCs w:val="28"/>
          <w:lang w:val="uk-UA"/>
        </w:rPr>
        <w:t xml:space="preserve"> трансформації здійснює детермінуючий вплив диверсифікований комплекс детермінантів, зокрема:</w:t>
      </w:r>
    </w:p>
    <w:p w:rsidR="009F42F8" w:rsidRPr="009F42F8" w:rsidRDefault="009F42F8" w:rsidP="009F42F8">
      <w:pPr>
        <w:pStyle w:val="a4"/>
        <w:numPr>
          <w:ilvl w:val="0"/>
          <w:numId w:val="2"/>
        </w:numPr>
        <w:spacing w:after="0" w:line="360" w:lineRule="auto"/>
        <w:ind w:left="0" w:firstLine="0"/>
        <w:jc w:val="both"/>
        <w:rPr>
          <w:rFonts w:ascii="Times New Roman" w:hAnsi="Times New Roman" w:cs="Times New Roman"/>
          <w:sz w:val="28"/>
          <w:szCs w:val="28"/>
          <w:lang w:val="uk-UA"/>
        </w:rPr>
      </w:pPr>
      <w:r w:rsidRPr="009F42F8">
        <w:rPr>
          <w:rFonts w:ascii="Times New Roman" w:hAnsi="Times New Roman" w:cs="Times New Roman"/>
          <w:sz w:val="28"/>
          <w:szCs w:val="28"/>
          <w:lang w:val="uk-UA"/>
        </w:rPr>
        <w:t>архітектоніка, стан та кон'юнктура цільового ринку, інтенсивність конкурентного середовища, а також номенклатурна широта й глибина пропозиції продуктів і послуг;</w:t>
      </w:r>
    </w:p>
    <w:p w:rsidR="009F42F8" w:rsidRPr="009F42F8" w:rsidRDefault="009F42F8" w:rsidP="009F42F8">
      <w:pPr>
        <w:pStyle w:val="a4"/>
        <w:numPr>
          <w:ilvl w:val="0"/>
          <w:numId w:val="2"/>
        </w:numPr>
        <w:spacing w:after="0" w:line="360" w:lineRule="auto"/>
        <w:ind w:left="0" w:firstLine="0"/>
        <w:jc w:val="both"/>
        <w:rPr>
          <w:rFonts w:ascii="Times New Roman" w:hAnsi="Times New Roman" w:cs="Times New Roman"/>
          <w:sz w:val="28"/>
          <w:szCs w:val="28"/>
          <w:lang w:val="uk-UA"/>
        </w:rPr>
      </w:pPr>
      <w:r w:rsidRPr="009F42F8">
        <w:rPr>
          <w:rFonts w:ascii="Times New Roman" w:hAnsi="Times New Roman" w:cs="Times New Roman"/>
          <w:sz w:val="28"/>
          <w:szCs w:val="28"/>
          <w:lang w:val="uk-UA"/>
        </w:rPr>
        <w:t xml:space="preserve">психоемоційний профіль індивіда, його </w:t>
      </w:r>
      <w:proofErr w:type="spellStart"/>
      <w:r w:rsidRPr="009F42F8">
        <w:rPr>
          <w:rFonts w:ascii="Times New Roman" w:hAnsi="Times New Roman" w:cs="Times New Roman"/>
          <w:sz w:val="28"/>
          <w:szCs w:val="28"/>
          <w:lang w:val="uk-UA"/>
        </w:rPr>
        <w:t>диспозиційно</w:t>
      </w:r>
      <w:proofErr w:type="spellEnd"/>
      <w:r w:rsidRPr="009F42F8">
        <w:rPr>
          <w:rFonts w:ascii="Times New Roman" w:hAnsi="Times New Roman" w:cs="Times New Roman"/>
          <w:sz w:val="28"/>
          <w:szCs w:val="28"/>
          <w:lang w:val="uk-UA"/>
        </w:rPr>
        <w:t>-мотиваційна структура та ступінь трансакційної активності як суб'єкта споживання;</w:t>
      </w:r>
    </w:p>
    <w:p w:rsidR="009F42F8" w:rsidRPr="009F42F8" w:rsidRDefault="009F42F8" w:rsidP="009F42F8">
      <w:pPr>
        <w:pStyle w:val="a4"/>
        <w:numPr>
          <w:ilvl w:val="0"/>
          <w:numId w:val="2"/>
        </w:numPr>
        <w:spacing w:after="0" w:line="360" w:lineRule="auto"/>
        <w:ind w:left="0" w:firstLine="0"/>
        <w:jc w:val="both"/>
        <w:rPr>
          <w:rFonts w:ascii="Times New Roman" w:hAnsi="Times New Roman" w:cs="Times New Roman"/>
          <w:sz w:val="28"/>
          <w:szCs w:val="28"/>
          <w:lang w:val="uk-UA"/>
        </w:rPr>
      </w:pPr>
      <w:r w:rsidRPr="009F42F8">
        <w:rPr>
          <w:rFonts w:ascii="Times New Roman" w:hAnsi="Times New Roman" w:cs="Times New Roman"/>
          <w:sz w:val="28"/>
          <w:szCs w:val="28"/>
          <w:lang w:val="uk-UA"/>
        </w:rPr>
        <w:lastRenderedPageBreak/>
        <w:t>рівень кумулятивної задоволеності контрагента наявними на ринку альтернативними благами та торговельними марками;</w:t>
      </w:r>
    </w:p>
    <w:p w:rsidR="009F42F8" w:rsidRPr="009F42F8" w:rsidRDefault="009F42F8" w:rsidP="009F42F8">
      <w:pPr>
        <w:pStyle w:val="a4"/>
        <w:numPr>
          <w:ilvl w:val="0"/>
          <w:numId w:val="2"/>
        </w:numPr>
        <w:spacing w:after="0" w:line="360" w:lineRule="auto"/>
        <w:ind w:left="0" w:firstLine="0"/>
        <w:jc w:val="both"/>
        <w:rPr>
          <w:rFonts w:ascii="Times New Roman" w:hAnsi="Times New Roman" w:cs="Times New Roman"/>
          <w:sz w:val="28"/>
          <w:szCs w:val="28"/>
          <w:lang w:val="uk-UA"/>
        </w:rPr>
      </w:pPr>
      <w:r w:rsidRPr="009F42F8">
        <w:rPr>
          <w:rFonts w:ascii="Times New Roman" w:hAnsi="Times New Roman" w:cs="Times New Roman"/>
          <w:sz w:val="28"/>
          <w:szCs w:val="28"/>
          <w:lang w:val="uk-UA"/>
        </w:rPr>
        <w:t xml:space="preserve">преференційні очікування споживача та ступінь їхньої </w:t>
      </w:r>
      <w:proofErr w:type="spellStart"/>
      <w:r w:rsidRPr="009F42F8">
        <w:rPr>
          <w:rFonts w:ascii="Times New Roman" w:hAnsi="Times New Roman" w:cs="Times New Roman"/>
          <w:sz w:val="28"/>
          <w:szCs w:val="28"/>
          <w:lang w:val="uk-UA"/>
        </w:rPr>
        <w:t>релевантності</w:t>
      </w:r>
      <w:proofErr w:type="spellEnd"/>
      <w:r w:rsidRPr="009F42F8">
        <w:rPr>
          <w:rFonts w:ascii="Times New Roman" w:hAnsi="Times New Roman" w:cs="Times New Roman"/>
          <w:sz w:val="28"/>
          <w:szCs w:val="28"/>
          <w:lang w:val="uk-UA"/>
        </w:rPr>
        <w:t xml:space="preserve"> реальним якісним параметрам продукту чи послуги;</w:t>
      </w:r>
    </w:p>
    <w:p w:rsidR="009F42F8" w:rsidRPr="009F42F8" w:rsidRDefault="009F42F8" w:rsidP="009F42F8">
      <w:pPr>
        <w:pStyle w:val="a4"/>
        <w:numPr>
          <w:ilvl w:val="0"/>
          <w:numId w:val="2"/>
        </w:numPr>
        <w:spacing w:after="0" w:line="360" w:lineRule="auto"/>
        <w:ind w:left="0" w:firstLine="0"/>
        <w:jc w:val="both"/>
        <w:rPr>
          <w:rFonts w:ascii="Times New Roman" w:hAnsi="Times New Roman" w:cs="Times New Roman"/>
          <w:sz w:val="28"/>
          <w:szCs w:val="28"/>
          <w:lang w:val="uk-UA"/>
        </w:rPr>
      </w:pPr>
      <w:r w:rsidRPr="009F42F8">
        <w:rPr>
          <w:rFonts w:ascii="Times New Roman" w:hAnsi="Times New Roman" w:cs="Times New Roman"/>
          <w:sz w:val="28"/>
          <w:szCs w:val="28"/>
          <w:lang w:val="uk-UA"/>
        </w:rPr>
        <w:t>референтний вплив найближчого соціокультурного оточення, що транслюється через систему міжособистісних відгуків у сімейному, дружньому та професійному середовищах.</w:t>
      </w:r>
    </w:p>
    <w:p w:rsidR="009F42F8" w:rsidRPr="009F42F8" w:rsidRDefault="009F42F8" w:rsidP="009F42F8">
      <w:pPr>
        <w:spacing w:after="0" w:line="360" w:lineRule="auto"/>
        <w:ind w:firstLine="709"/>
        <w:jc w:val="both"/>
        <w:rPr>
          <w:rFonts w:ascii="Times New Roman" w:hAnsi="Times New Roman" w:cs="Times New Roman"/>
          <w:sz w:val="28"/>
          <w:szCs w:val="28"/>
          <w:lang w:val="uk-UA"/>
        </w:rPr>
      </w:pPr>
      <w:r w:rsidRPr="009F42F8">
        <w:rPr>
          <w:rFonts w:ascii="Times New Roman" w:hAnsi="Times New Roman" w:cs="Times New Roman"/>
          <w:sz w:val="28"/>
          <w:szCs w:val="28"/>
          <w:lang w:val="uk-UA"/>
        </w:rPr>
        <w:t>Для кількісної та якісної оцінки ступеня прихильності споживачів у маркетинговому аналізі застосовують систему спеціалізованих метрик:</w:t>
      </w:r>
    </w:p>
    <w:p w:rsidR="009F42F8" w:rsidRPr="009F42F8" w:rsidRDefault="009F42F8" w:rsidP="009F4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9F42F8">
        <w:rPr>
          <w:rFonts w:ascii="Times New Roman" w:hAnsi="Times New Roman" w:cs="Times New Roman"/>
          <w:sz w:val="28"/>
          <w:szCs w:val="28"/>
          <w:lang w:val="uk-UA"/>
        </w:rPr>
        <w:t>CLI (</w:t>
      </w:r>
      <w:proofErr w:type="spellStart"/>
      <w:r w:rsidRPr="009F42F8">
        <w:rPr>
          <w:rFonts w:ascii="Times New Roman" w:hAnsi="Times New Roman" w:cs="Times New Roman"/>
          <w:sz w:val="28"/>
          <w:szCs w:val="28"/>
          <w:lang w:val="uk-UA"/>
        </w:rPr>
        <w:t>Customer</w:t>
      </w:r>
      <w:proofErr w:type="spellEnd"/>
      <w:r w:rsidRPr="009F42F8">
        <w:rPr>
          <w:rFonts w:ascii="Times New Roman" w:hAnsi="Times New Roman" w:cs="Times New Roman"/>
          <w:sz w:val="28"/>
          <w:szCs w:val="28"/>
          <w:lang w:val="uk-UA"/>
        </w:rPr>
        <w:t xml:space="preserve"> </w:t>
      </w:r>
      <w:proofErr w:type="spellStart"/>
      <w:r w:rsidRPr="009F42F8">
        <w:rPr>
          <w:rFonts w:ascii="Times New Roman" w:hAnsi="Times New Roman" w:cs="Times New Roman"/>
          <w:sz w:val="28"/>
          <w:szCs w:val="28"/>
          <w:lang w:val="uk-UA"/>
        </w:rPr>
        <w:t>Loyalty</w:t>
      </w:r>
      <w:proofErr w:type="spellEnd"/>
      <w:r w:rsidRPr="009F42F8">
        <w:rPr>
          <w:rFonts w:ascii="Times New Roman" w:hAnsi="Times New Roman" w:cs="Times New Roman"/>
          <w:sz w:val="28"/>
          <w:szCs w:val="28"/>
          <w:lang w:val="uk-UA"/>
        </w:rPr>
        <w:t xml:space="preserve"> </w:t>
      </w:r>
      <w:proofErr w:type="spellStart"/>
      <w:r w:rsidRPr="009F42F8">
        <w:rPr>
          <w:rFonts w:ascii="Times New Roman" w:hAnsi="Times New Roman" w:cs="Times New Roman"/>
          <w:sz w:val="28"/>
          <w:szCs w:val="28"/>
          <w:lang w:val="uk-UA"/>
        </w:rPr>
        <w:t>Index</w:t>
      </w:r>
      <w:proofErr w:type="spellEnd"/>
      <w:r w:rsidRPr="009F42F8">
        <w:rPr>
          <w:rFonts w:ascii="Times New Roman" w:hAnsi="Times New Roman" w:cs="Times New Roman"/>
          <w:sz w:val="28"/>
          <w:szCs w:val="28"/>
          <w:lang w:val="uk-UA"/>
        </w:rPr>
        <w:t>) — інтегральний індекс споживчої лояльності, архітектоніка якого базується на трьох детермінантах:</w:t>
      </w:r>
    </w:p>
    <w:p w:rsidR="009F42F8" w:rsidRPr="00617C70" w:rsidRDefault="009F42F8" w:rsidP="00617C70">
      <w:pPr>
        <w:pStyle w:val="a4"/>
        <w:numPr>
          <w:ilvl w:val="0"/>
          <w:numId w:val="2"/>
        </w:numPr>
        <w:spacing w:after="0" w:line="360" w:lineRule="auto"/>
        <w:ind w:left="0" w:firstLine="0"/>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рівень кумулятивної задоволеності контрагента взаємодією з організацією;</w:t>
      </w:r>
    </w:p>
    <w:p w:rsidR="009F42F8" w:rsidRPr="00617C70" w:rsidRDefault="009F42F8" w:rsidP="00617C70">
      <w:pPr>
        <w:pStyle w:val="a4"/>
        <w:numPr>
          <w:ilvl w:val="0"/>
          <w:numId w:val="2"/>
        </w:numPr>
        <w:spacing w:after="0" w:line="360" w:lineRule="auto"/>
        <w:ind w:left="0" w:firstLine="0"/>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інтенсивність інтенцій (намірів) суб'єкта щодо здійснення повторних трансакцій чи повторного споживання послуг;</w:t>
      </w:r>
    </w:p>
    <w:p w:rsidR="009F42F8" w:rsidRPr="00617C70" w:rsidRDefault="009F42F8" w:rsidP="00617C70">
      <w:pPr>
        <w:pStyle w:val="a4"/>
        <w:numPr>
          <w:ilvl w:val="0"/>
          <w:numId w:val="2"/>
        </w:numPr>
        <w:spacing w:after="0" w:line="360" w:lineRule="auto"/>
        <w:ind w:left="0" w:firstLine="0"/>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готовність та схильність до референтного поширення позитивних рекомендацій у своєму соціальному середовищі.</w:t>
      </w:r>
    </w:p>
    <w:p w:rsidR="009F42F8" w:rsidRDefault="00617C70" w:rsidP="009F4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F42F8" w:rsidRPr="009F42F8">
        <w:rPr>
          <w:rFonts w:ascii="Times New Roman" w:hAnsi="Times New Roman" w:cs="Times New Roman"/>
          <w:sz w:val="28"/>
          <w:szCs w:val="28"/>
          <w:lang w:val="uk-UA"/>
        </w:rPr>
        <w:t>NPS (</w:t>
      </w:r>
      <w:proofErr w:type="spellStart"/>
      <w:r w:rsidR="009F42F8" w:rsidRPr="009F42F8">
        <w:rPr>
          <w:rFonts w:ascii="Times New Roman" w:hAnsi="Times New Roman" w:cs="Times New Roman"/>
          <w:sz w:val="28"/>
          <w:szCs w:val="28"/>
          <w:lang w:val="uk-UA"/>
        </w:rPr>
        <w:t>Net</w:t>
      </w:r>
      <w:proofErr w:type="spellEnd"/>
      <w:r w:rsidR="009F42F8" w:rsidRPr="009F42F8">
        <w:rPr>
          <w:rFonts w:ascii="Times New Roman" w:hAnsi="Times New Roman" w:cs="Times New Roman"/>
          <w:sz w:val="28"/>
          <w:szCs w:val="28"/>
          <w:lang w:val="uk-UA"/>
        </w:rPr>
        <w:t xml:space="preserve"> </w:t>
      </w:r>
      <w:proofErr w:type="spellStart"/>
      <w:r w:rsidR="009F42F8" w:rsidRPr="009F42F8">
        <w:rPr>
          <w:rFonts w:ascii="Times New Roman" w:hAnsi="Times New Roman" w:cs="Times New Roman"/>
          <w:sz w:val="28"/>
          <w:szCs w:val="28"/>
          <w:lang w:val="uk-UA"/>
        </w:rPr>
        <w:t>Promoter</w:t>
      </w:r>
      <w:proofErr w:type="spellEnd"/>
      <w:r w:rsidR="009F42F8" w:rsidRPr="009F42F8">
        <w:rPr>
          <w:rFonts w:ascii="Times New Roman" w:hAnsi="Times New Roman" w:cs="Times New Roman"/>
          <w:sz w:val="28"/>
          <w:szCs w:val="28"/>
          <w:lang w:val="uk-UA"/>
        </w:rPr>
        <w:t xml:space="preserve"> </w:t>
      </w:r>
      <w:proofErr w:type="spellStart"/>
      <w:r w:rsidR="009F42F8" w:rsidRPr="009F42F8">
        <w:rPr>
          <w:rFonts w:ascii="Times New Roman" w:hAnsi="Times New Roman" w:cs="Times New Roman"/>
          <w:sz w:val="28"/>
          <w:szCs w:val="28"/>
          <w:lang w:val="uk-UA"/>
        </w:rPr>
        <w:t>Score</w:t>
      </w:r>
      <w:proofErr w:type="spellEnd"/>
      <w:r w:rsidR="009F42F8" w:rsidRPr="009F42F8">
        <w:rPr>
          <w:rFonts w:ascii="Times New Roman" w:hAnsi="Times New Roman" w:cs="Times New Roman"/>
          <w:sz w:val="28"/>
          <w:szCs w:val="28"/>
          <w:lang w:val="uk-UA"/>
        </w:rPr>
        <w:t>) — індекс чистої лояльності (чистої підтримки), який експлікує виключно готовність клієнта виступати адвокатом бренду та рекомендувати його продукти іншим споживачам.</w:t>
      </w:r>
    </w:p>
    <w:p w:rsidR="00617C70" w:rsidRDefault="00617C70" w:rsidP="009F42F8">
      <w:pPr>
        <w:spacing w:after="0" w:line="360" w:lineRule="auto"/>
        <w:ind w:firstLine="709"/>
        <w:jc w:val="both"/>
        <w:rPr>
          <w:rFonts w:ascii="Times New Roman" w:hAnsi="Times New Roman" w:cs="Times New Roman"/>
          <w:sz w:val="28"/>
          <w:szCs w:val="28"/>
          <w:lang w:val="uk-UA"/>
        </w:rPr>
      </w:pPr>
    </w:p>
    <w:p w:rsidR="00617C70" w:rsidRPr="00951461" w:rsidRDefault="00617C70" w:rsidP="00617C70">
      <w:pPr>
        <w:spacing w:after="0" w:line="360" w:lineRule="auto"/>
        <w:jc w:val="center"/>
        <w:rPr>
          <w:rFonts w:ascii="Times New Roman" w:hAnsi="Times New Roman" w:cs="Times New Roman"/>
          <w:b/>
          <w:bCs/>
          <w:sz w:val="28"/>
          <w:szCs w:val="28"/>
          <w:lang w:val="uk-UA"/>
        </w:rPr>
      </w:pPr>
      <w:r w:rsidRPr="00951461">
        <w:rPr>
          <w:rFonts w:ascii="Times New Roman" w:hAnsi="Times New Roman" w:cs="Times New Roman"/>
          <w:b/>
          <w:bCs/>
          <w:sz w:val="28"/>
          <w:szCs w:val="28"/>
          <w:lang w:val="uk-UA"/>
        </w:rPr>
        <w:t xml:space="preserve">1.2. Програми лояльності: маркетингова характеристика </w:t>
      </w:r>
    </w:p>
    <w:p w:rsidR="00617C70" w:rsidRDefault="00617C70" w:rsidP="009F42F8">
      <w:pPr>
        <w:spacing w:after="0" w:line="360" w:lineRule="auto"/>
        <w:ind w:firstLine="709"/>
        <w:jc w:val="both"/>
        <w:rPr>
          <w:rFonts w:ascii="Times New Roman" w:hAnsi="Times New Roman" w:cs="Times New Roman"/>
          <w:sz w:val="28"/>
          <w:szCs w:val="28"/>
          <w:lang w:val="uk-UA"/>
        </w:rPr>
      </w:pPr>
    </w:p>
    <w:p w:rsidR="00617C70" w:rsidRDefault="00617C70" w:rsidP="009F42F8">
      <w:pPr>
        <w:spacing w:after="0" w:line="360" w:lineRule="auto"/>
        <w:ind w:firstLine="709"/>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 xml:space="preserve">Вектор стратегічної маркетингової активності суб'єкта господарювання орієнтований на перманентний моніторинг та ідентифікацію споживчих потреб, проектування диверсифікованого продуктового комплексу, релевантного виявленим запитам, а також на здійснення цілеспрямованого </w:t>
      </w:r>
      <w:proofErr w:type="spellStart"/>
      <w:r w:rsidRPr="00617C70">
        <w:rPr>
          <w:rFonts w:ascii="Times New Roman" w:hAnsi="Times New Roman" w:cs="Times New Roman"/>
          <w:sz w:val="28"/>
          <w:szCs w:val="28"/>
          <w:lang w:val="uk-UA"/>
        </w:rPr>
        <w:t>комунікаційно</w:t>
      </w:r>
      <w:proofErr w:type="spellEnd"/>
      <w:r w:rsidRPr="00617C70">
        <w:rPr>
          <w:rFonts w:ascii="Times New Roman" w:hAnsi="Times New Roman" w:cs="Times New Roman"/>
          <w:sz w:val="28"/>
          <w:szCs w:val="28"/>
          <w:lang w:val="uk-UA"/>
        </w:rPr>
        <w:t xml:space="preserve">-поведінкового впливу на аудиторію з метою її конверсії у сегмент перманентних контрагентів (зокрема через механізми конструювання та імплементації програм лояльності). </w:t>
      </w:r>
    </w:p>
    <w:p w:rsidR="00617C70" w:rsidRDefault="00617C70" w:rsidP="009F42F8">
      <w:pPr>
        <w:spacing w:after="0" w:line="360" w:lineRule="auto"/>
        <w:ind w:firstLine="709"/>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lastRenderedPageBreak/>
        <w:t>У межах цього дослідження доцільно здійснити компаративний аналіз базових моделей програм лояльності, інтегрованих у сучасну маркетингову практику.</w:t>
      </w:r>
    </w:p>
    <w:p w:rsidR="00617C70" w:rsidRPr="00617C70" w:rsidRDefault="00617C70" w:rsidP="00617C70">
      <w:pPr>
        <w:spacing w:after="0" w:line="360" w:lineRule="auto"/>
        <w:ind w:firstLine="709"/>
        <w:jc w:val="both"/>
        <w:rPr>
          <w:rFonts w:ascii="Times New Roman" w:hAnsi="Times New Roman" w:cs="Times New Roman"/>
          <w:b/>
          <w:bCs/>
          <w:sz w:val="28"/>
          <w:szCs w:val="28"/>
          <w:lang w:val="uk-UA"/>
        </w:rPr>
      </w:pPr>
      <w:r w:rsidRPr="00617C70">
        <w:rPr>
          <w:rFonts w:ascii="Times New Roman" w:hAnsi="Times New Roman" w:cs="Times New Roman"/>
          <w:b/>
          <w:bCs/>
          <w:sz w:val="28"/>
          <w:szCs w:val="28"/>
          <w:lang w:val="uk-UA"/>
        </w:rPr>
        <w:t xml:space="preserve">1) </w:t>
      </w:r>
      <w:r w:rsidRPr="00617C70">
        <w:rPr>
          <w:rFonts w:ascii="Times New Roman" w:hAnsi="Times New Roman" w:cs="Times New Roman"/>
          <w:b/>
          <w:bCs/>
          <w:sz w:val="28"/>
          <w:szCs w:val="28"/>
          <w:lang w:val="uk-UA"/>
        </w:rPr>
        <w:t>Дисконтні інструменти фіксованого типу.</w:t>
      </w:r>
    </w:p>
    <w:p w:rsidR="00617C70" w:rsidRPr="00617C70" w:rsidRDefault="00617C70" w:rsidP="00617C70">
      <w:pPr>
        <w:spacing w:after="0" w:line="360" w:lineRule="auto"/>
        <w:ind w:firstLine="709"/>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 xml:space="preserve">Зазначена модель зазвичай реалізується через емісію одноразових купонів, що забезпечують преференційне зниження ціни на визначений відсоток (переважно в діапазоні від 5% до 20%). Дистрибуція таких комунікаційних носіїв здійснюється шляхом </w:t>
      </w:r>
      <w:proofErr w:type="spellStart"/>
      <w:r w:rsidRPr="00617C70">
        <w:rPr>
          <w:rFonts w:ascii="Times New Roman" w:hAnsi="Times New Roman" w:cs="Times New Roman"/>
          <w:sz w:val="28"/>
          <w:szCs w:val="28"/>
          <w:lang w:val="uk-UA"/>
        </w:rPr>
        <w:t>таргетованого</w:t>
      </w:r>
      <w:proofErr w:type="spellEnd"/>
      <w:r w:rsidRPr="00617C70">
        <w:rPr>
          <w:rFonts w:ascii="Times New Roman" w:hAnsi="Times New Roman" w:cs="Times New Roman"/>
          <w:sz w:val="28"/>
          <w:szCs w:val="28"/>
          <w:lang w:val="uk-UA"/>
        </w:rPr>
        <w:t xml:space="preserve"> чи масового </w:t>
      </w:r>
      <w:proofErr w:type="spellStart"/>
      <w:r w:rsidRPr="00617C70">
        <w:rPr>
          <w:rFonts w:ascii="Times New Roman" w:hAnsi="Times New Roman" w:cs="Times New Roman"/>
          <w:sz w:val="28"/>
          <w:szCs w:val="28"/>
          <w:lang w:val="uk-UA"/>
        </w:rPr>
        <w:t>офлайн</w:t>
      </w:r>
      <w:proofErr w:type="spellEnd"/>
      <w:r w:rsidRPr="00617C70">
        <w:rPr>
          <w:rFonts w:ascii="Times New Roman" w:hAnsi="Times New Roman" w:cs="Times New Roman"/>
          <w:sz w:val="28"/>
          <w:szCs w:val="28"/>
          <w:lang w:val="uk-UA"/>
        </w:rPr>
        <w:t>-розповсюдження, крос-маркетингової активності у партнерських мережах, інтернет-реєстрації або за допомогою каналів мобільного зв’язку (SMS-інформування). Економічний ефект для реципієнта полягає в отриманні прямої матеріальної вигоди у вигляді заощадження фінансових ресурсів. Проте екстенсивне застосування цього підходу більшістю суб'єктів ринку призводить до девальвації його цінності в сприйнятті цільової аудиторії. Аналітики виокремлюють низку деструктивних ознак дисконтування:</w:t>
      </w:r>
    </w:p>
    <w:p w:rsidR="00617C70" w:rsidRPr="00617C70" w:rsidRDefault="00617C70" w:rsidP="00617C70">
      <w:pPr>
        <w:pStyle w:val="a4"/>
        <w:numPr>
          <w:ilvl w:val="0"/>
          <w:numId w:val="2"/>
        </w:numPr>
        <w:spacing w:after="0" w:line="360" w:lineRule="auto"/>
        <w:ind w:left="0" w:firstLine="0"/>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ініціювання недобросовісної цінової конкуренції та маржинальних воєн;</w:t>
      </w:r>
    </w:p>
    <w:p w:rsidR="00617C70" w:rsidRPr="00617C70" w:rsidRDefault="00617C70" w:rsidP="00617C70">
      <w:pPr>
        <w:pStyle w:val="a4"/>
        <w:numPr>
          <w:ilvl w:val="0"/>
          <w:numId w:val="2"/>
        </w:numPr>
        <w:spacing w:after="0" w:line="360" w:lineRule="auto"/>
        <w:ind w:left="0" w:firstLine="0"/>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поступове звикання споживача до дисконту, що зумовлює деградацію первинного рівня прихильності до бренду.</w:t>
      </w:r>
    </w:p>
    <w:p w:rsidR="00617C70" w:rsidRPr="00617C70" w:rsidRDefault="00617C70" w:rsidP="00617C70">
      <w:pPr>
        <w:spacing w:after="0" w:line="360" w:lineRule="auto"/>
        <w:ind w:firstLine="709"/>
        <w:jc w:val="both"/>
        <w:rPr>
          <w:rFonts w:ascii="Times New Roman" w:hAnsi="Times New Roman" w:cs="Times New Roman"/>
          <w:b/>
          <w:bCs/>
          <w:sz w:val="28"/>
          <w:szCs w:val="28"/>
          <w:lang w:val="uk-UA"/>
        </w:rPr>
      </w:pPr>
      <w:r w:rsidRPr="00617C70">
        <w:rPr>
          <w:rFonts w:ascii="Times New Roman" w:hAnsi="Times New Roman" w:cs="Times New Roman"/>
          <w:b/>
          <w:bCs/>
          <w:sz w:val="28"/>
          <w:szCs w:val="28"/>
          <w:lang w:val="uk-UA"/>
        </w:rPr>
        <w:t xml:space="preserve">2) </w:t>
      </w:r>
      <w:proofErr w:type="spellStart"/>
      <w:r w:rsidRPr="00617C70">
        <w:rPr>
          <w:rFonts w:ascii="Times New Roman" w:hAnsi="Times New Roman" w:cs="Times New Roman"/>
          <w:b/>
          <w:bCs/>
          <w:sz w:val="28"/>
          <w:szCs w:val="28"/>
          <w:lang w:val="uk-UA"/>
        </w:rPr>
        <w:t>Стимулювальні</w:t>
      </w:r>
      <w:proofErr w:type="spellEnd"/>
      <w:r w:rsidRPr="00617C70">
        <w:rPr>
          <w:rFonts w:ascii="Times New Roman" w:hAnsi="Times New Roman" w:cs="Times New Roman"/>
          <w:b/>
          <w:bCs/>
          <w:sz w:val="28"/>
          <w:szCs w:val="28"/>
          <w:lang w:val="uk-UA"/>
        </w:rPr>
        <w:t xml:space="preserve"> лотереї та розіграші </w:t>
      </w:r>
      <w:proofErr w:type="spellStart"/>
      <w:r w:rsidRPr="00617C70">
        <w:rPr>
          <w:rFonts w:ascii="Times New Roman" w:hAnsi="Times New Roman" w:cs="Times New Roman"/>
          <w:b/>
          <w:bCs/>
          <w:sz w:val="28"/>
          <w:szCs w:val="28"/>
          <w:lang w:val="uk-UA"/>
        </w:rPr>
        <w:t>суперпризів</w:t>
      </w:r>
      <w:proofErr w:type="spellEnd"/>
      <w:r w:rsidRPr="00617C70">
        <w:rPr>
          <w:rFonts w:ascii="Times New Roman" w:hAnsi="Times New Roman" w:cs="Times New Roman"/>
          <w:b/>
          <w:bCs/>
          <w:sz w:val="28"/>
          <w:szCs w:val="28"/>
          <w:lang w:val="uk-UA"/>
        </w:rPr>
        <w:t>.</w:t>
      </w:r>
    </w:p>
    <w:p w:rsidR="00617C70" w:rsidRPr="00617C70" w:rsidRDefault="00617C70" w:rsidP="00617C70">
      <w:pPr>
        <w:spacing w:after="0" w:line="360" w:lineRule="auto"/>
        <w:ind w:firstLine="709"/>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Архітектоніка цієї моделі базується на синергії раціональних мотивів та емоційного залучення потенційного клієнта. Механізм демонструє високу комунікативну ефективність на початковій стадії залучення респондентів, однак у довгостроковій перспективі рівень споживчого ентузіазму суттєво знижується. Така тенденція детермінована ймовірнісним (випадковим) характером визначення переможців та дефіцитом транспарентності (прозорості) процедури розіграшу.</w:t>
      </w:r>
    </w:p>
    <w:p w:rsidR="00617C70" w:rsidRPr="00617C70" w:rsidRDefault="00617C70" w:rsidP="00617C70">
      <w:pPr>
        <w:spacing w:after="0" w:line="360" w:lineRule="auto"/>
        <w:ind w:firstLine="709"/>
        <w:jc w:val="both"/>
        <w:rPr>
          <w:rFonts w:ascii="Times New Roman" w:hAnsi="Times New Roman" w:cs="Times New Roman"/>
          <w:b/>
          <w:bCs/>
          <w:sz w:val="28"/>
          <w:szCs w:val="28"/>
          <w:lang w:val="uk-UA"/>
        </w:rPr>
      </w:pPr>
      <w:r w:rsidRPr="00617C70">
        <w:rPr>
          <w:rFonts w:ascii="Times New Roman" w:hAnsi="Times New Roman" w:cs="Times New Roman"/>
          <w:b/>
          <w:bCs/>
          <w:sz w:val="28"/>
          <w:szCs w:val="28"/>
          <w:lang w:val="uk-UA"/>
        </w:rPr>
        <w:t xml:space="preserve">3) </w:t>
      </w:r>
      <w:r w:rsidRPr="00617C70">
        <w:rPr>
          <w:rFonts w:ascii="Times New Roman" w:hAnsi="Times New Roman" w:cs="Times New Roman"/>
          <w:b/>
          <w:bCs/>
          <w:sz w:val="28"/>
          <w:szCs w:val="28"/>
          <w:lang w:val="uk-UA"/>
        </w:rPr>
        <w:t>Прогресивні (накопичувальні) системи дисконтування.</w:t>
      </w:r>
    </w:p>
    <w:p w:rsidR="00617C70" w:rsidRPr="00617C70" w:rsidRDefault="00617C70" w:rsidP="00617C70">
      <w:pPr>
        <w:spacing w:after="0" w:line="360" w:lineRule="auto"/>
        <w:ind w:firstLine="709"/>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 xml:space="preserve">Даний інструментарій є релевантним для великих операторів </w:t>
      </w:r>
      <w:proofErr w:type="spellStart"/>
      <w:r w:rsidRPr="00617C70">
        <w:rPr>
          <w:rFonts w:ascii="Times New Roman" w:hAnsi="Times New Roman" w:cs="Times New Roman"/>
          <w:sz w:val="28"/>
          <w:szCs w:val="28"/>
          <w:lang w:val="uk-UA"/>
        </w:rPr>
        <w:t>ритейлу</w:t>
      </w:r>
      <w:proofErr w:type="spellEnd"/>
      <w:r w:rsidRPr="00617C70">
        <w:rPr>
          <w:rFonts w:ascii="Times New Roman" w:hAnsi="Times New Roman" w:cs="Times New Roman"/>
          <w:sz w:val="28"/>
          <w:szCs w:val="28"/>
          <w:lang w:val="uk-UA"/>
        </w:rPr>
        <w:t xml:space="preserve">. Його функціональне завдання полягає у стимулюванні трансакційної активності індивіда через максимізацію обсягів закупівлі, що конвертується у вищий рівень преференцій та збільшення суми заощаджень. Водночас це створює загрозу </w:t>
      </w:r>
      <w:r w:rsidRPr="00617C70">
        <w:rPr>
          <w:rFonts w:ascii="Times New Roman" w:hAnsi="Times New Roman" w:cs="Times New Roman"/>
          <w:sz w:val="28"/>
          <w:szCs w:val="28"/>
          <w:lang w:val="uk-UA"/>
        </w:rPr>
        <w:lastRenderedPageBreak/>
        <w:t xml:space="preserve">зниження рентабельності самого </w:t>
      </w:r>
      <w:proofErr w:type="spellStart"/>
      <w:r w:rsidRPr="00617C70">
        <w:rPr>
          <w:rFonts w:ascii="Times New Roman" w:hAnsi="Times New Roman" w:cs="Times New Roman"/>
          <w:sz w:val="28"/>
          <w:szCs w:val="28"/>
          <w:lang w:val="uk-UA"/>
        </w:rPr>
        <w:t>ритейлера</w:t>
      </w:r>
      <w:proofErr w:type="spellEnd"/>
      <w:r w:rsidRPr="00617C70">
        <w:rPr>
          <w:rFonts w:ascii="Times New Roman" w:hAnsi="Times New Roman" w:cs="Times New Roman"/>
          <w:sz w:val="28"/>
          <w:szCs w:val="28"/>
          <w:lang w:val="uk-UA"/>
        </w:rPr>
        <w:t xml:space="preserve">, оскільки найбільший обсяг знижок акумулюють найбільш високоприбуткові клієнти. У практиці вітчизняного </w:t>
      </w:r>
      <w:proofErr w:type="spellStart"/>
      <w:r w:rsidRPr="00617C70">
        <w:rPr>
          <w:rFonts w:ascii="Times New Roman" w:hAnsi="Times New Roman" w:cs="Times New Roman"/>
          <w:sz w:val="28"/>
          <w:szCs w:val="28"/>
          <w:lang w:val="uk-UA"/>
        </w:rPr>
        <w:t>ритейлу</w:t>
      </w:r>
      <w:proofErr w:type="spellEnd"/>
      <w:r w:rsidRPr="00617C70">
        <w:rPr>
          <w:rFonts w:ascii="Times New Roman" w:hAnsi="Times New Roman" w:cs="Times New Roman"/>
          <w:sz w:val="28"/>
          <w:szCs w:val="28"/>
          <w:lang w:val="uk-UA"/>
        </w:rPr>
        <w:t xml:space="preserve"> (на прикладі мереж «Сільпо», «РОСТ», «Чудо») цей інструмент функціонує на базі пластикових ідентифікаторів, які забезпечують пряме зниження вартості або накопичення бонусних одиниць для подальших розрахунків. Ряд виробників та дистриб'юторів (зокрема «Наша Ряба», Салтівський м’ясокомбінат, провідні аптечні заклади) трансформували цей процес у формат віртуальних карток лояльності, інтегрованих із мобільними номерами користувачів.</w:t>
      </w:r>
    </w:p>
    <w:p w:rsidR="00617C70" w:rsidRDefault="00617C70" w:rsidP="00617C70">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4) </w:t>
      </w:r>
      <w:r w:rsidRPr="00617C70">
        <w:rPr>
          <w:rFonts w:ascii="Times New Roman" w:hAnsi="Times New Roman" w:cs="Times New Roman"/>
          <w:b/>
          <w:bCs/>
          <w:sz w:val="28"/>
          <w:szCs w:val="28"/>
          <w:lang w:val="uk-UA"/>
        </w:rPr>
        <w:t>Бонусні (бальні) системи.</w:t>
      </w:r>
    </w:p>
    <w:p w:rsidR="00617C70" w:rsidRDefault="00617C70" w:rsidP="00617C70">
      <w:pPr>
        <w:spacing w:after="0" w:line="360" w:lineRule="auto"/>
        <w:ind w:firstLine="709"/>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 xml:space="preserve">Концептуальна сутність полягає в нарахуванні умовних балів за кожну трансакцію з їхньою подальшою конвертацією у матеріальні чи нематеріальні блага (товари, послуги). Цільова спрямованість цього підходу полягає у психологічній </w:t>
      </w:r>
      <w:proofErr w:type="spellStart"/>
      <w:r w:rsidRPr="00617C70">
        <w:rPr>
          <w:rFonts w:ascii="Times New Roman" w:hAnsi="Times New Roman" w:cs="Times New Roman"/>
          <w:sz w:val="28"/>
          <w:szCs w:val="28"/>
          <w:lang w:val="uk-UA"/>
        </w:rPr>
        <w:t>модерації</w:t>
      </w:r>
      <w:proofErr w:type="spellEnd"/>
      <w:r w:rsidRPr="00617C70">
        <w:rPr>
          <w:rFonts w:ascii="Times New Roman" w:hAnsi="Times New Roman" w:cs="Times New Roman"/>
          <w:sz w:val="28"/>
          <w:szCs w:val="28"/>
          <w:lang w:val="uk-UA"/>
        </w:rPr>
        <w:t xml:space="preserve"> споживчої поведінки задля формування пулу постійних контрагентів, інтенсифікації відвідувань точок продажу та максимізації середнього чека ради отримання бажаної винагороди. Цей механізм комплексно </w:t>
      </w:r>
      <w:proofErr w:type="spellStart"/>
      <w:r w:rsidRPr="00617C70">
        <w:rPr>
          <w:rFonts w:ascii="Times New Roman" w:hAnsi="Times New Roman" w:cs="Times New Roman"/>
          <w:sz w:val="28"/>
          <w:szCs w:val="28"/>
          <w:lang w:val="uk-UA"/>
        </w:rPr>
        <w:t>задіює</w:t>
      </w:r>
      <w:proofErr w:type="spellEnd"/>
      <w:r w:rsidRPr="00617C70">
        <w:rPr>
          <w:rFonts w:ascii="Times New Roman" w:hAnsi="Times New Roman" w:cs="Times New Roman"/>
          <w:sz w:val="28"/>
          <w:szCs w:val="28"/>
          <w:lang w:val="uk-UA"/>
        </w:rPr>
        <w:t xml:space="preserve"> утилітарні та гедоністичні потреби особистості.</w:t>
      </w:r>
    </w:p>
    <w:p w:rsidR="00617C70" w:rsidRPr="00617C70" w:rsidRDefault="00617C70" w:rsidP="00617C70">
      <w:pPr>
        <w:spacing w:after="0" w:line="360" w:lineRule="auto"/>
        <w:ind w:firstLine="709"/>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 xml:space="preserve">До початку 2023 року зазначений методологічний підхід активно </w:t>
      </w:r>
      <w:proofErr w:type="spellStart"/>
      <w:r w:rsidRPr="00617C70">
        <w:rPr>
          <w:rFonts w:ascii="Times New Roman" w:hAnsi="Times New Roman" w:cs="Times New Roman"/>
          <w:sz w:val="28"/>
          <w:szCs w:val="28"/>
          <w:lang w:val="uk-UA"/>
        </w:rPr>
        <w:t>імплементувався</w:t>
      </w:r>
      <w:proofErr w:type="spellEnd"/>
      <w:r w:rsidRPr="00617C70">
        <w:rPr>
          <w:rFonts w:ascii="Times New Roman" w:hAnsi="Times New Roman" w:cs="Times New Roman"/>
          <w:sz w:val="28"/>
          <w:szCs w:val="28"/>
          <w:lang w:val="uk-UA"/>
        </w:rPr>
        <w:t xml:space="preserve"> у практику менеджменту торговельної мережі «Клас», проте згодом менеджмент компанії ухвалив рішення про реверс до використання раніше діючої маркетингової моделі.</w:t>
      </w:r>
    </w:p>
    <w:p w:rsidR="00617C70" w:rsidRDefault="00617C70" w:rsidP="00617C70">
      <w:pPr>
        <w:spacing w:after="0" w:line="360" w:lineRule="auto"/>
        <w:jc w:val="center"/>
        <w:rPr>
          <w:rFonts w:ascii="Times New Roman" w:hAnsi="Times New Roman" w:cs="Times New Roman"/>
          <w:sz w:val="28"/>
          <w:szCs w:val="28"/>
          <w:lang w:val="uk-UA"/>
        </w:rPr>
      </w:pPr>
      <w:r w:rsidRPr="00D34836">
        <w:rPr>
          <w:rFonts w:ascii="Times New Roman" w:hAnsi="Times New Roman" w:cs="Times New Roman"/>
          <w:noProof/>
          <w:sz w:val="28"/>
          <w:szCs w:val="28"/>
          <w:lang w:val="uk-UA"/>
        </w:rPr>
        <w:drawing>
          <wp:inline distT="0" distB="0" distL="0" distR="0" wp14:anchorId="6607A2F9" wp14:editId="4E0409C4">
            <wp:extent cx="5649113" cy="219105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50000"/>
                              </a14:imgEffect>
                              <a14:imgEffect>
                                <a14:brightnessContrast contrast="-40000"/>
                              </a14:imgEffect>
                            </a14:imgLayer>
                          </a14:imgProps>
                        </a:ext>
                      </a:extLst>
                    </a:blip>
                    <a:stretch>
                      <a:fillRect/>
                    </a:stretch>
                  </pic:blipFill>
                  <pic:spPr>
                    <a:xfrm>
                      <a:off x="0" y="0"/>
                      <a:ext cx="5649113" cy="2191056"/>
                    </a:xfrm>
                    <a:prstGeom prst="rect">
                      <a:avLst/>
                    </a:prstGeom>
                  </pic:spPr>
                </pic:pic>
              </a:graphicData>
            </a:graphic>
          </wp:inline>
        </w:drawing>
      </w:r>
    </w:p>
    <w:p w:rsidR="00617C70" w:rsidRDefault="00617C70" w:rsidP="00617C70">
      <w:pPr>
        <w:spacing w:after="0" w:line="360" w:lineRule="auto"/>
        <w:jc w:val="center"/>
        <w:rPr>
          <w:rFonts w:ascii="Times New Roman" w:hAnsi="Times New Roman" w:cs="Times New Roman"/>
          <w:sz w:val="28"/>
          <w:szCs w:val="28"/>
          <w:lang w:val="uk-UA"/>
        </w:rPr>
      </w:pPr>
      <w:r w:rsidRPr="00D34836">
        <w:rPr>
          <w:rFonts w:ascii="Times New Roman" w:hAnsi="Times New Roman" w:cs="Times New Roman"/>
          <w:sz w:val="28"/>
          <w:szCs w:val="28"/>
          <w:lang w:val="uk-UA"/>
        </w:rPr>
        <w:t xml:space="preserve">Рис. 1.4. </w:t>
      </w:r>
      <w:r>
        <w:rPr>
          <w:rFonts w:ascii="Times New Roman" w:hAnsi="Times New Roman" w:cs="Times New Roman"/>
          <w:sz w:val="28"/>
          <w:szCs w:val="28"/>
          <w:lang w:val="uk-UA"/>
        </w:rPr>
        <w:t>П</w:t>
      </w:r>
      <w:r w:rsidRPr="00D34836">
        <w:rPr>
          <w:rFonts w:ascii="Times New Roman" w:hAnsi="Times New Roman" w:cs="Times New Roman"/>
          <w:sz w:val="28"/>
          <w:szCs w:val="28"/>
          <w:lang w:val="uk-UA"/>
        </w:rPr>
        <w:t>рограм</w:t>
      </w:r>
      <w:r>
        <w:rPr>
          <w:rFonts w:ascii="Times New Roman" w:hAnsi="Times New Roman" w:cs="Times New Roman"/>
          <w:sz w:val="28"/>
          <w:szCs w:val="28"/>
          <w:lang w:val="uk-UA"/>
        </w:rPr>
        <w:t>и</w:t>
      </w:r>
      <w:r w:rsidRPr="00D34836">
        <w:rPr>
          <w:rFonts w:ascii="Times New Roman" w:hAnsi="Times New Roman" w:cs="Times New Roman"/>
          <w:sz w:val="28"/>
          <w:szCs w:val="28"/>
          <w:lang w:val="uk-UA"/>
        </w:rPr>
        <w:t xml:space="preserve"> лояльності</w:t>
      </w:r>
      <w:r>
        <w:rPr>
          <w:rFonts w:ascii="Times New Roman" w:hAnsi="Times New Roman" w:cs="Times New Roman"/>
          <w:sz w:val="28"/>
          <w:szCs w:val="28"/>
          <w:lang w:val="uk-UA"/>
        </w:rPr>
        <w:t>:</w:t>
      </w:r>
      <w:r w:rsidRPr="00D34836">
        <w:rPr>
          <w:rFonts w:ascii="Times New Roman" w:hAnsi="Times New Roman" w:cs="Times New Roman"/>
          <w:sz w:val="28"/>
          <w:szCs w:val="28"/>
          <w:lang w:val="uk-UA"/>
        </w:rPr>
        <w:t xml:space="preserve"> </w:t>
      </w:r>
      <w:r>
        <w:rPr>
          <w:rFonts w:ascii="Times New Roman" w:hAnsi="Times New Roman" w:cs="Times New Roman"/>
          <w:sz w:val="28"/>
          <w:szCs w:val="28"/>
          <w:lang w:val="uk-UA"/>
        </w:rPr>
        <w:t>ч</w:t>
      </w:r>
      <w:r w:rsidRPr="00D34836">
        <w:rPr>
          <w:rFonts w:ascii="Times New Roman" w:hAnsi="Times New Roman" w:cs="Times New Roman"/>
          <w:sz w:val="28"/>
          <w:szCs w:val="28"/>
          <w:lang w:val="uk-UA"/>
        </w:rPr>
        <w:t>инники успішності</w:t>
      </w:r>
    </w:p>
    <w:p w:rsidR="00617C70" w:rsidRDefault="00617C70" w:rsidP="00617C70">
      <w:pPr>
        <w:spacing w:after="0" w:line="360" w:lineRule="auto"/>
        <w:ind w:firstLine="709"/>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lastRenderedPageBreak/>
        <w:t>На рис. 1.4</w:t>
      </w:r>
      <w:r>
        <w:rPr>
          <w:rFonts w:ascii="Times New Roman" w:hAnsi="Times New Roman" w:cs="Times New Roman"/>
          <w:sz w:val="28"/>
          <w:szCs w:val="28"/>
          <w:lang w:val="uk-UA"/>
        </w:rPr>
        <w:t>.</w:t>
      </w:r>
      <w:r w:rsidRPr="00617C70">
        <w:rPr>
          <w:rFonts w:ascii="Times New Roman" w:hAnsi="Times New Roman" w:cs="Times New Roman"/>
          <w:sz w:val="28"/>
          <w:szCs w:val="28"/>
          <w:lang w:val="uk-UA"/>
        </w:rPr>
        <w:t xml:space="preserve"> систематизовано детермінанти ефективності та успішності клієнтських програм лояльності, які були науково обґрунтовані в теоретичних напрацюваннях Ч. Джонса та Л. </w:t>
      </w:r>
      <w:proofErr w:type="spellStart"/>
      <w:r w:rsidRPr="00617C70">
        <w:rPr>
          <w:rFonts w:ascii="Times New Roman" w:hAnsi="Times New Roman" w:cs="Times New Roman"/>
          <w:sz w:val="28"/>
          <w:szCs w:val="28"/>
          <w:lang w:val="uk-UA"/>
        </w:rPr>
        <w:t>О'Браєна</w:t>
      </w:r>
      <w:proofErr w:type="spellEnd"/>
      <w:r w:rsidRPr="00617C70">
        <w:rPr>
          <w:rFonts w:ascii="Times New Roman" w:hAnsi="Times New Roman" w:cs="Times New Roman"/>
          <w:sz w:val="28"/>
          <w:szCs w:val="28"/>
          <w:lang w:val="uk-UA"/>
        </w:rPr>
        <w:t>.</w:t>
      </w:r>
    </w:p>
    <w:p w:rsidR="00617C70" w:rsidRDefault="00617C70" w:rsidP="00617C70">
      <w:pPr>
        <w:spacing w:after="0" w:line="360" w:lineRule="auto"/>
        <w:ind w:firstLine="709"/>
        <w:jc w:val="both"/>
        <w:rPr>
          <w:rFonts w:ascii="Times New Roman" w:hAnsi="Times New Roman" w:cs="Times New Roman"/>
          <w:sz w:val="28"/>
          <w:szCs w:val="28"/>
          <w:lang w:val="uk-UA"/>
        </w:rPr>
      </w:pPr>
      <w:r w:rsidRPr="00617C70">
        <w:rPr>
          <w:rFonts w:ascii="Times New Roman" w:hAnsi="Times New Roman" w:cs="Times New Roman"/>
          <w:sz w:val="28"/>
          <w:szCs w:val="28"/>
          <w:lang w:val="uk-UA"/>
        </w:rPr>
        <w:t>Проектування та імплементація програм лояльності у фінансово-кредитній сфері характеризується специфічними галузевими особливостями, які безпосередньо детерміновані сутнісними властивостями банківського продукту та стандартами клієнтського обслуговування.</w:t>
      </w:r>
    </w:p>
    <w:p w:rsidR="00617C70" w:rsidRDefault="00617C70" w:rsidP="00617C70">
      <w:pPr>
        <w:spacing w:after="0" w:line="360" w:lineRule="auto"/>
        <w:jc w:val="center"/>
        <w:rPr>
          <w:rFonts w:ascii="Times New Roman" w:hAnsi="Times New Roman" w:cs="Times New Roman"/>
          <w:sz w:val="28"/>
          <w:szCs w:val="28"/>
          <w:lang w:val="uk-UA"/>
        </w:rPr>
      </w:pPr>
      <w:r w:rsidRPr="00D34836">
        <w:rPr>
          <w:rFonts w:ascii="Times New Roman" w:hAnsi="Times New Roman" w:cs="Times New Roman"/>
          <w:noProof/>
          <w:sz w:val="28"/>
          <w:szCs w:val="28"/>
          <w:lang w:val="uk-UA"/>
        </w:rPr>
        <w:drawing>
          <wp:inline distT="0" distB="0" distL="0" distR="0" wp14:anchorId="4C82D9CE" wp14:editId="52EAA161">
            <wp:extent cx="4562475" cy="22002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Lst>
                    </a:blip>
                    <a:stretch>
                      <a:fillRect/>
                    </a:stretch>
                  </pic:blipFill>
                  <pic:spPr>
                    <a:xfrm>
                      <a:off x="0" y="0"/>
                      <a:ext cx="4563132" cy="2200592"/>
                    </a:xfrm>
                    <a:prstGeom prst="rect">
                      <a:avLst/>
                    </a:prstGeom>
                  </pic:spPr>
                </pic:pic>
              </a:graphicData>
            </a:graphic>
          </wp:inline>
        </w:drawing>
      </w:r>
    </w:p>
    <w:p w:rsidR="00617C70" w:rsidRDefault="00617C70" w:rsidP="00617C70">
      <w:pPr>
        <w:spacing w:after="0" w:line="360" w:lineRule="auto"/>
        <w:jc w:val="center"/>
        <w:rPr>
          <w:rFonts w:ascii="Times New Roman" w:hAnsi="Times New Roman" w:cs="Times New Roman"/>
          <w:sz w:val="28"/>
          <w:szCs w:val="28"/>
          <w:lang w:val="uk-UA"/>
        </w:rPr>
      </w:pPr>
      <w:r w:rsidRPr="00D34836">
        <w:rPr>
          <w:rFonts w:ascii="Times New Roman" w:hAnsi="Times New Roman" w:cs="Times New Roman"/>
          <w:sz w:val="28"/>
          <w:szCs w:val="28"/>
          <w:lang w:val="uk-UA"/>
        </w:rPr>
        <w:t xml:space="preserve">Рис. 1.5. </w:t>
      </w:r>
      <w:r>
        <w:rPr>
          <w:rFonts w:ascii="Times New Roman" w:hAnsi="Times New Roman" w:cs="Times New Roman"/>
          <w:sz w:val="28"/>
          <w:szCs w:val="28"/>
          <w:lang w:val="uk-UA"/>
        </w:rPr>
        <w:t>П</w:t>
      </w:r>
      <w:r w:rsidRPr="00D34836">
        <w:rPr>
          <w:rFonts w:ascii="Times New Roman" w:hAnsi="Times New Roman" w:cs="Times New Roman"/>
          <w:sz w:val="28"/>
          <w:szCs w:val="28"/>
          <w:lang w:val="uk-UA"/>
        </w:rPr>
        <w:t>рограм</w:t>
      </w:r>
      <w:r>
        <w:rPr>
          <w:rFonts w:ascii="Times New Roman" w:hAnsi="Times New Roman" w:cs="Times New Roman"/>
          <w:sz w:val="28"/>
          <w:szCs w:val="28"/>
          <w:lang w:val="uk-UA"/>
        </w:rPr>
        <w:t>и</w:t>
      </w:r>
      <w:r w:rsidRPr="00D34836">
        <w:rPr>
          <w:rFonts w:ascii="Times New Roman" w:hAnsi="Times New Roman" w:cs="Times New Roman"/>
          <w:sz w:val="28"/>
          <w:szCs w:val="28"/>
          <w:lang w:val="uk-UA"/>
        </w:rPr>
        <w:t xml:space="preserve"> лояльності</w:t>
      </w:r>
      <w:r>
        <w:rPr>
          <w:rFonts w:ascii="Times New Roman" w:hAnsi="Times New Roman" w:cs="Times New Roman"/>
          <w:sz w:val="28"/>
          <w:szCs w:val="28"/>
          <w:lang w:val="uk-UA"/>
        </w:rPr>
        <w:t>:</w:t>
      </w:r>
      <w:r w:rsidRPr="00D34836">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D34836">
        <w:rPr>
          <w:rFonts w:ascii="Times New Roman" w:hAnsi="Times New Roman" w:cs="Times New Roman"/>
          <w:sz w:val="28"/>
          <w:szCs w:val="28"/>
          <w:lang w:val="uk-UA"/>
        </w:rPr>
        <w:t xml:space="preserve">собливості </w:t>
      </w:r>
      <w:r>
        <w:rPr>
          <w:rFonts w:ascii="Times New Roman" w:hAnsi="Times New Roman" w:cs="Times New Roman"/>
          <w:sz w:val="28"/>
          <w:szCs w:val="28"/>
          <w:lang w:val="uk-UA"/>
        </w:rPr>
        <w:t xml:space="preserve">застосування </w:t>
      </w:r>
      <w:r w:rsidRPr="00D34836">
        <w:rPr>
          <w:rFonts w:ascii="Times New Roman" w:hAnsi="Times New Roman" w:cs="Times New Roman"/>
          <w:sz w:val="28"/>
          <w:szCs w:val="28"/>
          <w:lang w:val="uk-UA"/>
        </w:rPr>
        <w:t xml:space="preserve">у банківській </w:t>
      </w:r>
      <w:r>
        <w:rPr>
          <w:rFonts w:ascii="Times New Roman" w:hAnsi="Times New Roman" w:cs="Times New Roman"/>
          <w:sz w:val="28"/>
          <w:szCs w:val="28"/>
          <w:lang w:val="uk-UA"/>
        </w:rPr>
        <w:t>галузі</w:t>
      </w:r>
    </w:p>
    <w:p w:rsidR="003D79FF" w:rsidRPr="003D79FF" w:rsidRDefault="003D79FF" w:rsidP="003D79FF">
      <w:pPr>
        <w:spacing w:after="0" w:line="360" w:lineRule="auto"/>
        <w:ind w:firstLine="709"/>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У науково-практичному дискурсі банківські програми лояльності класифікують за критерієм суб'єктної інтеграції на три основні дескриптивні групи:</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proofErr w:type="spellStart"/>
      <w:r w:rsidRPr="003D79FF">
        <w:rPr>
          <w:rFonts w:ascii="Times New Roman" w:hAnsi="Times New Roman" w:cs="Times New Roman"/>
          <w:sz w:val="28"/>
          <w:szCs w:val="28"/>
          <w:lang w:val="uk-UA"/>
        </w:rPr>
        <w:t>монобанківські</w:t>
      </w:r>
      <w:proofErr w:type="spellEnd"/>
      <w:r w:rsidRPr="003D79FF">
        <w:rPr>
          <w:rFonts w:ascii="Times New Roman" w:hAnsi="Times New Roman" w:cs="Times New Roman"/>
          <w:sz w:val="28"/>
          <w:szCs w:val="28"/>
          <w:lang w:val="uk-UA"/>
        </w:rPr>
        <w:t xml:space="preserve"> (внутрішні);</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proofErr w:type="spellStart"/>
      <w:r w:rsidRPr="003D79FF">
        <w:rPr>
          <w:rFonts w:ascii="Times New Roman" w:hAnsi="Times New Roman" w:cs="Times New Roman"/>
          <w:sz w:val="28"/>
          <w:szCs w:val="28"/>
          <w:lang w:val="uk-UA"/>
        </w:rPr>
        <w:t>кобрендингові</w:t>
      </w:r>
      <w:proofErr w:type="spellEnd"/>
      <w:r w:rsidRPr="003D79FF">
        <w:rPr>
          <w:rFonts w:ascii="Times New Roman" w:hAnsi="Times New Roman" w:cs="Times New Roman"/>
          <w:sz w:val="28"/>
          <w:szCs w:val="28"/>
          <w:lang w:val="uk-UA"/>
        </w:rPr>
        <w:t xml:space="preserve"> (двосторонні);</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коаліційні (</w:t>
      </w:r>
      <w:proofErr w:type="spellStart"/>
      <w:r w:rsidRPr="003D79FF">
        <w:rPr>
          <w:rFonts w:ascii="Times New Roman" w:hAnsi="Times New Roman" w:cs="Times New Roman"/>
          <w:sz w:val="28"/>
          <w:szCs w:val="28"/>
          <w:lang w:val="uk-UA"/>
        </w:rPr>
        <w:t>мультипартнерські</w:t>
      </w:r>
      <w:proofErr w:type="spellEnd"/>
      <w:r w:rsidRPr="003D79FF">
        <w:rPr>
          <w:rFonts w:ascii="Times New Roman" w:hAnsi="Times New Roman" w:cs="Times New Roman"/>
          <w:sz w:val="28"/>
          <w:szCs w:val="28"/>
          <w:lang w:val="uk-UA"/>
        </w:rPr>
        <w:t>).</w:t>
      </w:r>
    </w:p>
    <w:p w:rsidR="00617C70" w:rsidRDefault="003D79FF" w:rsidP="003D79FF">
      <w:pPr>
        <w:spacing w:after="0" w:line="360" w:lineRule="auto"/>
        <w:ind w:firstLine="709"/>
        <w:jc w:val="both"/>
        <w:rPr>
          <w:rFonts w:ascii="Times New Roman" w:hAnsi="Times New Roman" w:cs="Times New Roman"/>
          <w:sz w:val="28"/>
          <w:szCs w:val="28"/>
          <w:lang w:val="uk-UA"/>
        </w:rPr>
      </w:pPr>
      <w:r w:rsidRPr="003D79FF">
        <w:rPr>
          <w:rFonts w:ascii="Times New Roman" w:hAnsi="Times New Roman" w:cs="Times New Roman"/>
          <w:b/>
          <w:bCs/>
          <w:sz w:val="28"/>
          <w:szCs w:val="28"/>
          <w:lang w:val="uk-UA"/>
        </w:rPr>
        <w:t>Внутрішні (</w:t>
      </w:r>
      <w:proofErr w:type="spellStart"/>
      <w:r w:rsidRPr="003D79FF">
        <w:rPr>
          <w:rFonts w:ascii="Times New Roman" w:hAnsi="Times New Roman" w:cs="Times New Roman"/>
          <w:b/>
          <w:bCs/>
          <w:sz w:val="28"/>
          <w:szCs w:val="28"/>
          <w:lang w:val="uk-UA"/>
        </w:rPr>
        <w:t>монобанківські</w:t>
      </w:r>
      <w:proofErr w:type="spellEnd"/>
      <w:r w:rsidRPr="003D79FF">
        <w:rPr>
          <w:rFonts w:ascii="Times New Roman" w:hAnsi="Times New Roman" w:cs="Times New Roman"/>
          <w:b/>
          <w:bCs/>
          <w:sz w:val="28"/>
          <w:szCs w:val="28"/>
          <w:lang w:val="uk-UA"/>
        </w:rPr>
        <w:t>) інструменти лояльності</w:t>
      </w:r>
      <w:r w:rsidRPr="003D79FF">
        <w:rPr>
          <w:rFonts w:ascii="Times New Roman" w:hAnsi="Times New Roman" w:cs="Times New Roman"/>
          <w:sz w:val="28"/>
          <w:szCs w:val="28"/>
          <w:lang w:val="uk-UA"/>
        </w:rPr>
        <w:t xml:space="preserve"> безпосередньо </w:t>
      </w:r>
      <w:proofErr w:type="spellStart"/>
      <w:r w:rsidRPr="003D79FF">
        <w:rPr>
          <w:rFonts w:ascii="Times New Roman" w:hAnsi="Times New Roman" w:cs="Times New Roman"/>
          <w:sz w:val="28"/>
          <w:szCs w:val="28"/>
          <w:lang w:val="uk-UA"/>
        </w:rPr>
        <w:t>імплементовані</w:t>
      </w:r>
      <w:proofErr w:type="spellEnd"/>
      <w:r w:rsidRPr="003D79FF">
        <w:rPr>
          <w:rFonts w:ascii="Times New Roman" w:hAnsi="Times New Roman" w:cs="Times New Roman"/>
          <w:sz w:val="28"/>
          <w:szCs w:val="28"/>
          <w:lang w:val="uk-UA"/>
        </w:rPr>
        <w:t xml:space="preserve"> в параметри базових фінансових продуктів та сервісів, які фінансова установа пропонує контрагентам. Фактично вони базуються на діючих внутрішніх стандартах клієнтського менеджменту та релевантному рівні корпоративної культури. Ключова преференція цієї моделі полягає у повній автономії банку, який відповідає виключно за якісні характеристики власного операційного сервісу та не зазнає деструктивного впливу з боку екзогенних бізнес-структур. Домінуючим недоліком виступає високий ступінь гомогенності (однотипності) таких програм, що зумовлено їхньою значною дифузією та стандартизацією на ринку.</w:t>
      </w:r>
    </w:p>
    <w:p w:rsidR="003D79FF" w:rsidRDefault="003D79FF" w:rsidP="003D79FF">
      <w:pPr>
        <w:spacing w:after="0" w:line="360" w:lineRule="auto"/>
        <w:ind w:firstLine="709"/>
        <w:jc w:val="both"/>
        <w:rPr>
          <w:rFonts w:ascii="Times New Roman" w:hAnsi="Times New Roman" w:cs="Times New Roman"/>
          <w:sz w:val="28"/>
          <w:szCs w:val="28"/>
          <w:lang w:val="uk-UA"/>
        </w:rPr>
      </w:pPr>
      <w:proofErr w:type="spellStart"/>
      <w:r w:rsidRPr="003D79FF">
        <w:rPr>
          <w:rFonts w:ascii="Times New Roman" w:hAnsi="Times New Roman" w:cs="Times New Roman"/>
          <w:b/>
          <w:bCs/>
          <w:sz w:val="28"/>
          <w:szCs w:val="28"/>
          <w:lang w:val="uk-UA"/>
        </w:rPr>
        <w:lastRenderedPageBreak/>
        <w:t>Кобрендингові</w:t>
      </w:r>
      <w:proofErr w:type="spellEnd"/>
      <w:r w:rsidRPr="003D79FF">
        <w:rPr>
          <w:rFonts w:ascii="Times New Roman" w:hAnsi="Times New Roman" w:cs="Times New Roman"/>
          <w:b/>
          <w:bCs/>
          <w:sz w:val="28"/>
          <w:szCs w:val="28"/>
          <w:lang w:val="uk-UA"/>
        </w:rPr>
        <w:t xml:space="preserve"> програми лояльності</w:t>
      </w:r>
      <w:r w:rsidRPr="003D79FF">
        <w:rPr>
          <w:rFonts w:ascii="Times New Roman" w:hAnsi="Times New Roman" w:cs="Times New Roman"/>
          <w:sz w:val="28"/>
          <w:szCs w:val="28"/>
          <w:lang w:val="uk-UA"/>
        </w:rPr>
        <w:t xml:space="preserve"> репрезентують формат стратегічного альянсу банківської установи з одним або кількома комерційними брендами (переважно </w:t>
      </w:r>
      <w:proofErr w:type="spellStart"/>
      <w:r w:rsidRPr="003D79FF">
        <w:rPr>
          <w:rFonts w:ascii="Times New Roman" w:hAnsi="Times New Roman" w:cs="Times New Roman"/>
          <w:sz w:val="28"/>
          <w:szCs w:val="28"/>
          <w:lang w:val="uk-UA"/>
        </w:rPr>
        <w:t>ритейлерами</w:t>
      </w:r>
      <w:proofErr w:type="spellEnd"/>
      <w:r w:rsidRPr="003D79FF">
        <w:rPr>
          <w:rFonts w:ascii="Times New Roman" w:hAnsi="Times New Roman" w:cs="Times New Roman"/>
          <w:sz w:val="28"/>
          <w:szCs w:val="28"/>
          <w:lang w:val="uk-UA"/>
        </w:rPr>
        <w:t xml:space="preserve">). У межах цієї </w:t>
      </w:r>
      <w:proofErr w:type="spellStart"/>
      <w:r w:rsidRPr="003D79FF">
        <w:rPr>
          <w:rFonts w:ascii="Times New Roman" w:hAnsi="Times New Roman" w:cs="Times New Roman"/>
          <w:sz w:val="28"/>
          <w:szCs w:val="28"/>
          <w:lang w:val="uk-UA"/>
        </w:rPr>
        <w:t>колаборації</w:t>
      </w:r>
      <w:proofErr w:type="spellEnd"/>
      <w:r w:rsidRPr="003D79FF">
        <w:rPr>
          <w:rFonts w:ascii="Times New Roman" w:hAnsi="Times New Roman" w:cs="Times New Roman"/>
          <w:sz w:val="28"/>
          <w:szCs w:val="28"/>
          <w:lang w:val="uk-UA"/>
        </w:rPr>
        <w:t xml:space="preserve"> винагорода для клієнта трансформується у фіксовані дисконти всередині партнерської мережі або у фінансові інструменти повернення коштів (</w:t>
      </w:r>
      <w:proofErr w:type="spellStart"/>
      <w:r w:rsidRPr="003D79FF">
        <w:rPr>
          <w:rFonts w:ascii="Times New Roman" w:hAnsi="Times New Roman" w:cs="Times New Roman"/>
          <w:sz w:val="28"/>
          <w:szCs w:val="28"/>
          <w:lang w:val="uk-UA"/>
        </w:rPr>
        <w:t>кешбек</w:t>
      </w:r>
      <w:proofErr w:type="spellEnd"/>
      <w:r w:rsidRPr="003D79FF">
        <w:rPr>
          <w:rFonts w:ascii="Times New Roman" w:hAnsi="Times New Roman" w:cs="Times New Roman"/>
          <w:sz w:val="28"/>
          <w:szCs w:val="28"/>
          <w:lang w:val="uk-UA"/>
        </w:rPr>
        <w:t>) від банку. Очевидна перевага такої інтеграції полягає в мінімізації трансакційних витрат споживача під час придбання продукції відомих торгових марок. Позитивний імідж брендів-учасників у синергії з додатковими матеріальними вигодами від емісії карткового продукту виступає драйвером нарощування доходів банківського бізнесу.</w:t>
      </w:r>
    </w:p>
    <w:p w:rsidR="003D79FF" w:rsidRPr="003D79FF" w:rsidRDefault="003D79FF" w:rsidP="003D79FF">
      <w:pPr>
        <w:spacing w:after="0" w:line="360" w:lineRule="auto"/>
        <w:ind w:firstLine="709"/>
        <w:jc w:val="both"/>
        <w:rPr>
          <w:rFonts w:ascii="Times New Roman" w:hAnsi="Times New Roman" w:cs="Times New Roman"/>
          <w:sz w:val="28"/>
          <w:szCs w:val="28"/>
          <w:lang w:val="uk-UA"/>
        </w:rPr>
      </w:pPr>
      <w:r w:rsidRPr="003D79FF">
        <w:rPr>
          <w:rFonts w:ascii="Times New Roman" w:hAnsi="Times New Roman" w:cs="Times New Roman"/>
          <w:b/>
          <w:bCs/>
          <w:sz w:val="28"/>
          <w:szCs w:val="28"/>
          <w:lang w:val="uk-UA"/>
        </w:rPr>
        <w:t>Коаліційна парадигма лояльності</w:t>
      </w:r>
      <w:r w:rsidRPr="003D79FF">
        <w:rPr>
          <w:rFonts w:ascii="Times New Roman" w:hAnsi="Times New Roman" w:cs="Times New Roman"/>
          <w:sz w:val="28"/>
          <w:szCs w:val="28"/>
          <w:lang w:val="uk-UA"/>
        </w:rPr>
        <w:t xml:space="preserve"> передбачає формування багатостороннього пулу, що охоплює фінансову інституцію та широкий спектр диверсифікованих партнерів задля максимізації кумулятивного економічного ефекту. Як </w:t>
      </w:r>
      <w:proofErr w:type="spellStart"/>
      <w:r w:rsidRPr="003D79FF">
        <w:rPr>
          <w:rFonts w:ascii="Times New Roman" w:hAnsi="Times New Roman" w:cs="Times New Roman"/>
          <w:sz w:val="28"/>
          <w:szCs w:val="28"/>
          <w:lang w:val="uk-UA"/>
        </w:rPr>
        <w:t>контрпартнери</w:t>
      </w:r>
      <w:proofErr w:type="spellEnd"/>
      <w:r w:rsidRPr="003D79FF">
        <w:rPr>
          <w:rFonts w:ascii="Times New Roman" w:hAnsi="Times New Roman" w:cs="Times New Roman"/>
          <w:sz w:val="28"/>
          <w:szCs w:val="28"/>
          <w:lang w:val="uk-UA"/>
        </w:rPr>
        <w:t xml:space="preserve"> залучаються оператори продуктового </w:t>
      </w:r>
      <w:proofErr w:type="spellStart"/>
      <w:r w:rsidRPr="003D79FF">
        <w:rPr>
          <w:rFonts w:ascii="Times New Roman" w:hAnsi="Times New Roman" w:cs="Times New Roman"/>
          <w:sz w:val="28"/>
          <w:szCs w:val="28"/>
          <w:lang w:val="uk-UA"/>
        </w:rPr>
        <w:t>ритейлу</w:t>
      </w:r>
      <w:proofErr w:type="spellEnd"/>
      <w:r w:rsidRPr="003D79FF">
        <w:rPr>
          <w:rFonts w:ascii="Times New Roman" w:hAnsi="Times New Roman" w:cs="Times New Roman"/>
          <w:sz w:val="28"/>
          <w:szCs w:val="28"/>
          <w:lang w:val="uk-UA"/>
        </w:rPr>
        <w:t xml:space="preserve">, дистриб'ютори побутової техніки, електроніки, </w:t>
      </w:r>
      <w:proofErr w:type="spellStart"/>
      <w:r w:rsidRPr="003D79FF">
        <w:rPr>
          <w:rFonts w:ascii="Times New Roman" w:hAnsi="Times New Roman" w:cs="Times New Roman"/>
          <w:sz w:val="28"/>
          <w:szCs w:val="28"/>
          <w:lang w:val="uk-UA"/>
        </w:rPr>
        <w:t>па</w:t>
      </w:r>
      <w:r w:rsidR="003F402F">
        <w:rPr>
          <w:rFonts w:ascii="Times New Roman" w:hAnsi="Times New Roman" w:cs="Times New Roman"/>
          <w:sz w:val="28"/>
          <w:szCs w:val="28"/>
          <w:lang w:val="uk-UA"/>
        </w:rPr>
        <w:t>рф</w:t>
      </w:r>
      <w:r w:rsidRPr="003D79FF">
        <w:rPr>
          <w:rFonts w:ascii="Times New Roman" w:hAnsi="Times New Roman" w:cs="Times New Roman"/>
          <w:sz w:val="28"/>
          <w:szCs w:val="28"/>
          <w:lang w:val="uk-UA"/>
        </w:rPr>
        <w:t>умерно</w:t>
      </w:r>
      <w:proofErr w:type="spellEnd"/>
      <w:r w:rsidRPr="003D79FF">
        <w:rPr>
          <w:rFonts w:ascii="Times New Roman" w:hAnsi="Times New Roman" w:cs="Times New Roman"/>
          <w:sz w:val="28"/>
          <w:szCs w:val="28"/>
          <w:lang w:val="uk-UA"/>
        </w:rPr>
        <w:t xml:space="preserve">-косметичної продукції, мережі АЗС, </w:t>
      </w:r>
      <w:proofErr w:type="spellStart"/>
      <w:r w:rsidRPr="003D79FF">
        <w:rPr>
          <w:rFonts w:ascii="Times New Roman" w:hAnsi="Times New Roman" w:cs="Times New Roman"/>
          <w:sz w:val="28"/>
          <w:szCs w:val="28"/>
          <w:lang w:val="uk-UA"/>
        </w:rPr>
        <w:t>автосервіси</w:t>
      </w:r>
      <w:proofErr w:type="spellEnd"/>
      <w:r w:rsidRPr="003D79FF">
        <w:rPr>
          <w:rFonts w:ascii="Times New Roman" w:hAnsi="Times New Roman" w:cs="Times New Roman"/>
          <w:sz w:val="28"/>
          <w:szCs w:val="28"/>
          <w:lang w:val="uk-UA"/>
        </w:rPr>
        <w:t xml:space="preserve">, телекомунікаційні провайдери, а також суб'єкти </w:t>
      </w:r>
      <w:proofErr w:type="spellStart"/>
      <w:r w:rsidRPr="003D79FF">
        <w:rPr>
          <w:rFonts w:ascii="Times New Roman" w:hAnsi="Times New Roman" w:cs="Times New Roman"/>
          <w:sz w:val="28"/>
          <w:szCs w:val="28"/>
          <w:lang w:val="uk-UA"/>
        </w:rPr>
        <w:t>HoReCa</w:t>
      </w:r>
      <w:proofErr w:type="spellEnd"/>
      <w:r w:rsidRPr="003D79FF">
        <w:rPr>
          <w:rFonts w:ascii="Times New Roman" w:hAnsi="Times New Roman" w:cs="Times New Roman"/>
          <w:sz w:val="28"/>
          <w:szCs w:val="28"/>
          <w:lang w:val="uk-UA"/>
        </w:rPr>
        <w:t xml:space="preserve"> (ресторанний, готельний і туристичний бізнес). У процесі здійснення розрахункових операцій за допомогою платіжної картки клієнту нараховується визначений відсоток преміальних одиниць на спеціальний бонусний рахунок. Прямим бонусом цієї моделі є одночасна генерація цінності для всіх учасників коаліції, що стимулює їхній взаємний розвиток за рахунок крос-маркетингу. Водночас суттєвим ризиком є девальвація прихильності споживача до одного з контрагентів (наприклад, через нераціональне ціноутворення), що здатна автоматично екстраполюватися на решту партнерів і саму фінансову установу. Відтак, функціонування коаліційних систем потребує жорсткого взаємного моніторингу та високого рівня </w:t>
      </w:r>
      <w:proofErr w:type="spellStart"/>
      <w:r w:rsidRPr="003D79FF">
        <w:rPr>
          <w:rFonts w:ascii="Times New Roman" w:hAnsi="Times New Roman" w:cs="Times New Roman"/>
          <w:sz w:val="28"/>
          <w:szCs w:val="28"/>
          <w:lang w:val="uk-UA"/>
        </w:rPr>
        <w:t>міжсуб'єктної</w:t>
      </w:r>
      <w:proofErr w:type="spellEnd"/>
      <w:r w:rsidRPr="003D79FF">
        <w:rPr>
          <w:rFonts w:ascii="Times New Roman" w:hAnsi="Times New Roman" w:cs="Times New Roman"/>
          <w:sz w:val="28"/>
          <w:szCs w:val="28"/>
          <w:lang w:val="uk-UA"/>
        </w:rPr>
        <w:t xml:space="preserve"> довіри.</w:t>
      </w:r>
    </w:p>
    <w:p w:rsidR="003D79FF" w:rsidRPr="003D79FF" w:rsidRDefault="003D79FF" w:rsidP="003D79FF">
      <w:pPr>
        <w:spacing w:after="0" w:line="360" w:lineRule="auto"/>
        <w:ind w:firstLine="709"/>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 xml:space="preserve">У наукових дослідженнях Л.А. </w:t>
      </w:r>
      <w:proofErr w:type="spellStart"/>
      <w:r w:rsidRPr="003D79FF">
        <w:rPr>
          <w:rFonts w:ascii="Times New Roman" w:hAnsi="Times New Roman" w:cs="Times New Roman"/>
          <w:sz w:val="28"/>
          <w:szCs w:val="28"/>
          <w:lang w:val="uk-UA"/>
        </w:rPr>
        <w:t>Прицюк</w:t>
      </w:r>
      <w:proofErr w:type="spellEnd"/>
      <w:r w:rsidRPr="003D79FF">
        <w:rPr>
          <w:rFonts w:ascii="Times New Roman" w:hAnsi="Times New Roman" w:cs="Times New Roman"/>
          <w:sz w:val="28"/>
          <w:szCs w:val="28"/>
          <w:lang w:val="uk-UA"/>
        </w:rPr>
        <w:t xml:space="preserve"> наголошується, що імплементація систем лояльності дозволяє вітчизняним фінансово-кредитним інституціям реалізувати спектр стратегічних та тактичних орієнтирів. На основі узагальнення авторської концепції виокремлено такі ключові цільові вектори:</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lastRenderedPageBreak/>
        <w:t>масштабування бренду банку, популяризація його продуктової лінійки та цифрових сервісів;</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просування комерційних інтересів партнерів фінансової установи та стимулювання збуту їхніх товарів;</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інтенсифікація генерування прибутку фінансової інституції як за загальними показниками, так і в розрізі окремих трансакцій;</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диверсифікація та зміцнення ринкових конкурентних переваг організації;</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 xml:space="preserve">оптимізація клієнтської бази через мінімізацію коефіцієнта її плинності, </w:t>
      </w:r>
      <w:proofErr w:type="spellStart"/>
      <w:r w:rsidRPr="003D79FF">
        <w:rPr>
          <w:rFonts w:ascii="Times New Roman" w:hAnsi="Times New Roman" w:cs="Times New Roman"/>
          <w:sz w:val="28"/>
          <w:szCs w:val="28"/>
          <w:lang w:val="uk-UA"/>
        </w:rPr>
        <w:t>рекрутинг</w:t>
      </w:r>
      <w:proofErr w:type="spellEnd"/>
      <w:r w:rsidRPr="003D79FF">
        <w:rPr>
          <w:rFonts w:ascii="Times New Roman" w:hAnsi="Times New Roman" w:cs="Times New Roman"/>
          <w:sz w:val="28"/>
          <w:szCs w:val="28"/>
          <w:lang w:val="uk-UA"/>
        </w:rPr>
        <w:t xml:space="preserve"> нових споживачів, стимулювання припливу капіталу та формування довгострокового соціального капіталу довіри;</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інтенсифікація використання емітованих банком платіжних інструментів та карткових продуктів;</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модернізація сервісних стандартів та підвищення якісних параметрів фінансового обслуговування [42].</w:t>
      </w:r>
    </w:p>
    <w:p w:rsidR="003D79FF" w:rsidRPr="003D79FF" w:rsidRDefault="003D79FF" w:rsidP="003D79FF">
      <w:pPr>
        <w:spacing w:after="0" w:line="360" w:lineRule="auto"/>
        <w:ind w:firstLine="709"/>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Водночас архітектоніка, проектування та результативне функціонування систем клієнтського утримання висувають жорсткі вимоги до прелімінарного (попереднього) формування цілісної та адаптивної клієнтської політики фінансової організації.</w:t>
      </w:r>
    </w:p>
    <w:p w:rsidR="003D79FF" w:rsidRPr="003D79FF" w:rsidRDefault="003D79FF" w:rsidP="003D79FF">
      <w:pPr>
        <w:spacing w:after="0" w:line="360" w:lineRule="auto"/>
        <w:ind w:firstLine="709"/>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За своїм функціональним змістом зазначена категорія є регламентованим внутрішнім документом фінансової установи, який кодифікує стратегічні орієнтири щодо оптимізації архітектоніки клієнтського портфеля, детермінує його ресурсний базис, пріоритетні вектори розвитку, а також архітектуру моніторингу за реалізацією стандартів обслуговування.</w:t>
      </w:r>
    </w:p>
    <w:p w:rsidR="003D79FF" w:rsidRPr="003D79FF" w:rsidRDefault="003D79FF" w:rsidP="003D79FF">
      <w:pPr>
        <w:spacing w:after="0" w:line="360" w:lineRule="auto"/>
        <w:ind w:firstLine="709"/>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Пріоритетними цільовими орієнтирами клієнтської політики виступають:</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максимізація рівня задоволення попиту контрагентів, дескриптивний аналіз та кластеризація їхніх запитів;</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ініціювання перманентних каналів реверсивного (двостороннього) зв'язку та забезпечення високої інституційної мобільності щодо задоволення претензій клієнтів;</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структурування цілісного інформаційного масиву за відповідними категоріями користувачів послуг;</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lastRenderedPageBreak/>
        <w:t>координація стратегічних підходів та методів комунікації зі споживачами з урахуванням їхніх преференцій;</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 xml:space="preserve">капіталізація іміджевого потенціалу установи як </w:t>
      </w:r>
      <w:proofErr w:type="spellStart"/>
      <w:r w:rsidRPr="003D79FF">
        <w:rPr>
          <w:rFonts w:ascii="Times New Roman" w:hAnsi="Times New Roman" w:cs="Times New Roman"/>
          <w:sz w:val="28"/>
          <w:szCs w:val="28"/>
          <w:lang w:val="uk-UA"/>
        </w:rPr>
        <w:t>клієнтоцентрованого</w:t>
      </w:r>
      <w:proofErr w:type="spellEnd"/>
      <w:r w:rsidRPr="003D79FF">
        <w:rPr>
          <w:rFonts w:ascii="Times New Roman" w:hAnsi="Times New Roman" w:cs="Times New Roman"/>
          <w:sz w:val="28"/>
          <w:szCs w:val="28"/>
          <w:lang w:val="uk-UA"/>
        </w:rPr>
        <w:t xml:space="preserve"> інституту;</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експансія та масштабування ринкової частки у цільових сегментах присутності;</w:t>
      </w:r>
    </w:p>
    <w:p w:rsidR="003D79FF" w:rsidRPr="003D79FF" w:rsidRDefault="003D79FF" w:rsidP="003D79FF">
      <w:pPr>
        <w:pStyle w:val="a4"/>
        <w:numPr>
          <w:ilvl w:val="0"/>
          <w:numId w:val="8"/>
        </w:numPr>
        <w:spacing w:after="0" w:line="360" w:lineRule="auto"/>
        <w:ind w:left="0" w:firstLine="0"/>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акумуляція релевантних емпіричних даних для подальшого проектування інноваційних програм утримання клієнтів.</w:t>
      </w:r>
    </w:p>
    <w:p w:rsidR="003D79FF" w:rsidRPr="003D79FF" w:rsidRDefault="003D79FF" w:rsidP="003D79FF">
      <w:pPr>
        <w:spacing w:after="0" w:line="360" w:lineRule="auto"/>
        <w:ind w:firstLine="709"/>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 xml:space="preserve">Процесу детермінації клієнтської політики обов'язково передує етап формування клієнтського реєстру, наявність якого є фундаментальним предикатом для всіх наступних управлінських рішень. Даний реєстр інтегрує </w:t>
      </w:r>
      <w:proofErr w:type="spellStart"/>
      <w:r w:rsidRPr="003D79FF">
        <w:rPr>
          <w:rFonts w:ascii="Times New Roman" w:hAnsi="Times New Roman" w:cs="Times New Roman"/>
          <w:sz w:val="28"/>
          <w:szCs w:val="28"/>
          <w:lang w:val="uk-UA"/>
        </w:rPr>
        <w:t>верифіковані</w:t>
      </w:r>
      <w:proofErr w:type="spellEnd"/>
      <w:r w:rsidRPr="003D79FF">
        <w:rPr>
          <w:rFonts w:ascii="Times New Roman" w:hAnsi="Times New Roman" w:cs="Times New Roman"/>
          <w:sz w:val="28"/>
          <w:szCs w:val="28"/>
          <w:lang w:val="uk-UA"/>
        </w:rPr>
        <w:t xml:space="preserve"> масиви даних про контрагентів (як фізичних, так і юридичних осіб), диференційованих за визначеними критеріями. Зокрема, для сегмента приватних осіб класифікаційними ознаками слугують: сфера професійної діяльності, </w:t>
      </w:r>
      <w:proofErr w:type="spellStart"/>
      <w:r w:rsidRPr="003D79FF">
        <w:rPr>
          <w:rFonts w:ascii="Times New Roman" w:hAnsi="Times New Roman" w:cs="Times New Roman"/>
          <w:sz w:val="28"/>
          <w:szCs w:val="28"/>
          <w:lang w:val="uk-UA"/>
        </w:rPr>
        <w:t>соціодемографічний</w:t>
      </w:r>
      <w:proofErr w:type="spellEnd"/>
      <w:r w:rsidRPr="003D79FF">
        <w:rPr>
          <w:rFonts w:ascii="Times New Roman" w:hAnsi="Times New Roman" w:cs="Times New Roman"/>
          <w:sz w:val="28"/>
          <w:szCs w:val="28"/>
          <w:lang w:val="uk-UA"/>
        </w:rPr>
        <w:t xml:space="preserve"> статус, посадовий рівень, обсяг дискреційного доходу, схильність до заощаджень у межах депозитних продуктів тощо.</w:t>
      </w:r>
    </w:p>
    <w:p w:rsidR="003D79FF" w:rsidRPr="003D79FF" w:rsidRDefault="003D79FF" w:rsidP="003D79FF">
      <w:pPr>
        <w:spacing w:after="0" w:line="360" w:lineRule="auto"/>
        <w:ind w:firstLine="709"/>
        <w:jc w:val="both"/>
        <w:rPr>
          <w:rFonts w:ascii="Times New Roman" w:hAnsi="Times New Roman" w:cs="Times New Roman"/>
          <w:sz w:val="28"/>
          <w:szCs w:val="28"/>
          <w:lang w:val="uk-UA"/>
        </w:rPr>
      </w:pPr>
      <w:r w:rsidRPr="003D79FF">
        <w:rPr>
          <w:rFonts w:ascii="Times New Roman" w:hAnsi="Times New Roman" w:cs="Times New Roman"/>
          <w:sz w:val="28"/>
          <w:szCs w:val="28"/>
          <w:lang w:val="uk-UA"/>
        </w:rPr>
        <w:t>Для проведення комплексного аудиту та оцінки ефективності використання інформаційного потенціалу сформованого реєстру застосовується система дескриптивних показників, які систематизовано та узагальнено у табл. 1.2.</w:t>
      </w:r>
    </w:p>
    <w:p w:rsidR="003D79FF" w:rsidRDefault="003D79FF" w:rsidP="003D79FF">
      <w:pPr>
        <w:spacing w:after="0" w:line="240" w:lineRule="auto"/>
        <w:jc w:val="right"/>
        <w:rPr>
          <w:rFonts w:ascii="Times New Roman" w:hAnsi="Times New Roman" w:cs="Times New Roman"/>
          <w:sz w:val="28"/>
          <w:szCs w:val="28"/>
          <w:lang w:val="uk-UA"/>
        </w:rPr>
      </w:pPr>
      <w:r w:rsidRPr="00D34836">
        <w:rPr>
          <w:rFonts w:ascii="Times New Roman" w:hAnsi="Times New Roman" w:cs="Times New Roman"/>
          <w:sz w:val="28"/>
          <w:szCs w:val="28"/>
          <w:lang w:val="uk-UA"/>
        </w:rPr>
        <w:t>Таблиця 1.2</w:t>
      </w:r>
      <w:r>
        <w:rPr>
          <w:rFonts w:ascii="Times New Roman" w:hAnsi="Times New Roman" w:cs="Times New Roman"/>
          <w:sz w:val="28"/>
          <w:szCs w:val="28"/>
          <w:lang w:val="uk-UA"/>
        </w:rPr>
        <w:t>.</w:t>
      </w:r>
    </w:p>
    <w:p w:rsidR="003D79FF" w:rsidRDefault="003D79FF" w:rsidP="003D79F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Pr="00D34836">
        <w:rPr>
          <w:rFonts w:ascii="Times New Roman" w:hAnsi="Times New Roman" w:cs="Times New Roman"/>
          <w:sz w:val="28"/>
          <w:szCs w:val="28"/>
          <w:lang w:val="uk-UA"/>
        </w:rPr>
        <w:t>лієнтськ</w:t>
      </w:r>
      <w:r>
        <w:rPr>
          <w:rFonts w:ascii="Times New Roman" w:hAnsi="Times New Roman" w:cs="Times New Roman"/>
          <w:sz w:val="28"/>
          <w:szCs w:val="28"/>
          <w:lang w:val="uk-UA"/>
        </w:rPr>
        <w:t xml:space="preserve">а </w:t>
      </w:r>
      <w:r w:rsidRPr="00D34836">
        <w:rPr>
          <w:rFonts w:ascii="Times New Roman" w:hAnsi="Times New Roman" w:cs="Times New Roman"/>
          <w:sz w:val="28"/>
          <w:szCs w:val="28"/>
          <w:lang w:val="uk-UA"/>
        </w:rPr>
        <w:t>баз</w:t>
      </w:r>
      <w:r>
        <w:rPr>
          <w:rFonts w:ascii="Times New Roman" w:hAnsi="Times New Roman" w:cs="Times New Roman"/>
          <w:sz w:val="28"/>
          <w:szCs w:val="28"/>
          <w:lang w:val="uk-UA"/>
        </w:rPr>
        <w:t>а: п</w:t>
      </w:r>
      <w:r w:rsidRPr="00D34836">
        <w:rPr>
          <w:rFonts w:ascii="Times New Roman" w:hAnsi="Times New Roman" w:cs="Times New Roman"/>
          <w:sz w:val="28"/>
          <w:szCs w:val="28"/>
          <w:lang w:val="uk-UA"/>
        </w:rPr>
        <w:t>оказники ефективності</w:t>
      </w:r>
    </w:p>
    <w:p w:rsidR="003D79FF" w:rsidRPr="00FE0C35" w:rsidRDefault="003D79FF" w:rsidP="003D79FF">
      <w:pPr>
        <w:spacing w:after="0" w:line="360" w:lineRule="auto"/>
        <w:jc w:val="center"/>
        <w:rPr>
          <w:rFonts w:ascii="Times New Roman" w:hAnsi="Times New Roman" w:cs="Times New Roman"/>
          <w:sz w:val="28"/>
          <w:szCs w:val="28"/>
          <w:lang w:val="uk-UA"/>
        </w:rPr>
      </w:pPr>
      <w:r w:rsidRPr="00D34836">
        <w:rPr>
          <w:rFonts w:ascii="Times New Roman" w:hAnsi="Times New Roman" w:cs="Times New Roman"/>
          <w:noProof/>
          <w:sz w:val="28"/>
          <w:szCs w:val="28"/>
          <w:lang w:val="uk-UA"/>
        </w:rPr>
        <w:drawing>
          <wp:inline distT="0" distB="0" distL="0" distR="0" wp14:anchorId="3DB1F8DD" wp14:editId="6FA507E1">
            <wp:extent cx="5876925" cy="28479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Lst>
                    </a:blip>
                    <a:stretch>
                      <a:fillRect/>
                    </a:stretch>
                  </pic:blipFill>
                  <pic:spPr>
                    <a:xfrm>
                      <a:off x="0" y="0"/>
                      <a:ext cx="5877767" cy="2848383"/>
                    </a:xfrm>
                    <a:prstGeom prst="rect">
                      <a:avLst/>
                    </a:prstGeom>
                  </pic:spPr>
                </pic:pic>
              </a:graphicData>
            </a:graphic>
          </wp:inline>
        </w:drawing>
      </w:r>
    </w:p>
    <w:p w:rsidR="003D79FF" w:rsidRPr="00951461" w:rsidRDefault="003D79FF" w:rsidP="003D79FF">
      <w:pPr>
        <w:spacing w:after="0" w:line="360" w:lineRule="auto"/>
        <w:jc w:val="center"/>
        <w:rPr>
          <w:rFonts w:ascii="Times New Roman" w:hAnsi="Times New Roman" w:cs="Times New Roman"/>
          <w:b/>
          <w:bCs/>
          <w:sz w:val="28"/>
          <w:szCs w:val="28"/>
          <w:lang w:val="uk-UA"/>
        </w:rPr>
      </w:pPr>
      <w:r w:rsidRPr="00951461">
        <w:rPr>
          <w:rFonts w:ascii="Times New Roman" w:hAnsi="Times New Roman" w:cs="Times New Roman"/>
          <w:b/>
          <w:bCs/>
          <w:sz w:val="28"/>
          <w:szCs w:val="28"/>
          <w:lang w:val="uk-UA"/>
        </w:rPr>
        <w:lastRenderedPageBreak/>
        <w:t>1.3. Маркетингові дослідження при розробці програм лояльності</w:t>
      </w:r>
    </w:p>
    <w:p w:rsidR="00617C70" w:rsidRPr="00617C70" w:rsidRDefault="00617C70" w:rsidP="00617C70">
      <w:pPr>
        <w:spacing w:after="0" w:line="360" w:lineRule="auto"/>
        <w:ind w:firstLine="709"/>
        <w:jc w:val="both"/>
        <w:rPr>
          <w:rFonts w:ascii="Times New Roman" w:hAnsi="Times New Roman" w:cs="Times New Roman"/>
          <w:sz w:val="28"/>
          <w:szCs w:val="28"/>
          <w:lang w:val="uk-UA"/>
        </w:rPr>
      </w:pPr>
    </w:p>
    <w:p w:rsidR="004C0DA3" w:rsidRDefault="004C0DA3" w:rsidP="00617C70">
      <w:pPr>
        <w:spacing w:after="0" w:line="360" w:lineRule="auto"/>
        <w:ind w:firstLine="709"/>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 xml:space="preserve">Ескалація конкурентного суперництва на національному фінансовому ринку детермінована синергетичним впливом як екзогенних факторів, зокрема інтернаціоналізацією світогосподарських і фінансових потоків, так і ендогенних детермінант. До останніх належать висока концентрація банківських інститутів, інтенсифікація просування їхнього продуктового портфеля, дифузія </w:t>
      </w:r>
      <w:proofErr w:type="spellStart"/>
      <w:r w:rsidRPr="004C0DA3">
        <w:rPr>
          <w:rFonts w:ascii="Times New Roman" w:hAnsi="Times New Roman" w:cs="Times New Roman"/>
          <w:sz w:val="28"/>
          <w:szCs w:val="28"/>
          <w:lang w:val="uk-UA"/>
        </w:rPr>
        <w:t>кобрендингових</w:t>
      </w:r>
      <w:proofErr w:type="spellEnd"/>
      <w:r w:rsidRPr="004C0DA3">
        <w:rPr>
          <w:rFonts w:ascii="Times New Roman" w:hAnsi="Times New Roman" w:cs="Times New Roman"/>
          <w:sz w:val="28"/>
          <w:szCs w:val="28"/>
          <w:lang w:val="uk-UA"/>
        </w:rPr>
        <w:t xml:space="preserve"> і коаліційних платформ, а також значні обсяги транскордонних трансфертів капіталу. </w:t>
      </w:r>
    </w:p>
    <w:p w:rsidR="004C0DA3" w:rsidRDefault="004C0DA3" w:rsidP="00617C70">
      <w:pPr>
        <w:spacing w:after="0" w:line="360" w:lineRule="auto"/>
        <w:ind w:firstLine="709"/>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 xml:space="preserve">За таких умов інтеграція маркетингової парадигми в операційну діяльність вітчизняних комерційних банків є об'єктивно виправданою та набуває особливої актуальності. </w:t>
      </w:r>
    </w:p>
    <w:p w:rsidR="004C0DA3" w:rsidRDefault="004C0DA3" w:rsidP="004C0DA3">
      <w:pPr>
        <w:spacing w:after="0" w:line="360" w:lineRule="auto"/>
        <w:jc w:val="center"/>
        <w:rPr>
          <w:rFonts w:ascii="Times New Roman" w:hAnsi="Times New Roman" w:cs="Times New Roman"/>
          <w:sz w:val="28"/>
          <w:szCs w:val="28"/>
          <w:lang w:val="uk-UA"/>
        </w:rPr>
      </w:pPr>
      <w:r w:rsidRPr="00B24852">
        <w:rPr>
          <w:rFonts w:ascii="Times New Roman" w:hAnsi="Times New Roman" w:cs="Times New Roman"/>
          <w:noProof/>
          <w:sz w:val="28"/>
          <w:szCs w:val="28"/>
          <w:lang w:val="uk-UA"/>
        </w:rPr>
        <w:drawing>
          <wp:inline distT="0" distB="0" distL="0" distR="0" wp14:anchorId="0EDD70A5" wp14:editId="60372D4D">
            <wp:extent cx="5572903" cy="4782217"/>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50000"/>
                              </a14:imgEffect>
                              <a14:imgEffect>
                                <a14:brightnessContrast contrast="-40000"/>
                              </a14:imgEffect>
                            </a14:imgLayer>
                          </a14:imgProps>
                        </a:ext>
                      </a:extLst>
                    </a:blip>
                    <a:stretch>
                      <a:fillRect/>
                    </a:stretch>
                  </pic:blipFill>
                  <pic:spPr>
                    <a:xfrm>
                      <a:off x="0" y="0"/>
                      <a:ext cx="5572903" cy="4782217"/>
                    </a:xfrm>
                    <a:prstGeom prst="rect">
                      <a:avLst/>
                    </a:prstGeom>
                  </pic:spPr>
                </pic:pic>
              </a:graphicData>
            </a:graphic>
          </wp:inline>
        </w:drawing>
      </w:r>
    </w:p>
    <w:p w:rsidR="004C0DA3" w:rsidRDefault="004C0DA3" w:rsidP="004C0DA3">
      <w:pPr>
        <w:spacing w:after="0" w:line="360" w:lineRule="auto"/>
        <w:jc w:val="center"/>
        <w:rPr>
          <w:rFonts w:ascii="Times New Roman" w:hAnsi="Times New Roman" w:cs="Times New Roman"/>
          <w:sz w:val="28"/>
          <w:szCs w:val="28"/>
          <w:lang w:val="uk-UA"/>
        </w:rPr>
      </w:pPr>
      <w:r w:rsidRPr="00B24852">
        <w:rPr>
          <w:rFonts w:ascii="Times New Roman" w:hAnsi="Times New Roman" w:cs="Times New Roman"/>
          <w:sz w:val="28"/>
          <w:szCs w:val="28"/>
          <w:lang w:val="uk-UA"/>
        </w:rPr>
        <w:t xml:space="preserve">Рис. 1.6. </w:t>
      </w:r>
      <w:r>
        <w:rPr>
          <w:rFonts w:ascii="Times New Roman" w:hAnsi="Times New Roman" w:cs="Times New Roman"/>
          <w:sz w:val="28"/>
          <w:szCs w:val="28"/>
          <w:lang w:val="uk-UA"/>
        </w:rPr>
        <w:t>Б</w:t>
      </w:r>
      <w:r w:rsidRPr="00B24852">
        <w:rPr>
          <w:rFonts w:ascii="Times New Roman" w:hAnsi="Times New Roman" w:cs="Times New Roman"/>
          <w:sz w:val="28"/>
          <w:szCs w:val="28"/>
          <w:lang w:val="uk-UA"/>
        </w:rPr>
        <w:t>анківськ</w:t>
      </w:r>
      <w:r>
        <w:rPr>
          <w:rFonts w:ascii="Times New Roman" w:hAnsi="Times New Roman" w:cs="Times New Roman"/>
          <w:sz w:val="28"/>
          <w:szCs w:val="28"/>
          <w:lang w:val="uk-UA"/>
        </w:rPr>
        <w:t>і</w:t>
      </w:r>
      <w:r w:rsidRPr="00B24852">
        <w:rPr>
          <w:rFonts w:ascii="Times New Roman" w:hAnsi="Times New Roman" w:cs="Times New Roman"/>
          <w:sz w:val="28"/>
          <w:szCs w:val="28"/>
          <w:lang w:val="uk-UA"/>
        </w:rPr>
        <w:t xml:space="preserve"> послуг</w:t>
      </w:r>
      <w:r>
        <w:rPr>
          <w:rFonts w:ascii="Times New Roman" w:hAnsi="Times New Roman" w:cs="Times New Roman"/>
          <w:sz w:val="28"/>
          <w:szCs w:val="28"/>
          <w:lang w:val="uk-UA"/>
        </w:rPr>
        <w:t>и: їх</w:t>
      </w:r>
      <w:r w:rsidRPr="00B24852">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B24852">
        <w:rPr>
          <w:rFonts w:ascii="Times New Roman" w:hAnsi="Times New Roman" w:cs="Times New Roman"/>
          <w:sz w:val="28"/>
          <w:szCs w:val="28"/>
          <w:lang w:val="uk-UA"/>
        </w:rPr>
        <w:t xml:space="preserve">собливості </w:t>
      </w:r>
    </w:p>
    <w:p w:rsidR="00707EB1" w:rsidRPr="00617C70" w:rsidRDefault="00707EB1" w:rsidP="00707EB1">
      <w:pPr>
        <w:spacing w:after="0" w:line="360" w:lineRule="auto"/>
        <w:ind w:firstLine="709"/>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 xml:space="preserve">Базові принципи та дескриптивні функції банківського маркетингу підпорядковані його стратегічній меті — розробці комплексних заходів щодо </w:t>
      </w:r>
      <w:r w:rsidRPr="004C0DA3">
        <w:rPr>
          <w:rFonts w:ascii="Times New Roman" w:hAnsi="Times New Roman" w:cs="Times New Roman"/>
          <w:sz w:val="28"/>
          <w:szCs w:val="28"/>
          <w:lang w:val="uk-UA"/>
        </w:rPr>
        <w:lastRenderedPageBreak/>
        <w:t>моніторингу кон'юнктури ринку, нарощування конкурентного потенціалу фінансової установи, оптимізації її рентабельності та капіталізації іміджу. Реалізація зазначеного вектору можлива виключно через глибоку ідентифікацію та релевантне задоволення диверсифікованих потреб потенційних контрагентів. При цьому сутнісна специфіка банківського маркетингу безпосередньо обумовлена якісними та функціональними властивостями банківського продукту й послуги (</w:t>
      </w:r>
      <w:r>
        <w:rPr>
          <w:rFonts w:ascii="Times New Roman" w:hAnsi="Times New Roman" w:cs="Times New Roman"/>
          <w:sz w:val="28"/>
          <w:szCs w:val="28"/>
          <w:lang w:val="uk-UA"/>
        </w:rPr>
        <w:t xml:space="preserve">див. </w:t>
      </w:r>
      <w:r w:rsidRPr="004C0DA3">
        <w:rPr>
          <w:rFonts w:ascii="Times New Roman" w:hAnsi="Times New Roman" w:cs="Times New Roman"/>
          <w:sz w:val="28"/>
          <w:szCs w:val="28"/>
          <w:lang w:val="uk-UA"/>
        </w:rPr>
        <w:t>рис. 1.6).</w:t>
      </w:r>
    </w:p>
    <w:p w:rsidR="004C0DA3" w:rsidRPr="004C0DA3" w:rsidRDefault="004C0DA3" w:rsidP="004C0DA3">
      <w:pPr>
        <w:spacing w:after="0" w:line="360" w:lineRule="auto"/>
        <w:ind w:firstLine="709"/>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 xml:space="preserve">У працях Ф. </w:t>
      </w:r>
      <w:proofErr w:type="spellStart"/>
      <w:r w:rsidRPr="004C0DA3">
        <w:rPr>
          <w:rFonts w:ascii="Times New Roman" w:hAnsi="Times New Roman" w:cs="Times New Roman"/>
          <w:sz w:val="28"/>
          <w:szCs w:val="28"/>
          <w:lang w:val="uk-UA"/>
        </w:rPr>
        <w:t>Котлера</w:t>
      </w:r>
      <w:proofErr w:type="spellEnd"/>
      <w:r w:rsidRPr="004C0DA3">
        <w:rPr>
          <w:rFonts w:ascii="Times New Roman" w:hAnsi="Times New Roman" w:cs="Times New Roman"/>
          <w:sz w:val="28"/>
          <w:szCs w:val="28"/>
          <w:lang w:val="uk-UA"/>
        </w:rPr>
        <w:t xml:space="preserve"> маркетингові дослідження </w:t>
      </w:r>
      <w:proofErr w:type="spellStart"/>
      <w:r w:rsidRPr="004C0DA3">
        <w:rPr>
          <w:rFonts w:ascii="Times New Roman" w:hAnsi="Times New Roman" w:cs="Times New Roman"/>
          <w:sz w:val="28"/>
          <w:szCs w:val="28"/>
          <w:lang w:val="uk-UA"/>
        </w:rPr>
        <w:t>детермінуються</w:t>
      </w:r>
      <w:proofErr w:type="spellEnd"/>
      <w:r w:rsidRPr="004C0DA3">
        <w:rPr>
          <w:rFonts w:ascii="Times New Roman" w:hAnsi="Times New Roman" w:cs="Times New Roman"/>
          <w:sz w:val="28"/>
          <w:szCs w:val="28"/>
          <w:lang w:val="uk-UA"/>
        </w:rPr>
        <w:t xml:space="preserve"> як систематичний процес дескриптивного аналізу проблемного поля, моделювання ринкових ситуацій та акумуляції </w:t>
      </w:r>
      <w:proofErr w:type="spellStart"/>
      <w:r w:rsidRPr="004C0DA3">
        <w:rPr>
          <w:rFonts w:ascii="Times New Roman" w:hAnsi="Times New Roman" w:cs="Times New Roman"/>
          <w:sz w:val="28"/>
          <w:szCs w:val="28"/>
          <w:lang w:val="uk-UA"/>
        </w:rPr>
        <w:t>верифікованих</w:t>
      </w:r>
      <w:proofErr w:type="spellEnd"/>
      <w:r w:rsidRPr="004C0DA3">
        <w:rPr>
          <w:rFonts w:ascii="Times New Roman" w:hAnsi="Times New Roman" w:cs="Times New Roman"/>
          <w:sz w:val="28"/>
          <w:szCs w:val="28"/>
          <w:lang w:val="uk-UA"/>
        </w:rPr>
        <w:t xml:space="preserve"> даних задля оптимізації управлінських рішень та підвищення ефективності моніторингу маркетингової активності у сфері обігу товарів і послуг.</w:t>
      </w:r>
    </w:p>
    <w:p w:rsidR="004C0DA3" w:rsidRPr="004C0DA3" w:rsidRDefault="004C0DA3" w:rsidP="004C0DA3">
      <w:pPr>
        <w:spacing w:after="0" w:line="360" w:lineRule="auto"/>
        <w:ind w:firstLine="709"/>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Проведення зазначених досліджень у фінансовому секторі безпосередньо обумовлене специфікою банківського продукту, архітектоніку якого формують такі релевантні ознаки:</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абстрактність (невідчутність) та високий рівень знеособленості фінансового сервісу;</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когнітивна складність сприйняття послуги споживачем;</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перманентна невіддільність фінансової послуги від джерела її генерації;</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інваріантність (мінливість) якісних параметрів обслуговування та неможливість депонування (збереження) послуг;</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екстериторіальність, інтерактивність та диверсифікація каналів доступу, зокрема через системи електронного банкінгу;</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proofErr w:type="spellStart"/>
      <w:r w:rsidRPr="004C0DA3">
        <w:rPr>
          <w:rFonts w:ascii="Times New Roman" w:hAnsi="Times New Roman" w:cs="Times New Roman"/>
          <w:sz w:val="28"/>
          <w:szCs w:val="28"/>
          <w:lang w:val="uk-UA"/>
        </w:rPr>
        <w:t>мультиформатність</w:t>
      </w:r>
      <w:proofErr w:type="spellEnd"/>
      <w:r w:rsidRPr="004C0DA3">
        <w:rPr>
          <w:rFonts w:ascii="Times New Roman" w:hAnsi="Times New Roman" w:cs="Times New Roman"/>
          <w:sz w:val="28"/>
          <w:szCs w:val="28"/>
          <w:lang w:val="uk-UA"/>
        </w:rPr>
        <w:t xml:space="preserve"> використання грошових коштів (функціонування в готівковій та безготівковій формах).</w:t>
      </w:r>
    </w:p>
    <w:p w:rsidR="004C0DA3" w:rsidRPr="004C0DA3" w:rsidRDefault="004C0DA3" w:rsidP="004C0DA3">
      <w:pPr>
        <w:spacing w:after="0" w:line="360" w:lineRule="auto"/>
        <w:ind w:firstLine="709"/>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 xml:space="preserve">У процесі ринкового аналізу у фінансово-кредитній сфері застосовується міждисциплінарний методологічний інструментарій, що інтегрує статистичні, </w:t>
      </w:r>
      <w:proofErr w:type="spellStart"/>
      <w:r w:rsidRPr="004C0DA3">
        <w:rPr>
          <w:rFonts w:ascii="Times New Roman" w:hAnsi="Times New Roman" w:cs="Times New Roman"/>
          <w:sz w:val="28"/>
          <w:szCs w:val="28"/>
          <w:lang w:val="uk-UA"/>
        </w:rPr>
        <w:t>економетричні</w:t>
      </w:r>
      <w:proofErr w:type="spellEnd"/>
      <w:r w:rsidRPr="004C0DA3">
        <w:rPr>
          <w:rFonts w:ascii="Times New Roman" w:hAnsi="Times New Roman" w:cs="Times New Roman"/>
          <w:sz w:val="28"/>
          <w:szCs w:val="28"/>
          <w:lang w:val="uk-UA"/>
        </w:rPr>
        <w:t xml:space="preserve">, соціометричні, </w:t>
      </w:r>
      <w:proofErr w:type="spellStart"/>
      <w:r w:rsidRPr="004C0DA3">
        <w:rPr>
          <w:rFonts w:ascii="Times New Roman" w:hAnsi="Times New Roman" w:cs="Times New Roman"/>
          <w:sz w:val="28"/>
          <w:szCs w:val="28"/>
          <w:lang w:val="uk-UA"/>
        </w:rPr>
        <w:t>біхевіористичні</w:t>
      </w:r>
      <w:proofErr w:type="spellEnd"/>
      <w:r w:rsidRPr="004C0DA3">
        <w:rPr>
          <w:rFonts w:ascii="Times New Roman" w:hAnsi="Times New Roman" w:cs="Times New Roman"/>
          <w:sz w:val="28"/>
          <w:szCs w:val="28"/>
          <w:lang w:val="uk-UA"/>
        </w:rPr>
        <w:t xml:space="preserve"> (поведінкові) та </w:t>
      </w:r>
      <w:proofErr w:type="spellStart"/>
      <w:r w:rsidRPr="004C0DA3">
        <w:rPr>
          <w:rFonts w:ascii="Times New Roman" w:hAnsi="Times New Roman" w:cs="Times New Roman"/>
          <w:sz w:val="28"/>
          <w:szCs w:val="28"/>
          <w:lang w:val="uk-UA"/>
        </w:rPr>
        <w:t>кваліметричні</w:t>
      </w:r>
      <w:proofErr w:type="spellEnd"/>
      <w:r w:rsidRPr="004C0DA3">
        <w:rPr>
          <w:rFonts w:ascii="Times New Roman" w:hAnsi="Times New Roman" w:cs="Times New Roman"/>
          <w:sz w:val="28"/>
          <w:szCs w:val="28"/>
          <w:lang w:val="uk-UA"/>
        </w:rPr>
        <w:t xml:space="preserve"> методи, синергетичне поєднання яких формує специфічний комплекс банківського маркетингу. Ключові вектори реалізації аналітичних досліджень у банківському секторі систематизовано на рис. 1.7.</w:t>
      </w:r>
    </w:p>
    <w:p w:rsidR="004C0DA3" w:rsidRDefault="004C0DA3" w:rsidP="004C0DA3">
      <w:pPr>
        <w:spacing w:after="0" w:line="360" w:lineRule="auto"/>
        <w:jc w:val="center"/>
        <w:rPr>
          <w:rFonts w:ascii="Times New Roman" w:hAnsi="Times New Roman" w:cs="Times New Roman"/>
          <w:sz w:val="28"/>
          <w:szCs w:val="28"/>
          <w:lang w:val="uk-UA"/>
        </w:rPr>
      </w:pPr>
      <w:r w:rsidRPr="00B24852">
        <w:rPr>
          <w:rFonts w:ascii="Times New Roman" w:hAnsi="Times New Roman" w:cs="Times New Roman"/>
          <w:noProof/>
          <w:sz w:val="28"/>
          <w:szCs w:val="28"/>
          <w:lang w:val="uk-UA"/>
        </w:rPr>
        <w:lastRenderedPageBreak/>
        <w:drawing>
          <wp:inline distT="0" distB="0" distL="0" distR="0" wp14:anchorId="0C387E88" wp14:editId="6E5AD8EE">
            <wp:extent cx="3801005" cy="4848902"/>
            <wp:effectExtent l="0" t="0" r="952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50000"/>
                              </a14:imgEffect>
                              <a14:imgEffect>
                                <a14:brightnessContrast contrast="-40000"/>
                              </a14:imgEffect>
                            </a14:imgLayer>
                          </a14:imgProps>
                        </a:ext>
                      </a:extLst>
                    </a:blip>
                    <a:stretch>
                      <a:fillRect/>
                    </a:stretch>
                  </pic:blipFill>
                  <pic:spPr>
                    <a:xfrm>
                      <a:off x="0" y="0"/>
                      <a:ext cx="3801005" cy="4848902"/>
                    </a:xfrm>
                    <a:prstGeom prst="rect">
                      <a:avLst/>
                    </a:prstGeom>
                  </pic:spPr>
                </pic:pic>
              </a:graphicData>
            </a:graphic>
          </wp:inline>
        </w:drawing>
      </w:r>
    </w:p>
    <w:p w:rsidR="004C0DA3" w:rsidRDefault="004C0DA3" w:rsidP="004C0DA3">
      <w:pPr>
        <w:spacing w:after="0" w:line="360" w:lineRule="auto"/>
        <w:jc w:val="center"/>
        <w:rPr>
          <w:rFonts w:ascii="Times New Roman" w:hAnsi="Times New Roman" w:cs="Times New Roman"/>
          <w:sz w:val="28"/>
          <w:szCs w:val="28"/>
          <w:lang w:val="uk-UA"/>
        </w:rPr>
      </w:pPr>
      <w:r w:rsidRPr="00B24852">
        <w:rPr>
          <w:rFonts w:ascii="Times New Roman" w:hAnsi="Times New Roman" w:cs="Times New Roman"/>
          <w:sz w:val="28"/>
          <w:szCs w:val="28"/>
          <w:lang w:val="uk-UA"/>
        </w:rPr>
        <w:t xml:space="preserve">Рис. 1.7. </w:t>
      </w:r>
      <w:r>
        <w:rPr>
          <w:rFonts w:ascii="Times New Roman" w:hAnsi="Times New Roman" w:cs="Times New Roman"/>
          <w:sz w:val="28"/>
          <w:szCs w:val="28"/>
          <w:lang w:val="uk-UA"/>
        </w:rPr>
        <w:t>М</w:t>
      </w:r>
      <w:r w:rsidRPr="00B24852">
        <w:rPr>
          <w:rFonts w:ascii="Times New Roman" w:hAnsi="Times New Roman" w:cs="Times New Roman"/>
          <w:sz w:val="28"/>
          <w:szCs w:val="28"/>
          <w:lang w:val="uk-UA"/>
        </w:rPr>
        <w:t>аркетингов</w:t>
      </w:r>
      <w:r>
        <w:rPr>
          <w:rFonts w:ascii="Times New Roman" w:hAnsi="Times New Roman" w:cs="Times New Roman"/>
          <w:sz w:val="28"/>
          <w:szCs w:val="28"/>
          <w:lang w:val="uk-UA"/>
        </w:rPr>
        <w:t>і</w:t>
      </w:r>
      <w:r w:rsidRPr="00B24852">
        <w:rPr>
          <w:rFonts w:ascii="Times New Roman" w:hAnsi="Times New Roman" w:cs="Times New Roman"/>
          <w:sz w:val="28"/>
          <w:szCs w:val="28"/>
          <w:lang w:val="uk-UA"/>
        </w:rPr>
        <w:t xml:space="preserve"> досліджен</w:t>
      </w:r>
      <w:r>
        <w:rPr>
          <w:rFonts w:ascii="Times New Roman" w:hAnsi="Times New Roman" w:cs="Times New Roman"/>
          <w:sz w:val="28"/>
          <w:szCs w:val="28"/>
          <w:lang w:val="uk-UA"/>
        </w:rPr>
        <w:t>ня</w:t>
      </w:r>
      <w:r w:rsidRPr="00B24852">
        <w:rPr>
          <w:rFonts w:ascii="Times New Roman" w:hAnsi="Times New Roman" w:cs="Times New Roman"/>
          <w:sz w:val="28"/>
          <w:szCs w:val="28"/>
          <w:lang w:val="uk-UA"/>
        </w:rPr>
        <w:t xml:space="preserve"> у банківській сфері</w:t>
      </w:r>
      <w:r>
        <w:rPr>
          <w:rFonts w:ascii="Times New Roman" w:hAnsi="Times New Roman" w:cs="Times New Roman"/>
          <w:sz w:val="28"/>
          <w:szCs w:val="28"/>
          <w:lang w:val="uk-UA"/>
        </w:rPr>
        <w:t>:</w:t>
      </w:r>
      <w:r w:rsidRPr="00B24852">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B24852">
        <w:rPr>
          <w:rFonts w:ascii="Times New Roman" w:hAnsi="Times New Roman" w:cs="Times New Roman"/>
          <w:sz w:val="28"/>
          <w:szCs w:val="28"/>
          <w:lang w:val="uk-UA"/>
        </w:rPr>
        <w:t>сновні напрямки</w:t>
      </w:r>
    </w:p>
    <w:p w:rsidR="004C0DA3" w:rsidRPr="004C0DA3" w:rsidRDefault="004C0DA3" w:rsidP="004C0DA3">
      <w:pPr>
        <w:spacing w:after="0" w:line="360" w:lineRule="auto"/>
        <w:ind w:firstLine="709"/>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 xml:space="preserve">Слід зауважити, що маркетинговий моніторинг забезпечує менеджмент релевантним інформаційним базисом для оперативного коригування стратегічного курсу установи. Водночас результуючі показники діяльності банку безпосередньо </w:t>
      </w:r>
      <w:proofErr w:type="spellStart"/>
      <w:r w:rsidRPr="004C0DA3">
        <w:rPr>
          <w:rFonts w:ascii="Times New Roman" w:hAnsi="Times New Roman" w:cs="Times New Roman"/>
          <w:sz w:val="28"/>
          <w:szCs w:val="28"/>
          <w:lang w:val="uk-UA"/>
        </w:rPr>
        <w:t>детермінуються</w:t>
      </w:r>
      <w:proofErr w:type="spellEnd"/>
      <w:r w:rsidRPr="004C0DA3">
        <w:rPr>
          <w:rFonts w:ascii="Times New Roman" w:hAnsi="Times New Roman" w:cs="Times New Roman"/>
          <w:sz w:val="28"/>
          <w:szCs w:val="28"/>
          <w:lang w:val="uk-UA"/>
        </w:rPr>
        <w:t xml:space="preserve"> рівнем його споживчої </w:t>
      </w:r>
      <w:proofErr w:type="spellStart"/>
      <w:r w:rsidRPr="004C0DA3">
        <w:rPr>
          <w:rFonts w:ascii="Times New Roman" w:hAnsi="Times New Roman" w:cs="Times New Roman"/>
          <w:sz w:val="28"/>
          <w:szCs w:val="28"/>
          <w:lang w:val="uk-UA"/>
        </w:rPr>
        <w:t>аттрактивності</w:t>
      </w:r>
      <w:proofErr w:type="spellEnd"/>
      <w:r w:rsidRPr="004C0DA3">
        <w:rPr>
          <w:rFonts w:ascii="Times New Roman" w:hAnsi="Times New Roman" w:cs="Times New Roman"/>
          <w:sz w:val="28"/>
          <w:szCs w:val="28"/>
          <w:lang w:val="uk-UA"/>
        </w:rPr>
        <w:t xml:space="preserve"> (привабливості), архітектоніку якої формують такі параметри:</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сервісні стандарти та якісні характеристики клієнтського обслуговування;</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тарифна політика та рівень цінової доступності фінансових продуктів;</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наявність унікальних (ексклюзивних) пропозицій, не представлених у продуктових лінійках конкурентів;</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просторова диверсифікація та масштабність філіальної мережі;</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 xml:space="preserve">щільність покриття та технічна доступність </w:t>
      </w:r>
      <w:proofErr w:type="spellStart"/>
      <w:r w:rsidRPr="004C0DA3">
        <w:rPr>
          <w:rFonts w:ascii="Times New Roman" w:hAnsi="Times New Roman" w:cs="Times New Roman"/>
          <w:sz w:val="28"/>
          <w:szCs w:val="28"/>
          <w:lang w:val="uk-UA"/>
        </w:rPr>
        <w:t>банкоматно</w:t>
      </w:r>
      <w:proofErr w:type="spellEnd"/>
      <w:r w:rsidRPr="004C0DA3">
        <w:rPr>
          <w:rFonts w:ascii="Times New Roman" w:hAnsi="Times New Roman" w:cs="Times New Roman"/>
          <w:sz w:val="28"/>
          <w:szCs w:val="28"/>
          <w:lang w:val="uk-UA"/>
        </w:rPr>
        <w:t>-термінальної інфраструктури;</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 xml:space="preserve">ергономічність, функціональність та </w:t>
      </w:r>
      <w:proofErr w:type="spellStart"/>
      <w:r w:rsidRPr="004C0DA3">
        <w:rPr>
          <w:rFonts w:ascii="Times New Roman" w:hAnsi="Times New Roman" w:cs="Times New Roman"/>
          <w:sz w:val="28"/>
          <w:szCs w:val="28"/>
          <w:lang w:val="uk-UA"/>
        </w:rPr>
        <w:t>інте</w:t>
      </w:r>
      <w:r w:rsidR="003F402F">
        <w:rPr>
          <w:rFonts w:ascii="Times New Roman" w:hAnsi="Times New Roman" w:cs="Times New Roman"/>
          <w:sz w:val="28"/>
          <w:szCs w:val="28"/>
          <w:lang w:val="uk-UA"/>
        </w:rPr>
        <w:t>рф</w:t>
      </w:r>
      <w:r w:rsidRPr="004C0DA3">
        <w:rPr>
          <w:rFonts w:ascii="Times New Roman" w:hAnsi="Times New Roman" w:cs="Times New Roman"/>
          <w:sz w:val="28"/>
          <w:szCs w:val="28"/>
          <w:lang w:val="uk-UA"/>
        </w:rPr>
        <w:t>ейсна</w:t>
      </w:r>
      <w:proofErr w:type="spellEnd"/>
      <w:r w:rsidRPr="004C0DA3">
        <w:rPr>
          <w:rFonts w:ascii="Times New Roman" w:hAnsi="Times New Roman" w:cs="Times New Roman"/>
          <w:sz w:val="28"/>
          <w:szCs w:val="28"/>
          <w:lang w:val="uk-UA"/>
        </w:rPr>
        <w:t xml:space="preserve"> простота мобільних платіжних додатків (m-</w:t>
      </w:r>
      <w:proofErr w:type="spellStart"/>
      <w:r w:rsidRPr="004C0DA3">
        <w:rPr>
          <w:rFonts w:ascii="Times New Roman" w:hAnsi="Times New Roman" w:cs="Times New Roman"/>
          <w:sz w:val="28"/>
          <w:szCs w:val="28"/>
          <w:lang w:val="uk-UA"/>
        </w:rPr>
        <w:t>banking</w:t>
      </w:r>
      <w:proofErr w:type="spellEnd"/>
      <w:r w:rsidRPr="004C0DA3">
        <w:rPr>
          <w:rFonts w:ascii="Times New Roman" w:hAnsi="Times New Roman" w:cs="Times New Roman"/>
          <w:sz w:val="28"/>
          <w:szCs w:val="28"/>
          <w:lang w:val="uk-UA"/>
        </w:rPr>
        <w:t>);</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lastRenderedPageBreak/>
        <w:t>репутаційний капітал та сформований імідж фінансового інституту в регіональному середовищі;</w:t>
      </w:r>
    </w:p>
    <w:p w:rsidR="004C0DA3" w:rsidRPr="004C0DA3" w:rsidRDefault="004C0DA3" w:rsidP="004C0DA3">
      <w:pPr>
        <w:pStyle w:val="a4"/>
        <w:numPr>
          <w:ilvl w:val="0"/>
          <w:numId w:val="8"/>
        </w:numPr>
        <w:spacing w:after="0" w:line="360" w:lineRule="auto"/>
        <w:ind w:left="0" w:firstLine="0"/>
        <w:jc w:val="both"/>
        <w:rPr>
          <w:rFonts w:ascii="Times New Roman" w:hAnsi="Times New Roman" w:cs="Times New Roman"/>
          <w:sz w:val="28"/>
          <w:szCs w:val="28"/>
          <w:lang w:val="uk-UA"/>
        </w:rPr>
      </w:pPr>
      <w:proofErr w:type="spellStart"/>
      <w:r w:rsidRPr="004C0DA3">
        <w:rPr>
          <w:rFonts w:ascii="Times New Roman" w:hAnsi="Times New Roman" w:cs="Times New Roman"/>
          <w:sz w:val="28"/>
          <w:szCs w:val="28"/>
          <w:lang w:val="uk-UA"/>
        </w:rPr>
        <w:t>геомаркетингова</w:t>
      </w:r>
      <w:proofErr w:type="spellEnd"/>
      <w:r w:rsidRPr="004C0DA3">
        <w:rPr>
          <w:rFonts w:ascii="Times New Roman" w:hAnsi="Times New Roman" w:cs="Times New Roman"/>
          <w:sz w:val="28"/>
          <w:szCs w:val="28"/>
          <w:lang w:val="uk-UA"/>
        </w:rPr>
        <w:t xml:space="preserve"> оптимізація та раціональне територіальне розміщення відділень у зонах високої концентрації потенційного трафіку.</w:t>
      </w:r>
    </w:p>
    <w:p w:rsidR="004C0DA3" w:rsidRPr="004C0DA3" w:rsidRDefault="004C0DA3" w:rsidP="004C0DA3">
      <w:pPr>
        <w:spacing w:after="0" w:line="360" w:lineRule="auto"/>
        <w:ind w:firstLine="709"/>
        <w:jc w:val="both"/>
        <w:rPr>
          <w:rFonts w:ascii="Times New Roman" w:hAnsi="Times New Roman" w:cs="Times New Roman"/>
          <w:sz w:val="28"/>
          <w:szCs w:val="28"/>
          <w:lang w:val="uk-UA"/>
        </w:rPr>
      </w:pPr>
      <w:r w:rsidRPr="004C0DA3">
        <w:rPr>
          <w:rFonts w:ascii="Times New Roman" w:hAnsi="Times New Roman" w:cs="Times New Roman"/>
          <w:sz w:val="28"/>
          <w:szCs w:val="28"/>
          <w:lang w:val="uk-UA"/>
        </w:rPr>
        <w:t xml:space="preserve">Синергетичний облік зазначених детермінант є імперативною вимогою у процесі ухвалення управлінських рішень вищою ланкою менеджменту організації. При цьому стратегічний вектор маркетингового аналізу банку підпорядкований прогностичному моделюванню попиту на фінансові послуги в розрізі цільових сегментів ринку задля проектування </w:t>
      </w:r>
      <w:proofErr w:type="spellStart"/>
      <w:r w:rsidRPr="004C0DA3">
        <w:rPr>
          <w:rFonts w:ascii="Times New Roman" w:hAnsi="Times New Roman" w:cs="Times New Roman"/>
          <w:sz w:val="28"/>
          <w:szCs w:val="28"/>
          <w:lang w:val="uk-UA"/>
        </w:rPr>
        <w:t>таргетованих</w:t>
      </w:r>
      <w:proofErr w:type="spellEnd"/>
      <w:r w:rsidRPr="004C0DA3">
        <w:rPr>
          <w:rFonts w:ascii="Times New Roman" w:hAnsi="Times New Roman" w:cs="Times New Roman"/>
          <w:sz w:val="28"/>
          <w:szCs w:val="28"/>
          <w:lang w:val="uk-UA"/>
        </w:rPr>
        <w:t xml:space="preserve"> заходів, спрямованих на максимізацію клієнтської прихильності та </w:t>
      </w:r>
      <w:proofErr w:type="spellStart"/>
      <w:r w:rsidRPr="004C0DA3">
        <w:rPr>
          <w:rFonts w:ascii="Times New Roman" w:hAnsi="Times New Roman" w:cs="Times New Roman"/>
          <w:sz w:val="28"/>
          <w:szCs w:val="28"/>
          <w:lang w:val="uk-UA"/>
        </w:rPr>
        <w:t>рекрутинг</w:t>
      </w:r>
      <w:proofErr w:type="spellEnd"/>
      <w:r w:rsidRPr="004C0DA3">
        <w:rPr>
          <w:rFonts w:ascii="Times New Roman" w:hAnsi="Times New Roman" w:cs="Times New Roman"/>
          <w:sz w:val="28"/>
          <w:szCs w:val="28"/>
          <w:lang w:val="uk-UA"/>
        </w:rPr>
        <w:t xml:space="preserve"> нових споживчих груп.</w:t>
      </w:r>
    </w:p>
    <w:p w:rsidR="00707EB1" w:rsidRDefault="00707EB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07EB1" w:rsidRPr="00951461" w:rsidRDefault="00707EB1" w:rsidP="00707EB1">
      <w:pPr>
        <w:spacing w:after="0" w:line="360" w:lineRule="auto"/>
        <w:jc w:val="center"/>
        <w:rPr>
          <w:rFonts w:ascii="Times New Roman" w:hAnsi="Times New Roman" w:cs="Times New Roman"/>
          <w:b/>
          <w:bCs/>
          <w:sz w:val="28"/>
          <w:szCs w:val="28"/>
          <w:lang w:val="uk-UA"/>
        </w:rPr>
      </w:pPr>
      <w:r w:rsidRPr="00951461">
        <w:rPr>
          <w:rFonts w:ascii="Times New Roman" w:hAnsi="Times New Roman" w:cs="Times New Roman"/>
          <w:b/>
          <w:bCs/>
          <w:sz w:val="28"/>
          <w:szCs w:val="28"/>
          <w:lang w:val="uk-UA"/>
        </w:rPr>
        <w:lastRenderedPageBreak/>
        <w:t xml:space="preserve">2. РИНОК БАНКІВСЬКИХ ПОСЛУГ: ОЦІНКА СТАНУ ТА РОЗРОБКА </w:t>
      </w:r>
      <w:r w:rsidRPr="00951461">
        <w:rPr>
          <w:rFonts w:ascii="Times New Roman" w:hAnsi="Times New Roman" w:cs="Times New Roman"/>
          <w:b/>
          <w:bCs/>
          <w:sz w:val="28"/>
          <w:szCs w:val="28"/>
          <w:lang w:val="uk-UA"/>
        </w:rPr>
        <w:br/>
        <w:t xml:space="preserve">«А-БАНКОМ» ПРОГРАМИ ЛОЯЛЬНОСТІ КЛІЄНТІВ </w:t>
      </w:r>
    </w:p>
    <w:p w:rsidR="00707EB1" w:rsidRPr="00951461" w:rsidRDefault="00707EB1" w:rsidP="00707EB1">
      <w:pPr>
        <w:spacing w:after="0" w:line="360" w:lineRule="auto"/>
        <w:jc w:val="center"/>
        <w:rPr>
          <w:rFonts w:ascii="Times New Roman" w:hAnsi="Times New Roman" w:cs="Times New Roman"/>
          <w:b/>
          <w:bCs/>
          <w:sz w:val="28"/>
          <w:szCs w:val="28"/>
          <w:lang w:val="uk-UA"/>
        </w:rPr>
      </w:pPr>
      <w:r w:rsidRPr="00951461">
        <w:rPr>
          <w:rFonts w:ascii="Times New Roman" w:hAnsi="Times New Roman" w:cs="Times New Roman"/>
          <w:b/>
          <w:bCs/>
          <w:sz w:val="28"/>
          <w:szCs w:val="28"/>
          <w:lang w:val="uk-UA"/>
        </w:rPr>
        <w:t>2.1. Дослідження ринку банківських послуг в Україні</w:t>
      </w:r>
    </w:p>
    <w:p w:rsidR="00707EB1" w:rsidRDefault="00707EB1" w:rsidP="00707EB1">
      <w:pPr>
        <w:spacing w:after="0" w:line="360" w:lineRule="auto"/>
        <w:ind w:firstLine="709"/>
        <w:jc w:val="both"/>
        <w:rPr>
          <w:rFonts w:ascii="Times New Roman" w:hAnsi="Times New Roman" w:cs="Times New Roman"/>
          <w:sz w:val="28"/>
          <w:szCs w:val="28"/>
          <w:lang w:val="uk-UA"/>
        </w:rPr>
      </w:pPr>
    </w:p>
    <w:p w:rsidR="00617C70" w:rsidRPr="009F42F8" w:rsidRDefault="00707EB1" w:rsidP="009F42F8">
      <w:pPr>
        <w:spacing w:after="0" w:line="360" w:lineRule="auto"/>
        <w:ind w:firstLine="709"/>
        <w:jc w:val="both"/>
        <w:rPr>
          <w:rFonts w:ascii="Times New Roman" w:hAnsi="Times New Roman" w:cs="Times New Roman"/>
          <w:sz w:val="28"/>
          <w:szCs w:val="28"/>
          <w:lang w:val="uk-UA"/>
        </w:rPr>
      </w:pPr>
      <w:r w:rsidRPr="00707EB1">
        <w:rPr>
          <w:rFonts w:ascii="Times New Roman" w:hAnsi="Times New Roman" w:cs="Times New Roman"/>
          <w:sz w:val="28"/>
          <w:szCs w:val="28"/>
          <w:lang w:val="uk-UA"/>
        </w:rPr>
        <w:t xml:space="preserve">Повномасштабна військова агресія </w:t>
      </w:r>
      <w:proofErr w:type="spellStart"/>
      <w:r w:rsidR="003F402F">
        <w:rPr>
          <w:rFonts w:ascii="Times New Roman" w:hAnsi="Times New Roman" w:cs="Times New Roman"/>
          <w:sz w:val="28"/>
          <w:szCs w:val="28"/>
          <w:lang w:val="uk-UA"/>
        </w:rPr>
        <w:t>рф</w:t>
      </w:r>
      <w:proofErr w:type="spellEnd"/>
      <w:r w:rsidRPr="00707EB1">
        <w:rPr>
          <w:rFonts w:ascii="Times New Roman" w:hAnsi="Times New Roman" w:cs="Times New Roman"/>
          <w:sz w:val="28"/>
          <w:szCs w:val="28"/>
          <w:lang w:val="uk-UA"/>
        </w:rPr>
        <w:t xml:space="preserve"> проти України спричинила радикальну трансформацію операційного середовища та умов функціонування вітчизняних фінансово-кредитних інститутів. Попри деструктивні чинники, банківський сектор продемонстрував високий рівень інституційної адаптивності до реалій воєнного стану, забезпечуючи наразі безперервне та повноцінне обслуговування як корпоративних клієнтів, так і приватних осіб. Станом на 1 січня 2026 року в національній фінансовій системі здійснювали діяльність 60 діючих банківських установ, ретроспективну динаміку чисельності яких у річному вимірі відображено на рис. 2.1.</w:t>
      </w:r>
    </w:p>
    <w:p w:rsidR="00E963F9" w:rsidRDefault="00E963F9" w:rsidP="00E963F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319B6639" wp14:editId="31AD722C">
            <wp:extent cx="4514850" cy="27051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BEBA8EAE-BF5A-486C-A8C5-ECC9F3942E4B}">
                          <a14:imgProps xmlns:a14="http://schemas.microsoft.com/office/drawing/2010/main">
                            <a14:imgLayer r:embed="rId2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14850" cy="2705100"/>
                    </a:xfrm>
                    <a:prstGeom prst="rect">
                      <a:avLst/>
                    </a:prstGeom>
                    <a:noFill/>
                    <a:ln>
                      <a:noFill/>
                    </a:ln>
                  </pic:spPr>
                </pic:pic>
              </a:graphicData>
            </a:graphic>
          </wp:inline>
        </w:drawing>
      </w:r>
    </w:p>
    <w:p w:rsidR="00E963F9" w:rsidRDefault="00E963F9" w:rsidP="00E963F9">
      <w:pPr>
        <w:spacing w:after="0" w:line="360" w:lineRule="auto"/>
        <w:jc w:val="center"/>
        <w:rPr>
          <w:rFonts w:ascii="Times New Roman" w:hAnsi="Times New Roman" w:cs="Times New Roman"/>
          <w:sz w:val="28"/>
          <w:szCs w:val="28"/>
          <w:lang w:val="uk-UA"/>
        </w:rPr>
      </w:pPr>
      <w:r w:rsidRPr="00200146">
        <w:rPr>
          <w:rFonts w:ascii="Times New Roman" w:hAnsi="Times New Roman" w:cs="Times New Roman"/>
          <w:sz w:val="28"/>
          <w:szCs w:val="28"/>
          <w:lang w:val="uk-UA"/>
        </w:rPr>
        <w:t>Рис. 2.1. Динаміка кількості банків в Україні, 20</w:t>
      </w:r>
      <w:r>
        <w:rPr>
          <w:rFonts w:ascii="Times New Roman" w:hAnsi="Times New Roman" w:cs="Times New Roman"/>
          <w:sz w:val="28"/>
          <w:szCs w:val="28"/>
          <w:lang w:val="uk-UA"/>
        </w:rPr>
        <w:t>14</w:t>
      </w:r>
      <w:r w:rsidRPr="00200146">
        <w:rPr>
          <w:rFonts w:ascii="Times New Roman" w:hAnsi="Times New Roman" w:cs="Times New Roman"/>
          <w:sz w:val="28"/>
          <w:szCs w:val="28"/>
          <w:lang w:val="uk-UA"/>
        </w:rPr>
        <w:t xml:space="preserve"> – 202</w:t>
      </w:r>
      <w:r>
        <w:rPr>
          <w:rFonts w:ascii="Times New Roman" w:hAnsi="Times New Roman" w:cs="Times New Roman"/>
          <w:sz w:val="28"/>
          <w:szCs w:val="28"/>
          <w:lang w:val="uk-UA"/>
        </w:rPr>
        <w:t>5</w:t>
      </w:r>
      <w:r w:rsidRPr="00200146">
        <w:rPr>
          <w:rFonts w:ascii="Times New Roman" w:hAnsi="Times New Roman" w:cs="Times New Roman"/>
          <w:sz w:val="28"/>
          <w:szCs w:val="28"/>
          <w:lang w:val="uk-UA"/>
        </w:rPr>
        <w:t xml:space="preserve"> </w:t>
      </w:r>
      <w:proofErr w:type="spellStart"/>
      <w:r w:rsidRPr="00200146">
        <w:rPr>
          <w:rFonts w:ascii="Times New Roman" w:hAnsi="Times New Roman" w:cs="Times New Roman"/>
          <w:sz w:val="28"/>
          <w:szCs w:val="28"/>
          <w:lang w:val="uk-UA"/>
        </w:rPr>
        <w:t>р.р</w:t>
      </w:r>
      <w:proofErr w:type="spellEnd"/>
      <w:r w:rsidRPr="00200146">
        <w:rPr>
          <w:rFonts w:ascii="Times New Roman" w:hAnsi="Times New Roman" w:cs="Times New Roman"/>
          <w:sz w:val="28"/>
          <w:szCs w:val="28"/>
          <w:lang w:val="uk-UA"/>
        </w:rPr>
        <w:t>.</w:t>
      </w:r>
    </w:p>
    <w:p w:rsidR="009F42F8" w:rsidRPr="00A21186" w:rsidRDefault="00762391" w:rsidP="00A21186">
      <w:pPr>
        <w:spacing w:after="0" w:line="360" w:lineRule="auto"/>
        <w:ind w:firstLine="709"/>
        <w:jc w:val="both"/>
        <w:rPr>
          <w:rFonts w:ascii="Times New Roman" w:hAnsi="Times New Roman" w:cs="Times New Roman"/>
          <w:sz w:val="28"/>
          <w:szCs w:val="28"/>
          <w:lang w:val="uk-UA"/>
        </w:rPr>
      </w:pPr>
      <w:proofErr w:type="spellStart"/>
      <w:r w:rsidRPr="00762391">
        <w:rPr>
          <w:rFonts w:ascii="Times New Roman" w:hAnsi="Times New Roman" w:cs="Times New Roman"/>
          <w:sz w:val="28"/>
          <w:szCs w:val="28"/>
          <w:lang w:val="uk-UA"/>
        </w:rPr>
        <w:t>Візуалізовані</w:t>
      </w:r>
      <w:proofErr w:type="spellEnd"/>
      <w:r w:rsidRPr="00762391">
        <w:rPr>
          <w:rFonts w:ascii="Times New Roman" w:hAnsi="Times New Roman" w:cs="Times New Roman"/>
          <w:sz w:val="28"/>
          <w:szCs w:val="28"/>
          <w:lang w:val="uk-UA"/>
        </w:rPr>
        <w:t xml:space="preserve"> на рис. 2.1 дані свідчать про перманентну тенденцію до консолідації та скорочення чисельності суб'єктів вітчизняного банківського сектору, починаючи з 2014 року, коли інституціональний склад зменшився зі 184 установ до 60 на початку 2026 року. Найбільш виражена динаміка </w:t>
      </w:r>
      <w:proofErr w:type="spellStart"/>
      <w:r w:rsidRPr="00762391">
        <w:rPr>
          <w:rFonts w:ascii="Times New Roman" w:hAnsi="Times New Roman" w:cs="Times New Roman"/>
          <w:sz w:val="28"/>
          <w:szCs w:val="28"/>
          <w:lang w:val="uk-UA"/>
        </w:rPr>
        <w:t>деінституціоналізації</w:t>
      </w:r>
      <w:proofErr w:type="spellEnd"/>
      <w:r w:rsidRPr="00762391">
        <w:rPr>
          <w:rFonts w:ascii="Times New Roman" w:hAnsi="Times New Roman" w:cs="Times New Roman"/>
          <w:sz w:val="28"/>
          <w:szCs w:val="28"/>
          <w:lang w:val="uk-UA"/>
        </w:rPr>
        <w:t xml:space="preserve"> ринку зафіксована у періоди 2020–2021 рр., коли кількість ліцензованих організацій скоротилася на 63 одиниці (зі 180 до 117 банків), а також у 2021–2022 рр., що супроводжувалося виведенням з ринку ще 42 фінансових інститутів (із 117 до 75 установ). На момент розгортання </w:t>
      </w:r>
      <w:r w:rsidRPr="00762391">
        <w:rPr>
          <w:rFonts w:ascii="Times New Roman" w:hAnsi="Times New Roman" w:cs="Times New Roman"/>
          <w:sz w:val="28"/>
          <w:szCs w:val="28"/>
          <w:lang w:val="uk-UA"/>
        </w:rPr>
        <w:lastRenderedPageBreak/>
        <w:t>повномасштабного воєнного конфлікту в державі оперували 75 банківських організацій, тоді як станом на 1 січня 2026 року їхня чисельність стабілізувалася на рівні 60 одиниць. Систематизований реєстр фінансових інституцій, які втратили ліцензії протягом 2025 року, із дескриптивним аналізом причин їхньої ліквідації репрезентовано у табл. 2.1.</w:t>
      </w:r>
    </w:p>
    <w:p w:rsidR="00762391" w:rsidRDefault="00762391" w:rsidP="00762391">
      <w:pPr>
        <w:spacing w:after="0" w:line="360" w:lineRule="auto"/>
        <w:jc w:val="right"/>
        <w:rPr>
          <w:rFonts w:ascii="Times New Roman" w:hAnsi="Times New Roman" w:cs="Times New Roman"/>
          <w:sz w:val="28"/>
          <w:szCs w:val="28"/>
          <w:lang w:val="uk-UA"/>
        </w:rPr>
      </w:pPr>
      <w:r w:rsidRPr="00200146">
        <w:rPr>
          <w:rFonts w:ascii="Times New Roman" w:hAnsi="Times New Roman" w:cs="Times New Roman"/>
          <w:sz w:val="28"/>
          <w:szCs w:val="28"/>
          <w:lang w:val="uk-UA"/>
        </w:rPr>
        <w:t>Таблиця 2.1</w:t>
      </w:r>
      <w:r>
        <w:rPr>
          <w:rFonts w:ascii="Times New Roman" w:hAnsi="Times New Roman" w:cs="Times New Roman"/>
          <w:sz w:val="28"/>
          <w:szCs w:val="28"/>
          <w:lang w:val="uk-UA"/>
        </w:rPr>
        <w:t>.</w:t>
      </w:r>
    </w:p>
    <w:p w:rsidR="00762391" w:rsidRDefault="00762391" w:rsidP="0076239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w:t>
      </w:r>
      <w:r w:rsidRPr="00200146">
        <w:rPr>
          <w:rFonts w:ascii="Times New Roman" w:hAnsi="Times New Roman" w:cs="Times New Roman"/>
          <w:sz w:val="28"/>
          <w:szCs w:val="28"/>
          <w:lang w:val="uk-UA"/>
        </w:rPr>
        <w:t>анк</w:t>
      </w:r>
      <w:r>
        <w:rPr>
          <w:rFonts w:ascii="Times New Roman" w:hAnsi="Times New Roman" w:cs="Times New Roman"/>
          <w:sz w:val="28"/>
          <w:szCs w:val="28"/>
          <w:lang w:val="uk-UA"/>
        </w:rPr>
        <w:t>и</w:t>
      </w:r>
      <w:r w:rsidRPr="00200146">
        <w:rPr>
          <w:rFonts w:ascii="Times New Roman" w:hAnsi="Times New Roman" w:cs="Times New Roman"/>
          <w:sz w:val="28"/>
          <w:szCs w:val="28"/>
          <w:lang w:val="uk-UA"/>
        </w:rPr>
        <w:t xml:space="preserve"> виведен</w:t>
      </w:r>
      <w:r>
        <w:rPr>
          <w:rFonts w:ascii="Times New Roman" w:hAnsi="Times New Roman" w:cs="Times New Roman"/>
          <w:sz w:val="28"/>
          <w:szCs w:val="28"/>
          <w:lang w:val="uk-UA"/>
        </w:rPr>
        <w:t>і</w:t>
      </w:r>
      <w:r w:rsidRPr="00200146">
        <w:rPr>
          <w:rFonts w:ascii="Times New Roman" w:hAnsi="Times New Roman" w:cs="Times New Roman"/>
          <w:sz w:val="28"/>
          <w:szCs w:val="28"/>
          <w:lang w:val="uk-UA"/>
        </w:rPr>
        <w:t xml:space="preserve"> у 202</w:t>
      </w:r>
      <w:r>
        <w:rPr>
          <w:rFonts w:ascii="Times New Roman" w:hAnsi="Times New Roman" w:cs="Times New Roman"/>
          <w:sz w:val="28"/>
          <w:szCs w:val="28"/>
          <w:lang w:val="uk-UA"/>
        </w:rPr>
        <w:t>5</w:t>
      </w:r>
      <w:r w:rsidRPr="00200146">
        <w:rPr>
          <w:rFonts w:ascii="Times New Roman" w:hAnsi="Times New Roman" w:cs="Times New Roman"/>
          <w:sz w:val="28"/>
          <w:szCs w:val="28"/>
          <w:lang w:val="uk-UA"/>
        </w:rPr>
        <w:t xml:space="preserve"> р. з</w:t>
      </w:r>
      <w:r>
        <w:rPr>
          <w:rFonts w:ascii="Times New Roman" w:hAnsi="Times New Roman" w:cs="Times New Roman"/>
          <w:sz w:val="28"/>
          <w:szCs w:val="28"/>
          <w:lang w:val="uk-UA"/>
        </w:rPr>
        <w:t xml:space="preserve"> банківського</w:t>
      </w:r>
      <w:r w:rsidRPr="00200146">
        <w:rPr>
          <w:rFonts w:ascii="Times New Roman" w:hAnsi="Times New Roman" w:cs="Times New Roman"/>
          <w:sz w:val="28"/>
          <w:szCs w:val="28"/>
          <w:lang w:val="uk-UA"/>
        </w:rPr>
        <w:t xml:space="preserve"> ринку</w:t>
      </w:r>
    </w:p>
    <w:p w:rsidR="00762391" w:rsidRDefault="00762391" w:rsidP="00762391">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7ECEE8CA" wp14:editId="62C57A67">
            <wp:extent cx="6019800" cy="2000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19800" cy="2000250"/>
                    </a:xfrm>
                    <a:prstGeom prst="rect">
                      <a:avLst/>
                    </a:prstGeom>
                    <a:noFill/>
                    <a:ln>
                      <a:noFill/>
                    </a:ln>
                  </pic:spPr>
                </pic:pic>
              </a:graphicData>
            </a:graphic>
          </wp:inline>
        </w:drawing>
      </w:r>
    </w:p>
    <w:p w:rsidR="00762391" w:rsidRPr="00762391" w:rsidRDefault="00762391" w:rsidP="00762391">
      <w:pPr>
        <w:spacing w:after="0" w:line="360" w:lineRule="auto"/>
        <w:ind w:firstLine="709"/>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t xml:space="preserve">Слід констатувати, що процес зменшення чисельності фінансових інститутів не справив деструктивного впливу на асортиментну лінійку та якісні параметри надання послуг як у корпоративному, так і в роздрібному сегментах ринку. У 2023 році Регулятором (НБУ) було ініційовано процедуру націоналізації АТ «Сенс Банк», зумовлену структурою його власності, зокрема наявністю серед </w:t>
      </w:r>
      <w:proofErr w:type="spellStart"/>
      <w:r w:rsidRPr="00762391">
        <w:rPr>
          <w:rFonts w:ascii="Times New Roman" w:hAnsi="Times New Roman" w:cs="Times New Roman"/>
          <w:sz w:val="28"/>
          <w:szCs w:val="28"/>
          <w:lang w:val="uk-UA"/>
        </w:rPr>
        <w:t>бенефіціарів</w:t>
      </w:r>
      <w:proofErr w:type="spellEnd"/>
      <w:r w:rsidRPr="00762391">
        <w:rPr>
          <w:rFonts w:ascii="Times New Roman" w:hAnsi="Times New Roman" w:cs="Times New Roman"/>
          <w:sz w:val="28"/>
          <w:szCs w:val="28"/>
          <w:lang w:val="uk-UA"/>
        </w:rPr>
        <w:t xml:space="preserve"> російських комерсантів М. Фрідмана та П. </w:t>
      </w:r>
      <w:proofErr w:type="spellStart"/>
      <w:r w:rsidRPr="00762391">
        <w:rPr>
          <w:rFonts w:ascii="Times New Roman" w:hAnsi="Times New Roman" w:cs="Times New Roman"/>
          <w:sz w:val="28"/>
          <w:szCs w:val="28"/>
          <w:lang w:val="uk-UA"/>
        </w:rPr>
        <w:t>Авена</w:t>
      </w:r>
      <w:proofErr w:type="spellEnd"/>
      <w:r w:rsidRPr="00762391">
        <w:rPr>
          <w:rFonts w:ascii="Times New Roman" w:hAnsi="Times New Roman" w:cs="Times New Roman"/>
          <w:sz w:val="28"/>
          <w:szCs w:val="28"/>
          <w:lang w:val="uk-UA"/>
        </w:rPr>
        <w:t>. Відповідно до урядової постанови, акції зазначеної установи були викуплені у Фонду гарантування вкладів за символічну вартість в одну гривню, внаслідок чого державний сектор банківської системи розширився до п'яти суб'єктів (поряд із АТ «Ощадбанк», АТ КБ «Приватбанк», АТ «Укрексімбанк» та АБ «УКРГАЗБАНК»).</w:t>
      </w:r>
    </w:p>
    <w:p w:rsidR="00762391" w:rsidRPr="00762391" w:rsidRDefault="00762391" w:rsidP="00762391">
      <w:pPr>
        <w:spacing w:after="0" w:line="360" w:lineRule="auto"/>
        <w:ind w:firstLine="709"/>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t>Індикатором стабільності фінансової системи та її спроможності забезпечувати кредитування макроекономічних процесів виступає інституційна структура власності в банківському секторі. За звітними даними станом на 1 січня 2026 року, генеральну сукупність із 60 діючих банківських установ формували:</w:t>
      </w:r>
    </w:p>
    <w:p w:rsidR="00762391" w:rsidRPr="00762391" w:rsidRDefault="00762391" w:rsidP="00762391">
      <w:pPr>
        <w:pStyle w:val="a4"/>
        <w:numPr>
          <w:ilvl w:val="0"/>
          <w:numId w:val="8"/>
        </w:numPr>
        <w:spacing w:after="0" w:line="360" w:lineRule="auto"/>
        <w:ind w:left="0" w:firstLine="0"/>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t>державні банки — 5 інституцій;</w:t>
      </w:r>
    </w:p>
    <w:p w:rsidR="00762391" w:rsidRPr="00762391" w:rsidRDefault="00762391" w:rsidP="00762391">
      <w:pPr>
        <w:pStyle w:val="a4"/>
        <w:numPr>
          <w:ilvl w:val="0"/>
          <w:numId w:val="8"/>
        </w:numPr>
        <w:spacing w:after="0" w:line="360" w:lineRule="auto"/>
        <w:ind w:left="0" w:firstLine="0"/>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lastRenderedPageBreak/>
        <w:t>банки з іноземними інвестиціями — 28 установ (зокрема зі 100-відсотковою часткою іноземного капіталу — 20 організацій).</w:t>
      </w:r>
    </w:p>
    <w:p w:rsidR="00762391" w:rsidRPr="00762391" w:rsidRDefault="00762391" w:rsidP="00762391">
      <w:pPr>
        <w:spacing w:after="0" w:line="360" w:lineRule="auto"/>
        <w:ind w:firstLine="709"/>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t>Групування фінансово-кредитних установ за критерієм структури акціонерного капіталу деталізовано у табл. 2.2.</w:t>
      </w:r>
    </w:p>
    <w:p w:rsidR="00762391" w:rsidRDefault="00762391" w:rsidP="00762391">
      <w:pPr>
        <w:spacing w:after="0" w:line="240" w:lineRule="auto"/>
        <w:jc w:val="right"/>
        <w:rPr>
          <w:rFonts w:ascii="Times New Roman" w:hAnsi="Times New Roman" w:cs="Times New Roman"/>
          <w:sz w:val="28"/>
          <w:szCs w:val="28"/>
          <w:lang w:val="uk-UA"/>
        </w:rPr>
      </w:pPr>
      <w:r w:rsidRPr="00134C0A">
        <w:rPr>
          <w:rFonts w:ascii="Times New Roman" w:hAnsi="Times New Roman" w:cs="Times New Roman"/>
          <w:sz w:val="28"/>
          <w:szCs w:val="28"/>
          <w:lang w:val="uk-UA"/>
        </w:rPr>
        <w:t>Таблиця 2.2</w:t>
      </w:r>
      <w:r>
        <w:rPr>
          <w:rFonts w:ascii="Times New Roman" w:hAnsi="Times New Roman" w:cs="Times New Roman"/>
          <w:sz w:val="28"/>
          <w:szCs w:val="28"/>
          <w:lang w:val="uk-UA"/>
        </w:rPr>
        <w:t>.</w:t>
      </w:r>
    </w:p>
    <w:p w:rsidR="00762391" w:rsidRDefault="00762391" w:rsidP="007623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w:t>
      </w:r>
      <w:r w:rsidRPr="00134C0A">
        <w:rPr>
          <w:rFonts w:ascii="Times New Roman" w:hAnsi="Times New Roman" w:cs="Times New Roman"/>
          <w:sz w:val="28"/>
          <w:szCs w:val="28"/>
          <w:lang w:val="uk-UA"/>
        </w:rPr>
        <w:t>анк</w:t>
      </w:r>
      <w:r>
        <w:rPr>
          <w:rFonts w:ascii="Times New Roman" w:hAnsi="Times New Roman" w:cs="Times New Roman"/>
          <w:sz w:val="28"/>
          <w:szCs w:val="28"/>
          <w:lang w:val="uk-UA"/>
        </w:rPr>
        <w:t>и України</w:t>
      </w:r>
      <w:r w:rsidRPr="00134C0A">
        <w:rPr>
          <w:rFonts w:ascii="Times New Roman" w:hAnsi="Times New Roman" w:cs="Times New Roman"/>
          <w:sz w:val="28"/>
          <w:szCs w:val="28"/>
          <w:lang w:val="uk-UA"/>
        </w:rPr>
        <w:t xml:space="preserve"> </w:t>
      </w:r>
      <w:r>
        <w:rPr>
          <w:rFonts w:ascii="Times New Roman" w:hAnsi="Times New Roman" w:cs="Times New Roman"/>
          <w:sz w:val="28"/>
          <w:szCs w:val="28"/>
          <w:lang w:val="uk-UA"/>
        </w:rPr>
        <w:t>по</w:t>
      </w:r>
      <w:r w:rsidRPr="00134C0A">
        <w:rPr>
          <w:rFonts w:ascii="Times New Roman" w:hAnsi="Times New Roman" w:cs="Times New Roman"/>
          <w:sz w:val="28"/>
          <w:szCs w:val="28"/>
          <w:lang w:val="uk-UA"/>
        </w:rPr>
        <w:t xml:space="preserve"> форм</w:t>
      </w:r>
      <w:r>
        <w:rPr>
          <w:rFonts w:ascii="Times New Roman" w:hAnsi="Times New Roman" w:cs="Times New Roman"/>
          <w:sz w:val="28"/>
          <w:szCs w:val="28"/>
          <w:lang w:val="uk-UA"/>
        </w:rPr>
        <w:t>і</w:t>
      </w:r>
      <w:r w:rsidRPr="00134C0A">
        <w:rPr>
          <w:rFonts w:ascii="Times New Roman" w:hAnsi="Times New Roman" w:cs="Times New Roman"/>
          <w:sz w:val="28"/>
          <w:szCs w:val="28"/>
          <w:lang w:val="uk-UA"/>
        </w:rPr>
        <w:t xml:space="preserve"> власності</w:t>
      </w:r>
    </w:p>
    <w:p w:rsidR="00762391" w:rsidRDefault="00762391" w:rsidP="00762391">
      <w:pPr>
        <w:spacing w:after="0" w:line="240" w:lineRule="auto"/>
        <w:jc w:val="center"/>
        <w:rPr>
          <w:rFonts w:ascii="Times New Roman" w:hAnsi="Times New Roman" w:cs="Times New Roman"/>
          <w:sz w:val="28"/>
          <w:szCs w:val="28"/>
          <w:lang w:val="uk-UA"/>
        </w:rPr>
      </w:pPr>
      <w:r w:rsidRPr="007F029B">
        <w:rPr>
          <w:rFonts w:ascii="Times New Roman" w:hAnsi="Times New Roman" w:cs="Times New Roman"/>
          <w:noProof/>
          <w:sz w:val="28"/>
          <w:szCs w:val="28"/>
          <w:lang w:val="uk-UA"/>
        </w:rPr>
        <w:drawing>
          <wp:inline distT="0" distB="0" distL="0" distR="0" wp14:anchorId="1E86E115" wp14:editId="3775B5A6">
            <wp:extent cx="5780405" cy="3181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50000"/>
                              </a14:imgEffect>
                              <a14:imgEffect>
                                <a14:brightnessContrast contrast="-40000"/>
                              </a14:imgEffect>
                            </a14:imgLayer>
                          </a14:imgProps>
                        </a:ext>
                      </a:extLst>
                    </a:blip>
                    <a:stretch>
                      <a:fillRect/>
                    </a:stretch>
                  </pic:blipFill>
                  <pic:spPr>
                    <a:xfrm>
                      <a:off x="0" y="0"/>
                      <a:ext cx="5813020" cy="3199300"/>
                    </a:xfrm>
                    <a:prstGeom prst="rect">
                      <a:avLst/>
                    </a:prstGeom>
                  </pic:spPr>
                </pic:pic>
              </a:graphicData>
            </a:graphic>
          </wp:inline>
        </w:drawing>
      </w:r>
    </w:p>
    <w:p w:rsidR="00762391" w:rsidRDefault="00762391" w:rsidP="00762391">
      <w:pPr>
        <w:spacing w:after="0" w:line="240" w:lineRule="auto"/>
        <w:jc w:val="center"/>
        <w:rPr>
          <w:rFonts w:ascii="Times New Roman" w:hAnsi="Times New Roman" w:cs="Times New Roman"/>
          <w:sz w:val="28"/>
          <w:szCs w:val="28"/>
          <w:lang w:val="uk-UA"/>
        </w:rPr>
      </w:pPr>
      <w:r w:rsidRPr="007F029B">
        <w:rPr>
          <w:rFonts w:ascii="Times New Roman" w:hAnsi="Times New Roman" w:cs="Times New Roman"/>
          <w:noProof/>
          <w:sz w:val="28"/>
          <w:szCs w:val="28"/>
          <w:lang w:val="uk-UA"/>
        </w:rPr>
        <w:drawing>
          <wp:inline distT="0" distB="0" distL="0" distR="0" wp14:anchorId="39C68509" wp14:editId="0FEA7B0C">
            <wp:extent cx="5772150" cy="37433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50000"/>
                              </a14:imgEffect>
                              <a14:imgEffect>
                                <a14:brightnessContrast contrast="-40000"/>
                              </a14:imgEffect>
                            </a14:imgLayer>
                          </a14:imgProps>
                        </a:ext>
                      </a:extLst>
                    </a:blip>
                    <a:stretch>
                      <a:fillRect/>
                    </a:stretch>
                  </pic:blipFill>
                  <pic:spPr>
                    <a:xfrm>
                      <a:off x="0" y="0"/>
                      <a:ext cx="5772978" cy="3743862"/>
                    </a:xfrm>
                    <a:prstGeom prst="rect">
                      <a:avLst/>
                    </a:prstGeom>
                  </pic:spPr>
                </pic:pic>
              </a:graphicData>
            </a:graphic>
          </wp:inline>
        </w:drawing>
      </w:r>
    </w:p>
    <w:p w:rsidR="00A21186" w:rsidRPr="00A21186" w:rsidRDefault="00762391" w:rsidP="00A21186">
      <w:pPr>
        <w:spacing w:after="0" w:line="360" w:lineRule="auto"/>
        <w:ind w:firstLine="709"/>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t>Архітектоніку та структурний розподіл вітчизняного банківського сектору за критерієм походження та форми акціонерного капіталу узагальнено й наочно репрезентовано на рис. 2.2.</w:t>
      </w:r>
    </w:p>
    <w:p w:rsidR="00762391" w:rsidRDefault="00762391" w:rsidP="00762391">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6E99C7FA" wp14:editId="1C99C266">
            <wp:extent cx="4293870" cy="32099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93870" cy="3209925"/>
                    </a:xfrm>
                    <a:prstGeom prst="rect">
                      <a:avLst/>
                    </a:prstGeom>
                    <a:noFill/>
                    <a:ln>
                      <a:noFill/>
                    </a:ln>
                  </pic:spPr>
                </pic:pic>
              </a:graphicData>
            </a:graphic>
          </wp:inline>
        </w:drawing>
      </w:r>
    </w:p>
    <w:p w:rsidR="00762391" w:rsidRDefault="00762391" w:rsidP="00762391">
      <w:pPr>
        <w:spacing w:after="0" w:line="360" w:lineRule="auto"/>
        <w:jc w:val="center"/>
        <w:rPr>
          <w:rFonts w:ascii="Times New Roman" w:hAnsi="Times New Roman" w:cs="Times New Roman"/>
          <w:sz w:val="28"/>
          <w:szCs w:val="28"/>
          <w:lang w:val="uk-UA"/>
        </w:rPr>
      </w:pPr>
      <w:r w:rsidRPr="00DB64B9">
        <w:rPr>
          <w:rFonts w:ascii="Times New Roman" w:hAnsi="Times New Roman" w:cs="Times New Roman"/>
          <w:sz w:val="28"/>
          <w:szCs w:val="28"/>
          <w:lang w:val="uk-UA"/>
        </w:rPr>
        <w:t xml:space="preserve">Рис. 2.2. </w:t>
      </w:r>
      <w:r>
        <w:rPr>
          <w:rFonts w:ascii="Times New Roman" w:hAnsi="Times New Roman" w:cs="Times New Roman"/>
          <w:sz w:val="28"/>
          <w:szCs w:val="28"/>
          <w:lang w:val="uk-UA"/>
        </w:rPr>
        <w:t>З</w:t>
      </w:r>
      <w:r w:rsidRPr="00DB64B9">
        <w:rPr>
          <w:rFonts w:ascii="Times New Roman" w:hAnsi="Times New Roman" w:cs="Times New Roman"/>
          <w:sz w:val="28"/>
          <w:szCs w:val="28"/>
          <w:lang w:val="uk-UA"/>
        </w:rPr>
        <w:t>мін</w:t>
      </w:r>
      <w:r>
        <w:rPr>
          <w:rFonts w:ascii="Times New Roman" w:hAnsi="Times New Roman" w:cs="Times New Roman"/>
          <w:sz w:val="28"/>
          <w:szCs w:val="28"/>
          <w:lang w:val="uk-UA"/>
        </w:rPr>
        <w:t>а</w:t>
      </w:r>
      <w:r w:rsidRPr="00DB64B9">
        <w:rPr>
          <w:rFonts w:ascii="Times New Roman" w:hAnsi="Times New Roman" w:cs="Times New Roman"/>
          <w:sz w:val="28"/>
          <w:szCs w:val="28"/>
          <w:lang w:val="uk-UA"/>
        </w:rPr>
        <w:t xml:space="preserve"> кількості банків в </w:t>
      </w:r>
      <w:r>
        <w:rPr>
          <w:rFonts w:ascii="Times New Roman" w:hAnsi="Times New Roman" w:cs="Times New Roman"/>
          <w:sz w:val="28"/>
          <w:szCs w:val="28"/>
          <w:lang w:val="uk-UA"/>
        </w:rPr>
        <w:t xml:space="preserve">Україні </w:t>
      </w:r>
      <w:r w:rsidRPr="00DB64B9">
        <w:rPr>
          <w:rFonts w:ascii="Times New Roman" w:hAnsi="Times New Roman" w:cs="Times New Roman"/>
          <w:sz w:val="28"/>
          <w:szCs w:val="28"/>
          <w:lang w:val="uk-UA"/>
        </w:rPr>
        <w:t>за 20</w:t>
      </w:r>
      <w:r>
        <w:rPr>
          <w:rFonts w:ascii="Times New Roman" w:hAnsi="Times New Roman" w:cs="Times New Roman"/>
          <w:sz w:val="28"/>
          <w:szCs w:val="28"/>
          <w:lang w:val="uk-UA"/>
        </w:rPr>
        <w:t>10</w:t>
      </w:r>
      <w:r w:rsidRPr="00DB64B9">
        <w:rPr>
          <w:rFonts w:ascii="Times New Roman" w:hAnsi="Times New Roman" w:cs="Times New Roman"/>
          <w:sz w:val="28"/>
          <w:szCs w:val="28"/>
          <w:lang w:val="uk-UA"/>
        </w:rPr>
        <w:t xml:space="preserve"> – 202</w:t>
      </w:r>
      <w:r>
        <w:rPr>
          <w:rFonts w:ascii="Times New Roman" w:hAnsi="Times New Roman" w:cs="Times New Roman"/>
          <w:sz w:val="28"/>
          <w:szCs w:val="28"/>
          <w:lang w:val="uk-UA"/>
        </w:rPr>
        <w:t>6</w:t>
      </w:r>
      <w:r w:rsidRPr="00DB64B9">
        <w:rPr>
          <w:rFonts w:ascii="Times New Roman" w:hAnsi="Times New Roman" w:cs="Times New Roman"/>
          <w:sz w:val="28"/>
          <w:szCs w:val="28"/>
          <w:lang w:val="uk-UA"/>
        </w:rPr>
        <w:t xml:space="preserve"> </w:t>
      </w:r>
      <w:proofErr w:type="spellStart"/>
      <w:r w:rsidRPr="00DB64B9">
        <w:rPr>
          <w:rFonts w:ascii="Times New Roman" w:hAnsi="Times New Roman" w:cs="Times New Roman"/>
          <w:sz w:val="28"/>
          <w:szCs w:val="28"/>
          <w:lang w:val="uk-UA"/>
        </w:rPr>
        <w:t>р.р</w:t>
      </w:r>
      <w:proofErr w:type="spellEnd"/>
      <w:r w:rsidRPr="00DB64B9">
        <w:rPr>
          <w:rFonts w:ascii="Times New Roman" w:hAnsi="Times New Roman" w:cs="Times New Roman"/>
          <w:sz w:val="28"/>
          <w:szCs w:val="28"/>
          <w:lang w:val="uk-UA"/>
        </w:rPr>
        <w:t>., од.</w:t>
      </w:r>
    </w:p>
    <w:p w:rsidR="00762391" w:rsidRPr="00762391" w:rsidRDefault="00762391" w:rsidP="00762391">
      <w:pPr>
        <w:spacing w:after="0" w:line="360" w:lineRule="auto"/>
        <w:ind w:firstLine="709"/>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t>Подальший аналіз кон'юнктури ринку передбачає дослідження обсягів і динаміки сукупних активів банківських установ України за період 2024–2025 років, узагальнені показники яких систематизовано у табл. 2.3.</w:t>
      </w:r>
    </w:p>
    <w:p w:rsidR="00762391" w:rsidRDefault="00762391" w:rsidP="00762391">
      <w:pPr>
        <w:spacing w:after="0" w:line="360" w:lineRule="auto"/>
        <w:jc w:val="right"/>
        <w:rPr>
          <w:rFonts w:ascii="Times New Roman" w:hAnsi="Times New Roman" w:cs="Times New Roman"/>
          <w:sz w:val="28"/>
          <w:szCs w:val="28"/>
          <w:lang w:val="uk-UA"/>
        </w:rPr>
      </w:pPr>
      <w:r w:rsidRPr="00DB64B9">
        <w:rPr>
          <w:rFonts w:ascii="Times New Roman" w:hAnsi="Times New Roman" w:cs="Times New Roman"/>
          <w:sz w:val="28"/>
          <w:szCs w:val="28"/>
          <w:lang w:val="uk-UA"/>
        </w:rPr>
        <w:t>Таблиця 2.3</w:t>
      </w:r>
      <w:r>
        <w:rPr>
          <w:rFonts w:ascii="Times New Roman" w:hAnsi="Times New Roman" w:cs="Times New Roman"/>
          <w:sz w:val="28"/>
          <w:szCs w:val="28"/>
          <w:lang w:val="uk-UA"/>
        </w:rPr>
        <w:t>.</w:t>
      </w:r>
    </w:p>
    <w:p w:rsidR="00762391" w:rsidRDefault="00762391" w:rsidP="00762391">
      <w:pPr>
        <w:spacing w:after="0" w:line="360" w:lineRule="auto"/>
        <w:jc w:val="center"/>
        <w:rPr>
          <w:rFonts w:ascii="Times New Roman" w:hAnsi="Times New Roman" w:cs="Times New Roman"/>
          <w:sz w:val="28"/>
          <w:szCs w:val="28"/>
          <w:lang w:val="uk-UA"/>
        </w:rPr>
      </w:pPr>
      <w:r w:rsidRPr="00DB64B9">
        <w:rPr>
          <w:rFonts w:ascii="Times New Roman" w:hAnsi="Times New Roman" w:cs="Times New Roman"/>
          <w:sz w:val="28"/>
          <w:szCs w:val="28"/>
          <w:lang w:val="uk-UA"/>
        </w:rPr>
        <w:t xml:space="preserve">Коливання сумарних активів українських банків за 2024 – 2025 </w:t>
      </w:r>
      <w:proofErr w:type="spellStart"/>
      <w:r w:rsidRPr="00DB64B9">
        <w:rPr>
          <w:rFonts w:ascii="Times New Roman" w:hAnsi="Times New Roman" w:cs="Times New Roman"/>
          <w:sz w:val="28"/>
          <w:szCs w:val="28"/>
          <w:lang w:val="uk-UA"/>
        </w:rPr>
        <w:t>р.р</w:t>
      </w:r>
      <w:proofErr w:type="spellEnd"/>
      <w:r w:rsidRPr="00DB64B9">
        <w:rPr>
          <w:rFonts w:ascii="Times New Roman" w:hAnsi="Times New Roman" w:cs="Times New Roman"/>
          <w:sz w:val="28"/>
          <w:szCs w:val="28"/>
          <w:lang w:val="uk-UA"/>
        </w:rPr>
        <w:t>., млн. грн.</w:t>
      </w:r>
    </w:p>
    <w:p w:rsidR="00762391" w:rsidRDefault="00762391" w:rsidP="00762391">
      <w:pPr>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14:anchorId="07501499" wp14:editId="2632E835">
            <wp:extent cx="6115050" cy="35052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BEBA8EAE-BF5A-486C-A8C5-ECC9F3942E4B}">
                          <a14:imgProps xmlns:a14="http://schemas.microsoft.com/office/drawing/2010/main">
                            <a14:imgLayer r:embed="rId3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115050" cy="3505200"/>
                    </a:xfrm>
                    <a:prstGeom prst="rect">
                      <a:avLst/>
                    </a:prstGeom>
                    <a:noFill/>
                    <a:ln>
                      <a:noFill/>
                    </a:ln>
                  </pic:spPr>
                </pic:pic>
              </a:graphicData>
            </a:graphic>
          </wp:inline>
        </w:drawing>
      </w:r>
    </w:p>
    <w:p w:rsidR="00762391" w:rsidRDefault="00762391" w:rsidP="00762391">
      <w:pPr>
        <w:spacing w:after="0" w:line="360" w:lineRule="auto"/>
        <w:ind w:firstLine="709"/>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t xml:space="preserve">Емпіричний аналіз узагальнених у табл. 2.3 показників дозволяє констатувати відносно стабільний характер функціонування вітчизняного банківського сектору. Амплітуда коливань обсягу сукупних активів протягом </w:t>
      </w:r>
      <w:r w:rsidRPr="00762391">
        <w:rPr>
          <w:rFonts w:ascii="Times New Roman" w:hAnsi="Times New Roman" w:cs="Times New Roman"/>
          <w:sz w:val="28"/>
          <w:szCs w:val="28"/>
          <w:lang w:val="uk-UA"/>
        </w:rPr>
        <w:lastRenderedPageBreak/>
        <w:t xml:space="preserve">досліджуваного часового інтервалу є незначною: зріз фінансової звітності демонструє висхідний тренд від 368 091 млн грн станом на 1 січня 2024 року до 370 300 млн грн на початок 2026 року. Таким чином, абсолютний приріст зазначеного параметра становив 2 209 млн грн. </w:t>
      </w:r>
    </w:p>
    <w:p w:rsidR="00762391" w:rsidRPr="00762391" w:rsidRDefault="00762391" w:rsidP="00762391">
      <w:pPr>
        <w:spacing w:after="0" w:line="360" w:lineRule="auto"/>
        <w:ind w:firstLine="709"/>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t>Ретроспективну траєкторію та взаємозв'язок динаміки валових активів і сформованих резервів банку за окреслений період візуалізовано на рис. 2.3.</w:t>
      </w:r>
    </w:p>
    <w:p w:rsidR="00762391" w:rsidRDefault="00762391" w:rsidP="00762391">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59DF371B" wp14:editId="6351F21B">
            <wp:extent cx="4260850" cy="2638425"/>
            <wp:effectExtent l="0" t="0" r="635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60850" cy="2638425"/>
                    </a:xfrm>
                    <a:prstGeom prst="rect">
                      <a:avLst/>
                    </a:prstGeom>
                    <a:noFill/>
                    <a:ln>
                      <a:noFill/>
                    </a:ln>
                  </pic:spPr>
                </pic:pic>
              </a:graphicData>
            </a:graphic>
          </wp:inline>
        </w:drawing>
      </w:r>
    </w:p>
    <w:p w:rsidR="00762391" w:rsidRDefault="00762391" w:rsidP="00762391">
      <w:pPr>
        <w:spacing w:after="0" w:line="360" w:lineRule="auto"/>
        <w:jc w:val="center"/>
        <w:rPr>
          <w:rFonts w:ascii="Times New Roman" w:hAnsi="Times New Roman" w:cs="Times New Roman"/>
          <w:sz w:val="28"/>
          <w:szCs w:val="28"/>
          <w:lang w:val="uk-UA"/>
        </w:rPr>
      </w:pPr>
      <w:r w:rsidRPr="003D1456">
        <w:rPr>
          <w:rFonts w:ascii="Times New Roman" w:hAnsi="Times New Roman" w:cs="Times New Roman"/>
          <w:sz w:val="28"/>
          <w:szCs w:val="28"/>
          <w:lang w:val="uk-UA"/>
        </w:rPr>
        <w:t>Рис. 2.3. Динаміка резервів та активів банків</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України</w:t>
      </w:r>
      <w:r w:rsidRPr="003D1456">
        <w:rPr>
          <w:rFonts w:ascii="Times New Roman" w:hAnsi="Times New Roman" w:cs="Times New Roman"/>
          <w:sz w:val="28"/>
          <w:szCs w:val="28"/>
          <w:lang w:val="uk-UA"/>
        </w:rPr>
        <w:t xml:space="preserve"> за 202</w:t>
      </w:r>
      <w:r>
        <w:rPr>
          <w:rFonts w:ascii="Times New Roman" w:hAnsi="Times New Roman" w:cs="Times New Roman"/>
          <w:sz w:val="28"/>
          <w:szCs w:val="28"/>
          <w:lang w:val="en-US"/>
        </w:rPr>
        <w:t xml:space="preserve">5 </w:t>
      </w:r>
      <w:r w:rsidRPr="003D1456">
        <w:rPr>
          <w:rFonts w:ascii="Times New Roman" w:hAnsi="Times New Roman" w:cs="Times New Roman"/>
          <w:sz w:val="28"/>
          <w:szCs w:val="28"/>
          <w:lang w:val="uk-UA"/>
        </w:rPr>
        <w:t>р., млн. грн.</w:t>
      </w:r>
    </w:p>
    <w:p w:rsidR="00762391" w:rsidRPr="00762391" w:rsidRDefault="00762391" w:rsidP="00762391">
      <w:pPr>
        <w:spacing w:after="0" w:line="360" w:lineRule="auto"/>
        <w:ind w:firstLine="709"/>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t>Аналіз динаміки обсягів кредитування фізичних та юридичних осіб банк</w:t>
      </w:r>
      <w:r>
        <w:rPr>
          <w:rFonts w:ascii="Times New Roman" w:hAnsi="Times New Roman" w:cs="Times New Roman"/>
          <w:sz w:val="28"/>
          <w:szCs w:val="28"/>
          <w:lang w:val="uk-UA"/>
        </w:rPr>
        <w:t>ами</w:t>
      </w:r>
      <w:r w:rsidRPr="00762391">
        <w:rPr>
          <w:rFonts w:ascii="Times New Roman" w:hAnsi="Times New Roman" w:cs="Times New Roman"/>
          <w:sz w:val="28"/>
          <w:szCs w:val="28"/>
          <w:lang w:val="uk-UA"/>
        </w:rPr>
        <w:t xml:space="preserve"> за аналізований часовий інтервал засвідчує лінійну траєкторію з незначною амплітудою варіацій, що графічно відображено на рис. 2.4.</w:t>
      </w:r>
    </w:p>
    <w:p w:rsidR="00762391" w:rsidRDefault="00762391" w:rsidP="00762391">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5FF9D6C1" wp14:editId="0EB08A2D">
            <wp:extent cx="4527550" cy="3076575"/>
            <wp:effectExtent l="0" t="0" r="635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BEBA8EAE-BF5A-486C-A8C5-ECC9F3942E4B}">
                          <a14:imgProps xmlns:a14="http://schemas.microsoft.com/office/drawing/2010/main">
                            <a14:imgLayer r:embed="rId4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27550" cy="3076575"/>
                    </a:xfrm>
                    <a:prstGeom prst="rect">
                      <a:avLst/>
                    </a:prstGeom>
                    <a:noFill/>
                    <a:ln>
                      <a:noFill/>
                    </a:ln>
                  </pic:spPr>
                </pic:pic>
              </a:graphicData>
            </a:graphic>
          </wp:inline>
        </w:drawing>
      </w:r>
    </w:p>
    <w:p w:rsidR="00762391" w:rsidRPr="003D1456" w:rsidRDefault="00762391" w:rsidP="00762391">
      <w:pPr>
        <w:spacing w:after="0" w:line="360" w:lineRule="auto"/>
        <w:jc w:val="center"/>
        <w:rPr>
          <w:rFonts w:ascii="Times New Roman" w:hAnsi="Times New Roman" w:cs="Times New Roman"/>
          <w:sz w:val="28"/>
          <w:szCs w:val="28"/>
          <w:lang w:val="uk-UA"/>
        </w:rPr>
      </w:pPr>
      <w:r w:rsidRPr="005C1318">
        <w:rPr>
          <w:rFonts w:ascii="Times New Roman" w:hAnsi="Times New Roman" w:cs="Times New Roman"/>
          <w:sz w:val="28"/>
          <w:szCs w:val="28"/>
          <w:lang w:val="uk-UA"/>
        </w:rPr>
        <w:t xml:space="preserve">Рис. 2.4. Кредити, видані </w:t>
      </w:r>
      <w:r>
        <w:rPr>
          <w:rFonts w:ascii="Times New Roman" w:hAnsi="Times New Roman" w:cs="Times New Roman"/>
          <w:sz w:val="28"/>
          <w:szCs w:val="28"/>
          <w:lang w:val="uk-UA"/>
        </w:rPr>
        <w:t xml:space="preserve">українськими </w:t>
      </w:r>
      <w:r w:rsidRPr="005C1318">
        <w:rPr>
          <w:rFonts w:ascii="Times New Roman" w:hAnsi="Times New Roman" w:cs="Times New Roman"/>
          <w:sz w:val="28"/>
          <w:szCs w:val="28"/>
          <w:lang w:val="uk-UA"/>
        </w:rPr>
        <w:t>банк</w:t>
      </w:r>
      <w:r>
        <w:rPr>
          <w:rFonts w:ascii="Times New Roman" w:hAnsi="Times New Roman" w:cs="Times New Roman"/>
          <w:sz w:val="28"/>
          <w:szCs w:val="28"/>
          <w:lang w:val="uk-UA"/>
        </w:rPr>
        <w:t>ами в</w:t>
      </w:r>
      <w:r w:rsidRPr="005C1318">
        <w:rPr>
          <w:rFonts w:ascii="Times New Roman" w:hAnsi="Times New Roman" w:cs="Times New Roman"/>
          <w:sz w:val="28"/>
          <w:szCs w:val="28"/>
          <w:lang w:val="uk-UA"/>
        </w:rPr>
        <w:t xml:space="preserve"> 202</w:t>
      </w:r>
      <w:r>
        <w:rPr>
          <w:rFonts w:ascii="Times New Roman" w:hAnsi="Times New Roman" w:cs="Times New Roman"/>
          <w:sz w:val="28"/>
          <w:szCs w:val="28"/>
          <w:lang w:val="uk-UA"/>
        </w:rPr>
        <w:t xml:space="preserve">5 </w:t>
      </w:r>
      <w:r w:rsidRPr="005C1318">
        <w:rPr>
          <w:rFonts w:ascii="Times New Roman" w:hAnsi="Times New Roman" w:cs="Times New Roman"/>
          <w:sz w:val="28"/>
          <w:szCs w:val="28"/>
          <w:lang w:val="uk-UA"/>
        </w:rPr>
        <w:t>р. юридичним та фізичним особам, млн. грн.</w:t>
      </w:r>
    </w:p>
    <w:p w:rsidR="00A21186" w:rsidRDefault="00762391" w:rsidP="00A21186">
      <w:pPr>
        <w:spacing w:after="0" w:line="360" w:lineRule="auto"/>
        <w:ind w:firstLine="709"/>
        <w:jc w:val="both"/>
        <w:rPr>
          <w:rFonts w:ascii="Times New Roman" w:hAnsi="Times New Roman" w:cs="Times New Roman"/>
          <w:sz w:val="28"/>
          <w:szCs w:val="28"/>
          <w:lang w:val="uk-UA"/>
        </w:rPr>
      </w:pPr>
      <w:r w:rsidRPr="00762391">
        <w:rPr>
          <w:rFonts w:ascii="Times New Roman" w:hAnsi="Times New Roman" w:cs="Times New Roman"/>
          <w:sz w:val="28"/>
          <w:szCs w:val="28"/>
          <w:lang w:val="uk-UA"/>
        </w:rPr>
        <w:lastRenderedPageBreak/>
        <w:t>Дослідження ретроспективної динаміки зазначеного індикатора у часовому діапазоні з 1 січня 2010 року по 1 січня 2026 року візуалізовано за допомогою графічної моделі на рис. 2.5. Емпіричні дані засвідчують, що максимуму (пікового значення) обсяги фінансування корпоративного сектору досягли у січні 2021 року, віддзеркалюючи високу трансакційну активність ринку протягом 2020 року. У період тривалого воєнного стану траєкторія кредитування суб'єктів господарювання набула лінійного характеру зі стабільно рівною амплітудою. Аналогічний тренд відносної стабілізації у межах 2022–2025 рр. простежується й у сфері роздрібного кредитування приватних осіб. При цьому історичний максимум споживчого сегмента зафіксовано за звітними показниками січня 2011 року (що характеризують підсумки 2010 календарного року), коли загальний обсяг портфеля становив близько 270 000 млн грн.</w:t>
      </w:r>
    </w:p>
    <w:p w:rsidR="003379FB" w:rsidRDefault="003379FB" w:rsidP="003379F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41DEAC57" wp14:editId="168651CF">
            <wp:extent cx="4646386" cy="3752850"/>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BEBA8EAE-BF5A-486C-A8C5-ECC9F3942E4B}">
                          <a14:imgProps xmlns:a14="http://schemas.microsoft.com/office/drawing/2010/main">
                            <a14:imgLayer r:embed="rId4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652094" cy="3757460"/>
                    </a:xfrm>
                    <a:prstGeom prst="rect">
                      <a:avLst/>
                    </a:prstGeom>
                    <a:noFill/>
                    <a:ln>
                      <a:noFill/>
                    </a:ln>
                  </pic:spPr>
                </pic:pic>
              </a:graphicData>
            </a:graphic>
          </wp:inline>
        </w:drawing>
      </w:r>
    </w:p>
    <w:p w:rsidR="003379FB" w:rsidRDefault="003379FB" w:rsidP="003379FB">
      <w:pPr>
        <w:spacing w:after="0" w:line="360" w:lineRule="auto"/>
        <w:jc w:val="center"/>
        <w:rPr>
          <w:rFonts w:ascii="Times New Roman" w:hAnsi="Times New Roman" w:cs="Times New Roman"/>
          <w:sz w:val="28"/>
          <w:szCs w:val="28"/>
          <w:lang w:val="uk-UA"/>
        </w:rPr>
      </w:pPr>
      <w:r w:rsidRPr="00FB30A1">
        <w:rPr>
          <w:rFonts w:ascii="Times New Roman" w:hAnsi="Times New Roman" w:cs="Times New Roman"/>
          <w:sz w:val="28"/>
          <w:szCs w:val="28"/>
          <w:lang w:val="uk-UA"/>
        </w:rPr>
        <w:t xml:space="preserve">Рис. 2.5. </w:t>
      </w:r>
      <w:r>
        <w:rPr>
          <w:rFonts w:ascii="Times New Roman" w:hAnsi="Times New Roman" w:cs="Times New Roman"/>
          <w:sz w:val="28"/>
          <w:szCs w:val="28"/>
          <w:lang w:val="uk-UA"/>
        </w:rPr>
        <w:t>К</w:t>
      </w:r>
      <w:r w:rsidRPr="00FB30A1">
        <w:rPr>
          <w:rFonts w:ascii="Times New Roman" w:hAnsi="Times New Roman" w:cs="Times New Roman"/>
          <w:sz w:val="28"/>
          <w:szCs w:val="28"/>
          <w:lang w:val="uk-UA"/>
        </w:rPr>
        <w:t xml:space="preserve">редитування банками </w:t>
      </w:r>
      <w:r>
        <w:rPr>
          <w:rFonts w:ascii="Times New Roman" w:hAnsi="Times New Roman" w:cs="Times New Roman"/>
          <w:sz w:val="28"/>
          <w:szCs w:val="28"/>
          <w:lang w:val="uk-UA"/>
        </w:rPr>
        <w:t>У</w:t>
      </w:r>
      <w:r w:rsidRPr="00FB30A1">
        <w:rPr>
          <w:rFonts w:ascii="Times New Roman" w:hAnsi="Times New Roman" w:cs="Times New Roman"/>
          <w:sz w:val="28"/>
          <w:szCs w:val="28"/>
          <w:lang w:val="uk-UA"/>
        </w:rPr>
        <w:t>країни 20</w:t>
      </w:r>
      <w:r>
        <w:rPr>
          <w:rFonts w:ascii="Times New Roman" w:hAnsi="Times New Roman" w:cs="Times New Roman"/>
          <w:sz w:val="28"/>
          <w:szCs w:val="28"/>
          <w:lang w:val="uk-UA"/>
        </w:rPr>
        <w:t>10</w:t>
      </w:r>
      <w:r w:rsidRPr="00FB30A1">
        <w:rPr>
          <w:rFonts w:ascii="Times New Roman" w:hAnsi="Times New Roman" w:cs="Times New Roman"/>
          <w:sz w:val="28"/>
          <w:szCs w:val="28"/>
          <w:lang w:val="uk-UA"/>
        </w:rPr>
        <w:t xml:space="preserve"> – 202</w:t>
      </w:r>
      <w:r>
        <w:rPr>
          <w:rFonts w:ascii="Times New Roman" w:hAnsi="Times New Roman" w:cs="Times New Roman"/>
          <w:sz w:val="28"/>
          <w:szCs w:val="28"/>
          <w:lang w:val="uk-UA"/>
        </w:rPr>
        <w:t>5</w:t>
      </w:r>
      <w:r w:rsidRPr="00FB30A1">
        <w:rPr>
          <w:rFonts w:ascii="Times New Roman" w:hAnsi="Times New Roman" w:cs="Times New Roman"/>
          <w:sz w:val="28"/>
          <w:szCs w:val="28"/>
          <w:lang w:val="uk-UA"/>
        </w:rPr>
        <w:t xml:space="preserve"> </w:t>
      </w:r>
      <w:proofErr w:type="spellStart"/>
      <w:r w:rsidRPr="00FB30A1">
        <w:rPr>
          <w:rFonts w:ascii="Times New Roman" w:hAnsi="Times New Roman" w:cs="Times New Roman"/>
          <w:sz w:val="28"/>
          <w:szCs w:val="28"/>
          <w:lang w:val="uk-UA"/>
        </w:rPr>
        <w:t>р.р</w:t>
      </w:r>
      <w:proofErr w:type="spellEnd"/>
      <w:r w:rsidRPr="00FB30A1">
        <w:rPr>
          <w:rFonts w:ascii="Times New Roman" w:hAnsi="Times New Roman" w:cs="Times New Roman"/>
          <w:sz w:val="28"/>
          <w:szCs w:val="28"/>
          <w:lang w:val="uk-UA"/>
        </w:rPr>
        <w:t>., млн. грн.</w:t>
      </w:r>
    </w:p>
    <w:p w:rsidR="003379FB" w:rsidRPr="003379FB" w:rsidRDefault="003379FB" w:rsidP="003379FB">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Подальший етап дослідження передбачає вивчення архітектоніки сукупних активів та пасивів фінансових інститутів України, статистичний масив яких узагальнено й систематизовано у табл. 2.4 та 2.5.</w:t>
      </w:r>
    </w:p>
    <w:p w:rsidR="003379FB" w:rsidRPr="003379FB" w:rsidRDefault="003379FB" w:rsidP="003379FB">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 xml:space="preserve">На основі аналізу емпіричних даних табл. 2.4 встановлено, що обсяг валових активів вітчизняного банківського сектору на прелімінарному етапі 2025 року досяг 2 918 498 млн грн. Протягом звітного річного циклу зафіксовано їхній </w:t>
      </w:r>
      <w:r w:rsidRPr="003379FB">
        <w:rPr>
          <w:rFonts w:ascii="Times New Roman" w:hAnsi="Times New Roman" w:cs="Times New Roman"/>
          <w:sz w:val="28"/>
          <w:szCs w:val="28"/>
          <w:lang w:val="uk-UA"/>
        </w:rPr>
        <w:lastRenderedPageBreak/>
        <w:t>абсолютний приріст на 16 375 млн грн (або на 0,6% у відносному вираженні), що методологічно підтверджує високий рівень інституціональної адаптації національної фінансової системи до макроекономічних викликів воєнного стану та її спроможність забезпечувати безперервне обслуговування корпоративних контрагентів і приватних осіб. Водночас спостерігалася девальвація деномінованого в іноземній валюті активного складника на 9,0%.</w:t>
      </w:r>
    </w:p>
    <w:p w:rsidR="003379FB" w:rsidRPr="003379FB" w:rsidRDefault="003379FB" w:rsidP="003379FB">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Позитивна динаміка простежується також у розширенні портфеля цінних паперів у власності фінансових організацій, обсяг якого збільшився на 2 252 млн грн (+0,2%). Крім того, виявлено висхідний тренд у розрізі окремих векторів кредитної експансії: обсяги фінансування суб'єктів господарювання зросли на 35 млн грн, приватного (роздрібного) сектору — на 2 915 млн грн (+1,3%), а небанківських фінансових посередників — на 8 млн грн (+32,0%). Натомість обсяг позичкового капіталу, спрямованого у державний сектор, зазнав регресії на 483 млн грн (або на 2,7%).</w:t>
      </w:r>
    </w:p>
    <w:p w:rsidR="003379FB" w:rsidRDefault="003379FB" w:rsidP="003379FB">
      <w:pPr>
        <w:spacing w:after="0" w:line="360" w:lineRule="auto"/>
        <w:jc w:val="right"/>
        <w:rPr>
          <w:rFonts w:ascii="Times New Roman" w:hAnsi="Times New Roman" w:cs="Times New Roman"/>
          <w:sz w:val="28"/>
          <w:szCs w:val="28"/>
          <w:lang w:val="uk-UA"/>
        </w:rPr>
      </w:pPr>
      <w:r w:rsidRPr="00FB30A1">
        <w:rPr>
          <w:rFonts w:ascii="Times New Roman" w:hAnsi="Times New Roman" w:cs="Times New Roman"/>
          <w:sz w:val="28"/>
          <w:szCs w:val="28"/>
          <w:lang w:val="uk-UA"/>
        </w:rPr>
        <w:t>Таблиця 2.4</w:t>
      </w:r>
      <w:r>
        <w:rPr>
          <w:rFonts w:ascii="Times New Roman" w:hAnsi="Times New Roman" w:cs="Times New Roman"/>
          <w:sz w:val="28"/>
          <w:szCs w:val="28"/>
          <w:lang w:val="uk-UA"/>
        </w:rPr>
        <w:t>.</w:t>
      </w:r>
    </w:p>
    <w:p w:rsidR="003379FB" w:rsidRDefault="003379FB" w:rsidP="003379F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w:t>
      </w:r>
      <w:r w:rsidRPr="00FB30A1">
        <w:rPr>
          <w:rFonts w:ascii="Times New Roman" w:hAnsi="Times New Roman" w:cs="Times New Roman"/>
          <w:sz w:val="28"/>
          <w:szCs w:val="28"/>
          <w:lang w:val="uk-UA"/>
        </w:rPr>
        <w:t xml:space="preserve">ктиви банків </w:t>
      </w:r>
      <w:r>
        <w:rPr>
          <w:rFonts w:ascii="Times New Roman" w:hAnsi="Times New Roman" w:cs="Times New Roman"/>
          <w:sz w:val="28"/>
          <w:szCs w:val="28"/>
          <w:lang w:val="uk-UA"/>
        </w:rPr>
        <w:t>У</w:t>
      </w:r>
      <w:r w:rsidRPr="00FB30A1">
        <w:rPr>
          <w:rFonts w:ascii="Times New Roman" w:hAnsi="Times New Roman" w:cs="Times New Roman"/>
          <w:sz w:val="28"/>
          <w:szCs w:val="28"/>
          <w:lang w:val="uk-UA"/>
        </w:rPr>
        <w:t>країн</w:t>
      </w:r>
      <w:r>
        <w:rPr>
          <w:rFonts w:ascii="Times New Roman" w:hAnsi="Times New Roman" w:cs="Times New Roman"/>
          <w:sz w:val="28"/>
          <w:szCs w:val="28"/>
          <w:lang w:val="uk-UA"/>
        </w:rPr>
        <w:t>и</w:t>
      </w:r>
      <w:r w:rsidRPr="00FB30A1">
        <w:rPr>
          <w:rFonts w:ascii="Times New Roman" w:hAnsi="Times New Roman" w:cs="Times New Roman"/>
          <w:sz w:val="28"/>
          <w:szCs w:val="28"/>
          <w:lang w:val="uk-UA"/>
        </w:rPr>
        <w:t xml:space="preserve"> на 01.03.202</w:t>
      </w:r>
      <w:r>
        <w:rPr>
          <w:rFonts w:ascii="Times New Roman" w:hAnsi="Times New Roman" w:cs="Times New Roman"/>
          <w:sz w:val="28"/>
          <w:szCs w:val="28"/>
          <w:lang w:val="uk-UA"/>
        </w:rPr>
        <w:t>6</w:t>
      </w:r>
      <w:r w:rsidRPr="00FB30A1">
        <w:rPr>
          <w:rFonts w:ascii="Times New Roman" w:hAnsi="Times New Roman" w:cs="Times New Roman"/>
          <w:sz w:val="28"/>
          <w:szCs w:val="28"/>
          <w:lang w:val="uk-UA"/>
        </w:rPr>
        <w:t>, млн. грн.</w:t>
      </w:r>
    </w:p>
    <w:p w:rsidR="003379FB" w:rsidRDefault="003379FB" w:rsidP="003379FB">
      <w:pPr>
        <w:spacing w:after="0" w:line="360" w:lineRule="auto"/>
        <w:jc w:val="center"/>
        <w:rPr>
          <w:rFonts w:ascii="Times New Roman" w:hAnsi="Times New Roman" w:cs="Times New Roman"/>
          <w:sz w:val="28"/>
          <w:szCs w:val="28"/>
          <w:lang w:val="uk-UA"/>
        </w:rPr>
      </w:pPr>
      <w:r w:rsidRPr="00FB30A1">
        <w:rPr>
          <w:rFonts w:ascii="Times New Roman" w:hAnsi="Times New Roman" w:cs="Times New Roman"/>
          <w:noProof/>
          <w:sz w:val="28"/>
          <w:szCs w:val="28"/>
          <w:lang w:val="uk-UA"/>
        </w:rPr>
        <w:drawing>
          <wp:inline distT="0" distB="0" distL="0" distR="0" wp14:anchorId="7DA55242" wp14:editId="4A51B359">
            <wp:extent cx="5738381" cy="4362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50000"/>
                              </a14:imgEffect>
                              <a14:imgEffect>
                                <a14:brightnessContrast contrast="-40000"/>
                              </a14:imgEffect>
                            </a14:imgLayer>
                          </a14:imgProps>
                        </a:ext>
                      </a:extLst>
                    </a:blip>
                    <a:stretch>
                      <a:fillRect/>
                    </a:stretch>
                  </pic:blipFill>
                  <pic:spPr>
                    <a:xfrm>
                      <a:off x="0" y="0"/>
                      <a:ext cx="5751643" cy="4372532"/>
                    </a:xfrm>
                    <a:prstGeom prst="rect">
                      <a:avLst/>
                    </a:prstGeom>
                  </pic:spPr>
                </pic:pic>
              </a:graphicData>
            </a:graphic>
          </wp:inline>
        </w:drawing>
      </w:r>
    </w:p>
    <w:p w:rsidR="003379FB" w:rsidRDefault="003379FB" w:rsidP="003379FB">
      <w:pPr>
        <w:spacing w:after="0" w:line="360" w:lineRule="auto"/>
        <w:jc w:val="right"/>
        <w:rPr>
          <w:rFonts w:ascii="Times New Roman" w:hAnsi="Times New Roman" w:cs="Times New Roman"/>
          <w:sz w:val="28"/>
          <w:szCs w:val="28"/>
          <w:lang w:val="uk-UA"/>
        </w:rPr>
      </w:pPr>
    </w:p>
    <w:p w:rsidR="003379FB" w:rsidRDefault="003379FB" w:rsidP="003379FB">
      <w:pPr>
        <w:spacing w:after="0" w:line="360" w:lineRule="auto"/>
        <w:jc w:val="right"/>
        <w:rPr>
          <w:rFonts w:ascii="Times New Roman" w:hAnsi="Times New Roman" w:cs="Times New Roman"/>
          <w:sz w:val="28"/>
          <w:szCs w:val="28"/>
          <w:lang w:val="uk-UA"/>
        </w:rPr>
      </w:pPr>
      <w:r w:rsidRPr="00FB30A1">
        <w:rPr>
          <w:rFonts w:ascii="Times New Roman" w:hAnsi="Times New Roman" w:cs="Times New Roman"/>
          <w:sz w:val="28"/>
          <w:szCs w:val="28"/>
          <w:lang w:val="uk-UA"/>
        </w:rPr>
        <w:lastRenderedPageBreak/>
        <w:t>Таблиця 2.5</w:t>
      </w:r>
      <w:r>
        <w:rPr>
          <w:rFonts w:ascii="Times New Roman" w:hAnsi="Times New Roman" w:cs="Times New Roman"/>
          <w:sz w:val="28"/>
          <w:szCs w:val="28"/>
          <w:lang w:val="uk-UA"/>
        </w:rPr>
        <w:t>.</w:t>
      </w:r>
    </w:p>
    <w:p w:rsidR="003379FB" w:rsidRDefault="003379FB" w:rsidP="003379F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Pr="00FB30A1">
        <w:rPr>
          <w:rFonts w:ascii="Times New Roman" w:hAnsi="Times New Roman" w:cs="Times New Roman"/>
          <w:sz w:val="28"/>
          <w:szCs w:val="28"/>
          <w:lang w:val="uk-UA"/>
        </w:rPr>
        <w:t xml:space="preserve">асиви банків </w:t>
      </w:r>
      <w:r>
        <w:rPr>
          <w:rFonts w:ascii="Times New Roman" w:hAnsi="Times New Roman" w:cs="Times New Roman"/>
          <w:sz w:val="28"/>
          <w:szCs w:val="28"/>
          <w:lang w:val="uk-UA"/>
        </w:rPr>
        <w:t>У</w:t>
      </w:r>
      <w:r w:rsidRPr="00FB30A1">
        <w:rPr>
          <w:rFonts w:ascii="Times New Roman" w:hAnsi="Times New Roman" w:cs="Times New Roman"/>
          <w:sz w:val="28"/>
          <w:szCs w:val="28"/>
          <w:lang w:val="uk-UA"/>
        </w:rPr>
        <w:t>країн</w:t>
      </w:r>
      <w:r>
        <w:rPr>
          <w:rFonts w:ascii="Times New Roman" w:hAnsi="Times New Roman" w:cs="Times New Roman"/>
          <w:sz w:val="28"/>
          <w:szCs w:val="28"/>
          <w:lang w:val="uk-UA"/>
        </w:rPr>
        <w:t>и</w:t>
      </w:r>
      <w:r w:rsidRPr="00FB30A1">
        <w:rPr>
          <w:rFonts w:ascii="Times New Roman" w:hAnsi="Times New Roman" w:cs="Times New Roman"/>
          <w:sz w:val="28"/>
          <w:szCs w:val="28"/>
          <w:lang w:val="uk-UA"/>
        </w:rPr>
        <w:t xml:space="preserve"> на 01.03.202</w:t>
      </w:r>
      <w:r>
        <w:rPr>
          <w:rFonts w:ascii="Times New Roman" w:hAnsi="Times New Roman" w:cs="Times New Roman"/>
          <w:sz w:val="28"/>
          <w:szCs w:val="28"/>
          <w:lang w:val="uk-UA"/>
        </w:rPr>
        <w:t>6</w:t>
      </w:r>
      <w:r w:rsidRPr="00FB30A1">
        <w:rPr>
          <w:rFonts w:ascii="Times New Roman" w:hAnsi="Times New Roman" w:cs="Times New Roman"/>
          <w:sz w:val="28"/>
          <w:szCs w:val="28"/>
          <w:lang w:val="uk-UA"/>
        </w:rPr>
        <w:t>, млн. грн.</w:t>
      </w:r>
    </w:p>
    <w:p w:rsidR="003379FB" w:rsidRDefault="003379FB" w:rsidP="003379FB">
      <w:pPr>
        <w:spacing w:after="0" w:line="360" w:lineRule="auto"/>
        <w:jc w:val="center"/>
        <w:rPr>
          <w:rFonts w:ascii="Times New Roman" w:hAnsi="Times New Roman" w:cs="Times New Roman"/>
          <w:sz w:val="28"/>
          <w:szCs w:val="28"/>
          <w:lang w:val="uk-UA"/>
        </w:rPr>
      </w:pPr>
      <w:r w:rsidRPr="00FB30A1">
        <w:rPr>
          <w:rFonts w:ascii="Times New Roman" w:hAnsi="Times New Roman" w:cs="Times New Roman"/>
          <w:noProof/>
          <w:sz w:val="28"/>
          <w:szCs w:val="28"/>
          <w:lang w:val="uk-UA"/>
        </w:rPr>
        <w:drawing>
          <wp:inline distT="0" distB="0" distL="0" distR="0" wp14:anchorId="3B5A4376" wp14:editId="10DACF73">
            <wp:extent cx="5748048" cy="3076575"/>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50000"/>
                              </a14:imgEffect>
                              <a14:imgEffect>
                                <a14:brightnessContrast contrast="-40000"/>
                              </a14:imgEffect>
                            </a14:imgLayer>
                          </a14:imgProps>
                        </a:ext>
                      </a:extLst>
                    </a:blip>
                    <a:stretch>
                      <a:fillRect/>
                    </a:stretch>
                  </pic:blipFill>
                  <pic:spPr>
                    <a:xfrm>
                      <a:off x="0" y="0"/>
                      <a:ext cx="5761945" cy="3084013"/>
                    </a:xfrm>
                    <a:prstGeom prst="rect">
                      <a:avLst/>
                    </a:prstGeom>
                  </pic:spPr>
                </pic:pic>
              </a:graphicData>
            </a:graphic>
          </wp:inline>
        </w:drawing>
      </w:r>
    </w:p>
    <w:p w:rsidR="003379FB" w:rsidRPr="003379FB" w:rsidRDefault="003379FB" w:rsidP="003379FB">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Інтерпретація звітних індикаторів, акумульованих у табл. 2.5, дозволяє констатувати висхідний тренд практично за всіма структурними компонентами пасивних операцій вітчизняних банківських установ протягом досліджуваного річного циклу. Зокрема, виокремлено такі тенденції:</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обсяг власного капіталу банківського сектору збільшився на 6 625 млн грн (або на 2,1% у відносному вираженні), при цьому величина статутного капіталу залишалася абсолютно константною (незмінною);</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 xml:space="preserve">валові зобов'язання фінансових інститутів зросли на 9 752 млн грн (еквівалент +0,4%), що методологічно підтверджує високу трансакційну активність у сфері </w:t>
      </w:r>
      <w:proofErr w:type="spellStart"/>
      <w:r w:rsidRPr="003379FB">
        <w:rPr>
          <w:rFonts w:ascii="Times New Roman" w:hAnsi="Times New Roman" w:cs="Times New Roman"/>
          <w:sz w:val="28"/>
          <w:szCs w:val="28"/>
          <w:lang w:val="uk-UA"/>
        </w:rPr>
        <w:t>рекрутингу</w:t>
      </w:r>
      <w:proofErr w:type="spellEnd"/>
      <w:r w:rsidRPr="003379FB">
        <w:rPr>
          <w:rFonts w:ascii="Times New Roman" w:hAnsi="Times New Roman" w:cs="Times New Roman"/>
          <w:sz w:val="28"/>
          <w:szCs w:val="28"/>
          <w:lang w:val="uk-UA"/>
        </w:rPr>
        <w:t xml:space="preserve"> та залучення фінансових ресурсів від державних структур, приватних корпорацій та домогосподарств;</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деноміновані в іноземній валюті зобов'язання продемонстрували помірний приріст на 0,2%, віддзеркалюючи стабільне надходження капіталу від закордонних партнерів та спеціалізованих міжнародних інституцій (при цьому максимальні темпи приросту залучених коштів продемонстрував небанківський фінансовий сектор — +2,1%, контрастуючи з показниками корпоративних суб'єктів (+1,3%) та приватних осіб (+1,5%)).</w:t>
      </w:r>
    </w:p>
    <w:p w:rsidR="003379FB" w:rsidRPr="003379FB" w:rsidRDefault="003379FB" w:rsidP="003379FB">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 xml:space="preserve">На основі проведеного комплексного аудиту активних і пасивних операцій суб'єктів національного фінансового ринку, у межах табл. 2.6 сформовано </w:t>
      </w:r>
      <w:r w:rsidRPr="003379FB">
        <w:rPr>
          <w:rFonts w:ascii="Times New Roman" w:hAnsi="Times New Roman" w:cs="Times New Roman"/>
          <w:sz w:val="28"/>
          <w:szCs w:val="28"/>
          <w:lang w:val="uk-UA"/>
        </w:rPr>
        <w:lastRenderedPageBreak/>
        <w:t>узагальнену матрицю показників рентабельності активів та власного капіталу банківського сектору.</w:t>
      </w:r>
    </w:p>
    <w:p w:rsidR="003379FB" w:rsidRDefault="003379FB" w:rsidP="003379FB">
      <w:pPr>
        <w:spacing w:after="0" w:line="360" w:lineRule="auto"/>
        <w:jc w:val="right"/>
        <w:rPr>
          <w:rFonts w:ascii="Times New Roman" w:hAnsi="Times New Roman" w:cs="Times New Roman"/>
          <w:sz w:val="28"/>
          <w:szCs w:val="28"/>
          <w:lang w:val="uk-UA"/>
        </w:rPr>
      </w:pPr>
      <w:r w:rsidRPr="00FB30A1">
        <w:rPr>
          <w:rFonts w:ascii="Times New Roman" w:hAnsi="Times New Roman" w:cs="Times New Roman"/>
          <w:sz w:val="28"/>
          <w:szCs w:val="28"/>
          <w:lang w:val="uk-UA"/>
        </w:rPr>
        <w:t>Таблиця 2.6</w:t>
      </w:r>
      <w:r>
        <w:rPr>
          <w:rFonts w:ascii="Times New Roman" w:hAnsi="Times New Roman" w:cs="Times New Roman"/>
          <w:sz w:val="28"/>
          <w:szCs w:val="28"/>
          <w:lang w:val="uk-UA"/>
        </w:rPr>
        <w:t>.</w:t>
      </w:r>
    </w:p>
    <w:p w:rsidR="003379FB" w:rsidRDefault="003379FB" w:rsidP="003379FB">
      <w:pPr>
        <w:spacing w:after="0" w:line="360" w:lineRule="auto"/>
        <w:jc w:val="center"/>
        <w:rPr>
          <w:rFonts w:ascii="Times New Roman" w:hAnsi="Times New Roman" w:cs="Times New Roman"/>
          <w:sz w:val="28"/>
          <w:szCs w:val="28"/>
          <w:lang w:val="uk-UA"/>
        </w:rPr>
      </w:pPr>
      <w:r w:rsidRPr="00FB30A1">
        <w:rPr>
          <w:rFonts w:ascii="Times New Roman" w:hAnsi="Times New Roman" w:cs="Times New Roman"/>
          <w:sz w:val="28"/>
          <w:szCs w:val="28"/>
          <w:lang w:val="uk-UA"/>
        </w:rPr>
        <w:t>Рентабельність банківськ</w:t>
      </w:r>
      <w:r>
        <w:rPr>
          <w:rFonts w:ascii="Times New Roman" w:hAnsi="Times New Roman" w:cs="Times New Roman"/>
          <w:sz w:val="28"/>
          <w:szCs w:val="28"/>
          <w:lang w:val="uk-UA"/>
        </w:rPr>
        <w:t>их</w:t>
      </w:r>
      <w:r w:rsidRPr="00FB30A1">
        <w:rPr>
          <w:rFonts w:ascii="Times New Roman" w:hAnsi="Times New Roman" w:cs="Times New Roman"/>
          <w:sz w:val="28"/>
          <w:szCs w:val="28"/>
          <w:lang w:val="uk-UA"/>
        </w:rPr>
        <w:t xml:space="preserve"> активів та </w:t>
      </w:r>
      <w:r>
        <w:rPr>
          <w:rFonts w:ascii="Times New Roman" w:hAnsi="Times New Roman" w:cs="Times New Roman"/>
          <w:sz w:val="28"/>
          <w:szCs w:val="28"/>
          <w:lang w:val="uk-UA"/>
        </w:rPr>
        <w:t>пасивів</w:t>
      </w:r>
      <w:r w:rsidRPr="00FB30A1">
        <w:rPr>
          <w:rFonts w:ascii="Times New Roman" w:hAnsi="Times New Roman" w:cs="Times New Roman"/>
          <w:sz w:val="28"/>
          <w:szCs w:val="28"/>
          <w:lang w:val="uk-UA"/>
        </w:rPr>
        <w:t xml:space="preserve"> на 01.01.202</w:t>
      </w:r>
      <w:r>
        <w:rPr>
          <w:rFonts w:ascii="Times New Roman" w:hAnsi="Times New Roman" w:cs="Times New Roman"/>
          <w:sz w:val="28"/>
          <w:szCs w:val="28"/>
          <w:lang w:val="uk-UA"/>
        </w:rPr>
        <w:t>6</w:t>
      </w:r>
      <w:r w:rsidRPr="00FB30A1">
        <w:rPr>
          <w:rFonts w:ascii="Times New Roman" w:hAnsi="Times New Roman" w:cs="Times New Roman"/>
          <w:sz w:val="28"/>
          <w:szCs w:val="28"/>
          <w:lang w:val="uk-UA"/>
        </w:rPr>
        <w:t xml:space="preserve"> р.</w:t>
      </w:r>
    </w:p>
    <w:p w:rsidR="003379FB" w:rsidRDefault="003379FB" w:rsidP="003379F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4BBD548D" wp14:editId="39619278">
            <wp:extent cx="5413375" cy="118734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91988" cy="1204584"/>
                    </a:xfrm>
                    <a:prstGeom prst="rect">
                      <a:avLst/>
                    </a:prstGeom>
                    <a:noFill/>
                    <a:ln>
                      <a:noFill/>
                    </a:ln>
                  </pic:spPr>
                </pic:pic>
              </a:graphicData>
            </a:graphic>
          </wp:inline>
        </w:drawing>
      </w:r>
    </w:p>
    <w:p w:rsidR="003379FB" w:rsidRPr="003379FB" w:rsidRDefault="003379FB" w:rsidP="003379FB">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 xml:space="preserve">Розрахунки, наведені у табл. 2.6, </w:t>
      </w:r>
      <w:proofErr w:type="spellStart"/>
      <w:r w:rsidRPr="003379FB">
        <w:rPr>
          <w:rFonts w:ascii="Times New Roman" w:hAnsi="Times New Roman" w:cs="Times New Roman"/>
          <w:sz w:val="28"/>
          <w:szCs w:val="28"/>
          <w:lang w:val="uk-UA"/>
        </w:rPr>
        <w:t>детектують</w:t>
      </w:r>
      <w:proofErr w:type="spellEnd"/>
      <w:r w:rsidRPr="003379FB">
        <w:rPr>
          <w:rFonts w:ascii="Times New Roman" w:hAnsi="Times New Roman" w:cs="Times New Roman"/>
          <w:sz w:val="28"/>
          <w:szCs w:val="28"/>
          <w:lang w:val="uk-UA"/>
        </w:rPr>
        <w:t xml:space="preserve"> регресивну динаміку показників ефективності функціонування вітчизняних фінансових інститутів у 2025 році порівняно з попереднім звітним періодом. Зокрема, індекс рентабельності активів (ROA) зазнав депресії на 2,24 </w:t>
      </w:r>
      <w:proofErr w:type="spellStart"/>
      <w:r w:rsidRPr="003379FB">
        <w:rPr>
          <w:rFonts w:ascii="Times New Roman" w:hAnsi="Times New Roman" w:cs="Times New Roman"/>
          <w:sz w:val="28"/>
          <w:szCs w:val="28"/>
          <w:lang w:val="uk-UA"/>
        </w:rPr>
        <w:t>в.п</w:t>
      </w:r>
      <w:proofErr w:type="spellEnd"/>
      <w:r w:rsidRPr="003379FB">
        <w:rPr>
          <w:rFonts w:ascii="Times New Roman" w:hAnsi="Times New Roman" w:cs="Times New Roman"/>
          <w:sz w:val="28"/>
          <w:szCs w:val="28"/>
          <w:lang w:val="uk-UA"/>
        </w:rPr>
        <w:t xml:space="preserve">. (скоротившись із 5,62% у 2024 році до 3,38% у 2025 році), а коефіцієнт рентабельності власного капіталу (ROE) зменшився на 21,61 </w:t>
      </w:r>
      <w:proofErr w:type="spellStart"/>
      <w:r w:rsidRPr="003379FB">
        <w:rPr>
          <w:rFonts w:ascii="Times New Roman" w:hAnsi="Times New Roman" w:cs="Times New Roman"/>
          <w:sz w:val="28"/>
          <w:szCs w:val="28"/>
          <w:lang w:val="uk-UA"/>
        </w:rPr>
        <w:t>в.п</w:t>
      </w:r>
      <w:proofErr w:type="spellEnd"/>
      <w:r w:rsidRPr="003379FB">
        <w:rPr>
          <w:rFonts w:ascii="Times New Roman" w:hAnsi="Times New Roman" w:cs="Times New Roman"/>
          <w:sz w:val="28"/>
          <w:szCs w:val="28"/>
          <w:lang w:val="uk-UA"/>
        </w:rPr>
        <w:t>. (із 53,22% до 31,61%). Зазначена тенденція обумовлена як специфікою ведення операційної діяльності в умовах перманентних безпекових ризиків, так і посиленням фіскального тиску через законодавче підвищення ставки податку на прибуток банківських установ до 50%. Ретроспективний вектор та коливання обсягів чистого прибутку суб'єктів українського банківського сектору в часовому інтервалі 2021–2025 рр. узагальнено на рис. 2.6.</w:t>
      </w:r>
    </w:p>
    <w:p w:rsidR="003379FB" w:rsidRDefault="003379FB" w:rsidP="003379F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377C716C" wp14:editId="3C180DFB">
            <wp:extent cx="3651250" cy="1847850"/>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BEBA8EAE-BF5A-486C-A8C5-ECC9F3942E4B}">
                          <a14:imgProps xmlns:a14="http://schemas.microsoft.com/office/drawing/2010/main">
                            <a14:imgLayer r:embed="rId4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651250" cy="1847850"/>
                    </a:xfrm>
                    <a:prstGeom prst="rect">
                      <a:avLst/>
                    </a:prstGeom>
                    <a:noFill/>
                    <a:ln>
                      <a:noFill/>
                    </a:ln>
                  </pic:spPr>
                </pic:pic>
              </a:graphicData>
            </a:graphic>
          </wp:inline>
        </w:drawing>
      </w:r>
    </w:p>
    <w:p w:rsidR="003379FB" w:rsidRDefault="003379FB" w:rsidP="003379FB">
      <w:pPr>
        <w:spacing w:after="0" w:line="360" w:lineRule="auto"/>
        <w:jc w:val="center"/>
        <w:rPr>
          <w:rFonts w:ascii="Times New Roman" w:hAnsi="Times New Roman" w:cs="Times New Roman"/>
          <w:sz w:val="28"/>
          <w:szCs w:val="28"/>
          <w:lang w:val="uk-UA"/>
        </w:rPr>
      </w:pPr>
      <w:r w:rsidRPr="00C512CF">
        <w:rPr>
          <w:rFonts w:ascii="Times New Roman" w:hAnsi="Times New Roman" w:cs="Times New Roman"/>
          <w:sz w:val="28"/>
          <w:szCs w:val="28"/>
          <w:lang w:val="uk-UA"/>
        </w:rPr>
        <w:t>Рис. 2.6. Чистий прибуток банків</w:t>
      </w:r>
      <w:r>
        <w:rPr>
          <w:rFonts w:ascii="Times New Roman" w:hAnsi="Times New Roman" w:cs="Times New Roman"/>
          <w:sz w:val="28"/>
          <w:szCs w:val="28"/>
          <w:lang w:val="uk-UA"/>
        </w:rPr>
        <w:t xml:space="preserve"> України</w:t>
      </w:r>
      <w:r w:rsidRPr="00C512CF">
        <w:rPr>
          <w:rFonts w:ascii="Times New Roman" w:hAnsi="Times New Roman" w:cs="Times New Roman"/>
          <w:sz w:val="28"/>
          <w:szCs w:val="28"/>
          <w:lang w:val="uk-UA"/>
        </w:rPr>
        <w:t xml:space="preserve"> за 20</w:t>
      </w:r>
      <w:r>
        <w:rPr>
          <w:rFonts w:ascii="Times New Roman" w:hAnsi="Times New Roman" w:cs="Times New Roman"/>
          <w:sz w:val="28"/>
          <w:szCs w:val="28"/>
          <w:lang w:val="uk-UA"/>
        </w:rPr>
        <w:t>21</w:t>
      </w:r>
      <w:r w:rsidRPr="00C512CF">
        <w:rPr>
          <w:rFonts w:ascii="Times New Roman" w:hAnsi="Times New Roman" w:cs="Times New Roman"/>
          <w:sz w:val="28"/>
          <w:szCs w:val="28"/>
          <w:lang w:val="uk-UA"/>
        </w:rPr>
        <w:t xml:space="preserve"> – 202</w:t>
      </w:r>
      <w:r>
        <w:rPr>
          <w:rFonts w:ascii="Times New Roman" w:hAnsi="Times New Roman" w:cs="Times New Roman"/>
          <w:sz w:val="28"/>
          <w:szCs w:val="28"/>
          <w:lang w:val="uk-UA"/>
        </w:rPr>
        <w:t>5</w:t>
      </w:r>
      <w:r w:rsidRPr="00C512CF">
        <w:rPr>
          <w:rFonts w:ascii="Times New Roman" w:hAnsi="Times New Roman" w:cs="Times New Roman"/>
          <w:sz w:val="28"/>
          <w:szCs w:val="28"/>
          <w:lang w:val="uk-UA"/>
        </w:rPr>
        <w:t xml:space="preserve"> р., млрд. грн.</w:t>
      </w:r>
    </w:p>
    <w:p w:rsidR="003379FB" w:rsidRPr="003379FB" w:rsidRDefault="003379FB" w:rsidP="003379FB">
      <w:pPr>
        <w:spacing w:after="0" w:line="360" w:lineRule="auto"/>
        <w:ind w:firstLine="709"/>
        <w:jc w:val="both"/>
        <w:rPr>
          <w:rFonts w:ascii="Times New Roman" w:hAnsi="Times New Roman" w:cs="Times New Roman"/>
          <w:sz w:val="28"/>
          <w:szCs w:val="28"/>
          <w:lang w:val="uk-UA"/>
        </w:rPr>
      </w:pPr>
      <w:proofErr w:type="spellStart"/>
      <w:r w:rsidRPr="003379FB">
        <w:rPr>
          <w:rFonts w:ascii="Times New Roman" w:hAnsi="Times New Roman" w:cs="Times New Roman"/>
          <w:sz w:val="28"/>
          <w:szCs w:val="28"/>
          <w:lang w:val="uk-UA"/>
        </w:rPr>
        <w:t>Візуалізовані</w:t>
      </w:r>
      <w:proofErr w:type="spellEnd"/>
      <w:r w:rsidRPr="003379FB">
        <w:rPr>
          <w:rFonts w:ascii="Times New Roman" w:hAnsi="Times New Roman" w:cs="Times New Roman"/>
          <w:sz w:val="28"/>
          <w:szCs w:val="28"/>
          <w:lang w:val="uk-UA"/>
        </w:rPr>
        <w:t xml:space="preserve"> на рис. 2.6 дані свідчать, що деструктивний вплив повномасштабного воєнного конфлікту у 2022 році спровокував різку регресію чистого прибутку суб'єктів вітчизняної банківської системи. Утім, за результатами 2025 року фінансовий сектор завдяки регуляторним інтервенціям </w:t>
      </w:r>
      <w:r w:rsidRPr="003379FB">
        <w:rPr>
          <w:rFonts w:ascii="Times New Roman" w:hAnsi="Times New Roman" w:cs="Times New Roman"/>
          <w:sz w:val="28"/>
          <w:szCs w:val="28"/>
          <w:lang w:val="uk-UA"/>
        </w:rPr>
        <w:lastRenderedPageBreak/>
        <w:t xml:space="preserve">НБУ та стабілізаційним заходам Уряду продемонстрував високу адаптивну спроможність, досягнувши значних темпів приросту фінансових результатів. Зокрема, у 2025 році чистий прибуток банківських установ збільшився майже у 5,8 </w:t>
      </w:r>
      <w:proofErr w:type="spellStart"/>
      <w:r w:rsidRPr="003379FB">
        <w:rPr>
          <w:rFonts w:ascii="Times New Roman" w:hAnsi="Times New Roman" w:cs="Times New Roman"/>
          <w:sz w:val="28"/>
          <w:szCs w:val="28"/>
          <w:lang w:val="uk-UA"/>
        </w:rPr>
        <w:t>раза</w:t>
      </w:r>
      <w:proofErr w:type="spellEnd"/>
      <w:r w:rsidRPr="003379FB">
        <w:rPr>
          <w:rFonts w:ascii="Times New Roman" w:hAnsi="Times New Roman" w:cs="Times New Roman"/>
          <w:sz w:val="28"/>
          <w:szCs w:val="28"/>
          <w:lang w:val="uk-UA"/>
        </w:rPr>
        <w:t>, наблизившись до позначки у 140 млрд грн.</w:t>
      </w:r>
    </w:p>
    <w:p w:rsidR="003379FB" w:rsidRPr="003379FB" w:rsidRDefault="003379FB" w:rsidP="003379FB">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 xml:space="preserve">Водночас макроекономічний аналіз фіксує суттєву асиметрію та високу концентрацію капіталу в розрізі ринкових гравців. На основі офіційної звітності встановлено, що близько 87% кумулятивного прибутку всього банківського сектору акумулюють лише 10 провідних інституцій, тоді як на решту 50 фінансових організацій припадає сукупно не більше 13%. Питома вага фінансових лідерів у загальній структурі чистого прибутку національної банківської системи </w:t>
      </w:r>
      <w:proofErr w:type="spellStart"/>
      <w:r w:rsidRPr="003379FB">
        <w:rPr>
          <w:rFonts w:ascii="Times New Roman" w:hAnsi="Times New Roman" w:cs="Times New Roman"/>
          <w:sz w:val="28"/>
          <w:szCs w:val="28"/>
          <w:lang w:val="uk-UA"/>
        </w:rPr>
        <w:t>візуалізована</w:t>
      </w:r>
      <w:proofErr w:type="spellEnd"/>
      <w:r w:rsidRPr="003379FB">
        <w:rPr>
          <w:rFonts w:ascii="Times New Roman" w:hAnsi="Times New Roman" w:cs="Times New Roman"/>
          <w:sz w:val="28"/>
          <w:szCs w:val="28"/>
          <w:lang w:val="uk-UA"/>
        </w:rPr>
        <w:t xml:space="preserve"> на рис. 2.7.</w:t>
      </w:r>
    </w:p>
    <w:p w:rsidR="003379FB" w:rsidRPr="003379FB" w:rsidRDefault="003379FB" w:rsidP="003379FB">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Емпіричний аналіз діаграми (рис. 2.7) дозволяє здійснити ранжування ринкових суб'єктів за критерієм їхньої дохідності. Абсолютне лідерство з показником 41,7% утримує державний АТ КБ «Приватбанк», за яким у порядку спадання питомої ваги розташовані:</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АТ «Ощадбанк» (державний капітал) — 8,9%;</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АТ «Райффайзен Банк» (австрійська інвестиційна група) — 5,7%;</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АТ «</w:t>
      </w:r>
      <w:proofErr w:type="spellStart"/>
      <w:r w:rsidRPr="003379FB">
        <w:rPr>
          <w:rFonts w:ascii="Times New Roman" w:hAnsi="Times New Roman" w:cs="Times New Roman"/>
          <w:sz w:val="28"/>
          <w:szCs w:val="28"/>
          <w:lang w:val="uk-UA"/>
        </w:rPr>
        <w:t>Укрсиббанк</w:t>
      </w:r>
      <w:proofErr w:type="spellEnd"/>
      <w:r w:rsidRPr="003379FB">
        <w:rPr>
          <w:rFonts w:ascii="Times New Roman" w:hAnsi="Times New Roman" w:cs="Times New Roman"/>
          <w:sz w:val="28"/>
          <w:szCs w:val="28"/>
          <w:lang w:val="uk-UA"/>
        </w:rPr>
        <w:t>» (французький капітал) — 5,3%;</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АТ «ПУМБ» (національний приватний капітал) — 5,1%;</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АТ «ОТП Банк» (угорська фінансова група) — 4,2%;</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АТ «</w:t>
      </w:r>
      <w:proofErr w:type="spellStart"/>
      <w:r w:rsidRPr="003379FB">
        <w:rPr>
          <w:rFonts w:ascii="Times New Roman" w:hAnsi="Times New Roman" w:cs="Times New Roman"/>
          <w:sz w:val="28"/>
          <w:szCs w:val="28"/>
          <w:lang w:val="uk-UA"/>
        </w:rPr>
        <w:t>Сітібанк</w:t>
      </w:r>
      <w:proofErr w:type="spellEnd"/>
      <w:r w:rsidRPr="003379FB">
        <w:rPr>
          <w:rFonts w:ascii="Times New Roman" w:hAnsi="Times New Roman" w:cs="Times New Roman"/>
          <w:sz w:val="28"/>
          <w:szCs w:val="28"/>
          <w:lang w:val="uk-UA"/>
        </w:rPr>
        <w:t>» (американські інвестиції) — 4,1%;</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АТ «Сенс Банк» (державний сектор) — 4,0%;</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АТ «Універсал Банк» (змішаний українсько-кіпрський капітал) — 3,8%;</w:t>
      </w:r>
    </w:p>
    <w:p w:rsidR="003379FB" w:rsidRPr="003379FB" w:rsidRDefault="003379FB" w:rsidP="003379FB">
      <w:pPr>
        <w:pStyle w:val="a4"/>
        <w:numPr>
          <w:ilvl w:val="0"/>
          <w:numId w:val="8"/>
        </w:numPr>
        <w:spacing w:after="0" w:line="360" w:lineRule="auto"/>
        <w:ind w:left="0" w:firstLine="0"/>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АТ «Укрексімбанк» (державна форма власності) — 3,8%.</w:t>
      </w:r>
    </w:p>
    <w:p w:rsidR="003379FB" w:rsidRPr="003379FB" w:rsidRDefault="003379FB" w:rsidP="003379FB">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Узагальнені статистичні зрізи підтверджують, що ядро ТОП-10 найбільш прибуткових банківських установ України формують 4 державні інституції, 4 організації з іноземним капіталом, 1 суб'єкт зі змішаною структурою власності та 1 вітчизняний приватний банк.</w:t>
      </w:r>
    </w:p>
    <w:p w:rsidR="003379FB" w:rsidRDefault="003379FB" w:rsidP="003379FB">
      <w:pPr>
        <w:spacing w:after="0" w:line="360" w:lineRule="auto"/>
        <w:jc w:val="center"/>
        <w:rPr>
          <w:rFonts w:ascii="Times New Roman" w:hAnsi="Times New Roman" w:cs="Times New Roman"/>
          <w:sz w:val="28"/>
          <w:szCs w:val="28"/>
          <w:lang w:val="uk-UA"/>
        </w:rPr>
      </w:pPr>
      <w:r w:rsidRPr="00791D56">
        <w:rPr>
          <w:rFonts w:ascii="Times New Roman" w:hAnsi="Times New Roman" w:cs="Times New Roman"/>
          <w:noProof/>
          <w:sz w:val="28"/>
          <w:szCs w:val="28"/>
          <w:lang w:val="uk-UA"/>
        </w:rPr>
        <w:lastRenderedPageBreak/>
        <w:drawing>
          <wp:inline distT="0" distB="0" distL="0" distR="0" wp14:anchorId="6F903DEB" wp14:editId="0BA45351">
            <wp:extent cx="6119495" cy="31242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BEBA8EAE-BF5A-486C-A8C5-ECC9F3942E4B}">
                          <a14:imgProps xmlns:a14="http://schemas.microsoft.com/office/drawing/2010/main">
                            <a14:imgLayer r:embed="rId51">
                              <a14:imgEffect>
                                <a14:sharpenSoften amount="50000"/>
                              </a14:imgEffect>
                              <a14:imgEffect>
                                <a14:brightnessContrast contrast="-40000"/>
                              </a14:imgEffect>
                            </a14:imgLayer>
                          </a14:imgProps>
                        </a:ext>
                      </a:extLst>
                    </a:blip>
                    <a:stretch>
                      <a:fillRect/>
                    </a:stretch>
                  </pic:blipFill>
                  <pic:spPr>
                    <a:xfrm>
                      <a:off x="0" y="0"/>
                      <a:ext cx="6119495" cy="3124200"/>
                    </a:xfrm>
                    <a:prstGeom prst="rect">
                      <a:avLst/>
                    </a:prstGeom>
                  </pic:spPr>
                </pic:pic>
              </a:graphicData>
            </a:graphic>
          </wp:inline>
        </w:drawing>
      </w:r>
    </w:p>
    <w:p w:rsidR="003379FB" w:rsidRDefault="003379FB" w:rsidP="003379FB">
      <w:pPr>
        <w:spacing w:after="0" w:line="360" w:lineRule="auto"/>
        <w:jc w:val="center"/>
        <w:rPr>
          <w:rFonts w:ascii="Times New Roman" w:hAnsi="Times New Roman" w:cs="Times New Roman"/>
          <w:sz w:val="28"/>
          <w:szCs w:val="28"/>
          <w:lang w:val="uk-UA"/>
        </w:rPr>
      </w:pPr>
      <w:r w:rsidRPr="00791D56">
        <w:rPr>
          <w:rFonts w:ascii="Times New Roman" w:hAnsi="Times New Roman" w:cs="Times New Roman"/>
          <w:sz w:val="28"/>
          <w:szCs w:val="28"/>
          <w:lang w:val="uk-UA"/>
        </w:rPr>
        <w:t xml:space="preserve">Рис. 2.7. </w:t>
      </w:r>
      <w:r>
        <w:rPr>
          <w:rFonts w:ascii="Times New Roman" w:hAnsi="Times New Roman" w:cs="Times New Roman"/>
          <w:sz w:val="28"/>
          <w:szCs w:val="28"/>
          <w:lang w:val="uk-UA"/>
        </w:rPr>
        <w:t>Стан в</w:t>
      </w:r>
      <w:r w:rsidRPr="00791D56">
        <w:rPr>
          <w:rFonts w:ascii="Times New Roman" w:hAnsi="Times New Roman" w:cs="Times New Roman"/>
          <w:sz w:val="28"/>
          <w:szCs w:val="28"/>
          <w:lang w:val="uk-UA"/>
        </w:rPr>
        <w:t xml:space="preserve">ітчизняних банків </w:t>
      </w:r>
      <w:r>
        <w:rPr>
          <w:rFonts w:ascii="Times New Roman" w:hAnsi="Times New Roman" w:cs="Times New Roman"/>
          <w:sz w:val="28"/>
          <w:szCs w:val="28"/>
          <w:lang w:val="uk-UA"/>
        </w:rPr>
        <w:t>по</w:t>
      </w:r>
      <w:r w:rsidRPr="00791D56">
        <w:rPr>
          <w:rFonts w:ascii="Times New Roman" w:hAnsi="Times New Roman" w:cs="Times New Roman"/>
          <w:sz w:val="28"/>
          <w:szCs w:val="28"/>
          <w:lang w:val="uk-UA"/>
        </w:rPr>
        <w:t xml:space="preserve"> прибутк</w:t>
      </w:r>
      <w:r>
        <w:rPr>
          <w:rFonts w:ascii="Times New Roman" w:hAnsi="Times New Roman" w:cs="Times New Roman"/>
          <w:sz w:val="28"/>
          <w:szCs w:val="28"/>
          <w:lang w:val="uk-UA"/>
        </w:rPr>
        <w:t>у</w:t>
      </w:r>
      <w:r w:rsidRPr="00791D56">
        <w:rPr>
          <w:rFonts w:ascii="Times New Roman" w:hAnsi="Times New Roman" w:cs="Times New Roman"/>
          <w:sz w:val="28"/>
          <w:szCs w:val="28"/>
          <w:lang w:val="uk-UA"/>
        </w:rPr>
        <w:t>, %.</w:t>
      </w:r>
    </w:p>
    <w:p w:rsidR="003379FB" w:rsidRDefault="003379FB" w:rsidP="00A21186">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 xml:space="preserve">Наступним етапом наукового пошуку є дескриптивний аналіз генеральної структури національного фінансового ринку за підсумками 2025 року, яку візуалізовано на рис. 2.8, а також оцінка структурно-динамічних трансформацій, що відбулися під впливом чинників повномасштабної воєнної агресії. Статистичний розподіл засвідчує, що питома вага банківських установ становить лише 6% від загального масиву суб'єктів ринку, тоді як домінуючу частку у 94% концентрують оператори небанківського фінансового сектору. </w:t>
      </w:r>
    </w:p>
    <w:p w:rsidR="003379FB" w:rsidRDefault="003379FB" w:rsidP="00A21186">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 xml:space="preserve">Утім, протягом аналізованого часового інтервалу регресивні тенденції та процеси </w:t>
      </w:r>
      <w:proofErr w:type="spellStart"/>
      <w:r w:rsidRPr="003379FB">
        <w:rPr>
          <w:rFonts w:ascii="Times New Roman" w:hAnsi="Times New Roman" w:cs="Times New Roman"/>
          <w:sz w:val="28"/>
          <w:szCs w:val="28"/>
          <w:lang w:val="uk-UA"/>
        </w:rPr>
        <w:t>деінституціоналізації</w:t>
      </w:r>
      <w:proofErr w:type="spellEnd"/>
      <w:r w:rsidRPr="003379FB">
        <w:rPr>
          <w:rFonts w:ascii="Times New Roman" w:hAnsi="Times New Roman" w:cs="Times New Roman"/>
          <w:sz w:val="28"/>
          <w:szCs w:val="28"/>
          <w:lang w:val="uk-UA"/>
        </w:rPr>
        <w:t xml:space="preserve"> охопили не лише банківську індустрію, а й інші сегменти фінансового посередництва. Зокрема, чисельність фінансових компаній зменшилася на 16 одиниць, ломбардних установ — на 2 одиниці, кредитних кооперативів (спілок) — на 3 одиниці, а страхових організацій — на 6 одиниць. При цьому найбільш виражена негативна динаміка та скорочення ліцензованих гравців зафіксовані у сегменті страхових брокерів, де ринок залишили 22 суб'єкти.</w:t>
      </w:r>
    </w:p>
    <w:p w:rsidR="003379FB" w:rsidRDefault="003379FB" w:rsidP="003379FB">
      <w:pPr>
        <w:spacing w:after="0" w:line="360" w:lineRule="auto"/>
        <w:jc w:val="center"/>
        <w:rPr>
          <w:rFonts w:ascii="Times New Roman" w:hAnsi="Times New Roman" w:cs="Times New Roman"/>
          <w:sz w:val="28"/>
          <w:szCs w:val="28"/>
          <w:lang w:val="uk-UA"/>
        </w:rPr>
      </w:pPr>
      <w:r w:rsidRPr="00791D56">
        <w:rPr>
          <w:rFonts w:ascii="Times New Roman" w:hAnsi="Times New Roman" w:cs="Times New Roman"/>
          <w:noProof/>
          <w:sz w:val="28"/>
          <w:szCs w:val="28"/>
          <w:lang w:val="uk-UA"/>
        </w:rPr>
        <w:lastRenderedPageBreak/>
        <w:drawing>
          <wp:inline distT="0" distB="0" distL="0" distR="0" wp14:anchorId="4734E57D" wp14:editId="5354C619">
            <wp:extent cx="6076950" cy="31908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BEBA8EAE-BF5A-486C-A8C5-ECC9F3942E4B}">
                          <a14:imgProps xmlns:a14="http://schemas.microsoft.com/office/drawing/2010/main">
                            <a14:imgLayer r:embed="rId53">
                              <a14:imgEffect>
                                <a14:sharpenSoften amount="50000"/>
                              </a14:imgEffect>
                              <a14:imgEffect>
                                <a14:brightnessContrast contrast="-40000"/>
                              </a14:imgEffect>
                            </a14:imgLayer>
                          </a14:imgProps>
                        </a:ext>
                      </a:extLst>
                    </a:blip>
                    <a:stretch>
                      <a:fillRect/>
                    </a:stretch>
                  </pic:blipFill>
                  <pic:spPr>
                    <a:xfrm>
                      <a:off x="0" y="0"/>
                      <a:ext cx="6077799" cy="3191321"/>
                    </a:xfrm>
                    <a:prstGeom prst="rect">
                      <a:avLst/>
                    </a:prstGeom>
                  </pic:spPr>
                </pic:pic>
              </a:graphicData>
            </a:graphic>
          </wp:inline>
        </w:drawing>
      </w:r>
    </w:p>
    <w:p w:rsidR="003379FB" w:rsidRDefault="003379FB" w:rsidP="003379FB">
      <w:pPr>
        <w:spacing w:after="0" w:line="360" w:lineRule="auto"/>
        <w:jc w:val="center"/>
        <w:rPr>
          <w:rFonts w:ascii="Times New Roman" w:hAnsi="Times New Roman" w:cs="Times New Roman"/>
          <w:sz w:val="28"/>
          <w:szCs w:val="28"/>
          <w:lang w:val="uk-UA"/>
        </w:rPr>
      </w:pPr>
      <w:r w:rsidRPr="00791D56">
        <w:rPr>
          <w:rFonts w:ascii="Times New Roman" w:hAnsi="Times New Roman" w:cs="Times New Roman"/>
          <w:sz w:val="28"/>
          <w:szCs w:val="28"/>
          <w:lang w:val="uk-UA"/>
        </w:rPr>
        <w:t xml:space="preserve">Рис. 2.8. Структура фінансового ринку </w:t>
      </w:r>
      <w:r>
        <w:rPr>
          <w:rFonts w:ascii="Times New Roman" w:hAnsi="Times New Roman" w:cs="Times New Roman"/>
          <w:sz w:val="28"/>
          <w:szCs w:val="28"/>
          <w:lang w:val="uk-UA"/>
        </w:rPr>
        <w:t>У</w:t>
      </w:r>
      <w:r w:rsidRPr="00791D56">
        <w:rPr>
          <w:rFonts w:ascii="Times New Roman" w:hAnsi="Times New Roman" w:cs="Times New Roman"/>
          <w:sz w:val="28"/>
          <w:szCs w:val="28"/>
          <w:lang w:val="uk-UA"/>
        </w:rPr>
        <w:t>країн</w:t>
      </w:r>
      <w:r>
        <w:rPr>
          <w:rFonts w:ascii="Times New Roman" w:hAnsi="Times New Roman" w:cs="Times New Roman"/>
          <w:sz w:val="28"/>
          <w:szCs w:val="28"/>
          <w:lang w:val="uk-UA"/>
        </w:rPr>
        <w:t>и</w:t>
      </w:r>
      <w:r w:rsidRPr="00791D56">
        <w:rPr>
          <w:rFonts w:ascii="Times New Roman" w:hAnsi="Times New Roman" w:cs="Times New Roman"/>
          <w:sz w:val="28"/>
          <w:szCs w:val="28"/>
          <w:lang w:val="uk-UA"/>
        </w:rPr>
        <w:t xml:space="preserve"> на 01.01.202</w:t>
      </w:r>
      <w:r>
        <w:rPr>
          <w:rFonts w:ascii="Times New Roman" w:hAnsi="Times New Roman" w:cs="Times New Roman"/>
          <w:sz w:val="28"/>
          <w:szCs w:val="28"/>
          <w:lang w:val="uk-UA"/>
        </w:rPr>
        <w:t>6</w:t>
      </w:r>
      <w:r w:rsidRPr="00791D56">
        <w:rPr>
          <w:rFonts w:ascii="Times New Roman" w:hAnsi="Times New Roman" w:cs="Times New Roman"/>
          <w:sz w:val="28"/>
          <w:szCs w:val="28"/>
          <w:lang w:val="uk-UA"/>
        </w:rPr>
        <w:t xml:space="preserve"> р</w:t>
      </w:r>
      <w:r>
        <w:rPr>
          <w:rFonts w:ascii="Times New Roman" w:hAnsi="Times New Roman" w:cs="Times New Roman"/>
          <w:sz w:val="28"/>
          <w:szCs w:val="28"/>
          <w:lang w:val="uk-UA"/>
        </w:rPr>
        <w:t>.</w:t>
      </w:r>
    </w:p>
    <w:p w:rsidR="003379FB" w:rsidRDefault="003379FB" w:rsidP="003379FB">
      <w:pPr>
        <w:spacing w:after="0" w:line="360" w:lineRule="auto"/>
        <w:jc w:val="center"/>
        <w:rPr>
          <w:rFonts w:ascii="Times New Roman" w:hAnsi="Times New Roman" w:cs="Times New Roman"/>
          <w:sz w:val="28"/>
          <w:szCs w:val="28"/>
          <w:lang w:val="uk-UA"/>
        </w:rPr>
      </w:pPr>
    </w:p>
    <w:p w:rsidR="003379FB" w:rsidRPr="00951461" w:rsidRDefault="003379FB" w:rsidP="003379FB">
      <w:pPr>
        <w:spacing w:after="0" w:line="360" w:lineRule="auto"/>
        <w:jc w:val="center"/>
        <w:rPr>
          <w:rFonts w:ascii="Times New Roman" w:hAnsi="Times New Roman" w:cs="Times New Roman"/>
          <w:b/>
          <w:bCs/>
          <w:sz w:val="28"/>
          <w:szCs w:val="28"/>
          <w:lang w:val="uk-UA"/>
        </w:rPr>
      </w:pPr>
      <w:r w:rsidRPr="00951461">
        <w:rPr>
          <w:rFonts w:ascii="Times New Roman" w:hAnsi="Times New Roman" w:cs="Times New Roman"/>
          <w:b/>
          <w:bCs/>
          <w:sz w:val="28"/>
          <w:szCs w:val="28"/>
          <w:lang w:val="uk-UA"/>
        </w:rPr>
        <w:t>2.2. Характеристика А-Банку з точки зору маркетингу</w:t>
      </w:r>
    </w:p>
    <w:p w:rsidR="003379FB" w:rsidRDefault="003379FB" w:rsidP="00A21186">
      <w:pPr>
        <w:spacing w:after="0" w:line="360" w:lineRule="auto"/>
        <w:ind w:firstLine="709"/>
        <w:jc w:val="both"/>
        <w:rPr>
          <w:rFonts w:ascii="Times New Roman" w:hAnsi="Times New Roman" w:cs="Times New Roman"/>
          <w:sz w:val="28"/>
          <w:szCs w:val="28"/>
          <w:lang w:val="uk-UA"/>
        </w:rPr>
      </w:pPr>
    </w:p>
    <w:p w:rsidR="003F402F" w:rsidRDefault="003379FB" w:rsidP="00A21186">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 xml:space="preserve">Об’єктом практичного аналізу у кваліфікаційній </w:t>
      </w:r>
      <w:r w:rsidR="00951461" w:rsidRPr="00434542">
        <w:rPr>
          <w:rFonts w:ascii="Times New Roman" w:hAnsi="Times New Roman" w:cs="Times New Roman"/>
          <w:sz w:val="28"/>
          <w:szCs w:val="28"/>
          <w:lang w:val="uk-UA"/>
        </w:rPr>
        <w:t>бакалавр</w:t>
      </w:r>
      <w:r w:rsidR="00951461">
        <w:rPr>
          <w:rFonts w:ascii="Times New Roman" w:hAnsi="Times New Roman" w:cs="Times New Roman"/>
          <w:sz w:val="28"/>
          <w:szCs w:val="28"/>
          <w:lang w:val="uk-UA"/>
        </w:rPr>
        <w:t>ській</w:t>
      </w:r>
      <w:r w:rsidR="00951461" w:rsidRPr="00434542">
        <w:rPr>
          <w:rFonts w:ascii="Times New Roman" w:hAnsi="Times New Roman" w:cs="Times New Roman"/>
          <w:sz w:val="28"/>
          <w:szCs w:val="28"/>
          <w:lang w:val="uk-UA"/>
        </w:rPr>
        <w:t xml:space="preserve"> </w:t>
      </w:r>
      <w:r w:rsidRPr="003379FB">
        <w:rPr>
          <w:rFonts w:ascii="Times New Roman" w:hAnsi="Times New Roman" w:cs="Times New Roman"/>
          <w:sz w:val="28"/>
          <w:szCs w:val="28"/>
          <w:lang w:val="uk-UA"/>
        </w:rPr>
        <w:t xml:space="preserve">роботі виступає АТ «А-БАНК». Відповідно до положень установчих документів (статуту), ключові вектори його оперування охоплюють мобілізацію депозитних ресурсів, відкриття та комплексне ведення поточних рахунків контрагентів, надання позичкового капіталу й фінансових гарантій, реалізацію розрахунково-касових сервісів, а також проведення трансакцій з інструментами фондового ринку та іноземною валютою. </w:t>
      </w:r>
    </w:p>
    <w:p w:rsidR="003F402F" w:rsidRDefault="003379FB" w:rsidP="00A21186">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t xml:space="preserve">На високий інституційний статус фінансової установи вказує той факт, що рішенням Регулятора від 5 березня 2020 року банку було присвоєно статус системно важливого інституту. Зазначений чинник </w:t>
      </w:r>
      <w:proofErr w:type="spellStart"/>
      <w:r w:rsidRPr="003379FB">
        <w:rPr>
          <w:rFonts w:ascii="Times New Roman" w:hAnsi="Times New Roman" w:cs="Times New Roman"/>
          <w:sz w:val="28"/>
          <w:szCs w:val="28"/>
          <w:lang w:val="uk-UA"/>
        </w:rPr>
        <w:t>імплікує</w:t>
      </w:r>
      <w:proofErr w:type="spellEnd"/>
      <w:r w:rsidRPr="003379FB">
        <w:rPr>
          <w:rFonts w:ascii="Times New Roman" w:hAnsi="Times New Roman" w:cs="Times New Roman"/>
          <w:sz w:val="28"/>
          <w:szCs w:val="28"/>
          <w:lang w:val="uk-UA"/>
        </w:rPr>
        <w:t xml:space="preserve"> підвищені вимоги до дотримання </w:t>
      </w:r>
      <w:proofErr w:type="spellStart"/>
      <w:r w:rsidRPr="003379FB">
        <w:rPr>
          <w:rFonts w:ascii="Times New Roman" w:hAnsi="Times New Roman" w:cs="Times New Roman"/>
          <w:sz w:val="28"/>
          <w:szCs w:val="28"/>
          <w:lang w:val="uk-UA"/>
        </w:rPr>
        <w:t>пруденційних</w:t>
      </w:r>
      <w:proofErr w:type="spellEnd"/>
      <w:r w:rsidRPr="003379FB">
        <w:rPr>
          <w:rFonts w:ascii="Times New Roman" w:hAnsi="Times New Roman" w:cs="Times New Roman"/>
          <w:sz w:val="28"/>
          <w:szCs w:val="28"/>
          <w:lang w:val="uk-UA"/>
        </w:rPr>
        <w:t xml:space="preserve"> нормативів та рівня адекватності регулятивного капіталу задля забезпечення високого ступеня його фінансової резистентності. Банк інтегрований у глобальний фінансовий простір як повноправний учасник міжнародних платіжних платформ VISA та </w:t>
      </w:r>
      <w:proofErr w:type="spellStart"/>
      <w:r w:rsidRPr="003379FB">
        <w:rPr>
          <w:rFonts w:ascii="Times New Roman" w:hAnsi="Times New Roman" w:cs="Times New Roman"/>
          <w:sz w:val="28"/>
          <w:szCs w:val="28"/>
          <w:lang w:val="uk-UA"/>
        </w:rPr>
        <w:t>Mastercard</w:t>
      </w:r>
      <w:proofErr w:type="spellEnd"/>
      <w:r w:rsidRPr="003379FB">
        <w:rPr>
          <w:rFonts w:ascii="Times New Roman" w:hAnsi="Times New Roman" w:cs="Times New Roman"/>
          <w:sz w:val="28"/>
          <w:szCs w:val="28"/>
          <w:lang w:val="uk-UA"/>
        </w:rPr>
        <w:t xml:space="preserve">, національної системи «ПРОСТІР», а також провідних транскордонних систем експрес-переказів грошових коштів. </w:t>
      </w:r>
    </w:p>
    <w:p w:rsidR="003379FB" w:rsidRDefault="003379FB" w:rsidP="00A21186">
      <w:pPr>
        <w:spacing w:after="0" w:line="360" w:lineRule="auto"/>
        <w:ind w:firstLine="709"/>
        <w:jc w:val="both"/>
        <w:rPr>
          <w:rFonts w:ascii="Times New Roman" w:hAnsi="Times New Roman" w:cs="Times New Roman"/>
          <w:sz w:val="28"/>
          <w:szCs w:val="28"/>
          <w:lang w:val="uk-UA"/>
        </w:rPr>
      </w:pPr>
      <w:r w:rsidRPr="003379FB">
        <w:rPr>
          <w:rFonts w:ascii="Times New Roman" w:hAnsi="Times New Roman" w:cs="Times New Roman"/>
          <w:sz w:val="28"/>
          <w:szCs w:val="28"/>
          <w:lang w:val="uk-UA"/>
        </w:rPr>
        <w:lastRenderedPageBreak/>
        <w:t>Системну організаційно-функціональну характеристику установи, сформовану на основі офіційних звітних масивів НБУ, систематизовано у табл. 2.7.</w:t>
      </w:r>
    </w:p>
    <w:p w:rsidR="003F402F" w:rsidRDefault="003F402F" w:rsidP="003F402F">
      <w:pPr>
        <w:spacing w:after="0" w:line="360" w:lineRule="auto"/>
        <w:jc w:val="right"/>
        <w:rPr>
          <w:rFonts w:ascii="Times New Roman" w:hAnsi="Times New Roman" w:cs="Times New Roman"/>
          <w:sz w:val="28"/>
          <w:szCs w:val="28"/>
          <w:lang w:val="uk-UA"/>
        </w:rPr>
      </w:pPr>
      <w:r w:rsidRPr="00FB57F9">
        <w:rPr>
          <w:rFonts w:ascii="Times New Roman" w:hAnsi="Times New Roman" w:cs="Times New Roman"/>
          <w:sz w:val="28"/>
          <w:szCs w:val="28"/>
          <w:lang w:val="uk-UA"/>
        </w:rPr>
        <w:t>Таблиця 2.7</w:t>
      </w:r>
      <w:r>
        <w:rPr>
          <w:rFonts w:ascii="Times New Roman" w:hAnsi="Times New Roman" w:cs="Times New Roman"/>
          <w:sz w:val="28"/>
          <w:szCs w:val="28"/>
          <w:lang w:val="uk-UA"/>
        </w:rPr>
        <w:t>.</w:t>
      </w:r>
    </w:p>
    <w:p w:rsidR="003F402F" w:rsidRDefault="003F402F" w:rsidP="003F402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w:t>
      </w:r>
      <w:r w:rsidRPr="00FB57F9">
        <w:rPr>
          <w:rFonts w:ascii="Times New Roman" w:hAnsi="Times New Roman" w:cs="Times New Roman"/>
          <w:sz w:val="28"/>
          <w:szCs w:val="28"/>
          <w:lang w:val="uk-UA"/>
        </w:rPr>
        <w:t>арактеристика А-Банку</w:t>
      </w:r>
    </w:p>
    <w:p w:rsidR="003F402F" w:rsidRDefault="003F402F" w:rsidP="003F402F">
      <w:pPr>
        <w:spacing w:after="0" w:line="360" w:lineRule="auto"/>
        <w:jc w:val="center"/>
        <w:rPr>
          <w:rFonts w:ascii="Times New Roman" w:hAnsi="Times New Roman" w:cs="Times New Roman"/>
          <w:sz w:val="28"/>
          <w:szCs w:val="28"/>
          <w:lang w:val="uk-UA"/>
        </w:rPr>
      </w:pPr>
      <w:r w:rsidRPr="00FB57F9">
        <w:rPr>
          <w:rFonts w:ascii="Times New Roman" w:hAnsi="Times New Roman" w:cs="Times New Roman"/>
          <w:noProof/>
          <w:sz w:val="28"/>
          <w:szCs w:val="28"/>
          <w:lang w:val="uk-UA"/>
        </w:rPr>
        <w:drawing>
          <wp:inline distT="0" distB="0" distL="0" distR="0" wp14:anchorId="0223CEFB" wp14:editId="32C81979">
            <wp:extent cx="4878705" cy="39719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BEBA8EAE-BF5A-486C-A8C5-ECC9F3942E4B}">
                          <a14:imgProps xmlns:a14="http://schemas.microsoft.com/office/drawing/2010/main">
                            <a14:imgLayer r:embed="rId55">
                              <a14:imgEffect>
                                <a14:sharpenSoften amount="50000"/>
                              </a14:imgEffect>
                              <a14:imgEffect>
                                <a14:brightnessContrast contrast="-40000"/>
                              </a14:imgEffect>
                            </a14:imgLayer>
                          </a14:imgProps>
                        </a:ext>
                      </a:extLst>
                    </a:blip>
                    <a:stretch>
                      <a:fillRect/>
                    </a:stretch>
                  </pic:blipFill>
                  <pic:spPr>
                    <a:xfrm>
                      <a:off x="0" y="0"/>
                      <a:ext cx="4899418" cy="3988788"/>
                    </a:xfrm>
                    <a:prstGeom prst="rect">
                      <a:avLst/>
                    </a:prstGeom>
                  </pic:spPr>
                </pic:pic>
              </a:graphicData>
            </a:graphic>
          </wp:inline>
        </w:drawing>
      </w:r>
    </w:p>
    <w:p w:rsidR="003F402F" w:rsidRPr="003F402F" w:rsidRDefault="003F402F" w:rsidP="003F402F">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 xml:space="preserve">У процесі інституційного розвитку та реструктуризації об’єкт дослідження зазнав низки </w:t>
      </w:r>
      <w:proofErr w:type="spellStart"/>
      <w:r w:rsidRPr="003F402F">
        <w:rPr>
          <w:rFonts w:ascii="Times New Roman" w:hAnsi="Times New Roman" w:cs="Times New Roman"/>
          <w:sz w:val="28"/>
          <w:szCs w:val="28"/>
          <w:lang w:val="uk-UA"/>
        </w:rPr>
        <w:t>ребрендингів</w:t>
      </w:r>
      <w:proofErr w:type="spellEnd"/>
      <w:r w:rsidRPr="003F402F">
        <w:rPr>
          <w:rFonts w:ascii="Times New Roman" w:hAnsi="Times New Roman" w:cs="Times New Roman"/>
          <w:sz w:val="28"/>
          <w:szCs w:val="28"/>
          <w:lang w:val="uk-UA"/>
        </w:rPr>
        <w:t xml:space="preserve"> та організаційно-правових трансформацій, що відобразилося у хронологічній зміні його офіційного найменування:</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АКБ «КИЇВПРИВАТБАНК» (з 30 жовтня 1992 року);</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АКБ «Український кредитний банк» (з 19 травня 1993 року);</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ЗАТ «Український кредитний банк» (з 6 серпня 2001 року);</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ЗАТ «А-БАНК» (з 3 вересня 2007 року);</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ПАТ «А - БАНК» (з 17 вересня 2009 року);</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АТ «А - БАНК» (з 27 червня 2018 року — по теперішній час).</w:t>
      </w:r>
    </w:p>
    <w:p w:rsidR="003F402F" w:rsidRPr="003F402F" w:rsidRDefault="003F402F" w:rsidP="003F402F">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Наступним кроком організаційного аналізу є дослідження стратегічного базису установи крізь призму її корпоративної місії та перспективного бачення власної фінансово-господарської діяльності, ключові параметри яких систематизовано у табл. 2.8.</w:t>
      </w:r>
    </w:p>
    <w:p w:rsidR="003F402F" w:rsidRDefault="003F402F" w:rsidP="003F402F">
      <w:pPr>
        <w:spacing w:after="0" w:line="360" w:lineRule="auto"/>
        <w:jc w:val="right"/>
        <w:rPr>
          <w:rFonts w:ascii="Times New Roman" w:hAnsi="Times New Roman" w:cs="Times New Roman"/>
          <w:sz w:val="28"/>
          <w:szCs w:val="28"/>
          <w:lang w:val="uk-UA"/>
        </w:rPr>
      </w:pPr>
      <w:r w:rsidRPr="00FB57F9">
        <w:rPr>
          <w:rFonts w:ascii="Times New Roman" w:hAnsi="Times New Roman" w:cs="Times New Roman"/>
          <w:sz w:val="28"/>
          <w:szCs w:val="28"/>
          <w:lang w:val="uk-UA"/>
        </w:rPr>
        <w:lastRenderedPageBreak/>
        <w:t>Таблиця 2.8</w:t>
      </w:r>
      <w:r>
        <w:rPr>
          <w:rFonts w:ascii="Times New Roman" w:hAnsi="Times New Roman" w:cs="Times New Roman"/>
          <w:sz w:val="28"/>
          <w:szCs w:val="28"/>
          <w:lang w:val="uk-UA"/>
        </w:rPr>
        <w:t>.</w:t>
      </w:r>
    </w:p>
    <w:p w:rsidR="003F402F" w:rsidRDefault="003F402F" w:rsidP="003F402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w:t>
      </w:r>
      <w:r w:rsidRPr="00FB57F9">
        <w:rPr>
          <w:rFonts w:ascii="Times New Roman" w:hAnsi="Times New Roman" w:cs="Times New Roman"/>
          <w:sz w:val="28"/>
          <w:szCs w:val="28"/>
          <w:lang w:val="uk-UA"/>
        </w:rPr>
        <w:t>арактеристик</w:t>
      </w:r>
      <w:r>
        <w:rPr>
          <w:rFonts w:ascii="Times New Roman" w:hAnsi="Times New Roman" w:cs="Times New Roman"/>
          <w:sz w:val="28"/>
          <w:szCs w:val="28"/>
          <w:lang w:val="uk-UA"/>
        </w:rPr>
        <w:t>а</w:t>
      </w:r>
      <w:r w:rsidRPr="00FB57F9">
        <w:rPr>
          <w:rFonts w:ascii="Times New Roman" w:hAnsi="Times New Roman" w:cs="Times New Roman"/>
          <w:sz w:val="28"/>
          <w:szCs w:val="28"/>
          <w:lang w:val="uk-UA"/>
        </w:rPr>
        <w:t xml:space="preserve"> А-Банку</w:t>
      </w:r>
      <w:r>
        <w:rPr>
          <w:rFonts w:ascii="Times New Roman" w:hAnsi="Times New Roman" w:cs="Times New Roman"/>
          <w:sz w:val="28"/>
          <w:szCs w:val="28"/>
          <w:lang w:val="uk-UA"/>
        </w:rPr>
        <w:t>:</w:t>
      </w:r>
      <w:r w:rsidRPr="00FB57F9">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FB57F9">
        <w:rPr>
          <w:rFonts w:ascii="Times New Roman" w:hAnsi="Times New Roman" w:cs="Times New Roman"/>
          <w:sz w:val="28"/>
          <w:szCs w:val="28"/>
          <w:lang w:val="uk-UA"/>
        </w:rPr>
        <w:t>тратегі</w:t>
      </w:r>
      <w:r>
        <w:rPr>
          <w:rFonts w:ascii="Times New Roman" w:hAnsi="Times New Roman" w:cs="Times New Roman"/>
          <w:sz w:val="28"/>
          <w:szCs w:val="28"/>
          <w:lang w:val="uk-UA"/>
        </w:rPr>
        <w:t>я і</w:t>
      </w:r>
      <w:r w:rsidRPr="00FB57F9">
        <w:rPr>
          <w:rFonts w:ascii="Times New Roman" w:hAnsi="Times New Roman" w:cs="Times New Roman"/>
          <w:sz w:val="28"/>
          <w:szCs w:val="28"/>
          <w:lang w:val="uk-UA"/>
        </w:rPr>
        <w:t xml:space="preserve"> маркетинг</w:t>
      </w:r>
    </w:p>
    <w:p w:rsidR="003F402F" w:rsidRDefault="003F402F" w:rsidP="003F402F">
      <w:pPr>
        <w:spacing w:after="0" w:line="360" w:lineRule="auto"/>
        <w:jc w:val="center"/>
        <w:rPr>
          <w:rFonts w:ascii="Times New Roman" w:hAnsi="Times New Roman" w:cs="Times New Roman"/>
          <w:sz w:val="28"/>
          <w:szCs w:val="28"/>
          <w:lang w:val="uk-UA"/>
        </w:rPr>
      </w:pPr>
      <w:r w:rsidRPr="00FB57F9">
        <w:rPr>
          <w:rFonts w:ascii="Times New Roman" w:hAnsi="Times New Roman" w:cs="Times New Roman"/>
          <w:noProof/>
          <w:sz w:val="28"/>
          <w:szCs w:val="28"/>
          <w:lang w:val="uk-UA"/>
        </w:rPr>
        <w:drawing>
          <wp:inline distT="0" distB="0" distL="0" distR="0" wp14:anchorId="610FE858" wp14:editId="3A51734D">
            <wp:extent cx="4676493" cy="48768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BEBA8EAE-BF5A-486C-A8C5-ECC9F3942E4B}">
                          <a14:imgProps xmlns:a14="http://schemas.microsoft.com/office/drawing/2010/main">
                            <a14:imgLayer r:embed="rId57">
                              <a14:imgEffect>
                                <a14:sharpenSoften amount="50000"/>
                              </a14:imgEffect>
                              <a14:imgEffect>
                                <a14:brightnessContrast contrast="-40000"/>
                              </a14:imgEffect>
                            </a14:imgLayer>
                          </a14:imgProps>
                        </a:ext>
                      </a:extLst>
                    </a:blip>
                    <a:stretch>
                      <a:fillRect/>
                    </a:stretch>
                  </pic:blipFill>
                  <pic:spPr>
                    <a:xfrm>
                      <a:off x="0" y="0"/>
                      <a:ext cx="4692197" cy="4893177"/>
                    </a:xfrm>
                    <a:prstGeom prst="rect">
                      <a:avLst/>
                    </a:prstGeom>
                  </pic:spPr>
                </pic:pic>
              </a:graphicData>
            </a:graphic>
          </wp:inline>
        </w:drawing>
      </w:r>
    </w:p>
    <w:p w:rsidR="003F402F" w:rsidRDefault="003F402F" w:rsidP="003F402F">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 xml:space="preserve">Результати емпіричного аналізу ключових дескрипторів фінансово-господарської діяльності досліджуваної інституції станом на 31 грудня 2025 року репрезентовано на рис. 2.9. </w:t>
      </w:r>
    </w:p>
    <w:p w:rsidR="003F402F" w:rsidRDefault="003F402F" w:rsidP="003F402F">
      <w:pPr>
        <w:spacing w:after="0" w:line="360" w:lineRule="auto"/>
        <w:jc w:val="center"/>
        <w:rPr>
          <w:rFonts w:ascii="Times New Roman" w:hAnsi="Times New Roman" w:cs="Times New Roman"/>
          <w:sz w:val="28"/>
          <w:szCs w:val="28"/>
          <w:lang w:val="uk-UA"/>
        </w:rPr>
      </w:pPr>
      <w:r w:rsidRPr="00FB57F9">
        <w:rPr>
          <w:rFonts w:ascii="Times New Roman" w:hAnsi="Times New Roman" w:cs="Times New Roman"/>
          <w:noProof/>
          <w:sz w:val="28"/>
          <w:szCs w:val="28"/>
          <w:lang w:val="uk-UA"/>
        </w:rPr>
        <w:drawing>
          <wp:inline distT="0" distB="0" distL="0" distR="0" wp14:anchorId="6BDA7A06" wp14:editId="3788249A">
            <wp:extent cx="4391638" cy="2419688"/>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BEBA8EAE-BF5A-486C-A8C5-ECC9F3942E4B}">
                          <a14:imgProps xmlns:a14="http://schemas.microsoft.com/office/drawing/2010/main">
                            <a14:imgLayer r:embed="rId59">
                              <a14:imgEffect>
                                <a14:sharpenSoften amount="50000"/>
                              </a14:imgEffect>
                              <a14:imgEffect>
                                <a14:brightnessContrast contrast="-40000"/>
                              </a14:imgEffect>
                            </a14:imgLayer>
                          </a14:imgProps>
                        </a:ext>
                      </a:extLst>
                    </a:blip>
                    <a:stretch>
                      <a:fillRect/>
                    </a:stretch>
                  </pic:blipFill>
                  <pic:spPr>
                    <a:xfrm>
                      <a:off x="0" y="0"/>
                      <a:ext cx="4391638" cy="2419688"/>
                    </a:xfrm>
                    <a:prstGeom prst="rect">
                      <a:avLst/>
                    </a:prstGeom>
                  </pic:spPr>
                </pic:pic>
              </a:graphicData>
            </a:graphic>
          </wp:inline>
        </w:drawing>
      </w:r>
    </w:p>
    <w:p w:rsidR="003F402F" w:rsidRDefault="003F402F" w:rsidP="003F402F">
      <w:pPr>
        <w:spacing w:after="0" w:line="360" w:lineRule="auto"/>
        <w:jc w:val="center"/>
        <w:rPr>
          <w:rFonts w:ascii="Times New Roman" w:hAnsi="Times New Roman" w:cs="Times New Roman"/>
          <w:sz w:val="28"/>
          <w:szCs w:val="28"/>
          <w:lang w:val="uk-UA"/>
        </w:rPr>
      </w:pPr>
      <w:r w:rsidRPr="00FB57F9">
        <w:rPr>
          <w:rFonts w:ascii="Times New Roman" w:hAnsi="Times New Roman" w:cs="Times New Roman"/>
          <w:sz w:val="28"/>
          <w:szCs w:val="28"/>
          <w:lang w:val="uk-UA"/>
        </w:rPr>
        <w:t xml:space="preserve">Рис. 2.9. </w:t>
      </w:r>
      <w:r>
        <w:rPr>
          <w:rFonts w:ascii="Times New Roman" w:hAnsi="Times New Roman" w:cs="Times New Roman"/>
          <w:sz w:val="28"/>
          <w:szCs w:val="28"/>
          <w:lang w:val="uk-UA"/>
        </w:rPr>
        <w:t>П</w:t>
      </w:r>
      <w:r w:rsidRPr="00FB57F9">
        <w:rPr>
          <w:rFonts w:ascii="Times New Roman" w:hAnsi="Times New Roman" w:cs="Times New Roman"/>
          <w:sz w:val="28"/>
          <w:szCs w:val="28"/>
          <w:lang w:val="uk-UA"/>
        </w:rPr>
        <w:t>оказники</w:t>
      </w:r>
      <w:r>
        <w:rPr>
          <w:rFonts w:ascii="Times New Roman" w:hAnsi="Times New Roman" w:cs="Times New Roman"/>
          <w:sz w:val="28"/>
          <w:szCs w:val="28"/>
          <w:lang w:val="uk-UA"/>
        </w:rPr>
        <w:t xml:space="preserve"> діяльності</w:t>
      </w:r>
      <w:r w:rsidRPr="00FB57F9">
        <w:rPr>
          <w:rFonts w:ascii="Times New Roman" w:hAnsi="Times New Roman" w:cs="Times New Roman"/>
          <w:sz w:val="28"/>
          <w:szCs w:val="28"/>
          <w:lang w:val="uk-UA"/>
        </w:rPr>
        <w:t xml:space="preserve"> А-Банку 202</w:t>
      </w:r>
      <w:r>
        <w:rPr>
          <w:rFonts w:ascii="Times New Roman" w:hAnsi="Times New Roman" w:cs="Times New Roman"/>
          <w:sz w:val="28"/>
          <w:szCs w:val="28"/>
          <w:lang w:val="uk-UA"/>
        </w:rPr>
        <w:t>5</w:t>
      </w:r>
      <w:r w:rsidRPr="00FB57F9">
        <w:rPr>
          <w:rFonts w:ascii="Times New Roman" w:hAnsi="Times New Roman" w:cs="Times New Roman"/>
          <w:sz w:val="28"/>
          <w:szCs w:val="28"/>
          <w:lang w:val="uk-UA"/>
        </w:rPr>
        <w:t xml:space="preserve"> р.</w:t>
      </w:r>
    </w:p>
    <w:p w:rsidR="003F402F" w:rsidRDefault="003F402F" w:rsidP="003F402F">
      <w:pPr>
        <w:spacing w:after="0" w:line="360" w:lineRule="auto"/>
        <w:ind w:firstLine="709"/>
        <w:jc w:val="both"/>
        <w:rPr>
          <w:rFonts w:ascii="Times New Roman" w:hAnsi="Times New Roman" w:cs="Times New Roman"/>
          <w:sz w:val="28"/>
          <w:szCs w:val="28"/>
          <w:lang w:val="uk-UA"/>
        </w:rPr>
      </w:pPr>
    </w:p>
    <w:p w:rsidR="003F402F" w:rsidRPr="003F402F" w:rsidRDefault="003F402F" w:rsidP="003F402F">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lastRenderedPageBreak/>
        <w:t>Наведені дані методологічно підтверджують, що попри системні обмеження та макроекономічні ризики воєнного стану, банківська установа забезпечила істотну позитивну динаміку балансових показників порівняно з попереднім звітним періодом.</w:t>
      </w:r>
    </w:p>
    <w:p w:rsidR="003F402F" w:rsidRPr="003F402F" w:rsidRDefault="003F402F" w:rsidP="003F402F">
      <w:pPr>
        <w:spacing w:after="0" w:line="360" w:lineRule="auto"/>
        <w:ind w:firstLine="709"/>
        <w:jc w:val="both"/>
        <w:rPr>
          <w:rFonts w:ascii="Times New Roman" w:hAnsi="Times New Roman" w:cs="Times New Roman"/>
          <w:sz w:val="28"/>
          <w:szCs w:val="28"/>
          <w:lang w:val="uk-UA"/>
        </w:rPr>
      </w:pPr>
      <w:proofErr w:type="spellStart"/>
      <w:r w:rsidRPr="003F402F">
        <w:rPr>
          <w:rFonts w:ascii="Times New Roman" w:hAnsi="Times New Roman" w:cs="Times New Roman"/>
          <w:sz w:val="28"/>
          <w:szCs w:val="28"/>
          <w:lang w:val="uk-UA"/>
        </w:rPr>
        <w:t>Візуалізовані</w:t>
      </w:r>
      <w:proofErr w:type="spellEnd"/>
      <w:r w:rsidRPr="003F402F">
        <w:rPr>
          <w:rFonts w:ascii="Times New Roman" w:hAnsi="Times New Roman" w:cs="Times New Roman"/>
          <w:sz w:val="28"/>
          <w:szCs w:val="28"/>
          <w:lang w:val="uk-UA"/>
        </w:rPr>
        <w:t xml:space="preserve"> на рис. 2.9 емпіричні дані </w:t>
      </w:r>
      <w:proofErr w:type="spellStart"/>
      <w:r w:rsidRPr="003F402F">
        <w:rPr>
          <w:rFonts w:ascii="Times New Roman" w:hAnsi="Times New Roman" w:cs="Times New Roman"/>
          <w:sz w:val="28"/>
          <w:szCs w:val="28"/>
          <w:lang w:val="uk-UA"/>
        </w:rPr>
        <w:t>детектують</w:t>
      </w:r>
      <w:proofErr w:type="spellEnd"/>
      <w:r w:rsidRPr="003F402F">
        <w:rPr>
          <w:rFonts w:ascii="Times New Roman" w:hAnsi="Times New Roman" w:cs="Times New Roman"/>
          <w:sz w:val="28"/>
          <w:szCs w:val="28"/>
          <w:lang w:val="uk-UA"/>
        </w:rPr>
        <w:t xml:space="preserve"> суттєву інтенсифікацію та позитивну динаміку ключових параметрів операційної діяльності фінансової установи за аналізований річний цикл. Зокрема, виокремлено такі результати:</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обсяг емісії нових платіжних карток досяг 3 млн одиниць, демонструючи висхідний тренд на 215% порівняно з показниками 2024 року;</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обсяг генерації цифрових (віртуальних) платіжних інструментів становив 2,5 млн одиниць, що свідчить про стовідсоткове зростання (+100%) відносно базового періоду;</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інтенсивність трансакційної активності у межах цифрової платформи мобільного банкінгу «А24» вимірюється 120 млн операцій, перевищивши рівень 2024 року на 74%;</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сукупний обсяг клієнтських витрат за допомогою платіжних карток (за винятком переказів класу Р2Р) досяг 72 млрд грн, зафіксувавши річний приріст на рівні 85%;</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у сегменті взаємних розрахунків між фізичними особами (Р2Р) зафіксовано збільшення кількості трансакцій на 125%, що у сумарному еквіваленті становить близько 27 млн операцій;</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чисельність постійних користувачів мобільного банкінгу протягом звітного періоду розширилася на 27% і наблизилася до позначки у 830 тис. суб'єктів;</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 xml:space="preserve">індикатор споживчої </w:t>
      </w:r>
      <w:proofErr w:type="spellStart"/>
      <w:r w:rsidRPr="003F402F">
        <w:rPr>
          <w:rFonts w:ascii="Times New Roman" w:hAnsi="Times New Roman" w:cs="Times New Roman"/>
          <w:sz w:val="28"/>
          <w:szCs w:val="28"/>
          <w:lang w:val="uk-UA"/>
        </w:rPr>
        <w:t>аттрактивності</w:t>
      </w:r>
      <w:proofErr w:type="spellEnd"/>
      <w:r w:rsidRPr="003F402F">
        <w:rPr>
          <w:rFonts w:ascii="Times New Roman" w:hAnsi="Times New Roman" w:cs="Times New Roman"/>
          <w:sz w:val="28"/>
          <w:szCs w:val="28"/>
          <w:lang w:val="uk-UA"/>
        </w:rPr>
        <w:t xml:space="preserve"> банку в роздрібному сегменті, виражений через обсяг депозитного портфеля фізичних осіб, зріс на 45% і </w:t>
      </w:r>
      <w:proofErr w:type="spellStart"/>
      <w:r w:rsidRPr="003F402F">
        <w:rPr>
          <w:rFonts w:ascii="Times New Roman" w:hAnsi="Times New Roman" w:cs="Times New Roman"/>
          <w:sz w:val="28"/>
          <w:szCs w:val="28"/>
          <w:lang w:val="uk-UA"/>
        </w:rPr>
        <w:t>зафіксувався</w:t>
      </w:r>
      <w:proofErr w:type="spellEnd"/>
      <w:r w:rsidRPr="003F402F">
        <w:rPr>
          <w:rFonts w:ascii="Times New Roman" w:hAnsi="Times New Roman" w:cs="Times New Roman"/>
          <w:sz w:val="28"/>
          <w:szCs w:val="28"/>
          <w:lang w:val="uk-UA"/>
        </w:rPr>
        <w:t xml:space="preserve"> на рівні 8,1 млрд грн;</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валовий обсяг реалізації роздрібних кредитних продуктів у національній валюті продемонстрував аналогічний приріст на 45%, досягши значення у 2,1 млрд грн.</w:t>
      </w:r>
    </w:p>
    <w:p w:rsidR="003F402F" w:rsidRPr="003F402F" w:rsidRDefault="003F402F" w:rsidP="003F402F">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lastRenderedPageBreak/>
        <w:t>На рис. 2.10 візуалізовано ринкові позиції та конкурентний статус об’єкта дослідження в загальній інфраструктурі вітчизняного банківського сектору серед 60 діючих фінансових інститутів.</w:t>
      </w:r>
    </w:p>
    <w:p w:rsidR="003F402F" w:rsidRDefault="003F402F" w:rsidP="003F402F">
      <w:pPr>
        <w:spacing w:after="0" w:line="360" w:lineRule="auto"/>
        <w:jc w:val="center"/>
        <w:rPr>
          <w:rFonts w:ascii="Times New Roman" w:hAnsi="Times New Roman" w:cs="Times New Roman"/>
          <w:sz w:val="28"/>
          <w:szCs w:val="28"/>
          <w:lang w:val="uk-UA"/>
        </w:rPr>
      </w:pPr>
      <w:r w:rsidRPr="00F02759">
        <w:rPr>
          <w:rFonts w:ascii="Times New Roman" w:hAnsi="Times New Roman" w:cs="Times New Roman"/>
          <w:noProof/>
          <w:sz w:val="28"/>
          <w:szCs w:val="28"/>
          <w:lang w:val="uk-UA"/>
        </w:rPr>
        <w:drawing>
          <wp:inline distT="0" distB="0" distL="0" distR="0" wp14:anchorId="4A1B5505" wp14:editId="15996B26">
            <wp:extent cx="5973009" cy="2886478"/>
            <wp:effectExtent l="0" t="0" r="889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BEBA8EAE-BF5A-486C-A8C5-ECC9F3942E4B}">
                          <a14:imgProps xmlns:a14="http://schemas.microsoft.com/office/drawing/2010/main">
                            <a14:imgLayer r:embed="rId61">
                              <a14:imgEffect>
                                <a14:sharpenSoften amount="50000"/>
                              </a14:imgEffect>
                              <a14:imgEffect>
                                <a14:brightnessContrast contrast="-40000"/>
                              </a14:imgEffect>
                            </a14:imgLayer>
                          </a14:imgProps>
                        </a:ext>
                      </a:extLst>
                    </a:blip>
                    <a:stretch>
                      <a:fillRect/>
                    </a:stretch>
                  </pic:blipFill>
                  <pic:spPr>
                    <a:xfrm>
                      <a:off x="0" y="0"/>
                      <a:ext cx="5973009" cy="2886478"/>
                    </a:xfrm>
                    <a:prstGeom prst="rect">
                      <a:avLst/>
                    </a:prstGeom>
                  </pic:spPr>
                </pic:pic>
              </a:graphicData>
            </a:graphic>
          </wp:inline>
        </w:drawing>
      </w:r>
    </w:p>
    <w:p w:rsidR="003F402F" w:rsidRPr="00FE0C35" w:rsidRDefault="003F402F" w:rsidP="003F402F">
      <w:pPr>
        <w:spacing w:after="0" w:line="360" w:lineRule="auto"/>
        <w:jc w:val="center"/>
        <w:rPr>
          <w:rFonts w:ascii="Times New Roman" w:hAnsi="Times New Roman" w:cs="Times New Roman"/>
          <w:sz w:val="28"/>
          <w:szCs w:val="28"/>
          <w:lang w:val="uk-UA"/>
        </w:rPr>
      </w:pPr>
      <w:r w:rsidRPr="00FB57F9">
        <w:rPr>
          <w:rFonts w:ascii="Times New Roman" w:hAnsi="Times New Roman" w:cs="Times New Roman"/>
          <w:sz w:val="28"/>
          <w:szCs w:val="28"/>
          <w:lang w:val="uk-UA"/>
        </w:rPr>
        <w:t>Рис. 2.1</w:t>
      </w:r>
      <w:r>
        <w:rPr>
          <w:rFonts w:ascii="Times New Roman" w:hAnsi="Times New Roman" w:cs="Times New Roman"/>
          <w:sz w:val="28"/>
          <w:szCs w:val="28"/>
          <w:lang w:val="uk-UA"/>
        </w:rPr>
        <w:t>0</w:t>
      </w:r>
      <w:r w:rsidRPr="00FB57F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FB57F9">
        <w:rPr>
          <w:rFonts w:ascii="Times New Roman" w:hAnsi="Times New Roman" w:cs="Times New Roman"/>
          <w:sz w:val="28"/>
          <w:szCs w:val="28"/>
          <w:lang w:val="uk-UA"/>
        </w:rPr>
        <w:t>оказник</w:t>
      </w:r>
      <w:r>
        <w:rPr>
          <w:rFonts w:ascii="Times New Roman" w:hAnsi="Times New Roman" w:cs="Times New Roman"/>
          <w:sz w:val="28"/>
          <w:szCs w:val="28"/>
          <w:lang w:val="uk-UA"/>
        </w:rPr>
        <w:t>и</w:t>
      </w:r>
      <w:r w:rsidRPr="00FB57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діяльності </w:t>
      </w:r>
      <w:r w:rsidRPr="00FB57F9">
        <w:rPr>
          <w:rFonts w:ascii="Times New Roman" w:hAnsi="Times New Roman" w:cs="Times New Roman"/>
          <w:sz w:val="28"/>
          <w:szCs w:val="28"/>
          <w:lang w:val="uk-UA"/>
        </w:rPr>
        <w:t>А-Банку по серед 6</w:t>
      </w:r>
      <w:r>
        <w:rPr>
          <w:rFonts w:ascii="Times New Roman" w:hAnsi="Times New Roman" w:cs="Times New Roman"/>
          <w:sz w:val="28"/>
          <w:szCs w:val="28"/>
          <w:lang w:val="uk-UA"/>
        </w:rPr>
        <w:t>0</w:t>
      </w:r>
      <w:r w:rsidRPr="00FB57F9">
        <w:rPr>
          <w:rFonts w:ascii="Times New Roman" w:hAnsi="Times New Roman" w:cs="Times New Roman"/>
          <w:sz w:val="28"/>
          <w:szCs w:val="28"/>
          <w:lang w:val="uk-UA"/>
        </w:rPr>
        <w:t xml:space="preserve"> діючих в Україні банків</w:t>
      </w:r>
    </w:p>
    <w:p w:rsidR="003F402F" w:rsidRPr="003F402F" w:rsidRDefault="003F402F" w:rsidP="003F402F">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Статистичні індикатори, репрезентовані на рис. 2.10, свідчать, що протягом аналізованого періоду АТ «А-БАНК» виборов першість у категорії «Народний рейтинг», а також продемонстрував істотну позитивну динаміку за трьома стратегічними параметрами ринкової присутності, зокрема:</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посів 5-ту позицію у сегменті активних кредитних карток, покращивши свій попередній результат одразу на три пункти;</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забезпечив висхідне зміщення з 7-го на 6-те місце за критерієм обсягу наданих кредитів та валової заборгованості приватних осіб;</w:t>
      </w:r>
    </w:p>
    <w:p w:rsidR="003F402F" w:rsidRPr="003F402F" w:rsidRDefault="003F402F" w:rsidP="003F402F">
      <w:pPr>
        <w:pStyle w:val="a4"/>
        <w:numPr>
          <w:ilvl w:val="0"/>
          <w:numId w:val="8"/>
        </w:numPr>
        <w:spacing w:after="0" w:line="360" w:lineRule="auto"/>
        <w:ind w:left="0" w:firstLine="0"/>
        <w:jc w:val="both"/>
        <w:rPr>
          <w:rFonts w:ascii="Times New Roman" w:hAnsi="Times New Roman" w:cs="Times New Roman"/>
          <w:sz w:val="28"/>
          <w:szCs w:val="28"/>
          <w:lang w:val="uk-UA"/>
        </w:rPr>
      </w:pPr>
      <w:proofErr w:type="spellStart"/>
      <w:r w:rsidRPr="003F402F">
        <w:rPr>
          <w:rFonts w:ascii="Times New Roman" w:hAnsi="Times New Roman" w:cs="Times New Roman"/>
          <w:sz w:val="28"/>
          <w:szCs w:val="28"/>
          <w:lang w:val="uk-UA"/>
        </w:rPr>
        <w:t>зафіксувався</w:t>
      </w:r>
      <w:proofErr w:type="spellEnd"/>
      <w:r w:rsidRPr="003F402F">
        <w:rPr>
          <w:rFonts w:ascii="Times New Roman" w:hAnsi="Times New Roman" w:cs="Times New Roman"/>
          <w:sz w:val="28"/>
          <w:szCs w:val="28"/>
          <w:lang w:val="uk-UA"/>
        </w:rPr>
        <w:t xml:space="preserve"> на 11-му місці за обсягами акумуляції депозитного капіталу населення, продемонструвавши прогрес порівняно з 15-ю позицією у 2024 році.</w:t>
      </w:r>
    </w:p>
    <w:p w:rsidR="003F402F" w:rsidRPr="003F402F" w:rsidRDefault="003F402F" w:rsidP="003F402F">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Наріжним показником ефективності роздрібного бізнесу фінансової установи та ступеня її інтеграції у сферу обслуговування населення виступає чисельність емітованих активних платіжних інструментів. Поточний конкурентний статус та питому вагу досліджуваного банку на національному ринку за цим параметром візуалізовано на рис. 2.11.</w:t>
      </w:r>
    </w:p>
    <w:p w:rsidR="003F402F" w:rsidRDefault="003F402F" w:rsidP="003F402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366EEADC" wp14:editId="5834C094">
            <wp:extent cx="6057900" cy="26860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BEBA8EAE-BF5A-486C-A8C5-ECC9F3942E4B}">
                          <a14:imgProps xmlns:a14="http://schemas.microsoft.com/office/drawing/2010/main">
                            <a14:imgLayer r:embed="rId6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57900" cy="2686050"/>
                    </a:xfrm>
                    <a:prstGeom prst="rect">
                      <a:avLst/>
                    </a:prstGeom>
                    <a:noFill/>
                    <a:ln>
                      <a:noFill/>
                    </a:ln>
                  </pic:spPr>
                </pic:pic>
              </a:graphicData>
            </a:graphic>
          </wp:inline>
        </w:drawing>
      </w:r>
    </w:p>
    <w:p w:rsidR="003F402F" w:rsidRDefault="003F402F" w:rsidP="003F402F">
      <w:pPr>
        <w:spacing w:after="0" w:line="360" w:lineRule="auto"/>
        <w:jc w:val="center"/>
        <w:rPr>
          <w:rFonts w:ascii="Times New Roman" w:hAnsi="Times New Roman" w:cs="Times New Roman"/>
          <w:sz w:val="28"/>
          <w:szCs w:val="28"/>
          <w:lang w:val="uk-UA"/>
        </w:rPr>
      </w:pPr>
      <w:r w:rsidRPr="00B542F6">
        <w:rPr>
          <w:rFonts w:ascii="Times New Roman" w:hAnsi="Times New Roman" w:cs="Times New Roman"/>
          <w:sz w:val="28"/>
          <w:szCs w:val="28"/>
          <w:lang w:val="uk-UA"/>
        </w:rPr>
        <w:t>Рис. 2.1</w:t>
      </w:r>
      <w:r>
        <w:rPr>
          <w:rFonts w:ascii="Times New Roman" w:hAnsi="Times New Roman" w:cs="Times New Roman"/>
          <w:sz w:val="28"/>
          <w:szCs w:val="28"/>
          <w:lang w:val="uk-UA"/>
        </w:rPr>
        <w:t>1</w:t>
      </w:r>
      <w:r w:rsidRPr="00B542F6">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B542F6">
        <w:rPr>
          <w:rFonts w:ascii="Times New Roman" w:hAnsi="Times New Roman" w:cs="Times New Roman"/>
          <w:sz w:val="28"/>
          <w:szCs w:val="28"/>
          <w:lang w:val="uk-UA"/>
        </w:rPr>
        <w:t xml:space="preserve">егмент банківських карток </w:t>
      </w:r>
      <w:r>
        <w:rPr>
          <w:rFonts w:ascii="Times New Roman" w:hAnsi="Times New Roman" w:cs="Times New Roman"/>
          <w:sz w:val="28"/>
          <w:szCs w:val="28"/>
          <w:lang w:val="uk-UA"/>
        </w:rPr>
        <w:t>українськ</w:t>
      </w:r>
      <w:r w:rsidRPr="00B542F6">
        <w:rPr>
          <w:rFonts w:ascii="Times New Roman" w:hAnsi="Times New Roman" w:cs="Times New Roman"/>
          <w:sz w:val="28"/>
          <w:szCs w:val="28"/>
          <w:lang w:val="uk-UA"/>
        </w:rPr>
        <w:t>ого ринку на 31.12.202</w:t>
      </w:r>
      <w:r>
        <w:rPr>
          <w:rFonts w:ascii="Times New Roman" w:hAnsi="Times New Roman" w:cs="Times New Roman"/>
          <w:sz w:val="28"/>
          <w:szCs w:val="28"/>
          <w:lang w:val="uk-UA"/>
        </w:rPr>
        <w:t xml:space="preserve">5 </w:t>
      </w:r>
      <w:r w:rsidRPr="00B542F6">
        <w:rPr>
          <w:rFonts w:ascii="Times New Roman" w:hAnsi="Times New Roman" w:cs="Times New Roman"/>
          <w:sz w:val="28"/>
          <w:szCs w:val="28"/>
          <w:lang w:val="uk-UA"/>
        </w:rPr>
        <w:t>р.</w:t>
      </w:r>
    </w:p>
    <w:p w:rsidR="003F402F" w:rsidRPr="003F402F" w:rsidRDefault="003F402F" w:rsidP="003F402F">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Аналіз емпіричних даних, наведених на рис. 2.11, засвідчує, що за критерієм сукупного обсягу емітованих (активних та неанульованих) платіжних інструментів АТ «А-БАНК» утримує 5-ту позицію в загальносистемному рейтингу з показником 5 486 824 одиниці. Попереду розташовані такі фінансові інституції, як АТ КБ «Приватбанк» (50 133 996 од.), АТ «Універсал Банк» (17 523 304 од.), АТ «Ощадбанк» (16 323 861 од.) та АТ «Райффайзен Банк» (5 839 141 од.). Завдяки реалізації ефективної маркетингової стратегії, починаючи з 1 січня 2023 року досліджувана установа покращила свій конкурентний статус на одну сходинку вгору.</w:t>
      </w:r>
    </w:p>
    <w:p w:rsidR="003F402F" w:rsidRPr="003F402F" w:rsidRDefault="003F402F" w:rsidP="003F402F">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Ідентична 5-та позиція належить банку й за релевантним індикатором трансакційно активного карткового портфеля, обсяг якого становить 1 124 665 одиниць, що відображає позитивне зміщення рейтингового місця організації одразу на 3 пункти протягом 2025 року. Конкурентне ядро лідерів у цьому сегменті залишається незмінним: першість утримують Приватбанк (27 878 234 од.), Універсал Банк (7 684 018 од.), Ощадбанк (6 935 892 од.) та Райффайзен Банк (2 247 218 од.).</w:t>
      </w:r>
    </w:p>
    <w:p w:rsidR="003F402F" w:rsidRPr="003F402F" w:rsidRDefault="003F402F" w:rsidP="003F402F">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Слід підкреслити, що за обома аналізованими аналітичними параметрами безпосередньо за АТ «А-БАНК» із мінімальним відривом слідує АТ «ПУМБ». Системний зріз фундаментальних фінансово-економічних індикаторів діяльності досліджуваного банку станом на 1 січня 2026 року систематизовано в межах табл. 2.9.</w:t>
      </w:r>
    </w:p>
    <w:p w:rsidR="003F402F" w:rsidRDefault="003F402F" w:rsidP="003F402F">
      <w:pPr>
        <w:spacing w:after="0" w:line="360" w:lineRule="auto"/>
        <w:jc w:val="right"/>
        <w:rPr>
          <w:rFonts w:ascii="Times New Roman" w:hAnsi="Times New Roman" w:cs="Times New Roman"/>
          <w:sz w:val="28"/>
          <w:szCs w:val="28"/>
          <w:lang w:val="uk-UA"/>
        </w:rPr>
      </w:pPr>
      <w:r w:rsidRPr="00202A0B">
        <w:rPr>
          <w:rFonts w:ascii="Times New Roman" w:hAnsi="Times New Roman" w:cs="Times New Roman"/>
          <w:sz w:val="28"/>
          <w:szCs w:val="28"/>
          <w:lang w:val="uk-UA"/>
        </w:rPr>
        <w:lastRenderedPageBreak/>
        <w:t>Таблиця 2.9</w:t>
      </w:r>
      <w:r>
        <w:rPr>
          <w:rFonts w:ascii="Times New Roman" w:hAnsi="Times New Roman" w:cs="Times New Roman"/>
          <w:sz w:val="28"/>
          <w:szCs w:val="28"/>
          <w:lang w:val="uk-UA"/>
        </w:rPr>
        <w:t>.</w:t>
      </w:r>
    </w:p>
    <w:p w:rsidR="003F402F" w:rsidRDefault="003F402F" w:rsidP="003F402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Основні ф</w:t>
      </w:r>
      <w:r w:rsidRPr="00202A0B">
        <w:rPr>
          <w:rFonts w:ascii="Times New Roman" w:hAnsi="Times New Roman" w:cs="Times New Roman"/>
          <w:sz w:val="28"/>
          <w:szCs w:val="28"/>
          <w:lang w:val="uk-UA"/>
        </w:rPr>
        <w:t xml:space="preserve">інансові показники А-Банку на </w:t>
      </w:r>
      <w:r>
        <w:rPr>
          <w:rFonts w:ascii="Times New Roman" w:hAnsi="Times New Roman" w:cs="Times New Roman"/>
          <w:sz w:val="28"/>
          <w:szCs w:val="28"/>
          <w:lang w:val="uk-UA"/>
        </w:rPr>
        <w:t>0</w:t>
      </w:r>
      <w:r w:rsidRPr="00202A0B">
        <w:rPr>
          <w:rFonts w:ascii="Times New Roman" w:hAnsi="Times New Roman" w:cs="Times New Roman"/>
          <w:sz w:val="28"/>
          <w:szCs w:val="28"/>
          <w:lang w:val="uk-UA"/>
        </w:rPr>
        <w:t>1</w:t>
      </w:r>
      <w:r>
        <w:rPr>
          <w:rFonts w:ascii="Times New Roman" w:hAnsi="Times New Roman" w:cs="Times New Roman"/>
          <w:sz w:val="28"/>
          <w:szCs w:val="28"/>
          <w:lang w:val="uk-UA"/>
        </w:rPr>
        <w:t>.01.</w:t>
      </w:r>
      <w:r w:rsidRPr="00202A0B">
        <w:rPr>
          <w:rFonts w:ascii="Times New Roman" w:hAnsi="Times New Roman" w:cs="Times New Roman"/>
          <w:sz w:val="28"/>
          <w:szCs w:val="28"/>
          <w:lang w:val="uk-UA"/>
        </w:rPr>
        <w:t>202</w:t>
      </w:r>
      <w:r>
        <w:rPr>
          <w:rFonts w:ascii="Times New Roman" w:hAnsi="Times New Roman" w:cs="Times New Roman"/>
          <w:sz w:val="28"/>
          <w:szCs w:val="28"/>
          <w:lang w:val="uk-UA"/>
        </w:rPr>
        <w:t>6</w:t>
      </w:r>
      <w:r w:rsidRPr="00202A0B">
        <w:rPr>
          <w:rFonts w:ascii="Times New Roman" w:hAnsi="Times New Roman" w:cs="Times New Roman"/>
          <w:sz w:val="28"/>
          <w:szCs w:val="28"/>
          <w:lang w:val="uk-UA"/>
        </w:rPr>
        <w:t xml:space="preserve"> р., млн. грн.</w:t>
      </w:r>
    </w:p>
    <w:p w:rsidR="003F402F" w:rsidRDefault="003F402F" w:rsidP="003F402F">
      <w:pPr>
        <w:spacing w:after="0" w:line="360" w:lineRule="auto"/>
        <w:jc w:val="center"/>
        <w:rPr>
          <w:rFonts w:ascii="Times New Roman" w:hAnsi="Times New Roman" w:cs="Times New Roman"/>
          <w:sz w:val="28"/>
          <w:szCs w:val="28"/>
          <w:lang w:val="uk-UA"/>
        </w:rPr>
      </w:pPr>
      <w:r w:rsidRPr="00202A0B">
        <w:rPr>
          <w:rFonts w:ascii="Times New Roman" w:hAnsi="Times New Roman" w:cs="Times New Roman"/>
          <w:noProof/>
          <w:sz w:val="28"/>
          <w:szCs w:val="28"/>
          <w:lang w:val="uk-UA"/>
        </w:rPr>
        <w:drawing>
          <wp:inline distT="0" distB="0" distL="0" distR="0" wp14:anchorId="2CD4A3E8" wp14:editId="74A0D019">
            <wp:extent cx="6058746" cy="3858163"/>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BEBA8EAE-BF5A-486C-A8C5-ECC9F3942E4B}">
                          <a14:imgProps xmlns:a14="http://schemas.microsoft.com/office/drawing/2010/main">
                            <a14:imgLayer r:embed="rId65">
                              <a14:imgEffect>
                                <a14:sharpenSoften amount="50000"/>
                              </a14:imgEffect>
                              <a14:imgEffect>
                                <a14:brightnessContrast contrast="-40000"/>
                              </a14:imgEffect>
                            </a14:imgLayer>
                          </a14:imgProps>
                        </a:ext>
                      </a:extLst>
                    </a:blip>
                    <a:stretch>
                      <a:fillRect/>
                    </a:stretch>
                  </pic:blipFill>
                  <pic:spPr>
                    <a:xfrm>
                      <a:off x="0" y="0"/>
                      <a:ext cx="6058746" cy="3858163"/>
                    </a:xfrm>
                    <a:prstGeom prst="rect">
                      <a:avLst/>
                    </a:prstGeom>
                  </pic:spPr>
                </pic:pic>
              </a:graphicData>
            </a:graphic>
          </wp:inline>
        </w:drawing>
      </w:r>
    </w:p>
    <w:p w:rsidR="003F402F" w:rsidRDefault="003F402F" w:rsidP="003F402F">
      <w:pPr>
        <w:spacing w:after="0" w:line="360" w:lineRule="auto"/>
        <w:jc w:val="center"/>
        <w:rPr>
          <w:rFonts w:ascii="Times New Roman" w:hAnsi="Times New Roman" w:cs="Times New Roman"/>
          <w:sz w:val="28"/>
          <w:szCs w:val="28"/>
          <w:lang w:val="uk-UA"/>
        </w:rPr>
      </w:pPr>
    </w:p>
    <w:p w:rsidR="003F402F" w:rsidRPr="00951461" w:rsidRDefault="003F402F" w:rsidP="003F402F">
      <w:pPr>
        <w:spacing w:after="0" w:line="360" w:lineRule="auto"/>
        <w:jc w:val="center"/>
        <w:rPr>
          <w:rFonts w:ascii="Times New Roman" w:hAnsi="Times New Roman" w:cs="Times New Roman"/>
          <w:b/>
          <w:bCs/>
          <w:sz w:val="28"/>
          <w:szCs w:val="28"/>
          <w:lang w:val="uk-UA"/>
        </w:rPr>
      </w:pPr>
      <w:r w:rsidRPr="00951461">
        <w:rPr>
          <w:rFonts w:ascii="Times New Roman" w:hAnsi="Times New Roman" w:cs="Times New Roman"/>
          <w:b/>
          <w:bCs/>
          <w:sz w:val="28"/>
          <w:szCs w:val="28"/>
          <w:lang w:val="uk-UA"/>
        </w:rPr>
        <w:t>2.3. Оцінка програм лояльності аналізуємого банку і формування рекомендацій по підвищенню їх рівня</w:t>
      </w:r>
    </w:p>
    <w:p w:rsidR="003F402F" w:rsidRDefault="003F402F" w:rsidP="003F402F">
      <w:pPr>
        <w:spacing w:after="0" w:line="360" w:lineRule="auto"/>
        <w:jc w:val="center"/>
        <w:rPr>
          <w:rFonts w:ascii="Times New Roman" w:hAnsi="Times New Roman" w:cs="Times New Roman"/>
          <w:sz w:val="28"/>
          <w:szCs w:val="28"/>
          <w:lang w:val="uk-UA"/>
        </w:rPr>
      </w:pPr>
    </w:p>
    <w:p w:rsidR="003F402F" w:rsidRDefault="003F402F" w:rsidP="00A21186">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 xml:space="preserve">Функціонування фінансово-кредитної інституції вимагає чіткої підпорядкованості її операційної діяльності генеральному стратегічному курсу, вагомим складником якого виступає маркетингова парадигма. </w:t>
      </w:r>
    </w:p>
    <w:p w:rsidR="003F402F" w:rsidRDefault="003F402F" w:rsidP="00A21186">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 xml:space="preserve">Масштабна воєнна агресія </w:t>
      </w:r>
      <w:proofErr w:type="spellStart"/>
      <w:r>
        <w:rPr>
          <w:rFonts w:ascii="Times New Roman" w:hAnsi="Times New Roman" w:cs="Times New Roman"/>
          <w:sz w:val="28"/>
          <w:szCs w:val="28"/>
          <w:lang w:val="uk-UA"/>
        </w:rPr>
        <w:t>рф</w:t>
      </w:r>
      <w:proofErr w:type="spellEnd"/>
      <w:r w:rsidRPr="003F402F">
        <w:rPr>
          <w:rFonts w:ascii="Times New Roman" w:hAnsi="Times New Roman" w:cs="Times New Roman"/>
          <w:sz w:val="28"/>
          <w:szCs w:val="28"/>
          <w:lang w:val="uk-UA"/>
        </w:rPr>
        <w:t xml:space="preserve"> спричинила глибоку деструкцію національного фінансового середовища та його банківського сегмента, унаслідок чого суб'єкти ринку були змушені здійснити ревізію та адаптивну корекцію своїх перспективних планів розвитку відповідно до умов екстраординарних безпекових ризиків. </w:t>
      </w:r>
    </w:p>
    <w:p w:rsidR="003F402F" w:rsidRDefault="003F402F" w:rsidP="00A21186">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 xml:space="preserve">У межах графічної моделі на рис. 2.12 систематизовано стратегічні орієнтири та завдання АТ «А-БАНК» на 2025 рік, сформульовані </w:t>
      </w:r>
      <w:proofErr w:type="spellStart"/>
      <w:r w:rsidRPr="003F402F">
        <w:rPr>
          <w:rFonts w:ascii="Times New Roman" w:hAnsi="Times New Roman" w:cs="Times New Roman"/>
          <w:sz w:val="28"/>
          <w:szCs w:val="28"/>
          <w:lang w:val="uk-UA"/>
        </w:rPr>
        <w:t>бенефіціарами</w:t>
      </w:r>
      <w:proofErr w:type="spellEnd"/>
      <w:r w:rsidRPr="003F402F">
        <w:rPr>
          <w:rFonts w:ascii="Times New Roman" w:hAnsi="Times New Roman" w:cs="Times New Roman"/>
          <w:sz w:val="28"/>
          <w:szCs w:val="28"/>
          <w:lang w:val="uk-UA"/>
        </w:rPr>
        <w:t xml:space="preserve"> та </w:t>
      </w:r>
      <w:proofErr w:type="spellStart"/>
      <w:r w:rsidRPr="003F402F">
        <w:rPr>
          <w:rFonts w:ascii="Times New Roman" w:hAnsi="Times New Roman" w:cs="Times New Roman"/>
          <w:sz w:val="28"/>
          <w:szCs w:val="28"/>
          <w:lang w:val="uk-UA"/>
        </w:rPr>
        <w:t>топменеджментом</w:t>
      </w:r>
      <w:proofErr w:type="spellEnd"/>
      <w:r w:rsidRPr="003F402F">
        <w:rPr>
          <w:rFonts w:ascii="Times New Roman" w:hAnsi="Times New Roman" w:cs="Times New Roman"/>
          <w:sz w:val="28"/>
          <w:szCs w:val="28"/>
          <w:lang w:val="uk-UA"/>
        </w:rPr>
        <w:t xml:space="preserve"> установи.</w:t>
      </w:r>
    </w:p>
    <w:p w:rsidR="003F402F" w:rsidRDefault="003F402F" w:rsidP="003F402F">
      <w:pPr>
        <w:spacing w:after="0" w:line="360" w:lineRule="auto"/>
        <w:jc w:val="center"/>
        <w:rPr>
          <w:rFonts w:ascii="Times New Roman" w:hAnsi="Times New Roman" w:cs="Times New Roman"/>
          <w:sz w:val="28"/>
          <w:szCs w:val="28"/>
          <w:lang w:val="uk-UA"/>
        </w:rPr>
      </w:pPr>
      <w:r w:rsidRPr="00B0602A">
        <w:rPr>
          <w:rFonts w:ascii="Times New Roman" w:hAnsi="Times New Roman" w:cs="Times New Roman"/>
          <w:sz w:val="28"/>
          <w:szCs w:val="28"/>
          <w:lang w:val="uk-UA"/>
        </w:rPr>
        <w:lastRenderedPageBreak/>
        <w:drawing>
          <wp:inline distT="0" distB="0" distL="0" distR="0" wp14:anchorId="4FC7700D" wp14:editId="31227E83">
            <wp:extent cx="5569063" cy="3057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BEBA8EAE-BF5A-486C-A8C5-ECC9F3942E4B}">
                          <a14:imgProps xmlns:a14="http://schemas.microsoft.com/office/drawing/2010/main">
                            <a14:imgLayer r:embed="rId67">
                              <a14:imgEffect>
                                <a14:sharpenSoften amount="50000"/>
                              </a14:imgEffect>
                              <a14:imgEffect>
                                <a14:brightnessContrast contrast="-40000"/>
                              </a14:imgEffect>
                            </a14:imgLayer>
                          </a14:imgProps>
                        </a:ext>
                      </a:extLst>
                    </a:blip>
                    <a:stretch>
                      <a:fillRect/>
                    </a:stretch>
                  </pic:blipFill>
                  <pic:spPr>
                    <a:xfrm>
                      <a:off x="0" y="0"/>
                      <a:ext cx="5576671" cy="3061702"/>
                    </a:xfrm>
                    <a:prstGeom prst="rect">
                      <a:avLst/>
                    </a:prstGeom>
                  </pic:spPr>
                </pic:pic>
              </a:graphicData>
            </a:graphic>
          </wp:inline>
        </w:drawing>
      </w:r>
    </w:p>
    <w:p w:rsidR="003F402F" w:rsidRDefault="003F402F" w:rsidP="003F402F">
      <w:pPr>
        <w:spacing w:after="0" w:line="360" w:lineRule="auto"/>
        <w:jc w:val="center"/>
        <w:rPr>
          <w:rFonts w:ascii="Times New Roman" w:hAnsi="Times New Roman" w:cs="Times New Roman"/>
          <w:sz w:val="28"/>
          <w:szCs w:val="28"/>
          <w:lang w:val="uk-UA"/>
        </w:rPr>
      </w:pPr>
      <w:r w:rsidRPr="00B0602A">
        <w:rPr>
          <w:rFonts w:ascii="Times New Roman" w:hAnsi="Times New Roman" w:cs="Times New Roman"/>
          <w:sz w:val="28"/>
          <w:szCs w:val="28"/>
          <w:lang w:val="uk-UA"/>
        </w:rPr>
        <w:t>Рис. 2.1</w:t>
      </w:r>
      <w:r>
        <w:rPr>
          <w:rFonts w:ascii="Times New Roman" w:hAnsi="Times New Roman" w:cs="Times New Roman"/>
          <w:sz w:val="28"/>
          <w:szCs w:val="28"/>
          <w:lang w:val="uk-UA"/>
        </w:rPr>
        <w:t>2</w:t>
      </w:r>
      <w:r w:rsidRPr="00B0602A">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B0602A">
        <w:rPr>
          <w:rFonts w:ascii="Times New Roman" w:hAnsi="Times New Roman" w:cs="Times New Roman"/>
          <w:sz w:val="28"/>
          <w:szCs w:val="28"/>
          <w:lang w:val="uk-UA"/>
        </w:rPr>
        <w:t xml:space="preserve">оказники </w:t>
      </w:r>
      <w:r>
        <w:rPr>
          <w:rFonts w:ascii="Times New Roman" w:hAnsi="Times New Roman" w:cs="Times New Roman"/>
          <w:sz w:val="28"/>
          <w:szCs w:val="28"/>
          <w:lang w:val="uk-UA"/>
        </w:rPr>
        <w:t>п</w:t>
      </w:r>
      <w:r w:rsidRPr="00B0602A">
        <w:rPr>
          <w:rFonts w:ascii="Times New Roman" w:hAnsi="Times New Roman" w:cs="Times New Roman"/>
          <w:sz w:val="28"/>
          <w:szCs w:val="28"/>
          <w:lang w:val="uk-UA"/>
        </w:rPr>
        <w:t>ланов</w:t>
      </w:r>
      <w:r>
        <w:rPr>
          <w:rFonts w:ascii="Times New Roman" w:hAnsi="Times New Roman" w:cs="Times New Roman"/>
          <w:sz w:val="28"/>
          <w:szCs w:val="28"/>
          <w:lang w:val="uk-UA"/>
        </w:rPr>
        <w:t>ої</w:t>
      </w:r>
      <w:r w:rsidRPr="00B0602A">
        <w:rPr>
          <w:rFonts w:ascii="Times New Roman" w:hAnsi="Times New Roman" w:cs="Times New Roman"/>
          <w:sz w:val="28"/>
          <w:szCs w:val="28"/>
          <w:lang w:val="uk-UA"/>
        </w:rPr>
        <w:t xml:space="preserve"> діяльності А-Банку </w:t>
      </w:r>
      <w:r>
        <w:rPr>
          <w:rFonts w:ascii="Times New Roman" w:hAnsi="Times New Roman" w:cs="Times New Roman"/>
          <w:sz w:val="28"/>
          <w:szCs w:val="28"/>
          <w:lang w:val="uk-UA"/>
        </w:rPr>
        <w:t>з</w:t>
      </w:r>
      <w:r w:rsidRPr="00B0602A">
        <w:rPr>
          <w:rFonts w:ascii="Times New Roman" w:hAnsi="Times New Roman" w:cs="Times New Roman"/>
          <w:sz w:val="28"/>
          <w:szCs w:val="28"/>
          <w:lang w:val="uk-UA"/>
        </w:rPr>
        <w:t>а 202</w:t>
      </w:r>
      <w:r>
        <w:rPr>
          <w:rFonts w:ascii="Times New Roman" w:hAnsi="Times New Roman" w:cs="Times New Roman"/>
          <w:sz w:val="28"/>
          <w:szCs w:val="28"/>
          <w:lang w:val="uk-UA"/>
        </w:rPr>
        <w:t xml:space="preserve">5 </w:t>
      </w:r>
      <w:r w:rsidRPr="00B0602A">
        <w:rPr>
          <w:rFonts w:ascii="Times New Roman" w:hAnsi="Times New Roman" w:cs="Times New Roman"/>
          <w:sz w:val="28"/>
          <w:szCs w:val="28"/>
          <w:lang w:val="uk-UA"/>
        </w:rPr>
        <w:t>р</w:t>
      </w:r>
      <w:r>
        <w:rPr>
          <w:rFonts w:ascii="Times New Roman" w:hAnsi="Times New Roman" w:cs="Times New Roman"/>
          <w:sz w:val="28"/>
          <w:szCs w:val="28"/>
          <w:lang w:val="uk-UA"/>
        </w:rPr>
        <w:t>.</w:t>
      </w:r>
    </w:p>
    <w:p w:rsidR="003F402F" w:rsidRPr="003F402F" w:rsidRDefault="003F402F" w:rsidP="001C6499">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t>Аналіз цільових орієнтирів, представлених на рис. 2.12, дозволяє конкретизувати ключові стратегічні завдання, поставлені перед менеджментом та персоналом досліджуваної фінансової установи:</w:t>
      </w:r>
    </w:p>
    <w:p w:rsidR="003F402F" w:rsidRPr="001C6499" w:rsidRDefault="003F402F"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пролонгація абсолютного лідерства та утримання першого місця у категорії «Народний рейтинг банків»;</w:t>
      </w:r>
    </w:p>
    <w:p w:rsidR="003F402F" w:rsidRPr="001C6499" w:rsidRDefault="003F402F"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 xml:space="preserve">досягнення домінуючої позиції на вітчизняному ринку за обсягами емісії </w:t>
      </w:r>
      <w:proofErr w:type="spellStart"/>
      <w:r w:rsidRPr="001C6499">
        <w:rPr>
          <w:rFonts w:ascii="Times New Roman" w:hAnsi="Times New Roman" w:cs="Times New Roman"/>
          <w:sz w:val="28"/>
          <w:szCs w:val="28"/>
          <w:lang w:val="uk-UA"/>
        </w:rPr>
        <w:t>кобрендингових</w:t>
      </w:r>
      <w:proofErr w:type="spellEnd"/>
      <w:r w:rsidRPr="001C6499">
        <w:rPr>
          <w:rFonts w:ascii="Times New Roman" w:hAnsi="Times New Roman" w:cs="Times New Roman"/>
          <w:sz w:val="28"/>
          <w:szCs w:val="28"/>
          <w:lang w:val="uk-UA"/>
        </w:rPr>
        <w:t xml:space="preserve"> платіжних інструментів;</w:t>
      </w:r>
    </w:p>
    <w:p w:rsidR="003F402F" w:rsidRPr="001C6499" w:rsidRDefault="003F402F"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стабілізація ринкової частки та збереження 5-ї позиції за критерієм кількості трансакційно активних платіжних карток;</w:t>
      </w:r>
    </w:p>
    <w:p w:rsidR="003F402F" w:rsidRPr="001C6499" w:rsidRDefault="003F402F"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фіксація конкурентного статусу на рівні 11-го місця в системі за обсягами акумуляції депозитних ресурсів населення;</w:t>
      </w:r>
    </w:p>
    <w:p w:rsidR="003F402F" w:rsidRPr="001C6499" w:rsidRDefault="003F402F"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експансія на ринку еквайрингу з метою виходу до ТОП-5 фінансових інститутів за щільністю інфраструктури активних терміналів (прогрес щонайменше на три позиції);</w:t>
      </w:r>
    </w:p>
    <w:p w:rsidR="003F402F" w:rsidRPr="001C6499" w:rsidRDefault="003F402F"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інтеграція до ТОП-15 вітчизняних банків за масштабами валових активів шляхом покращення поточного рейтингового місця на два пункти;</w:t>
      </w:r>
    </w:p>
    <w:p w:rsidR="003F402F" w:rsidRPr="001C6499" w:rsidRDefault="003F402F"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забезпечення стійких позицій у першій трійці лідерів (ТОП-3) у сегменті споживчого розстрочення за програмою «Плати частинами»;</w:t>
      </w:r>
    </w:p>
    <w:p w:rsidR="003F402F" w:rsidRPr="001C6499" w:rsidRDefault="003F402F"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капіталізація HR-бренду з метою входження до рейтингу 50 найкращих роботодавців України за оцінкою авторитетного ділового видання «</w:t>
      </w:r>
      <w:proofErr w:type="spellStart"/>
      <w:r w:rsidRPr="001C6499">
        <w:rPr>
          <w:rFonts w:ascii="Times New Roman" w:hAnsi="Times New Roman" w:cs="Times New Roman"/>
          <w:sz w:val="28"/>
          <w:szCs w:val="28"/>
          <w:lang w:val="uk-UA"/>
        </w:rPr>
        <w:t>Forbes</w:t>
      </w:r>
      <w:proofErr w:type="spellEnd"/>
      <w:r w:rsidRPr="001C6499">
        <w:rPr>
          <w:rFonts w:ascii="Times New Roman" w:hAnsi="Times New Roman" w:cs="Times New Roman"/>
          <w:sz w:val="28"/>
          <w:szCs w:val="28"/>
          <w:lang w:val="uk-UA"/>
        </w:rPr>
        <w:t>».</w:t>
      </w:r>
    </w:p>
    <w:p w:rsidR="003F402F" w:rsidRPr="003F402F" w:rsidRDefault="003F402F" w:rsidP="001C6499">
      <w:pPr>
        <w:spacing w:after="0" w:line="360" w:lineRule="auto"/>
        <w:ind w:firstLine="709"/>
        <w:jc w:val="both"/>
        <w:rPr>
          <w:rFonts w:ascii="Times New Roman" w:hAnsi="Times New Roman" w:cs="Times New Roman"/>
          <w:sz w:val="28"/>
          <w:szCs w:val="28"/>
          <w:lang w:val="uk-UA"/>
        </w:rPr>
      </w:pPr>
      <w:r w:rsidRPr="003F402F">
        <w:rPr>
          <w:rFonts w:ascii="Times New Roman" w:hAnsi="Times New Roman" w:cs="Times New Roman"/>
          <w:sz w:val="28"/>
          <w:szCs w:val="28"/>
          <w:lang w:val="uk-UA"/>
        </w:rPr>
        <w:lastRenderedPageBreak/>
        <w:t>Реалізація зазначених амбітних індикаторів імперативно вимагає від банку інтенсифікації та практичного розгортання комплексу стратегічних заходів, орієнтованих на генерування, довгострокове утримання та моніторинг лояльності споживчого пулу, переважно в роздрібному сегменті. На рис. 2.13 репрезентовано аналітичну криву, яка експлікує інтервальні параметри та взаємозв'язок дескрипторів «лояльності-</w:t>
      </w:r>
      <w:proofErr w:type="spellStart"/>
      <w:r w:rsidRPr="003F402F">
        <w:rPr>
          <w:rFonts w:ascii="Times New Roman" w:hAnsi="Times New Roman" w:cs="Times New Roman"/>
          <w:sz w:val="28"/>
          <w:szCs w:val="28"/>
          <w:lang w:val="uk-UA"/>
        </w:rPr>
        <w:t>стресостійкості</w:t>
      </w:r>
      <w:proofErr w:type="spellEnd"/>
      <w:r w:rsidRPr="003F402F">
        <w:rPr>
          <w:rFonts w:ascii="Times New Roman" w:hAnsi="Times New Roman" w:cs="Times New Roman"/>
          <w:sz w:val="28"/>
          <w:szCs w:val="28"/>
          <w:lang w:val="uk-UA"/>
        </w:rPr>
        <w:t>» клієнтської бази.</w:t>
      </w:r>
    </w:p>
    <w:p w:rsidR="001C6499" w:rsidRDefault="001C6499" w:rsidP="001C6499">
      <w:pPr>
        <w:spacing w:after="0" w:line="360" w:lineRule="auto"/>
        <w:jc w:val="center"/>
        <w:rPr>
          <w:rFonts w:ascii="Times New Roman" w:hAnsi="Times New Roman" w:cs="Times New Roman"/>
          <w:sz w:val="28"/>
          <w:szCs w:val="28"/>
          <w:lang w:val="uk-UA"/>
        </w:rPr>
      </w:pPr>
      <w:r w:rsidRPr="00B0602A">
        <w:rPr>
          <w:rFonts w:ascii="Times New Roman" w:hAnsi="Times New Roman" w:cs="Times New Roman"/>
          <w:sz w:val="28"/>
          <w:szCs w:val="28"/>
          <w:lang w:val="uk-UA"/>
        </w:rPr>
        <w:drawing>
          <wp:inline distT="0" distB="0" distL="0" distR="0" wp14:anchorId="385BCCBE" wp14:editId="34CA6785">
            <wp:extent cx="5534526" cy="30480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BEBA8EAE-BF5A-486C-A8C5-ECC9F3942E4B}">
                          <a14:imgProps xmlns:a14="http://schemas.microsoft.com/office/drawing/2010/main">
                            <a14:imgLayer r:embed="rId69">
                              <a14:imgEffect>
                                <a14:sharpenSoften amount="50000"/>
                              </a14:imgEffect>
                              <a14:imgEffect>
                                <a14:brightnessContrast contrast="-40000"/>
                              </a14:imgEffect>
                            </a14:imgLayer>
                          </a14:imgProps>
                        </a:ext>
                      </a:extLst>
                    </a:blip>
                    <a:stretch>
                      <a:fillRect/>
                    </a:stretch>
                  </pic:blipFill>
                  <pic:spPr>
                    <a:xfrm>
                      <a:off x="0" y="0"/>
                      <a:ext cx="5542893" cy="3052608"/>
                    </a:xfrm>
                    <a:prstGeom prst="rect">
                      <a:avLst/>
                    </a:prstGeom>
                  </pic:spPr>
                </pic:pic>
              </a:graphicData>
            </a:graphic>
          </wp:inline>
        </w:drawing>
      </w:r>
    </w:p>
    <w:p w:rsidR="001C6499" w:rsidRDefault="001C6499" w:rsidP="001C6499">
      <w:pPr>
        <w:spacing w:after="0" w:line="360" w:lineRule="auto"/>
        <w:jc w:val="center"/>
        <w:rPr>
          <w:rFonts w:ascii="Times New Roman" w:hAnsi="Times New Roman" w:cs="Times New Roman"/>
          <w:sz w:val="28"/>
          <w:szCs w:val="28"/>
          <w:lang w:val="uk-UA"/>
        </w:rPr>
      </w:pPr>
      <w:r w:rsidRPr="00B0602A">
        <w:rPr>
          <w:rFonts w:ascii="Times New Roman" w:hAnsi="Times New Roman" w:cs="Times New Roman"/>
          <w:sz w:val="28"/>
          <w:szCs w:val="28"/>
          <w:lang w:val="uk-UA"/>
        </w:rPr>
        <w:t>Рис. 2.1</w:t>
      </w:r>
      <w:r>
        <w:rPr>
          <w:rFonts w:ascii="Times New Roman" w:hAnsi="Times New Roman" w:cs="Times New Roman"/>
          <w:sz w:val="28"/>
          <w:szCs w:val="28"/>
          <w:lang w:val="uk-UA"/>
        </w:rPr>
        <w:t>3</w:t>
      </w:r>
      <w:r w:rsidRPr="00B0602A">
        <w:rPr>
          <w:rFonts w:ascii="Times New Roman" w:hAnsi="Times New Roman" w:cs="Times New Roman"/>
          <w:sz w:val="28"/>
          <w:szCs w:val="28"/>
          <w:lang w:val="uk-UA"/>
        </w:rPr>
        <w:t xml:space="preserve">. Показники А-Банку </w:t>
      </w:r>
      <w:r>
        <w:rPr>
          <w:rFonts w:ascii="Times New Roman" w:hAnsi="Times New Roman" w:cs="Times New Roman"/>
          <w:sz w:val="28"/>
          <w:szCs w:val="28"/>
          <w:lang w:val="uk-UA"/>
        </w:rPr>
        <w:t xml:space="preserve">щодо </w:t>
      </w:r>
      <w:r w:rsidRPr="00B0602A">
        <w:rPr>
          <w:rFonts w:ascii="Times New Roman" w:hAnsi="Times New Roman" w:cs="Times New Roman"/>
          <w:sz w:val="28"/>
          <w:szCs w:val="28"/>
          <w:lang w:val="uk-UA"/>
        </w:rPr>
        <w:t>«лояльності-</w:t>
      </w:r>
      <w:proofErr w:type="spellStart"/>
      <w:r w:rsidRPr="00B0602A">
        <w:rPr>
          <w:rFonts w:ascii="Times New Roman" w:hAnsi="Times New Roman" w:cs="Times New Roman"/>
          <w:sz w:val="28"/>
          <w:szCs w:val="28"/>
          <w:lang w:val="uk-UA"/>
        </w:rPr>
        <w:t>стресостійкості</w:t>
      </w:r>
      <w:proofErr w:type="spellEnd"/>
      <w:r w:rsidRPr="00B0602A">
        <w:rPr>
          <w:rFonts w:ascii="Times New Roman" w:hAnsi="Times New Roman" w:cs="Times New Roman"/>
          <w:sz w:val="28"/>
          <w:szCs w:val="28"/>
          <w:lang w:val="uk-UA"/>
        </w:rPr>
        <w:t>» у 202</w:t>
      </w:r>
      <w:r>
        <w:rPr>
          <w:rFonts w:ascii="Times New Roman" w:hAnsi="Times New Roman" w:cs="Times New Roman"/>
          <w:sz w:val="28"/>
          <w:szCs w:val="28"/>
          <w:lang w:val="uk-UA"/>
        </w:rPr>
        <w:t>5</w:t>
      </w:r>
      <w:r w:rsidRPr="00B0602A">
        <w:rPr>
          <w:rFonts w:ascii="Times New Roman" w:hAnsi="Times New Roman" w:cs="Times New Roman"/>
          <w:sz w:val="28"/>
          <w:szCs w:val="28"/>
          <w:lang w:val="uk-UA"/>
        </w:rPr>
        <w:t xml:space="preserve"> р.</w:t>
      </w:r>
    </w:p>
    <w:p w:rsidR="003F402F" w:rsidRDefault="001C6499" w:rsidP="00A21186">
      <w:pPr>
        <w:spacing w:after="0" w:line="360" w:lineRule="auto"/>
        <w:ind w:firstLine="709"/>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Результати проведеного дослідження практичної діяльності АТ «А-БАНК» у сфері формування клієнтської прихильності засвідчують активне застосування диверсифікованого інструментарію, інтегрованого у структуру діючих карткових продуктів, специфікацію та класифікацію яких узагальнено у табл. 2.10.</w:t>
      </w:r>
    </w:p>
    <w:p w:rsidR="001C6499" w:rsidRDefault="001C6499" w:rsidP="001C6499">
      <w:pPr>
        <w:spacing w:after="0" w:line="360" w:lineRule="auto"/>
        <w:jc w:val="right"/>
        <w:rPr>
          <w:rFonts w:ascii="Times New Roman" w:hAnsi="Times New Roman" w:cs="Times New Roman"/>
          <w:sz w:val="28"/>
          <w:szCs w:val="28"/>
          <w:lang w:val="uk-UA"/>
        </w:rPr>
      </w:pPr>
      <w:r w:rsidRPr="00B0602A">
        <w:rPr>
          <w:rFonts w:ascii="Times New Roman" w:hAnsi="Times New Roman" w:cs="Times New Roman"/>
          <w:sz w:val="28"/>
          <w:szCs w:val="28"/>
          <w:lang w:val="uk-UA"/>
        </w:rPr>
        <w:t>Таблиця 2.10</w:t>
      </w:r>
      <w:r>
        <w:rPr>
          <w:rFonts w:ascii="Times New Roman" w:hAnsi="Times New Roman" w:cs="Times New Roman"/>
          <w:sz w:val="28"/>
          <w:szCs w:val="28"/>
          <w:lang w:val="uk-UA"/>
        </w:rPr>
        <w:t>.</w:t>
      </w:r>
    </w:p>
    <w:p w:rsidR="001C6499" w:rsidRDefault="001C6499" w:rsidP="001C6499">
      <w:pPr>
        <w:spacing w:after="0" w:line="360" w:lineRule="auto"/>
        <w:jc w:val="center"/>
        <w:rPr>
          <w:rFonts w:ascii="Times New Roman" w:hAnsi="Times New Roman" w:cs="Times New Roman"/>
          <w:sz w:val="28"/>
          <w:szCs w:val="28"/>
          <w:lang w:val="uk-UA"/>
        </w:rPr>
      </w:pPr>
      <w:r w:rsidRPr="00B0602A">
        <w:rPr>
          <w:rFonts w:ascii="Times New Roman" w:hAnsi="Times New Roman" w:cs="Times New Roman"/>
          <w:sz w:val="28"/>
          <w:szCs w:val="28"/>
          <w:lang w:val="uk-UA"/>
        </w:rPr>
        <w:t xml:space="preserve">Програми А-Банку </w:t>
      </w:r>
      <w:r>
        <w:rPr>
          <w:rFonts w:ascii="Times New Roman" w:hAnsi="Times New Roman" w:cs="Times New Roman"/>
          <w:sz w:val="28"/>
          <w:szCs w:val="28"/>
          <w:lang w:val="uk-UA"/>
        </w:rPr>
        <w:t xml:space="preserve">щодо </w:t>
      </w:r>
      <w:r w:rsidRPr="00B0602A">
        <w:rPr>
          <w:rFonts w:ascii="Times New Roman" w:hAnsi="Times New Roman" w:cs="Times New Roman"/>
          <w:sz w:val="28"/>
          <w:szCs w:val="28"/>
          <w:lang w:val="uk-UA"/>
        </w:rPr>
        <w:t>лояльності</w:t>
      </w:r>
    </w:p>
    <w:p w:rsidR="001C6499" w:rsidRDefault="001C6499" w:rsidP="001C6499">
      <w:pPr>
        <w:spacing w:after="0" w:line="360" w:lineRule="auto"/>
        <w:jc w:val="center"/>
        <w:rPr>
          <w:rFonts w:ascii="Times New Roman" w:hAnsi="Times New Roman" w:cs="Times New Roman"/>
          <w:sz w:val="28"/>
          <w:szCs w:val="28"/>
          <w:lang w:val="uk-UA"/>
        </w:rPr>
      </w:pPr>
      <w:r w:rsidRPr="00B0602A">
        <w:rPr>
          <w:rFonts w:ascii="Times New Roman" w:hAnsi="Times New Roman" w:cs="Times New Roman"/>
          <w:sz w:val="28"/>
          <w:szCs w:val="28"/>
          <w:lang w:val="uk-UA"/>
        </w:rPr>
        <w:drawing>
          <wp:inline distT="0" distB="0" distL="0" distR="0" wp14:anchorId="11F96F3A" wp14:editId="292CCDBA">
            <wp:extent cx="5514976" cy="211641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BEBA8EAE-BF5A-486C-A8C5-ECC9F3942E4B}">
                          <a14:imgProps xmlns:a14="http://schemas.microsoft.com/office/drawing/2010/main">
                            <a14:imgLayer r:embed="rId71">
                              <a14:imgEffect>
                                <a14:sharpenSoften amount="50000"/>
                              </a14:imgEffect>
                              <a14:imgEffect>
                                <a14:brightnessContrast contrast="-40000"/>
                              </a14:imgEffect>
                            </a14:imgLayer>
                          </a14:imgProps>
                        </a:ext>
                      </a:extLst>
                    </a:blip>
                    <a:stretch>
                      <a:fillRect/>
                    </a:stretch>
                  </pic:blipFill>
                  <pic:spPr>
                    <a:xfrm>
                      <a:off x="0" y="0"/>
                      <a:ext cx="5522076" cy="2119141"/>
                    </a:xfrm>
                    <a:prstGeom prst="rect">
                      <a:avLst/>
                    </a:prstGeom>
                  </pic:spPr>
                </pic:pic>
              </a:graphicData>
            </a:graphic>
          </wp:inline>
        </w:drawing>
      </w:r>
    </w:p>
    <w:p w:rsidR="001C6499" w:rsidRPr="001C6499" w:rsidRDefault="001C6499" w:rsidP="001C6499">
      <w:pPr>
        <w:spacing w:after="0" w:line="360" w:lineRule="auto"/>
        <w:ind w:firstLine="709"/>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lastRenderedPageBreak/>
        <w:t>З метою всебічної оцінки прикладного інструментарію банку доцільно провести дескриптивний аналіз функціонального змісту кожної з діючих маркетингових програм.</w:t>
      </w:r>
    </w:p>
    <w:p w:rsidR="001C6499" w:rsidRPr="001C6499" w:rsidRDefault="001C6499" w:rsidP="001C64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1C6499">
        <w:rPr>
          <w:rFonts w:ascii="Times New Roman" w:hAnsi="Times New Roman" w:cs="Times New Roman"/>
          <w:b/>
          <w:bCs/>
          <w:sz w:val="28"/>
          <w:szCs w:val="28"/>
          <w:lang w:val="uk-UA"/>
        </w:rPr>
        <w:t xml:space="preserve">Сумісний </w:t>
      </w:r>
      <w:proofErr w:type="spellStart"/>
      <w:r w:rsidRPr="001C6499">
        <w:rPr>
          <w:rFonts w:ascii="Times New Roman" w:hAnsi="Times New Roman" w:cs="Times New Roman"/>
          <w:b/>
          <w:bCs/>
          <w:sz w:val="28"/>
          <w:szCs w:val="28"/>
          <w:lang w:val="uk-UA"/>
        </w:rPr>
        <w:t>кобрендинговий</w:t>
      </w:r>
      <w:proofErr w:type="spellEnd"/>
      <w:r w:rsidRPr="001C6499">
        <w:rPr>
          <w:rFonts w:ascii="Times New Roman" w:hAnsi="Times New Roman" w:cs="Times New Roman"/>
          <w:b/>
          <w:bCs/>
          <w:sz w:val="28"/>
          <w:szCs w:val="28"/>
          <w:lang w:val="uk-UA"/>
        </w:rPr>
        <w:t xml:space="preserve"> </w:t>
      </w:r>
      <w:proofErr w:type="spellStart"/>
      <w:r w:rsidRPr="001C6499">
        <w:rPr>
          <w:rFonts w:ascii="Times New Roman" w:hAnsi="Times New Roman" w:cs="Times New Roman"/>
          <w:b/>
          <w:bCs/>
          <w:sz w:val="28"/>
          <w:szCs w:val="28"/>
          <w:lang w:val="uk-UA"/>
        </w:rPr>
        <w:t>проєкт</w:t>
      </w:r>
      <w:proofErr w:type="spellEnd"/>
      <w:r w:rsidRPr="001C6499">
        <w:rPr>
          <w:rFonts w:ascii="Times New Roman" w:hAnsi="Times New Roman" w:cs="Times New Roman"/>
          <w:b/>
          <w:bCs/>
          <w:sz w:val="28"/>
          <w:szCs w:val="28"/>
          <w:lang w:val="uk-UA"/>
        </w:rPr>
        <w:t xml:space="preserve"> «АТБ»</w:t>
      </w:r>
      <w:r>
        <w:rPr>
          <w:rFonts w:ascii="Times New Roman" w:hAnsi="Times New Roman" w:cs="Times New Roman"/>
          <w:sz w:val="28"/>
          <w:szCs w:val="28"/>
          <w:lang w:val="uk-UA"/>
        </w:rPr>
        <w:t>.</w:t>
      </w:r>
      <w:r w:rsidRPr="001C6499">
        <w:rPr>
          <w:rFonts w:ascii="Times New Roman" w:hAnsi="Times New Roman" w:cs="Times New Roman"/>
          <w:sz w:val="28"/>
          <w:szCs w:val="28"/>
          <w:lang w:val="uk-UA"/>
        </w:rPr>
        <w:br/>
        <w:t>Графічне кодування та візуальний профіль спеціалізованого платіжного інструменту «АТБ» від АТ «А-БАНК» репрезентовано на рис. 2.14.</w:t>
      </w:r>
    </w:p>
    <w:p w:rsidR="001C6499" w:rsidRPr="00B0602A" w:rsidRDefault="001C6499" w:rsidP="001C6499">
      <w:pPr>
        <w:spacing w:after="0" w:line="360" w:lineRule="auto"/>
        <w:jc w:val="center"/>
        <w:rPr>
          <w:rFonts w:ascii="Times New Roman" w:hAnsi="Times New Roman" w:cs="Times New Roman"/>
          <w:b/>
          <w:bCs/>
          <w:sz w:val="28"/>
          <w:szCs w:val="28"/>
          <w:lang w:val="uk-UA"/>
        </w:rPr>
      </w:pPr>
      <w:r w:rsidRPr="00B0602A">
        <w:rPr>
          <w:rFonts w:ascii="Times New Roman" w:hAnsi="Times New Roman" w:cs="Times New Roman"/>
          <w:b/>
          <w:bCs/>
          <w:sz w:val="28"/>
          <w:szCs w:val="28"/>
          <w:lang w:val="uk-UA"/>
        </w:rPr>
        <w:drawing>
          <wp:inline distT="0" distB="0" distL="0" distR="0" wp14:anchorId="1047380F" wp14:editId="173E6142">
            <wp:extent cx="3115110" cy="1952898"/>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BEBA8EAE-BF5A-486C-A8C5-ECC9F3942E4B}">
                          <a14:imgProps xmlns:a14="http://schemas.microsoft.com/office/drawing/2010/main">
                            <a14:imgLayer r:embed="rId73">
                              <a14:imgEffect>
                                <a14:sharpenSoften amount="50000"/>
                              </a14:imgEffect>
                              <a14:imgEffect>
                                <a14:brightnessContrast contrast="-40000"/>
                              </a14:imgEffect>
                            </a14:imgLayer>
                          </a14:imgProps>
                        </a:ext>
                      </a:extLst>
                    </a:blip>
                    <a:stretch>
                      <a:fillRect/>
                    </a:stretch>
                  </pic:blipFill>
                  <pic:spPr>
                    <a:xfrm>
                      <a:off x="0" y="0"/>
                      <a:ext cx="3115110" cy="1952898"/>
                    </a:xfrm>
                    <a:prstGeom prst="rect">
                      <a:avLst/>
                    </a:prstGeom>
                  </pic:spPr>
                </pic:pic>
              </a:graphicData>
            </a:graphic>
          </wp:inline>
        </w:drawing>
      </w:r>
    </w:p>
    <w:p w:rsidR="001C6499" w:rsidRPr="00FE0C35" w:rsidRDefault="001C6499" w:rsidP="001C6499">
      <w:pPr>
        <w:spacing w:after="0" w:line="360" w:lineRule="auto"/>
        <w:jc w:val="center"/>
        <w:rPr>
          <w:rFonts w:ascii="Times New Roman" w:hAnsi="Times New Roman" w:cs="Times New Roman"/>
          <w:sz w:val="28"/>
          <w:szCs w:val="28"/>
          <w:lang w:val="uk-UA"/>
        </w:rPr>
      </w:pPr>
      <w:r w:rsidRPr="00B0602A">
        <w:rPr>
          <w:rFonts w:ascii="Times New Roman" w:hAnsi="Times New Roman" w:cs="Times New Roman"/>
          <w:sz w:val="28"/>
          <w:szCs w:val="28"/>
          <w:lang w:val="uk-UA"/>
        </w:rPr>
        <w:t>Рис. 2.1</w:t>
      </w:r>
      <w:r>
        <w:rPr>
          <w:rFonts w:ascii="Times New Roman" w:hAnsi="Times New Roman" w:cs="Times New Roman"/>
          <w:sz w:val="28"/>
          <w:szCs w:val="28"/>
          <w:lang w:val="uk-UA"/>
        </w:rPr>
        <w:t>4</w:t>
      </w:r>
      <w:r w:rsidRPr="00B0602A">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B0602A">
        <w:rPr>
          <w:rFonts w:ascii="Times New Roman" w:hAnsi="Times New Roman" w:cs="Times New Roman"/>
          <w:sz w:val="28"/>
          <w:szCs w:val="28"/>
          <w:lang w:val="uk-UA"/>
        </w:rPr>
        <w:t>артк</w:t>
      </w:r>
      <w:r>
        <w:rPr>
          <w:rFonts w:ascii="Times New Roman" w:hAnsi="Times New Roman" w:cs="Times New Roman"/>
          <w:sz w:val="28"/>
          <w:szCs w:val="28"/>
          <w:lang w:val="uk-UA"/>
        </w:rPr>
        <w:t>а</w:t>
      </w:r>
      <w:r w:rsidRPr="00B0602A">
        <w:rPr>
          <w:rFonts w:ascii="Times New Roman" w:hAnsi="Times New Roman" w:cs="Times New Roman"/>
          <w:sz w:val="28"/>
          <w:szCs w:val="28"/>
          <w:lang w:val="uk-UA"/>
        </w:rPr>
        <w:t xml:space="preserve"> «АТБ» від А-Банку.</w:t>
      </w:r>
    </w:p>
    <w:p w:rsidR="001C6499" w:rsidRPr="001C6499" w:rsidRDefault="001C6499" w:rsidP="001C6499">
      <w:pPr>
        <w:spacing w:after="0" w:line="360" w:lineRule="auto"/>
        <w:ind w:firstLine="709"/>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 xml:space="preserve">Емісія та дистрибуція цього карткового продукту здійснюється на безоплатній основі як через власну філіальну мережу банку, так і безпосередньо в торговельних залах </w:t>
      </w:r>
      <w:proofErr w:type="spellStart"/>
      <w:r w:rsidRPr="001C6499">
        <w:rPr>
          <w:rFonts w:ascii="Times New Roman" w:hAnsi="Times New Roman" w:cs="Times New Roman"/>
          <w:sz w:val="28"/>
          <w:szCs w:val="28"/>
          <w:lang w:val="uk-UA"/>
        </w:rPr>
        <w:t>ритейл</w:t>
      </w:r>
      <w:proofErr w:type="spellEnd"/>
      <w:r w:rsidRPr="001C6499">
        <w:rPr>
          <w:rFonts w:ascii="Times New Roman" w:hAnsi="Times New Roman" w:cs="Times New Roman"/>
          <w:sz w:val="28"/>
          <w:szCs w:val="28"/>
          <w:lang w:val="uk-UA"/>
        </w:rPr>
        <w:t>-партнера. Реалізація цієї програми лояльності забезпечує утримувачу комплекс матеріальних та операційних преференцій:</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 xml:space="preserve">генерація стартового фінансового заохочення у формі вітального </w:t>
      </w:r>
      <w:proofErr w:type="spellStart"/>
      <w:r w:rsidRPr="001C6499">
        <w:rPr>
          <w:rFonts w:ascii="Times New Roman" w:hAnsi="Times New Roman" w:cs="Times New Roman"/>
          <w:sz w:val="28"/>
          <w:szCs w:val="28"/>
          <w:lang w:val="uk-UA"/>
        </w:rPr>
        <w:t>кешбеку</w:t>
      </w:r>
      <w:proofErr w:type="spellEnd"/>
      <w:r w:rsidRPr="001C6499">
        <w:rPr>
          <w:rFonts w:ascii="Times New Roman" w:hAnsi="Times New Roman" w:cs="Times New Roman"/>
          <w:sz w:val="28"/>
          <w:szCs w:val="28"/>
          <w:lang w:val="uk-UA"/>
        </w:rPr>
        <w:t xml:space="preserve"> в обсязі 50 грн при первинній верифікації;</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гібридний формат оперування (</w:t>
      </w:r>
      <w:proofErr w:type="spellStart"/>
      <w:r w:rsidRPr="001C6499">
        <w:rPr>
          <w:rFonts w:ascii="Times New Roman" w:hAnsi="Times New Roman" w:cs="Times New Roman"/>
          <w:sz w:val="28"/>
          <w:szCs w:val="28"/>
          <w:lang w:val="uk-UA"/>
        </w:rPr>
        <w:t>дебетово</w:t>
      </w:r>
      <w:proofErr w:type="spellEnd"/>
      <w:r w:rsidRPr="001C6499">
        <w:rPr>
          <w:rFonts w:ascii="Times New Roman" w:hAnsi="Times New Roman" w:cs="Times New Roman"/>
          <w:sz w:val="28"/>
          <w:szCs w:val="28"/>
          <w:lang w:val="uk-UA"/>
        </w:rPr>
        <w:t>-кредитний) із можливістю встановлення ліміту овердрафту в діапазоні від 1 тис. до 200 тис. грн;</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повернення коштів (</w:t>
      </w:r>
      <w:proofErr w:type="spellStart"/>
      <w:r w:rsidRPr="001C6499">
        <w:rPr>
          <w:rFonts w:ascii="Times New Roman" w:hAnsi="Times New Roman" w:cs="Times New Roman"/>
          <w:sz w:val="28"/>
          <w:szCs w:val="28"/>
          <w:lang w:val="uk-UA"/>
        </w:rPr>
        <w:t>кешбек</w:t>
      </w:r>
      <w:proofErr w:type="spellEnd"/>
      <w:r w:rsidRPr="001C6499">
        <w:rPr>
          <w:rFonts w:ascii="Times New Roman" w:hAnsi="Times New Roman" w:cs="Times New Roman"/>
          <w:sz w:val="28"/>
          <w:szCs w:val="28"/>
          <w:lang w:val="uk-UA"/>
        </w:rPr>
        <w:t>) у розмірі 1,2% від суми трансакцій, здійснених усередині торгової мережі «АТБ»;</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 xml:space="preserve">нарахування диференційованого </w:t>
      </w:r>
      <w:proofErr w:type="spellStart"/>
      <w:r w:rsidRPr="001C6499">
        <w:rPr>
          <w:rFonts w:ascii="Times New Roman" w:hAnsi="Times New Roman" w:cs="Times New Roman"/>
          <w:sz w:val="28"/>
          <w:szCs w:val="28"/>
          <w:lang w:val="uk-UA"/>
        </w:rPr>
        <w:t>кешбеку</w:t>
      </w:r>
      <w:proofErr w:type="spellEnd"/>
      <w:r w:rsidRPr="001C6499">
        <w:rPr>
          <w:rFonts w:ascii="Times New Roman" w:hAnsi="Times New Roman" w:cs="Times New Roman"/>
          <w:sz w:val="28"/>
          <w:szCs w:val="28"/>
          <w:lang w:val="uk-UA"/>
        </w:rPr>
        <w:t xml:space="preserve"> обсягом до 20% у межах партнерських угод у виділених категоріях («Аврора», «Епіцентр», </w:t>
      </w:r>
      <w:proofErr w:type="spellStart"/>
      <w:r w:rsidRPr="001C6499">
        <w:rPr>
          <w:rFonts w:ascii="Times New Roman" w:hAnsi="Times New Roman" w:cs="Times New Roman"/>
          <w:sz w:val="28"/>
          <w:szCs w:val="28"/>
          <w:lang w:val="uk-UA"/>
        </w:rPr>
        <w:t>Megogo</w:t>
      </w:r>
      <w:proofErr w:type="spellEnd"/>
      <w:r w:rsidRPr="001C6499">
        <w:rPr>
          <w:rFonts w:ascii="Times New Roman" w:hAnsi="Times New Roman" w:cs="Times New Roman"/>
          <w:sz w:val="28"/>
          <w:szCs w:val="28"/>
          <w:lang w:val="uk-UA"/>
        </w:rPr>
        <w:t xml:space="preserve">, COMFY, WOG, MOYO, EZOO, </w:t>
      </w:r>
      <w:proofErr w:type="spellStart"/>
      <w:r w:rsidRPr="001C6499">
        <w:rPr>
          <w:rFonts w:ascii="Times New Roman" w:hAnsi="Times New Roman" w:cs="Times New Roman"/>
          <w:sz w:val="28"/>
          <w:szCs w:val="28"/>
          <w:lang w:val="uk-UA"/>
        </w:rPr>
        <w:t>Knigoland</w:t>
      </w:r>
      <w:proofErr w:type="spellEnd"/>
      <w:r w:rsidRPr="001C6499">
        <w:rPr>
          <w:rFonts w:ascii="Times New Roman" w:hAnsi="Times New Roman" w:cs="Times New Roman"/>
          <w:sz w:val="28"/>
          <w:szCs w:val="28"/>
          <w:lang w:val="uk-UA"/>
        </w:rPr>
        <w:t>, Книгарня «Є» тощо);</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нульова вартість відкриття та подальшого операційного супроводу карткового рахунку;</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proofErr w:type="spellStart"/>
      <w:r w:rsidRPr="001C6499">
        <w:rPr>
          <w:rFonts w:ascii="Times New Roman" w:hAnsi="Times New Roman" w:cs="Times New Roman"/>
          <w:sz w:val="28"/>
          <w:szCs w:val="28"/>
          <w:lang w:val="uk-UA"/>
        </w:rPr>
        <w:t>депозитування</w:t>
      </w:r>
      <w:proofErr w:type="spellEnd"/>
      <w:r w:rsidRPr="001C6499">
        <w:rPr>
          <w:rFonts w:ascii="Times New Roman" w:hAnsi="Times New Roman" w:cs="Times New Roman"/>
          <w:sz w:val="28"/>
          <w:szCs w:val="28"/>
          <w:lang w:val="uk-UA"/>
        </w:rPr>
        <w:t xml:space="preserve"> та поповнення балансу мобільних пристроїв національних телекомунікаційних операторів без стягнення комісійної винагороди;</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lastRenderedPageBreak/>
        <w:t xml:space="preserve">безкоштовне інкасування та трансакційне наповнення картки через термінальні мережі самообслуговування </w:t>
      </w:r>
      <w:proofErr w:type="spellStart"/>
      <w:r w:rsidRPr="001C6499">
        <w:rPr>
          <w:rFonts w:ascii="Times New Roman" w:hAnsi="Times New Roman" w:cs="Times New Roman"/>
          <w:sz w:val="28"/>
          <w:szCs w:val="28"/>
          <w:lang w:val="uk-UA"/>
        </w:rPr>
        <w:t>EasyPay</w:t>
      </w:r>
      <w:proofErr w:type="spellEnd"/>
      <w:r w:rsidRPr="001C6499">
        <w:rPr>
          <w:rFonts w:ascii="Times New Roman" w:hAnsi="Times New Roman" w:cs="Times New Roman"/>
          <w:sz w:val="28"/>
          <w:szCs w:val="28"/>
          <w:lang w:val="uk-UA"/>
        </w:rPr>
        <w:t xml:space="preserve"> та City24;</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 xml:space="preserve">здійснення розрахунків за житлово-комунальні послуги з нульовою тарифною ставкою через мобільну платформу «А-Bank24» (для порівняння, АТ КБ «Приватбанк» регламентує фіксований мінімальний збір за кожну аналогічну трансакцію), що є вагомим чинником заощадження при багатокомпонентних комунальних </w:t>
      </w:r>
      <w:proofErr w:type="spellStart"/>
      <w:r w:rsidRPr="001C6499">
        <w:rPr>
          <w:rFonts w:ascii="Times New Roman" w:hAnsi="Times New Roman" w:cs="Times New Roman"/>
          <w:sz w:val="28"/>
          <w:szCs w:val="28"/>
          <w:lang w:val="uk-UA"/>
        </w:rPr>
        <w:t>платежах</w:t>
      </w:r>
      <w:proofErr w:type="spellEnd"/>
      <w:r w:rsidRPr="001C6499">
        <w:rPr>
          <w:rFonts w:ascii="Times New Roman" w:hAnsi="Times New Roman" w:cs="Times New Roman"/>
          <w:sz w:val="28"/>
          <w:szCs w:val="28"/>
          <w:lang w:val="uk-UA"/>
        </w:rPr>
        <w:t>.</w:t>
      </w:r>
    </w:p>
    <w:p w:rsidR="001C6499" w:rsidRPr="001C6499" w:rsidRDefault="001C6499" w:rsidP="001C6499">
      <w:pPr>
        <w:spacing w:after="0" w:line="360" w:lineRule="auto"/>
        <w:ind w:firstLine="709"/>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Специфічною перевагою виступає паритетна дисконтна угода, згідно з якою користувачам надається додаткова ексклюзивна знижка у розмірі 5% на фіксовану номенклатурну групу (понад 1000 найменувань товарів), ротація якої здійснюється циклічно кожні 1-2 тижні.</w:t>
      </w:r>
    </w:p>
    <w:p w:rsidR="001C6499" w:rsidRPr="001C6499" w:rsidRDefault="001C6499" w:rsidP="001C6499">
      <w:pPr>
        <w:pStyle w:val="a4"/>
        <w:spacing w:after="0" w:line="360" w:lineRule="auto"/>
        <w:ind w:left="0" w:firstLine="709"/>
        <w:jc w:val="both"/>
        <w:rPr>
          <w:rFonts w:ascii="Times New Roman" w:hAnsi="Times New Roman" w:cs="Times New Roman"/>
          <w:sz w:val="28"/>
          <w:szCs w:val="28"/>
          <w:lang w:val="uk-UA"/>
        </w:rPr>
      </w:pPr>
      <w:r w:rsidRPr="001C6499">
        <w:rPr>
          <w:rFonts w:ascii="Times New Roman" w:hAnsi="Times New Roman" w:cs="Times New Roman"/>
          <w:b/>
          <w:bCs/>
          <w:sz w:val="28"/>
          <w:szCs w:val="28"/>
          <w:lang w:val="uk-UA"/>
        </w:rPr>
        <w:t xml:space="preserve">2) </w:t>
      </w:r>
      <w:r w:rsidRPr="001C6499">
        <w:rPr>
          <w:rFonts w:ascii="Times New Roman" w:hAnsi="Times New Roman" w:cs="Times New Roman"/>
          <w:b/>
          <w:bCs/>
          <w:sz w:val="28"/>
          <w:szCs w:val="28"/>
          <w:lang w:val="uk-UA"/>
        </w:rPr>
        <w:t>Партнерська карткова програма «Вигода»</w:t>
      </w:r>
      <w:r w:rsidRPr="001C6499">
        <w:rPr>
          <w:rFonts w:ascii="Times New Roman" w:hAnsi="Times New Roman" w:cs="Times New Roman"/>
          <w:b/>
          <w:bCs/>
          <w:sz w:val="28"/>
          <w:szCs w:val="28"/>
          <w:lang w:val="uk-UA"/>
        </w:rPr>
        <w:t>.</w:t>
      </w:r>
      <w:r w:rsidRPr="001C6499">
        <w:rPr>
          <w:rFonts w:ascii="Times New Roman" w:hAnsi="Times New Roman" w:cs="Times New Roman"/>
          <w:sz w:val="28"/>
          <w:szCs w:val="28"/>
          <w:lang w:val="uk-UA"/>
        </w:rPr>
        <w:br/>
        <w:t>Даний продукт орієнтований на синергію з будівельно-господарськими гіпермаркетами та характеризується такими фінансово-економічними параметрами:</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надання безвідсоткового розстрочення (товарного кредиту) терміном до 6 місяців за номінальною ставкою 0,00001% річних;</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 xml:space="preserve">нарахування універсального </w:t>
      </w:r>
      <w:proofErr w:type="spellStart"/>
      <w:r w:rsidRPr="001C6499">
        <w:rPr>
          <w:rFonts w:ascii="Times New Roman" w:hAnsi="Times New Roman" w:cs="Times New Roman"/>
          <w:sz w:val="28"/>
          <w:szCs w:val="28"/>
          <w:lang w:val="uk-UA"/>
        </w:rPr>
        <w:t>кешбеку</w:t>
      </w:r>
      <w:proofErr w:type="spellEnd"/>
      <w:r w:rsidRPr="001C6499">
        <w:rPr>
          <w:rFonts w:ascii="Times New Roman" w:hAnsi="Times New Roman" w:cs="Times New Roman"/>
          <w:sz w:val="28"/>
          <w:szCs w:val="28"/>
          <w:lang w:val="uk-UA"/>
        </w:rPr>
        <w:t xml:space="preserve"> в розмірі 1% від обсягу трансакцій у сторонніх торговельних мережах;</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гнучкий діапазон лімітування запозичень (від 1 000 до 200 000 ₴);</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акумуляція спеціалізованих балів «Вигода» в обсязі 1% при здійсненні купівель у мережі «Епіцентр»;</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базове відсоткове навантаження на рівні 3,4% на місяць поза межами пільгового періоду;</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 xml:space="preserve">тривалість </w:t>
      </w:r>
      <w:proofErr w:type="spellStart"/>
      <w:r w:rsidRPr="001C6499">
        <w:rPr>
          <w:rFonts w:ascii="Times New Roman" w:hAnsi="Times New Roman" w:cs="Times New Roman"/>
          <w:sz w:val="28"/>
          <w:szCs w:val="28"/>
          <w:lang w:val="uk-UA"/>
        </w:rPr>
        <w:t>грейс</w:t>
      </w:r>
      <w:proofErr w:type="spellEnd"/>
      <w:r w:rsidRPr="001C6499">
        <w:rPr>
          <w:rFonts w:ascii="Times New Roman" w:hAnsi="Times New Roman" w:cs="Times New Roman"/>
          <w:sz w:val="28"/>
          <w:szCs w:val="28"/>
          <w:lang w:val="uk-UA"/>
        </w:rPr>
        <w:t>-періоду (пільгового кредитування) до 62 календарних днів;</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безоплатний характер емісії та поточного клієнтського обслуговування;</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надання одноразової преміальної винагороди (екстра-</w:t>
      </w:r>
      <w:proofErr w:type="spellStart"/>
      <w:r w:rsidRPr="001C6499">
        <w:rPr>
          <w:rFonts w:ascii="Times New Roman" w:hAnsi="Times New Roman" w:cs="Times New Roman"/>
          <w:sz w:val="28"/>
          <w:szCs w:val="28"/>
          <w:lang w:val="uk-UA"/>
        </w:rPr>
        <w:t>кешбеку</w:t>
      </w:r>
      <w:proofErr w:type="spellEnd"/>
      <w:r w:rsidRPr="001C6499">
        <w:rPr>
          <w:rFonts w:ascii="Times New Roman" w:hAnsi="Times New Roman" w:cs="Times New Roman"/>
          <w:sz w:val="28"/>
          <w:szCs w:val="28"/>
          <w:lang w:val="uk-UA"/>
        </w:rPr>
        <w:t>) у розмірі 100 грн.</w:t>
      </w:r>
    </w:p>
    <w:p w:rsidR="001C6499" w:rsidRPr="001C6499" w:rsidRDefault="001C6499" w:rsidP="001C64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3) </w:t>
      </w:r>
      <w:r w:rsidRPr="001C6499">
        <w:rPr>
          <w:rFonts w:ascii="Times New Roman" w:hAnsi="Times New Roman" w:cs="Times New Roman"/>
          <w:b/>
          <w:bCs/>
          <w:sz w:val="28"/>
          <w:szCs w:val="28"/>
          <w:lang w:val="uk-UA"/>
        </w:rPr>
        <w:t>Спеціалізована роздрібна програма «Дитяча»</w:t>
      </w:r>
      <w:r>
        <w:rPr>
          <w:rFonts w:ascii="Times New Roman" w:hAnsi="Times New Roman" w:cs="Times New Roman"/>
          <w:b/>
          <w:bCs/>
          <w:sz w:val="28"/>
          <w:szCs w:val="28"/>
          <w:lang w:val="uk-UA"/>
        </w:rPr>
        <w:t>.</w:t>
      </w:r>
      <w:r w:rsidRPr="001C6499">
        <w:rPr>
          <w:rFonts w:ascii="Times New Roman" w:hAnsi="Times New Roman" w:cs="Times New Roman"/>
          <w:sz w:val="28"/>
          <w:szCs w:val="28"/>
          <w:lang w:val="uk-UA"/>
        </w:rPr>
        <w:br/>
        <w:t xml:space="preserve">Цей продукт позиціонується фінансовим інститутом як інноваційний цифровий </w:t>
      </w:r>
      <w:r w:rsidRPr="001C6499">
        <w:rPr>
          <w:rFonts w:ascii="Times New Roman" w:hAnsi="Times New Roman" w:cs="Times New Roman"/>
          <w:sz w:val="28"/>
          <w:szCs w:val="28"/>
          <w:lang w:val="uk-UA"/>
        </w:rPr>
        <w:lastRenderedPageBreak/>
        <w:t xml:space="preserve">еквівалент кишенькових грошей, адаптований для вікової когорти від 6 до 17 років. Програма поєднує фінансову автономію </w:t>
      </w:r>
      <w:proofErr w:type="spellStart"/>
      <w:r w:rsidRPr="001C6499">
        <w:rPr>
          <w:rFonts w:ascii="Times New Roman" w:hAnsi="Times New Roman" w:cs="Times New Roman"/>
          <w:sz w:val="28"/>
          <w:szCs w:val="28"/>
          <w:lang w:val="uk-UA"/>
        </w:rPr>
        <w:t>підлітка</w:t>
      </w:r>
      <w:proofErr w:type="spellEnd"/>
      <w:r w:rsidRPr="001C6499">
        <w:rPr>
          <w:rFonts w:ascii="Times New Roman" w:hAnsi="Times New Roman" w:cs="Times New Roman"/>
          <w:sz w:val="28"/>
          <w:szCs w:val="28"/>
          <w:lang w:val="uk-UA"/>
        </w:rPr>
        <w:t xml:space="preserve"> із жорстким батьківським моніторингом, забезпечуючи реалізацію трьох базових цільових орієнтирів:</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мінімізація безпекових ризиків втрати фінансових ресурсів;</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транспарентність витрат завдяки миттєвому інформуванню батьків через мобільний застосунок;</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нульова тарифна ставка на операції з поповнення карткового балансу.</w:t>
      </w:r>
    </w:p>
    <w:p w:rsidR="001C6499" w:rsidRPr="001C6499" w:rsidRDefault="001C6499" w:rsidP="001C64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4) </w:t>
      </w:r>
      <w:r w:rsidRPr="001C6499">
        <w:rPr>
          <w:rFonts w:ascii="Times New Roman" w:hAnsi="Times New Roman" w:cs="Times New Roman"/>
          <w:b/>
          <w:bCs/>
          <w:sz w:val="28"/>
          <w:szCs w:val="28"/>
          <w:lang w:val="uk-UA"/>
        </w:rPr>
        <w:t xml:space="preserve">Соціально-орієнтований картковий </w:t>
      </w:r>
      <w:proofErr w:type="spellStart"/>
      <w:r w:rsidRPr="001C6499">
        <w:rPr>
          <w:rFonts w:ascii="Times New Roman" w:hAnsi="Times New Roman" w:cs="Times New Roman"/>
          <w:b/>
          <w:bCs/>
          <w:sz w:val="28"/>
          <w:szCs w:val="28"/>
          <w:lang w:val="uk-UA"/>
        </w:rPr>
        <w:t>проєкт</w:t>
      </w:r>
      <w:proofErr w:type="spellEnd"/>
      <w:r w:rsidRPr="001C6499">
        <w:rPr>
          <w:rFonts w:ascii="Times New Roman" w:hAnsi="Times New Roman" w:cs="Times New Roman"/>
          <w:b/>
          <w:bCs/>
          <w:sz w:val="28"/>
          <w:szCs w:val="28"/>
          <w:lang w:val="uk-UA"/>
        </w:rPr>
        <w:t xml:space="preserve"> «Українці разом»</w:t>
      </w:r>
      <w:r>
        <w:rPr>
          <w:rFonts w:ascii="Times New Roman" w:hAnsi="Times New Roman" w:cs="Times New Roman"/>
          <w:b/>
          <w:bCs/>
          <w:sz w:val="28"/>
          <w:szCs w:val="28"/>
          <w:lang w:val="uk-UA"/>
        </w:rPr>
        <w:t>.</w:t>
      </w:r>
      <w:r w:rsidRPr="001C6499">
        <w:rPr>
          <w:rFonts w:ascii="Times New Roman" w:hAnsi="Times New Roman" w:cs="Times New Roman"/>
          <w:sz w:val="28"/>
          <w:szCs w:val="28"/>
          <w:lang w:val="uk-UA"/>
        </w:rPr>
        <w:br/>
        <w:t>Даний продукт позиціонується банком як комплексне рішення для задоволення базових фінансових потреб клієнтів із паралельним наданням преференційного сервісу та цінових дисконтів для ветеранів, учасників бойових дій та членів їхніх родин. До ключових параметрів цієї програми лояльності належать:</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гнучкий діапазон лімітування відновлюваної кредитної лінії (від 1 000 до 200 000 грн);</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базова відсоткова ставка за користування позичковим капіталом на рівні 3,4% на місяць;</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 xml:space="preserve">нарахування диференційованого </w:t>
      </w:r>
      <w:proofErr w:type="spellStart"/>
      <w:r w:rsidRPr="001C6499">
        <w:rPr>
          <w:rFonts w:ascii="Times New Roman" w:hAnsi="Times New Roman" w:cs="Times New Roman"/>
          <w:sz w:val="28"/>
          <w:szCs w:val="28"/>
          <w:lang w:val="uk-UA"/>
        </w:rPr>
        <w:t>кешбеку</w:t>
      </w:r>
      <w:proofErr w:type="spellEnd"/>
      <w:r w:rsidRPr="001C6499">
        <w:rPr>
          <w:rFonts w:ascii="Times New Roman" w:hAnsi="Times New Roman" w:cs="Times New Roman"/>
          <w:sz w:val="28"/>
          <w:szCs w:val="28"/>
          <w:lang w:val="uk-UA"/>
        </w:rPr>
        <w:t xml:space="preserve"> обсягом до 20% у межах партнерських угод у виділених категоріях;</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надання пільгового періоду (</w:t>
      </w:r>
      <w:proofErr w:type="spellStart"/>
      <w:r w:rsidRPr="001C6499">
        <w:rPr>
          <w:rFonts w:ascii="Times New Roman" w:hAnsi="Times New Roman" w:cs="Times New Roman"/>
          <w:sz w:val="28"/>
          <w:szCs w:val="28"/>
          <w:lang w:val="uk-UA"/>
        </w:rPr>
        <w:t>грейс</w:t>
      </w:r>
      <w:proofErr w:type="spellEnd"/>
      <w:r w:rsidRPr="001C6499">
        <w:rPr>
          <w:rFonts w:ascii="Times New Roman" w:hAnsi="Times New Roman" w:cs="Times New Roman"/>
          <w:sz w:val="28"/>
          <w:szCs w:val="28"/>
          <w:lang w:val="uk-UA"/>
        </w:rPr>
        <w:t>-періоду) тривалістю до 62 календарних днів для безвідсоткового погашення заборгованості;</w:t>
      </w:r>
    </w:p>
    <w:p w:rsidR="001C6499" w:rsidRPr="001C6499" w:rsidRDefault="001C6499" w:rsidP="001C6499">
      <w:pPr>
        <w:pStyle w:val="a4"/>
        <w:numPr>
          <w:ilvl w:val="0"/>
          <w:numId w:val="8"/>
        </w:numPr>
        <w:spacing w:after="0" w:line="360" w:lineRule="auto"/>
        <w:ind w:left="0" w:firstLine="0"/>
        <w:jc w:val="both"/>
        <w:rPr>
          <w:rFonts w:ascii="Times New Roman" w:hAnsi="Times New Roman" w:cs="Times New Roman"/>
          <w:sz w:val="28"/>
          <w:szCs w:val="28"/>
          <w:lang w:val="uk-UA"/>
        </w:rPr>
      </w:pPr>
      <w:r w:rsidRPr="001C6499">
        <w:rPr>
          <w:rFonts w:ascii="Times New Roman" w:hAnsi="Times New Roman" w:cs="Times New Roman"/>
          <w:sz w:val="28"/>
          <w:szCs w:val="28"/>
          <w:lang w:val="uk-UA"/>
        </w:rPr>
        <w:t>нульова тарифна ставка на емісію та сервісний супровід картки, а також на трансакції з поповнення рахунків мобільних операторів.</w:t>
      </w:r>
    </w:p>
    <w:p w:rsidR="001C6499" w:rsidRPr="001C6499" w:rsidRDefault="001C6499" w:rsidP="001C64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5) </w:t>
      </w:r>
      <w:r w:rsidRPr="001C6499">
        <w:rPr>
          <w:rFonts w:ascii="Times New Roman" w:hAnsi="Times New Roman" w:cs="Times New Roman"/>
          <w:b/>
          <w:bCs/>
          <w:sz w:val="28"/>
          <w:szCs w:val="28"/>
          <w:lang w:val="uk-UA"/>
        </w:rPr>
        <w:t>Спеціалізована державна програма «</w:t>
      </w:r>
      <w:proofErr w:type="spellStart"/>
      <w:r w:rsidRPr="001C6499">
        <w:rPr>
          <w:rFonts w:ascii="Times New Roman" w:hAnsi="Times New Roman" w:cs="Times New Roman"/>
          <w:b/>
          <w:bCs/>
          <w:sz w:val="28"/>
          <w:szCs w:val="28"/>
          <w:lang w:val="uk-UA"/>
        </w:rPr>
        <w:t>єВідновлення</w:t>
      </w:r>
      <w:proofErr w:type="spellEnd"/>
      <w:r w:rsidRPr="001C6499">
        <w:rPr>
          <w:rFonts w:ascii="Times New Roman" w:hAnsi="Times New Roman" w:cs="Times New Roman"/>
          <w:b/>
          <w:bCs/>
          <w:sz w:val="28"/>
          <w:szCs w:val="28"/>
          <w:lang w:val="uk-UA"/>
        </w:rPr>
        <w:t>»</w:t>
      </w:r>
      <w:r>
        <w:rPr>
          <w:rFonts w:ascii="Times New Roman" w:hAnsi="Times New Roman" w:cs="Times New Roman"/>
          <w:b/>
          <w:bCs/>
          <w:sz w:val="28"/>
          <w:szCs w:val="28"/>
          <w:lang w:val="uk-UA"/>
        </w:rPr>
        <w:t>.</w:t>
      </w:r>
      <w:r w:rsidRPr="001C6499">
        <w:rPr>
          <w:rFonts w:ascii="Times New Roman" w:hAnsi="Times New Roman" w:cs="Times New Roman"/>
          <w:sz w:val="28"/>
          <w:szCs w:val="28"/>
          <w:lang w:val="uk-UA"/>
        </w:rPr>
        <w:br/>
        <w:t xml:space="preserve">Цей платіжний інструмент виступає результатом спільної ініціативи банку та Кабінету Міністрів України, спрямованої на акумуляцію та цільове використання грошової компенсації за пошкоджену внаслідок воєнних дій нерухомість. Верифікація та відкриття карткового рахунку реалізуються через Єдиний державний </w:t>
      </w:r>
      <w:proofErr w:type="spellStart"/>
      <w:r w:rsidRPr="001C6499">
        <w:rPr>
          <w:rFonts w:ascii="Times New Roman" w:hAnsi="Times New Roman" w:cs="Times New Roman"/>
          <w:sz w:val="28"/>
          <w:szCs w:val="28"/>
          <w:lang w:val="uk-UA"/>
        </w:rPr>
        <w:t>вебпортал</w:t>
      </w:r>
      <w:proofErr w:type="spellEnd"/>
      <w:r w:rsidRPr="001C6499">
        <w:rPr>
          <w:rFonts w:ascii="Times New Roman" w:hAnsi="Times New Roman" w:cs="Times New Roman"/>
          <w:sz w:val="28"/>
          <w:szCs w:val="28"/>
          <w:lang w:val="uk-UA"/>
        </w:rPr>
        <w:t xml:space="preserve"> електронних послуг «Дія». Специфічний маркетинговий стимул передбачає повернення 10% </w:t>
      </w:r>
      <w:proofErr w:type="spellStart"/>
      <w:r w:rsidRPr="001C6499">
        <w:rPr>
          <w:rFonts w:ascii="Times New Roman" w:hAnsi="Times New Roman" w:cs="Times New Roman"/>
          <w:sz w:val="28"/>
          <w:szCs w:val="28"/>
          <w:lang w:val="uk-UA"/>
        </w:rPr>
        <w:t>кешбеку</w:t>
      </w:r>
      <w:proofErr w:type="spellEnd"/>
      <w:r w:rsidRPr="001C6499">
        <w:rPr>
          <w:rFonts w:ascii="Times New Roman" w:hAnsi="Times New Roman" w:cs="Times New Roman"/>
          <w:sz w:val="28"/>
          <w:szCs w:val="28"/>
          <w:lang w:val="uk-UA"/>
        </w:rPr>
        <w:t xml:space="preserve"> на покупки в будівельних гіпермаркетах «Епіцентр» у межах перших 5 000 грн витрат, та 2% </w:t>
      </w:r>
      <w:r w:rsidRPr="001C6499">
        <w:rPr>
          <w:rFonts w:ascii="Times New Roman" w:hAnsi="Times New Roman" w:cs="Times New Roman"/>
          <w:sz w:val="28"/>
          <w:szCs w:val="28"/>
          <w:lang w:val="uk-UA"/>
        </w:rPr>
        <w:lastRenderedPageBreak/>
        <w:t>— на подальші трансакції. Використання бюджетних коштів суворо регламентоване: їх дозволено спрямовувати виключно на придбання будівельних матеріалів чи оплату підрядних ремонтно-будівельних робіт.</w:t>
      </w:r>
    </w:p>
    <w:p w:rsidR="001C6499" w:rsidRPr="001C6499" w:rsidRDefault="00434542" w:rsidP="001C64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6) </w:t>
      </w:r>
      <w:r w:rsidR="001C6499" w:rsidRPr="001C6499">
        <w:rPr>
          <w:rFonts w:ascii="Times New Roman" w:hAnsi="Times New Roman" w:cs="Times New Roman"/>
          <w:b/>
          <w:bCs/>
          <w:sz w:val="28"/>
          <w:szCs w:val="28"/>
          <w:lang w:val="uk-UA"/>
        </w:rPr>
        <w:t>Цільовий картковий продукт «</w:t>
      </w:r>
      <w:proofErr w:type="spellStart"/>
      <w:r w:rsidR="001C6499" w:rsidRPr="001C6499">
        <w:rPr>
          <w:rFonts w:ascii="Times New Roman" w:hAnsi="Times New Roman" w:cs="Times New Roman"/>
          <w:b/>
          <w:bCs/>
          <w:sz w:val="28"/>
          <w:szCs w:val="28"/>
          <w:lang w:val="uk-UA"/>
        </w:rPr>
        <w:t>єПідтримка</w:t>
      </w:r>
      <w:proofErr w:type="spellEnd"/>
      <w:r w:rsidR="001C6499" w:rsidRPr="001C6499">
        <w:rPr>
          <w:rFonts w:ascii="Times New Roman" w:hAnsi="Times New Roman" w:cs="Times New Roman"/>
          <w:b/>
          <w:bCs/>
          <w:sz w:val="28"/>
          <w:szCs w:val="28"/>
          <w:lang w:val="uk-UA"/>
        </w:rPr>
        <w:t>»</w:t>
      </w:r>
      <w:r>
        <w:rPr>
          <w:rFonts w:ascii="Times New Roman" w:hAnsi="Times New Roman" w:cs="Times New Roman"/>
          <w:b/>
          <w:bCs/>
          <w:sz w:val="28"/>
          <w:szCs w:val="28"/>
          <w:lang w:val="uk-UA"/>
        </w:rPr>
        <w:t>.</w:t>
      </w:r>
      <w:r w:rsidR="001C6499" w:rsidRPr="001C6499">
        <w:rPr>
          <w:rFonts w:ascii="Times New Roman" w:hAnsi="Times New Roman" w:cs="Times New Roman"/>
          <w:sz w:val="28"/>
          <w:szCs w:val="28"/>
          <w:lang w:val="uk-UA"/>
        </w:rPr>
        <w:br/>
        <w:t>Спеціалізований інструмент для акумуляції державних соціальних виплат та фінансової допомоги громадянам, які опинилися в скрутних макроекономічних умовах. Мобілізація ресурсів на картковому рахунку забезпечується через інтегровані сервіси застосунку «Дія» у межах урядових програм або шляхом верифікації міжнародних банківських реквізитів картки під час подання заявок на отримання грантів і субсидій від закордонних гуманітарних інституцій та фондів.</w:t>
      </w:r>
    </w:p>
    <w:p w:rsidR="00434542" w:rsidRPr="00434542" w:rsidRDefault="00434542" w:rsidP="00434542">
      <w:pPr>
        <w:spacing w:after="0" w:line="360" w:lineRule="auto"/>
        <w:ind w:firstLine="709"/>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 xml:space="preserve">У межах цієї кваліфікаційної </w:t>
      </w:r>
      <w:r w:rsidR="00951461" w:rsidRPr="00434542">
        <w:rPr>
          <w:rFonts w:ascii="Times New Roman" w:hAnsi="Times New Roman" w:cs="Times New Roman"/>
          <w:sz w:val="28"/>
          <w:szCs w:val="28"/>
          <w:lang w:val="uk-UA"/>
        </w:rPr>
        <w:t>бакалавр</w:t>
      </w:r>
      <w:r w:rsidR="00951461">
        <w:rPr>
          <w:rFonts w:ascii="Times New Roman" w:hAnsi="Times New Roman" w:cs="Times New Roman"/>
          <w:sz w:val="28"/>
          <w:szCs w:val="28"/>
          <w:lang w:val="uk-UA"/>
        </w:rPr>
        <w:t>ськ</w:t>
      </w:r>
      <w:r w:rsidR="00951461">
        <w:rPr>
          <w:rFonts w:ascii="Times New Roman" w:hAnsi="Times New Roman" w:cs="Times New Roman"/>
          <w:sz w:val="28"/>
          <w:szCs w:val="28"/>
          <w:lang w:val="uk-UA"/>
        </w:rPr>
        <w:t>ої</w:t>
      </w:r>
      <w:r w:rsidR="00951461" w:rsidRPr="00434542">
        <w:rPr>
          <w:rFonts w:ascii="Times New Roman" w:hAnsi="Times New Roman" w:cs="Times New Roman"/>
          <w:sz w:val="28"/>
          <w:szCs w:val="28"/>
          <w:lang w:val="uk-UA"/>
        </w:rPr>
        <w:t xml:space="preserve"> </w:t>
      </w:r>
      <w:r w:rsidRPr="00434542">
        <w:rPr>
          <w:rFonts w:ascii="Times New Roman" w:hAnsi="Times New Roman" w:cs="Times New Roman"/>
          <w:sz w:val="28"/>
          <w:szCs w:val="28"/>
          <w:lang w:val="uk-UA"/>
        </w:rPr>
        <w:t>роботи було сформовано комплекс прикладних рекомендацій, спрямованих на інтенсифікацію споживчої прихильності та оптимізацію маркетингової політики утримання клієнтів АТ «А-БАНК».</w:t>
      </w:r>
    </w:p>
    <w:p w:rsidR="00434542" w:rsidRPr="00434542" w:rsidRDefault="00434542" w:rsidP="00434542">
      <w:pPr>
        <w:pStyle w:val="a4"/>
        <w:numPr>
          <w:ilvl w:val="0"/>
          <w:numId w:val="24"/>
        </w:numPr>
        <w:spacing w:after="0" w:line="360" w:lineRule="auto"/>
        <w:ind w:left="0" w:firstLine="709"/>
        <w:jc w:val="both"/>
        <w:rPr>
          <w:rFonts w:ascii="Times New Roman" w:hAnsi="Times New Roman" w:cs="Times New Roman"/>
          <w:sz w:val="28"/>
          <w:szCs w:val="28"/>
          <w:lang w:val="uk-UA"/>
        </w:rPr>
      </w:pPr>
      <w:r w:rsidRPr="00434542">
        <w:rPr>
          <w:rFonts w:ascii="Times New Roman" w:hAnsi="Times New Roman" w:cs="Times New Roman"/>
          <w:b/>
          <w:bCs/>
          <w:sz w:val="28"/>
          <w:szCs w:val="28"/>
          <w:lang w:val="uk-UA"/>
        </w:rPr>
        <w:t>Проектування універсального коаліційного продукту «А-Банк - Супермаркет»</w:t>
      </w:r>
      <w:r w:rsidRPr="00434542">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w:t>
      </w:r>
      <w:r w:rsidRPr="00434542">
        <w:rPr>
          <w:rFonts w:ascii="Times New Roman" w:hAnsi="Times New Roman" w:cs="Times New Roman"/>
          <w:sz w:val="28"/>
          <w:szCs w:val="28"/>
          <w:lang w:val="uk-UA"/>
        </w:rPr>
        <w:t xml:space="preserve">Пропонується ініціювати емісію багатокомпонентного карткового продукту, архітектоніка якого передбачає надання дисконтних та </w:t>
      </w:r>
      <w:proofErr w:type="spellStart"/>
      <w:r w:rsidRPr="00434542">
        <w:rPr>
          <w:rFonts w:ascii="Times New Roman" w:hAnsi="Times New Roman" w:cs="Times New Roman"/>
          <w:sz w:val="28"/>
          <w:szCs w:val="28"/>
          <w:lang w:val="uk-UA"/>
        </w:rPr>
        <w:t>кешбек</w:t>
      </w:r>
      <w:proofErr w:type="spellEnd"/>
      <w:r w:rsidRPr="00434542">
        <w:rPr>
          <w:rFonts w:ascii="Times New Roman" w:hAnsi="Times New Roman" w:cs="Times New Roman"/>
          <w:sz w:val="28"/>
          <w:szCs w:val="28"/>
          <w:lang w:val="uk-UA"/>
        </w:rPr>
        <w:t xml:space="preserve">-преференцій, аналогічних чинній програмі «АТБ», проте з розширенням на всі провідні національні оператори продовольчого </w:t>
      </w:r>
      <w:proofErr w:type="spellStart"/>
      <w:r w:rsidRPr="00434542">
        <w:rPr>
          <w:rFonts w:ascii="Times New Roman" w:hAnsi="Times New Roman" w:cs="Times New Roman"/>
          <w:sz w:val="28"/>
          <w:szCs w:val="28"/>
          <w:lang w:val="uk-UA"/>
        </w:rPr>
        <w:t>ритейлу</w:t>
      </w:r>
      <w:proofErr w:type="spellEnd"/>
      <w:r w:rsidRPr="00434542">
        <w:rPr>
          <w:rFonts w:ascii="Times New Roman" w:hAnsi="Times New Roman" w:cs="Times New Roman"/>
          <w:sz w:val="28"/>
          <w:szCs w:val="28"/>
          <w:lang w:val="uk-UA"/>
        </w:rPr>
        <w:t xml:space="preserve">. Реалізація цього завдання вимагає проведення прелімінарних </w:t>
      </w:r>
      <w:proofErr w:type="spellStart"/>
      <w:r w:rsidRPr="00434542">
        <w:rPr>
          <w:rFonts w:ascii="Times New Roman" w:hAnsi="Times New Roman" w:cs="Times New Roman"/>
          <w:sz w:val="28"/>
          <w:szCs w:val="28"/>
          <w:lang w:val="uk-UA"/>
        </w:rPr>
        <w:t>міжкорпоративних</w:t>
      </w:r>
      <w:proofErr w:type="spellEnd"/>
      <w:r w:rsidRPr="00434542">
        <w:rPr>
          <w:rFonts w:ascii="Times New Roman" w:hAnsi="Times New Roman" w:cs="Times New Roman"/>
          <w:sz w:val="28"/>
          <w:szCs w:val="28"/>
          <w:lang w:val="uk-UA"/>
        </w:rPr>
        <w:t xml:space="preserve"> перемовин із </w:t>
      </w:r>
      <w:proofErr w:type="spellStart"/>
      <w:r w:rsidRPr="00434542">
        <w:rPr>
          <w:rFonts w:ascii="Times New Roman" w:hAnsi="Times New Roman" w:cs="Times New Roman"/>
          <w:sz w:val="28"/>
          <w:szCs w:val="28"/>
          <w:lang w:val="uk-UA"/>
        </w:rPr>
        <w:t>топменеджментом</w:t>
      </w:r>
      <w:proofErr w:type="spellEnd"/>
      <w:r w:rsidRPr="00434542">
        <w:rPr>
          <w:rFonts w:ascii="Times New Roman" w:hAnsi="Times New Roman" w:cs="Times New Roman"/>
          <w:sz w:val="28"/>
          <w:szCs w:val="28"/>
          <w:lang w:val="uk-UA"/>
        </w:rPr>
        <w:t xml:space="preserve"> таких холдингів, як «Сільпо», «NOVUS», «VARUS», «</w:t>
      </w:r>
      <w:proofErr w:type="spellStart"/>
      <w:r w:rsidRPr="00434542">
        <w:rPr>
          <w:rFonts w:ascii="Times New Roman" w:hAnsi="Times New Roman" w:cs="Times New Roman"/>
          <w:sz w:val="28"/>
          <w:szCs w:val="28"/>
          <w:lang w:val="uk-UA"/>
        </w:rPr>
        <w:t>Metro</w:t>
      </w:r>
      <w:proofErr w:type="spellEnd"/>
      <w:r w:rsidRPr="00434542">
        <w:rPr>
          <w:rFonts w:ascii="Times New Roman" w:hAnsi="Times New Roman" w:cs="Times New Roman"/>
          <w:sz w:val="28"/>
          <w:szCs w:val="28"/>
          <w:lang w:val="uk-UA"/>
        </w:rPr>
        <w:t>», «SPAR», «FOZZY», «Таврія» тощо.</w:t>
      </w:r>
    </w:p>
    <w:p w:rsidR="00434542" w:rsidRPr="00434542" w:rsidRDefault="00434542" w:rsidP="004345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2) </w:t>
      </w:r>
      <w:proofErr w:type="spellStart"/>
      <w:r w:rsidRPr="00434542">
        <w:rPr>
          <w:rFonts w:ascii="Times New Roman" w:hAnsi="Times New Roman" w:cs="Times New Roman"/>
          <w:b/>
          <w:bCs/>
          <w:sz w:val="28"/>
          <w:szCs w:val="28"/>
          <w:lang w:val="uk-UA"/>
        </w:rPr>
        <w:t>Грейдування</w:t>
      </w:r>
      <w:proofErr w:type="spellEnd"/>
      <w:r w:rsidRPr="00434542">
        <w:rPr>
          <w:rFonts w:ascii="Times New Roman" w:hAnsi="Times New Roman" w:cs="Times New Roman"/>
          <w:b/>
          <w:bCs/>
          <w:sz w:val="28"/>
          <w:szCs w:val="28"/>
          <w:lang w:val="uk-UA"/>
        </w:rPr>
        <w:t xml:space="preserve"> (диференціація) рівнів лояльності для утримувачів карток «АТБ»</w:t>
      </w:r>
      <w:r>
        <w:rPr>
          <w:rFonts w:ascii="Times New Roman" w:hAnsi="Times New Roman" w:cs="Times New Roman"/>
          <w:b/>
          <w:bCs/>
          <w:sz w:val="28"/>
          <w:szCs w:val="28"/>
          <w:lang w:val="uk-UA"/>
        </w:rPr>
        <w:t xml:space="preserve">. </w:t>
      </w:r>
      <w:r w:rsidRPr="00434542">
        <w:rPr>
          <w:rFonts w:ascii="Times New Roman" w:hAnsi="Times New Roman" w:cs="Times New Roman"/>
          <w:sz w:val="28"/>
          <w:szCs w:val="28"/>
          <w:lang w:val="uk-UA"/>
        </w:rPr>
        <w:t xml:space="preserve">Обґрунтовано доцільність впровадження прогресивної шкали заохочень, де обсяг деномінованого </w:t>
      </w:r>
      <w:proofErr w:type="spellStart"/>
      <w:r w:rsidRPr="00434542">
        <w:rPr>
          <w:rFonts w:ascii="Times New Roman" w:hAnsi="Times New Roman" w:cs="Times New Roman"/>
          <w:sz w:val="28"/>
          <w:szCs w:val="28"/>
          <w:lang w:val="uk-UA"/>
        </w:rPr>
        <w:t>кешбеку</w:t>
      </w:r>
      <w:proofErr w:type="spellEnd"/>
      <w:r w:rsidRPr="00434542">
        <w:rPr>
          <w:rFonts w:ascii="Times New Roman" w:hAnsi="Times New Roman" w:cs="Times New Roman"/>
          <w:sz w:val="28"/>
          <w:szCs w:val="28"/>
          <w:lang w:val="uk-UA"/>
        </w:rPr>
        <w:t xml:space="preserve"> перебуває у прямій залежності від інтенсивності щомісячного трансакційного обороту за картковим рахунком:</w:t>
      </w:r>
    </w:p>
    <w:p w:rsidR="00434542" w:rsidRPr="00434542" w:rsidRDefault="00434542" w:rsidP="004345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434542">
        <w:rPr>
          <w:rFonts w:ascii="Times New Roman" w:hAnsi="Times New Roman" w:cs="Times New Roman"/>
          <w:sz w:val="28"/>
          <w:szCs w:val="28"/>
          <w:lang w:val="uk-UA"/>
        </w:rPr>
        <w:t>Прелімінарний (перший) рівень — обсяг витрат у діапазоні 0–5 000 грн/міс. (збереження діючих базових параметрів);</w:t>
      </w:r>
    </w:p>
    <w:p w:rsidR="00434542" w:rsidRPr="00434542" w:rsidRDefault="00434542" w:rsidP="004345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434542">
        <w:rPr>
          <w:rFonts w:ascii="Times New Roman" w:hAnsi="Times New Roman" w:cs="Times New Roman"/>
          <w:sz w:val="28"/>
          <w:szCs w:val="28"/>
          <w:lang w:val="uk-UA"/>
        </w:rPr>
        <w:t xml:space="preserve">Прогресивний (другий) рівень — обсяг витрат у межах 5 001–10 000 грн/міс. (інтеграція додаткового преміального </w:t>
      </w:r>
      <w:proofErr w:type="spellStart"/>
      <w:r w:rsidRPr="00434542">
        <w:rPr>
          <w:rFonts w:ascii="Times New Roman" w:hAnsi="Times New Roman" w:cs="Times New Roman"/>
          <w:sz w:val="28"/>
          <w:szCs w:val="28"/>
          <w:lang w:val="uk-UA"/>
        </w:rPr>
        <w:t>кешбеку</w:t>
      </w:r>
      <w:proofErr w:type="spellEnd"/>
      <w:r w:rsidRPr="00434542">
        <w:rPr>
          <w:rFonts w:ascii="Times New Roman" w:hAnsi="Times New Roman" w:cs="Times New Roman"/>
          <w:sz w:val="28"/>
          <w:szCs w:val="28"/>
          <w:lang w:val="uk-UA"/>
        </w:rPr>
        <w:t xml:space="preserve"> у розмірі +5%);</w:t>
      </w:r>
    </w:p>
    <w:p w:rsidR="00434542" w:rsidRPr="00434542" w:rsidRDefault="00434542" w:rsidP="004345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 </w:t>
      </w:r>
      <w:r w:rsidRPr="00434542">
        <w:rPr>
          <w:rFonts w:ascii="Times New Roman" w:hAnsi="Times New Roman" w:cs="Times New Roman"/>
          <w:sz w:val="28"/>
          <w:szCs w:val="28"/>
          <w:lang w:val="uk-UA"/>
        </w:rPr>
        <w:t>Максимальний (третій) рівень — обсяг витрат від 10 001 грн/міс. (нарахування додаткового коефіцієнта у розмірі +7,5%).</w:t>
      </w:r>
    </w:p>
    <w:p w:rsidR="00434542" w:rsidRDefault="00434542" w:rsidP="00434542">
      <w:pPr>
        <w:spacing w:after="0" w:line="360" w:lineRule="auto"/>
        <w:ind w:firstLine="709"/>
        <w:jc w:val="both"/>
        <w:rPr>
          <w:rFonts w:ascii="Times New Roman" w:hAnsi="Times New Roman" w:cs="Times New Roman"/>
          <w:sz w:val="28"/>
          <w:szCs w:val="28"/>
          <w:lang w:val="uk-UA"/>
        </w:rPr>
      </w:pPr>
      <w:r w:rsidRPr="00434542">
        <w:rPr>
          <w:rFonts w:ascii="Times New Roman" w:hAnsi="Times New Roman" w:cs="Times New Roman"/>
          <w:b/>
          <w:bCs/>
          <w:sz w:val="28"/>
          <w:szCs w:val="28"/>
          <w:lang w:val="uk-UA"/>
        </w:rPr>
        <w:t xml:space="preserve">3) </w:t>
      </w:r>
      <w:r w:rsidRPr="00434542">
        <w:rPr>
          <w:rFonts w:ascii="Times New Roman" w:hAnsi="Times New Roman" w:cs="Times New Roman"/>
          <w:b/>
          <w:bCs/>
          <w:sz w:val="28"/>
          <w:szCs w:val="28"/>
          <w:lang w:val="uk-UA"/>
        </w:rPr>
        <w:t>Дифузія технологій розширеної (AR) та віртуальної (VR) реальності</w:t>
      </w:r>
      <w:r w:rsidRPr="00434542">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w:t>
      </w:r>
      <w:r w:rsidRPr="00434542">
        <w:rPr>
          <w:rFonts w:ascii="Times New Roman" w:hAnsi="Times New Roman" w:cs="Times New Roman"/>
          <w:sz w:val="28"/>
          <w:szCs w:val="28"/>
          <w:lang w:val="uk-UA"/>
        </w:rPr>
        <w:t>Запропоновано імплементацію інноваційних рішень класу AR/VR для конструювання інтегрованого онлайн-</w:t>
      </w:r>
      <w:proofErr w:type="spellStart"/>
      <w:r w:rsidRPr="00434542">
        <w:rPr>
          <w:rFonts w:ascii="Times New Roman" w:hAnsi="Times New Roman" w:cs="Times New Roman"/>
          <w:sz w:val="28"/>
          <w:szCs w:val="28"/>
          <w:lang w:val="uk-UA"/>
        </w:rPr>
        <w:t>офлайн</w:t>
      </w:r>
      <w:proofErr w:type="spellEnd"/>
      <w:r w:rsidRPr="00434542">
        <w:rPr>
          <w:rFonts w:ascii="Times New Roman" w:hAnsi="Times New Roman" w:cs="Times New Roman"/>
          <w:sz w:val="28"/>
          <w:szCs w:val="28"/>
          <w:lang w:val="uk-UA"/>
        </w:rPr>
        <w:t xml:space="preserve"> клієнтського досвіду. Методологічно виправданим є обмеження просторової реалізації цього цифрового інструментарію виключно локацією центрального офісу фінансової установи (м. Дніпро, вул. Батумська, 11). </w:t>
      </w:r>
    </w:p>
    <w:p w:rsidR="00434542" w:rsidRDefault="00434542" w:rsidP="00434542">
      <w:pPr>
        <w:spacing w:after="0" w:line="360" w:lineRule="auto"/>
        <w:ind w:firstLine="709"/>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 xml:space="preserve">Технологія AR інтегрує об'єкти комп'ютерного моделювання з картиною фізичного світу в інтерактивному режимі реального часу, забезпечуючи тривимірну навігацію користувача. Своєю чергою, інструменти VR створюють штучно імітоване цифрове середовище для повноцінної інтерпретації та взаємодії. </w:t>
      </w:r>
    </w:p>
    <w:p w:rsidR="00434542" w:rsidRPr="00434542" w:rsidRDefault="00434542" w:rsidP="00434542">
      <w:pPr>
        <w:spacing w:after="0" w:line="360" w:lineRule="auto"/>
        <w:ind w:firstLine="709"/>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 xml:space="preserve">Залучення зазначеного інноваційного комплексу трансформує сприйняття операційної діяльності банку як </w:t>
      </w:r>
      <w:proofErr w:type="spellStart"/>
      <w:r w:rsidRPr="00434542">
        <w:rPr>
          <w:rFonts w:ascii="Times New Roman" w:hAnsi="Times New Roman" w:cs="Times New Roman"/>
          <w:sz w:val="28"/>
          <w:szCs w:val="28"/>
          <w:lang w:val="uk-UA"/>
        </w:rPr>
        <w:t>транспарентної</w:t>
      </w:r>
      <w:proofErr w:type="spellEnd"/>
      <w:r w:rsidRPr="00434542">
        <w:rPr>
          <w:rFonts w:ascii="Times New Roman" w:hAnsi="Times New Roman" w:cs="Times New Roman"/>
          <w:sz w:val="28"/>
          <w:szCs w:val="28"/>
          <w:lang w:val="uk-UA"/>
        </w:rPr>
        <w:t xml:space="preserve"> (прозорої), капіталізуючи довіру до бренду, проте з міркувань безпеки поширення цієї практики на діючу мережу філіалів є недоцільним.</w:t>
      </w:r>
    </w:p>
    <w:p w:rsidR="00434542" w:rsidRPr="00434542" w:rsidRDefault="00434542" w:rsidP="00434542">
      <w:pPr>
        <w:spacing w:after="0" w:line="360" w:lineRule="auto"/>
        <w:ind w:firstLine="709"/>
        <w:jc w:val="both"/>
        <w:rPr>
          <w:rFonts w:ascii="Times New Roman" w:hAnsi="Times New Roman" w:cs="Times New Roman"/>
          <w:sz w:val="28"/>
          <w:szCs w:val="28"/>
          <w:lang w:val="uk-UA"/>
        </w:rPr>
      </w:pPr>
      <w:r w:rsidRPr="00434542">
        <w:rPr>
          <w:rFonts w:ascii="Times New Roman" w:hAnsi="Times New Roman" w:cs="Times New Roman"/>
          <w:b/>
          <w:bCs/>
          <w:sz w:val="28"/>
          <w:szCs w:val="28"/>
          <w:lang w:val="uk-UA"/>
        </w:rPr>
        <w:t>4)</w:t>
      </w:r>
      <w:r w:rsidRPr="00434542">
        <w:rPr>
          <w:rFonts w:ascii="Times New Roman" w:hAnsi="Times New Roman" w:cs="Times New Roman"/>
          <w:b/>
          <w:bCs/>
          <w:sz w:val="28"/>
          <w:szCs w:val="28"/>
          <w:lang w:val="uk-UA"/>
        </w:rPr>
        <w:t xml:space="preserve">  Імплементація концепції відкритих фінансів (</w:t>
      </w:r>
      <w:proofErr w:type="spellStart"/>
      <w:r w:rsidRPr="00434542">
        <w:rPr>
          <w:rFonts w:ascii="Times New Roman" w:hAnsi="Times New Roman" w:cs="Times New Roman"/>
          <w:b/>
          <w:bCs/>
          <w:sz w:val="28"/>
          <w:szCs w:val="28"/>
          <w:lang w:val="uk-UA"/>
        </w:rPr>
        <w:t>Open</w:t>
      </w:r>
      <w:proofErr w:type="spellEnd"/>
      <w:r w:rsidRPr="00434542">
        <w:rPr>
          <w:rFonts w:ascii="Times New Roman" w:hAnsi="Times New Roman" w:cs="Times New Roman"/>
          <w:b/>
          <w:bCs/>
          <w:sz w:val="28"/>
          <w:szCs w:val="28"/>
          <w:lang w:val="uk-UA"/>
        </w:rPr>
        <w:t xml:space="preserve"> </w:t>
      </w:r>
      <w:proofErr w:type="spellStart"/>
      <w:r w:rsidRPr="00434542">
        <w:rPr>
          <w:rFonts w:ascii="Times New Roman" w:hAnsi="Times New Roman" w:cs="Times New Roman"/>
          <w:b/>
          <w:bCs/>
          <w:sz w:val="28"/>
          <w:szCs w:val="28"/>
          <w:lang w:val="uk-UA"/>
        </w:rPr>
        <w:t>Banking</w:t>
      </w:r>
      <w:proofErr w:type="spellEnd"/>
      <w:r w:rsidRPr="00434542">
        <w:rPr>
          <w:rFonts w:ascii="Times New Roman" w:hAnsi="Times New Roman" w:cs="Times New Roman"/>
          <w:b/>
          <w:bCs/>
          <w:sz w:val="28"/>
          <w:szCs w:val="28"/>
          <w:lang w:val="uk-UA"/>
        </w:rPr>
        <w:t>) для корпоративного сектору</w:t>
      </w:r>
      <w:r w:rsidRPr="00434542">
        <w:rPr>
          <w:rFonts w:ascii="Times New Roman" w:hAnsi="Times New Roman" w:cs="Times New Roman"/>
          <w:b/>
          <w:bCs/>
          <w:sz w:val="28"/>
          <w:szCs w:val="28"/>
          <w:lang w:val="uk-UA"/>
        </w:rPr>
        <w:t xml:space="preserve">. </w:t>
      </w:r>
      <w:r w:rsidRPr="00434542">
        <w:rPr>
          <w:rFonts w:ascii="Times New Roman" w:hAnsi="Times New Roman" w:cs="Times New Roman"/>
          <w:sz w:val="28"/>
          <w:szCs w:val="28"/>
          <w:lang w:val="uk-UA"/>
        </w:rPr>
        <w:t xml:space="preserve">З метою підвищення лояльності та розширення спектра сервісів для клієнтів – юридичних осіб, обґрунтовано доцільність активного впровадження архітектури </w:t>
      </w:r>
      <w:proofErr w:type="spellStart"/>
      <w:r w:rsidRPr="00434542">
        <w:rPr>
          <w:rFonts w:ascii="Times New Roman" w:hAnsi="Times New Roman" w:cs="Times New Roman"/>
          <w:sz w:val="28"/>
          <w:szCs w:val="28"/>
          <w:lang w:val="uk-UA"/>
        </w:rPr>
        <w:t>Open</w:t>
      </w:r>
      <w:proofErr w:type="spellEnd"/>
      <w:r w:rsidRPr="00434542">
        <w:rPr>
          <w:rFonts w:ascii="Times New Roman" w:hAnsi="Times New Roman" w:cs="Times New Roman"/>
          <w:sz w:val="28"/>
          <w:szCs w:val="28"/>
          <w:lang w:val="uk-UA"/>
        </w:rPr>
        <w:t xml:space="preserve"> </w:t>
      </w:r>
      <w:proofErr w:type="spellStart"/>
      <w:r w:rsidRPr="00434542">
        <w:rPr>
          <w:rFonts w:ascii="Times New Roman" w:hAnsi="Times New Roman" w:cs="Times New Roman"/>
          <w:sz w:val="28"/>
          <w:szCs w:val="28"/>
          <w:lang w:val="uk-UA"/>
        </w:rPr>
        <w:t>Banking</w:t>
      </w:r>
      <w:proofErr w:type="spellEnd"/>
      <w:r w:rsidRPr="00434542">
        <w:rPr>
          <w:rFonts w:ascii="Times New Roman" w:hAnsi="Times New Roman" w:cs="Times New Roman"/>
          <w:sz w:val="28"/>
          <w:szCs w:val="28"/>
          <w:lang w:val="uk-UA"/>
        </w:rPr>
        <w:t>. Дана парадигма передбачає відкриття банком прикладних інтерфейсів програмування (API), що дозволяє ліцензованим стороннім провайдерам отримувати санкціонований доступ крізь захищені канали до фінансових масивів даних [1.1]. Це виступає предикатом для конструювання інноваційних платіжних сервісів, оптимізації B2B-розрахунків та надання корпоративним клієнтам ширших можливостей з управління капіталом.</w:t>
      </w:r>
    </w:p>
    <w:p w:rsidR="00434542" w:rsidRPr="00434542" w:rsidRDefault="00434542" w:rsidP="00434542">
      <w:pPr>
        <w:spacing w:after="0" w:line="360" w:lineRule="auto"/>
        <w:ind w:firstLine="709"/>
        <w:jc w:val="both"/>
        <w:rPr>
          <w:rFonts w:ascii="Times New Roman" w:hAnsi="Times New Roman" w:cs="Times New Roman"/>
          <w:sz w:val="28"/>
          <w:szCs w:val="28"/>
          <w:lang w:val="uk-UA"/>
        </w:rPr>
      </w:pPr>
      <w:r w:rsidRPr="00434542">
        <w:rPr>
          <w:rFonts w:ascii="Times New Roman" w:hAnsi="Times New Roman" w:cs="Times New Roman"/>
          <w:b/>
          <w:bCs/>
          <w:sz w:val="28"/>
          <w:szCs w:val="28"/>
          <w:lang w:val="uk-UA"/>
        </w:rPr>
        <w:t>5)</w:t>
      </w:r>
      <w:r w:rsidRPr="00434542">
        <w:rPr>
          <w:rFonts w:ascii="Times New Roman" w:hAnsi="Times New Roman" w:cs="Times New Roman"/>
          <w:b/>
          <w:bCs/>
          <w:sz w:val="28"/>
          <w:szCs w:val="28"/>
          <w:lang w:val="uk-UA"/>
        </w:rPr>
        <w:t xml:space="preserve">  Диверсифікація роздрібного портфеля через освоєння соціально-геронтологічного сегмента</w:t>
      </w:r>
      <w:r w:rsidRPr="00434542">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w:t>
      </w:r>
      <w:r w:rsidRPr="00434542">
        <w:rPr>
          <w:rFonts w:ascii="Times New Roman" w:hAnsi="Times New Roman" w:cs="Times New Roman"/>
          <w:sz w:val="28"/>
          <w:szCs w:val="28"/>
          <w:lang w:val="uk-UA"/>
        </w:rPr>
        <w:t xml:space="preserve">Зважаючи на значну питому вагу осіб пенсійного віку в демографічній структурі України, запропоновано емісію спеціалізованого продукту — «Пенсійна картка». Цей сегмент ринку характеризується високою </w:t>
      </w:r>
      <w:r w:rsidRPr="00434542">
        <w:rPr>
          <w:rFonts w:ascii="Times New Roman" w:hAnsi="Times New Roman" w:cs="Times New Roman"/>
          <w:sz w:val="28"/>
          <w:szCs w:val="28"/>
          <w:lang w:val="uk-UA"/>
        </w:rPr>
        <w:lastRenderedPageBreak/>
        <w:t xml:space="preserve">кумулятивною місткістю ліквідних ресурсів. Оскільки зазначена цільова група демонструє екстремальну еластичність попиту за ціною (гостро реагує на супутні витрати), імперативною умовою життєздатності програми є встановлення нульової тарифної ставки (0%) на касове обслуговування та інкасацію (зняття) готівкових коштів через </w:t>
      </w:r>
      <w:proofErr w:type="spellStart"/>
      <w:r w:rsidRPr="00434542">
        <w:rPr>
          <w:rFonts w:ascii="Times New Roman" w:hAnsi="Times New Roman" w:cs="Times New Roman"/>
          <w:sz w:val="28"/>
          <w:szCs w:val="28"/>
          <w:lang w:val="uk-UA"/>
        </w:rPr>
        <w:t>банкоматні</w:t>
      </w:r>
      <w:proofErr w:type="spellEnd"/>
      <w:r w:rsidRPr="00434542">
        <w:rPr>
          <w:rFonts w:ascii="Times New Roman" w:hAnsi="Times New Roman" w:cs="Times New Roman"/>
          <w:sz w:val="28"/>
          <w:szCs w:val="28"/>
          <w:lang w:val="uk-UA"/>
        </w:rPr>
        <w:t xml:space="preserve"> мережі.</w:t>
      </w:r>
    </w:p>
    <w:p w:rsidR="001C6499" w:rsidRDefault="00434542" w:rsidP="00434542">
      <w:pPr>
        <w:spacing w:after="0" w:line="360" w:lineRule="auto"/>
        <w:ind w:firstLine="709"/>
        <w:jc w:val="both"/>
        <w:rPr>
          <w:rFonts w:ascii="Times New Roman" w:hAnsi="Times New Roman" w:cs="Times New Roman"/>
          <w:sz w:val="28"/>
          <w:szCs w:val="28"/>
          <w:lang w:val="uk-UA"/>
        </w:rPr>
      </w:pPr>
      <w:r w:rsidRPr="00434542">
        <w:rPr>
          <w:rFonts w:ascii="Times New Roman" w:hAnsi="Times New Roman" w:cs="Times New Roman"/>
          <w:b/>
          <w:bCs/>
          <w:sz w:val="28"/>
          <w:szCs w:val="28"/>
          <w:lang w:val="uk-UA"/>
        </w:rPr>
        <w:t>6)</w:t>
      </w:r>
      <w:r w:rsidRPr="00434542">
        <w:rPr>
          <w:rFonts w:ascii="Times New Roman" w:hAnsi="Times New Roman" w:cs="Times New Roman"/>
          <w:b/>
          <w:bCs/>
          <w:sz w:val="28"/>
          <w:szCs w:val="28"/>
          <w:lang w:val="uk-UA"/>
        </w:rPr>
        <w:t xml:space="preserve">  Інтеграція з міжнародними хабами </w:t>
      </w:r>
      <w:proofErr w:type="spellStart"/>
      <w:r w:rsidRPr="00434542">
        <w:rPr>
          <w:rFonts w:ascii="Times New Roman" w:hAnsi="Times New Roman" w:cs="Times New Roman"/>
          <w:b/>
          <w:bCs/>
          <w:sz w:val="28"/>
          <w:szCs w:val="28"/>
          <w:lang w:val="uk-UA"/>
        </w:rPr>
        <w:t>трансскордонних</w:t>
      </w:r>
      <w:proofErr w:type="spellEnd"/>
      <w:r w:rsidRPr="00434542">
        <w:rPr>
          <w:rFonts w:ascii="Times New Roman" w:hAnsi="Times New Roman" w:cs="Times New Roman"/>
          <w:b/>
          <w:bCs/>
          <w:sz w:val="28"/>
          <w:szCs w:val="28"/>
          <w:lang w:val="uk-UA"/>
        </w:rPr>
        <w:t xml:space="preserve"> експрес-переказів</w:t>
      </w:r>
      <w:r w:rsidRPr="00434542">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w:t>
      </w:r>
      <w:r w:rsidRPr="00434542">
        <w:rPr>
          <w:rFonts w:ascii="Times New Roman" w:hAnsi="Times New Roman" w:cs="Times New Roman"/>
          <w:sz w:val="28"/>
          <w:szCs w:val="28"/>
          <w:lang w:val="uk-UA"/>
        </w:rPr>
        <w:t xml:space="preserve">Актуалізовано потребу в розширенні партнерської взаємодії АТ «А-БАНК» із глобальними операторами грошових переказів, зокрема </w:t>
      </w:r>
      <w:proofErr w:type="spellStart"/>
      <w:r w:rsidRPr="00434542">
        <w:rPr>
          <w:rFonts w:ascii="Times New Roman" w:hAnsi="Times New Roman" w:cs="Times New Roman"/>
          <w:sz w:val="28"/>
          <w:szCs w:val="28"/>
          <w:lang w:val="uk-UA"/>
        </w:rPr>
        <w:t>Western</w:t>
      </w:r>
      <w:proofErr w:type="spellEnd"/>
      <w:r w:rsidRPr="00434542">
        <w:rPr>
          <w:rFonts w:ascii="Times New Roman" w:hAnsi="Times New Roman" w:cs="Times New Roman"/>
          <w:sz w:val="28"/>
          <w:szCs w:val="28"/>
          <w:lang w:val="uk-UA"/>
        </w:rPr>
        <w:t xml:space="preserve"> </w:t>
      </w:r>
      <w:proofErr w:type="spellStart"/>
      <w:r w:rsidRPr="00434542">
        <w:rPr>
          <w:rFonts w:ascii="Times New Roman" w:hAnsi="Times New Roman" w:cs="Times New Roman"/>
          <w:sz w:val="28"/>
          <w:szCs w:val="28"/>
          <w:lang w:val="uk-UA"/>
        </w:rPr>
        <w:t>Union</w:t>
      </w:r>
      <w:proofErr w:type="spellEnd"/>
      <w:r w:rsidRPr="00434542">
        <w:rPr>
          <w:rFonts w:ascii="Times New Roman" w:hAnsi="Times New Roman" w:cs="Times New Roman"/>
          <w:sz w:val="28"/>
          <w:szCs w:val="28"/>
          <w:lang w:val="uk-UA"/>
        </w:rPr>
        <w:t xml:space="preserve">, </w:t>
      </w:r>
      <w:proofErr w:type="spellStart"/>
      <w:r w:rsidRPr="00434542">
        <w:rPr>
          <w:rFonts w:ascii="Times New Roman" w:hAnsi="Times New Roman" w:cs="Times New Roman"/>
          <w:sz w:val="28"/>
          <w:szCs w:val="28"/>
          <w:lang w:val="uk-UA"/>
        </w:rPr>
        <w:t>MoneyGram</w:t>
      </w:r>
      <w:proofErr w:type="spellEnd"/>
      <w:r w:rsidRPr="00434542">
        <w:rPr>
          <w:rFonts w:ascii="Times New Roman" w:hAnsi="Times New Roman" w:cs="Times New Roman"/>
          <w:sz w:val="28"/>
          <w:szCs w:val="28"/>
          <w:lang w:val="uk-UA"/>
        </w:rPr>
        <w:t xml:space="preserve">, </w:t>
      </w:r>
      <w:proofErr w:type="spellStart"/>
      <w:r w:rsidRPr="00434542">
        <w:rPr>
          <w:rFonts w:ascii="Times New Roman" w:hAnsi="Times New Roman" w:cs="Times New Roman"/>
          <w:sz w:val="28"/>
          <w:szCs w:val="28"/>
          <w:lang w:val="uk-UA"/>
        </w:rPr>
        <w:t>Ria</w:t>
      </w:r>
      <w:proofErr w:type="spellEnd"/>
      <w:r w:rsidRPr="00434542">
        <w:rPr>
          <w:rFonts w:ascii="Times New Roman" w:hAnsi="Times New Roman" w:cs="Times New Roman"/>
          <w:sz w:val="28"/>
          <w:szCs w:val="28"/>
          <w:lang w:val="uk-UA"/>
        </w:rPr>
        <w:t xml:space="preserve"> Money </w:t>
      </w:r>
      <w:proofErr w:type="spellStart"/>
      <w:r w:rsidRPr="00434542">
        <w:rPr>
          <w:rFonts w:ascii="Times New Roman" w:hAnsi="Times New Roman" w:cs="Times New Roman"/>
          <w:sz w:val="28"/>
          <w:szCs w:val="28"/>
          <w:lang w:val="uk-UA"/>
        </w:rPr>
        <w:t>Transfer</w:t>
      </w:r>
      <w:proofErr w:type="spellEnd"/>
      <w:r w:rsidRPr="00434542">
        <w:rPr>
          <w:rFonts w:ascii="Times New Roman" w:hAnsi="Times New Roman" w:cs="Times New Roman"/>
          <w:sz w:val="28"/>
          <w:szCs w:val="28"/>
          <w:lang w:val="uk-UA"/>
        </w:rPr>
        <w:t xml:space="preserve">, INTELEXPRESS та </w:t>
      </w:r>
      <w:proofErr w:type="spellStart"/>
      <w:r w:rsidRPr="00434542">
        <w:rPr>
          <w:rFonts w:ascii="Times New Roman" w:hAnsi="Times New Roman" w:cs="Times New Roman"/>
          <w:sz w:val="28"/>
          <w:szCs w:val="28"/>
          <w:lang w:val="uk-UA"/>
        </w:rPr>
        <w:t>TransferGo</w:t>
      </w:r>
      <w:proofErr w:type="spellEnd"/>
      <w:r w:rsidRPr="00434542">
        <w:rPr>
          <w:rFonts w:ascii="Times New Roman" w:hAnsi="Times New Roman" w:cs="Times New Roman"/>
          <w:sz w:val="28"/>
          <w:szCs w:val="28"/>
          <w:lang w:val="uk-UA"/>
        </w:rPr>
        <w:t>. Таке технологічне підключення виступає вагомим чинником капіталізації клієнтської лояльності, оскільки забезпечує диверсифікований двосторонній рух транскордонних капіталів та суттєво спрощує фінансові комунікації з країнами, що прихистили значні масиви українських вимушених мігрантів.</w:t>
      </w:r>
    </w:p>
    <w:p w:rsidR="00434542" w:rsidRDefault="0043454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34542" w:rsidRDefault="00434542" w:rsidP="00434542">
      <w:pPr>
        <w:spacing w:after="0" w:line="360" w:lineRule="auto"/>
        <w:jc w:val="center"/>
        <w:rPr>
          <w:rFonts w:ascii="Times New Roman" w:hAnsi="Times New Roman" w:cs="Times New Roman"/>
          <w:sz w:val="28"/>
          <w:szCs w:val="28"/>
          <w:lang w:val="uk-UA"/>
        </w:rPr>
      </w:pPr>
      <w:r w:rsidRPr="00951461">
        <w:rPr>
          <w:rFonts w:ascii="Times New Roman" w:hAnsi="Times New Roman" w:cs="Times New Roman"/>
          <w:b/>
          <w:bCs/>
          <w:sz w:val="28"/>
          <w:szCs w:val="28"/>
          <w:lang w:val="uk-UA"/>
        </w:rPr>
        <w:lastRenderedPageBreak/>
        <w:t>ВИСНОВКИ</w:t>
      </w:r>
    </w:p>
    <w:p w:rsidR="00434542" w:rsidRDefault="00434542" w:rsidP="00434542">
      <w:pPr>
        <w:spacing w:after="0" w:line="360" w:lineRule="auto"/>
        <w:ind w:firstLine="709"/>
        <w:jc w:val="both"/>
        <w:rPr>
          <w:rFonts w:ascii="Times New Roman" w:hAnsi="Times New Roman" w:cs="Times New Roman"/>
          <w:sz w:val="28"/>
          <w:szCs w:val="28"/>
          <w:lang w:val="uk-UA"/>
        </w:rPr>
      </w:pPr>
    </w:p>
    <w:p w:rsidR="00434542" w:rsidRPr="00434542" w:rsidRDefault="00434542" w:rsidP="00434542">
      <w:pPr>
        <w:spacing w:after="0" w:line="360" w:lineRule="auto"/>
        <w:ind w:firstLine="709"/>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У кваліфікаційній бакалавр</w:t>
      </w:r>
      <w:r>
        <w:rPr>
          <w:rFonts w:ascii="Times New Roman" w:hAnsi="Times New Roman" w:cs="Times New Roman"/>
          <w:sz w:val="28"/>
          <w:szCs w:val="28"/>
          <w:lang w:val="uk-UA"/>
        </w:rPr>
        <w:t>ській</w:t>
      </w:r>
      <w:r w:rsidRPr="00434542">
        <w:rPr>
          <w:rFonts w:ascii="Times New Roman" w:hAnsi="Times New Roman" w:cs="Times New Roman"/>
          <w:sz w:val="28"/>
          <w:szCs w:val="28"/>
          <w:lang w:val="uk-UA"/>
        </w:rPr>
        <w:t xml:space="preserve"> роботі наведено теоретичне узагальнення та розв'язання актуального науково-практичного завдання, що виявилося у концептуальному обґрунтуванні та проектуванні прикладних інструментів у межах теми «Розробка маркетингових заходів формування лояльності клієнтів фінансової установи в умовах воєнного стану».</w:t>
      </w:r>
    </w:p>
    <w:p w:rsidR="00434542" w:rsidRPr="00434542" w:rsidRDefault="00434542" w:rsidP="00434542">
      <w:pPr>
        <w:spacing w:after="0" w:line="360" w:lineRule="auto"/>
        <w:ind w:firstLine="709"/>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Одержані наукові та прикладні результати проведеного дослідження дозволили сформулювати такі загальні висновки:</w:t>
      </w:r>
    </w:p>
    <w:p w:rsidR="00434542" w:rsidRPr="00434542" w:rsidRDefault="00434542" w:rsidP="00434542">
      <w:pPr>
        <w:pStyle w:val="a4"/>
        <w:numPr>
          <w:ilvl w:val="0"/>
          <w:numId w:val="26"/>
        </w:numPr>
        <w:spacing w:after="0" w:line="360" w:lineRule="auto"/>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Здійснено ретроспективний аналіз еволюції наукових поглядів та експліковано сутнісний зміст базової економічної категорії «лояльність споживача».</w:t>
      </w:r>
    </w:p>
    <w:p w:rsidR="00434542" w:rsidRPr="00434542" w:rsidRDefault="00434542" w:rsidP="00434542">
      <w:pPr>
        <w:pStyle w:val="a4"/>
        <w:numPr>
          <w:ilvl w:val="0"/>
          <w:numId w:val="26"/>
        </w:numPr>
        <w:spacing w:after="0" w:line="360" w:lineRule="auto"/>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Сформовано розгорнуту маркетингову специфікацію та класифікацію існуючих моделей і функціональних параметрів програм лояльності.</w:t>
      </w:r>
    </w:p>
    <w:p w:rsidR="00434542" w:rsidRPr="00434542" w:rsidRDefault="00434542" w:rsidP="00434542">
      <w:pPr>
        <w:pStyle w:val="a4"/>
        <w:numPr>
          <w:ilvl w:val="0"/>
          <w:numId w:val="26"/>
        </w:numPr>
        <w:spacing w:after="0" w:line="360" w:lineRule="auto"/>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Методологічно доведено доцільність та імперативність застосування аналітичного інструментарію маркетингових досліджень як фундаментального предикату для стратегічного планування клієнтських програм.</w:t>
      </w:r>
    </w:p>
    <w:p w:rsidR="00434542" w:rsidRPr="00434542" w:rsidRDefault="00434542" w:rsidP="00434542">
      <w:pPr>
        <w:pStyle w:val="a4"/>
        <w:numPr>
          <w:ilvl w:val="0"/>
          <w:numId w:val="26"/>
        </w:numPr>
        <w:spacing w:after="0" w:line="360" w:lineRule="auto"/>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Виконано комплексний аналіз сучасного стану, структурних трансформацій та кон'юнктурних особливостей функціонування українського ринку банківських послуг в умовах воєнного стану.</w:t>
      </w:r>
    </w:p>
    <w:p w:rsidR="00434542" w:rsidRPr="00434542" w:rsidRDefault="00434542" w:rsidP="00434542">
      <w:pPr>
        <w:pStyle w:val="a4"/>
        <w:numPr>
          <w:ilvl w:val="0"/>
          <w:numId w:val="26"/>
        </w:numPr>
        <w:spacing w:after="0" w:line="360" w:lineRule="auto"/>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Дано різнобічну фінансово-економічну та організаційну характеристику об’єкта дослідження — АТ «А-БАНК» — крізь призму його маркетингової політики.</w:t>
      </w:r>
    </w:p>
    <w:p w:rsidR="00434542" w:rsidRPr="00434542" w:rsidRDefault="00434542" w:rsidP="00434542">
      <w:pPr>
        <w:pStyle w:val="a4"/>
        <w:numPr>
          <w:ilvl w:val="0"/>
          <w:numId w:val="26"/>
        </w:numPr>
        <w:spacing w:after="0" w:line="360" w:lineRule="auto"/>
        <w:jc w:val="both"/>
        <w:rPr>
          <w:rFonts w:ascii="Times New Roman" w:hAnsi="Times New Roman" w:cs="Times New Roman"/>
          <w:sz w:val="28"/>
          <w:szCs w:val="28"/>
          <w:lang w:val="uk-UA"/>
        </w:rPr>
      </w:pPr>
      <w:r w:rsidRPr="00434542">
        <w:rPr>
          <w:rFonts w:ascii="Times New Roman" w:hAnsi="Times New Roman" w:cs="Times New Roman"/>
          <w:sz w:val="28"/>
          <w:szCs w:val="28"/>
          <w:lang w:val="uk-UA"/>
        </w:rPr>
        <w:t>Проведено системний аудит діючого комплексу програм лояльності АТ «А-БАНК» та науково обґрунтовано пакет рекомендацій щодо модернізації систем утримання споживачів.</w:t>
      </w:r>
    </w:p>
    <w:p w:rsidR="00434542" w:rsidRPr="00BC60DB" w:rsidRDefault="00434542" w:rsidP="00434542">
      <w:pPr>
        <w:spacing w:after="0" w:line="360" w:lineRule="auto"/>
        <w:ind w:firstLine="709"/>
        <w:jc w:val="both"/>
        <w:rPr>
          <w:rFonts w:ascii="Times New Roman" w:hAnsi="Times New Roman" w:cs="Times New Roman"/>
          <w:sz w:val="28"/>
          <w:szCs w:val="28"/>
          <w:lang w:val="uk-UA"/>
        </w:rPr>
      </w:pPr>
    </w:p>
    <w:sectPr w:rsidR="00434542" w:rsidRPr="00BC60DB" w:rsidSect="005522D6">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353C1"/>
    <w:multiLevelType w:val="multilevel"/>
    <w:tmpl w:val="9F3C70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94E52"/>
    <w:multiLevelType w:val="multilevel"/>
    <w:tmpl w:val="BCD6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8458F"/>
    <w:multiLevelType w:val="hybridMultilevel"/>
    <w:tmpl w:val="26CE0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7A0422F"/>
    <w:multiLevelType w:val="multilevel"/>
    <w:tmpl w:val="6F6C2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C063E7"/>
    <w:multiLevelType w:val="multilevel"/>
    <w:tmpl w:val="AF1E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4661D"/>
    <w:multiLevelType w:val="multilevel"/>
    <w:tmpl w:val="7FA2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521958"/>
    <w:multiLevelType w:val="multilevel"/>
    <w:tmpl w:val="0584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776BF"/>
    <w:multiLevelType w:val="multilevel"/>
    <w:tmpl w:val="BEB6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44447"/>
    <w:multiLevelType w:val="multilevel"/>
    <w:tmpl w:val="2F8A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52FED"/>
    <w:multiLevelType w:val="multilevel"/>
    <w:tmpl w:val="C930C6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63195E"/>
    <w:multiLevelType w:val="multilevel"/>
    <w:tmpl w:val="A9F2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263DC"/>
    <w:multiLevelType w:val="hybridMultilevel"/>
    <w:tmpl w:val="5D562D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E777D0"/>
    <w:multiLevelType w:val="multilevel"/>
    <w:tmpl w:val="7D5CB9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847949"/>
    <w:multiLevelType w:val="multilevel"/>
    <w:tmpl w:val="59E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A030E3"/>
    <w:multiLevelType w:val="hybridMultilevel"/>
    <w:tmpl w:val="3A32E2F0"/>
    <w:lvl w:ilvl="0" w:tplc="9E4AF654">
      <w:start w:val="1"/>
      <w:numFmt w:val="decimal"/>
      <w:lvlText w:val="%1)"/>
      <w:lvlJc w:val="left"/>
      <w:pPr>
        <w:ind w:left="2062" w:hanging="360"/>
      </w:pPr>
      <w:rPr>
        <w:rFonts w:hint="default"/>
        <w:b/>
        <w:bCs/>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5" w15:restartNumberingAfterBreak="0">
    <w:nsid w:val="3EBD24C8"/>
    <w:multiLevelType w:val="multilevel"/>
    <w:tmpl w:val="6BE8278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3E63D1"/>
    <w:multiLevelType w:val="multilevel"/>
    <w:tmpl w:val="1CAC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A3CB2"/>
    <w:multiLevelType w:val="multilevel"/>
    <w:tmpl w:val="8AC8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0559F"/>
    <w:multiLevelType w:val="multilevel"/>
    <w:tmpl w:val="EFC8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21108"/>
    <w:multiLevelType w:val="multilevel"/>
    <w:tmpl w:val="27985E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8F4832"/>
    <w:multiLevelType w:val="multilevel"/>
    <w:tmpl w:val="F5EE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6F08BB"/>
    <w:multiLevelType w:val="multilevel"/>
    <w:tmpl w:val="2F344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FD7C38"/>
    <w:multiLevelType w:val="multilevel"/>
    <w:tmpl w:val="A742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8C6B32"/>
    <w:multiLevelType w:val="hybridMultilevel"/>
    <w:tmpl w:val="54B40C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4511316"/>
    <w:multiLevelType w:val="multilevel"/>
    <w:tmpl w:val="DA7C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E0022E"/>
    <w:multiLevelType w:val="multilevel"/>
    <w:tmpl w:val="B006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
  </w:num>
  <w:num w:numId="3">
    <w:abstractNumId w:val="16"/>
  </w:num>
  <w:num w:numId="4">
    <w:abstractNumId w:val="6"/>
  </w:num>
  <w:num w:numId="5">
    <w:abstractNumId w:val="0"/>
  </w:num>
  <w:num w:numId="6">
    <w:abstractNumId w:val="19"/>
  </w:num>
  <w:num w:numId="7">
    <w:abstractNumId w:val="8"/>
  </w:num>
  <w:num w:numId="8">
    <w:abstractNumId w:val="11"/>
  </w:num>
  <w:num w:numId="9">
    <w:abstractNumId w:val="10"/>
  </w:num>
  <w:num w:numId="10">
    <w:abstractNumId w:val="20"/>
  </w:num>
  <w:num w:numId="11">
    <w:abstractNumId w:val="13"/>
  </w:num>
  <w:num w:numId="12">
    <w:abstractNumId w:val="24"/>
  </w:num>
  <w:num w:numId="13">
    <w:abstractNumId w:val="7"/>
  </w:num>
  <w:num w:numId="14">
    <w:abstractNumId w:val="1"/>
  </w:num>
  <w:num w:numId="15">
    <w:abstractNumId w:val="17"/>
  </w:num>
  <w:num w:numId="16">
    <w:abstractNumId w:val="5"/>
  </w:num>
  <w:num w:numId="17">
    <w:abstractNumId w:val="18"/>
  </w:num>
  <w:num w:numId="18">
    <w:abstractNumId w:val="4"/>
  </w:num>
  <w:num w:numId="19">
    <w:abstractNumId w:val="25"/>
  </w:num>
  <w:num w:numId="20">
    <w:abstractNumId w:val="3"/>
  </w:num>
  <w:num w:numId="21">
    <w:abstractNumId w:val="9"/>
  </w:num>
  <w:num w:numId="22">
    <w:abstractNumId w:val="15"/>
  </w:num>
  <w:num w:numId="23">
    <w:abstractNumId w:val="12"/>
  </w:num>
  <w:num w:numId="24">
    <w:abstractNumId w:val="14"/>
  </w:num>
  <w:num w:numId="25">
    <w:abstractNumId w:val="21"/>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D6"/>
    <w:rsid w:val="00114279"/>
    <w:rsid w:val="001C6499"/>
    <w:rsid w:val="00215EBA"/>
    <w:rsid w:val="003379FB"/>
    <w:rsid w:val="003D79FF"/>
    <w:rsid w:val="003F402F"/>
    <w:rsid w:val="00434542"/>
    <w:rsid w:val="004C0DA3"/>
    <w:rsid w:val="005522D6"/>
    <w:rsid w:val="00617C70"/>
    <w:rsid w:val="00707EB1"/>
    <w:rsid w:val="00762391"/>
    <w:rsid w:val="00951461"/>
    <w:rsid w:val="009F42F8"/>
    <w:rsid w:val="00A21186"/>
    <w:rsid w:val="00BC60DB"/>
    <w:rsid w:val="00C74131"/>
    <w:rsid w:val="00CE7E8F"/>
    <w:rsid w:val="00E96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8BFA3"/>
  <w15:chartTrackingRefBased/>
  <w15:docId w15:val="{35A1EFE3-6B39-44FE-912E-95CA9951C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0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74131"/>
    <w:rPr>
      <w:b/>
      <w:bCs/>
    </w:rPr>
  </w:style>
  <w:style w:type="paragraph" w:customStyle="1" w:styleId="z1qcye">
    <w:name w:val="z1qcye"/>
    <w:basedOn w:val="a"/>
    <w:rsid w:val="00C74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86pc">
    <w:name w:val="t286pc"/>
    <w:basedOn w:val="a0"/>
    <w:rsid w:val="00C74131"/>
  </w:style>
  <w:style w:type="paragraph" w:styleId="a4">
    <w:name w:val="List Paragraph"/>
    <w:basedOn w:val="a"/>
    <w:uiPriority w:val="34"/>
    <w:qFormat/>
    <w:rsid w:val="00C74131"/>
    <w:pPr>
      <w:ind w:left="720"/>
      <w:contextualSpacing/>
    </w:pPr>
  </w:style>
  <w:style w:type="character" w:styleId="a5">
    <w:name w:val="Hyperlink"/>
    <w:basedOn w:val="a0"/>
    <w:uiPriority w:val="99"/>
    <w:semiHidden/>
    <w:unhideWhenUsed/>
    <w:rsid w:val="00707EB1"/>
    <w:rPr>
      <w:color w:val="0000FF"/>
      <w:u w:val="single"/>
    </w:rPr>
  </w:style>
  <w:style w:type="character" w:styleId="a6">
    <w:name w:val="Emphasis"/>
    <w:basedOn w:val="a0"/>
    <w:uiPriority w:val="20"/>
    <w:qFormat/>
    <w:rsid w:val="004345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9541">
      <w:bodyDiv w:val="1"/>
      <w:marLeft w:val="0"/>
      <w:marRight w:val="0"/>
      <w:marTop w:val="0"/>
      <w:marBottom w:val="0"/>
      <w:divBdr>
        <w:top w:val="none" w:sz="0" w:space="0" w:color="auto"/>
        <w:left w:val="none" w:sz="0" w:space="0" w:color="auto"/>
        <w:bottom w:val="none" w:sz="0" w:space="0" w:color="auto"/>
        <w:right w:val="none" w:sz="0" w:space="0" w:color="auto"/>
      </w:divBdr>
      <w:divsChild>
        <w:div w:id="817649010">
          <w:marLeft w:val="0"/>
          <w:marRight w:val="0"/>
          <w:marTop w:val="0"/>
          <w:marBottom w:val="240"/>
          <w:divBdr>
            <w:top w:val="none" w:sz="0" w:space="0" w:color="auto"/>
            <w:left w:val="none" w:sz="0" w:space="0" w:color="auto"/>
            <w:bottom w:val="none" w:sz="0" w:space="0" w:color="auto"/>
            <w:right w:val="none" w:sz="0" w:space="0" w:color="auto"/>
          </w:divBdr>
        </w:div>
      </w:divsChild>
    </w:div>
    <w:div w:id="33427564">
      <w:bodyDiv w:val="1"/>
      <w:marLeft w:val="0"/>
      <w:marRight w:val="0"/>
      <w:marTop w:val="0"/>
      <w:marBottom w:val="0"/>
      <w:divBdr>
        <w:top w:val="none" w:sz="0" w:space="0" w:color="auto"/>
        <w:left w:val="none" w:sz="0" w:space="0" w:color="auto"/>
        <w:bottom w:val="none" w:sz="0" w:space="0" w:color="auto"/>
        <w:right w:val="none" w:sz="0" w:space="0" w:color="auto"/>
      </w:divBdr>
      <w:divsChild>
        <w:div w:id="328337171">
          <w:marLeft w:val="0"/>
          <w:marRight w:val="0"/>
          <w:marTop w:val="0"/>
          <w:marBottom w:val="240"/>
          <w:divBdr>
            <w:top w:val="none" w:sz="0" w:space="0" w:color="auto"/>
            <w:left w:val="none" w:sz="0" w:space="0" w:color="auto"/>
            <w:bottom w:val="none" w:sz="0" w:space="0" w:color="auto"/>
            <w:right w:val="none" w:sz="0" w:space="0" w:color="auto"/>
          </w:divBdr>
        </w:div>
      </w:divsChild>
    </w:div>
    <w:div w:id="45376463">
      <w:bodyDiv w:val="1"/>
      <w:marLeft w:val="0"/>
      <w:marRight w:val="0"/>
      <w:marTop w:val="0"/>
      <w:marBottom w:val="0"/>
      <w:divBdr>
        <w:top w:val="none" w:sz="0" w:space="0" w:color="auto"/>
        <w:left w:val="none" w:sz="0" w:space="0" w:color="auto"/>
        <w:bottom w:val="none" w:sz="0" w:space="0" w:color="auto"/>
        <w:right w:val="none" w:sz="0" w:space="0" w:color="auto"/>
      </w:divBdr>
      <w:divsChild>
        <w:div w:id="237790585">
          <w:marLeft w:val="0"/>
          <w:marRight w:val="0"/>
          <w:marTop w:val="0"/>
          <w:marBottom w:val="240"/>
          <w:divBdr>
            <w:top w:val="none" w:sz="0" w:space="0" w:color="auto"/>
            <w:left w:val="none" w:sz="0" w:space="0" w:color="auto"/>
            <w:bottom w:val="none" w:sz="0" w:space="0" w:color="auto"/>
            <w:right w:val="none" w:sz="0" w:space="0" w:color="auto"/>
          </w:divBdr>
        </w:div>
        <w:div w:id="102070673">
          <w:marLeft w:val="0"/>
          <w:marRight w:val="0"/>
          <w:marTop w:val="180"/>
          <w:marBottom w:val="240"/>
          <w:divBdr>
            <w:top w:val="none" w:sz="0" w:space="0" w:color="auto"/>
            <w:left w:val="none" w:sz="0" w:space="0" w:color="auto"/>
            <w:bottom w:val="none" w:sz="0" w:space="0" w:color="auto"/>
            <w:right w:val="none" w:sz="0" w:space="0" w:color="auto"/>
          </w:divBdr>
        </w:div>
        <w:div w:id="786580428">
          <w:marLeft w:val="0"/>
          <w:marRight w:val="0"/>
          <w:marTop w:val="180"/>
          <w:marBottom w:val="240"/>
          <w:divBdr>
            <w:top w:val="none" w:sz="0" w:space="0" w:color="auto"/>
            <w:left w:val="none" w:sz="0" w:space="0" w:color="auto"/>
            <w:bottom w:val="none" w:sz="0" w:space="0" w:color="auto"/>
            <w:right w:val="none" w:sz="0" w:space="0" w:color="auto"/>
          </w:divBdr>
        </w:div>
        <w:div w:id="2023317217">
          <w:marLeft w:val="0"/>
          <w:marRight w:val="0"/>
          <w:marTop w:val="180"/>
          <w:marBottom w:val="240"/>
          <w:divBdr>
            <w:top w:val="none" w:sz="0" w:space="0" w:color="auto"/>
            <w:left w:val="none" w:sz="0" w:space="0" w:color="auto"/>
            <w:bottom w:val="none" w:sz="0" w:space="0" w:color="auto"/>
            <w:right w:val="none" w:sz="0" w:space="0" w:color="auto"/>
          </w:divBdr>
        </w:div>
      </w:divsChild>
    </w:div>
    <w:div w:id="105737611">
      <w:bodyDiv w:val="1"/>
      <w:marLeft w:val="0"/>
      <w:marRight w:val="0"/>
      <w:marTop w:val="0"/>
      <w:marBottom w:val="0"/>
      <w:divBdr>
        <w:top w:val="none" w:sz="0" w:space="0" w:color="auto"/>
        <w:left w:val="none" w:sz="0" w:space="0" w:color="auto"/>
        <w:bottom w:val="none" w:sz="0" w:space="0" w:color="auto"/>
        <w:right w:val="none" w:sz="0" w:space="0" w:color="auto"/>
      </w:divBdr>
      <w:divsChild>
        <w:div w:id="125713033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89590333">
              <w:marLeft w:val="0"/>
              <w:marRight w:val="0"/>
              <w:marTop w:val="0"/>
              <w:marBottom w:val="240"/>
              <w:divBdr>
                <w:top w:val="none" w:sz="0" w:space="0" w:color="auto"/>
                <w:left w:val="none" w:sz="0" w:space="0" w:color="auto"/>
                <w:bottom w:val="none" w:sz="0" w:space="0" w:color="auto"/>
                <w:right w:val="none" w:sz="0" w:space="0" w:color="auto"/>
              </w:divBdr>
            </w:div>
            <w:div w:id="6529888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64923832">
      <w:bodyDiv w:val="1"/>
      <w:marLeft w:val="0"/>
      <w:marRight w:val="0"/>
      <w:marTop w:val="0"/>
      <w:marBottom w:val="0"/>
      <w:divBdr>
        <w:top w:val="none" w:sz="0" w:space="0" w:color="auto"/>
        <w:left w:val="none" w:sz="0" w:space="0" w:color="auto"/>
        <w:bottom w:val="none" w:sz="0" w:space="0" w:color="auto"/>
        <w:right w:val="none" w:sz="0" w:space="0" w:color="auto"/>
      </w:divBdr>
      <w:divsChild>
        <w:div w:id="1050114404">
          <w:marLeft w:val="0"/>
          <w:marRight w:val="0"/>
          <w:marTop w:val="0"/>
          <w:marBottom w:val="240"/>
          <w:divBdr>
            <w:top w:val="none" w:sz="0" w:space="0" w:color="auto"/>
            <w:left w:val="none" w:sz="0" w:space="0" w:color="auto"/>
            <w:bottom w:val="none" w:sz="0" w:space="0" w:color="auto"/>
            <w:right w:val="none" w:sz="0" w:space="0" w:color="auto"/>
          </w:divBdr>
        </w:div>
        <w:div w:id="1799254121">
          <w:marLeft w:val="0"/>
          <w:marRight w:val="0"/>
          <w:marTop w:val="180"/>
          <w:marBottom w:val="240"/>
          <w:divBdr>
            <w:top w:val="none" w:sz="0" w:space="0" w:color="auto"/>
            <w:left w:val="none" w:sz="0" w:space="0" w:color="auto"/>
            <w:bottom w:val="none" w:sz="0" w:space="0" w:color="auto"/>
            <w:right w:val="none" w:sz="0" w:space="0" w:color="auto"/>
          </w:divBdr>
        </w:div>
      </w:divsChild>
    </w:div>
    <w:div w:id="424765556">
      <w:bodyDiv w:val="1"/>
      <w:marLeft w:val="0"/>
      <w:marRight w:val="0"/>
      <w:marTop w:val="0"/>
      <w:marBottom w:val="0"/>
      <w:divBdr>
        <w:top w:val="none" w:sz="0" w:space="0" w:color="auto"/>
        <w:left w:val="none" w:sz="0" w:space="0" w:color="auto"/>
        <w:bottom w:val="none" w:sz="0" w:space="0" w:color="auto"/>
        <w:right w:val="none" w:sz="0" w:space="0" w:color="auto"/>
      </w:divBdr>
      <w:divsChild>
        <w:div w:id="2046441100">
          <w:marLeft w:val="0"/>
          <w:marRight w:val="0"/>
          <w:marTop w:val="0"/>
          <w:marBottom w:val="240"/>
          <w:divBdr>
            <w:top w:val="none" w:sz="0" w:space="0" w:color="auto"/>
            <w:left w:val="none" w:sz="0" w:space="0" w:color="auto"/>
            <w:bottom w:val="none" w:sz="0" w:space="0" w:color="auto"/>
            <w:right w:val="none" w:sz="0" w:space="0" w:color="auto"/>
          </w:divBdr>
        </w:div>
        <w:div w:id="653725741">
          <w:marLeft w:val="0"/>
          <w:marRight w:val="0"/>
          <w:marTop w:val="180"/>
          <w:marBottom w:val="240"/>
          <w:divBdr>
            <w:top w:val="none" w:sz="0" w:space="0" w:color="auto"/>
            <w:left w:val="none" w:sz="0" w:space="0" w:color="auto"/>
            <w:bottom w:val="none" w:sz="0" w:space="0" w:color="auto"/>
            <w:right w:val="none" w:sz="0" w:space="0" w:color="auto"/>
          </w:divBdr>
        </w:div>
        <w:div w:id="674502181">
          <w:marLeft w:val="0"/>
          <w:marRight w:val="0"/>
          <w:marTop w:val="180"/>
          <w:marBottom w:val="0"/>
          <w:divBdr>
            <w:top w:val="none" w:sz="0" w:space="0" w:color="auto"/>
            <w:left w:val="none" w:sz="0" w:space="0" w:color="auto"/>
            <w:bottom w:val="none" w:sz="0" w:space="0" w:color="auto"/>
            <w:right w:val="none" w:sz="0" w:space="0" w:color="auto"/>
          </w:divBdr>
        </w:div>
      </w:divsChild>
    </w:div>
    <w:div w:id="461387849">
      <w:bodyDiv w:val="1"/>
      <w:marLeft w:val="0"/>
      <w:marRight w:val="0"/>
      <w:marTop w:val="0"/>
      <w:marBottom w:val="0"/>
      <w:divBdr>
        <w:top w:val="none" w:sz="0" w:space="0" w:color="auto"/>
        <w:left w:val="none" w:sz="0" w:space="0" w:color="auto"/>
        <w:bottom w:val="none" w:sz="0" w:space="0" w:color="auto"/>
        <w:right w:val="none" w:sz="0" w:space="0" w:color="auto"/>
      </w:divBdr>
      <w:divsChild>
        <w:div w:id="123740479">
          <w:marLeft w:val="0"/>
          <w:marRight w:val="0"/>
          <w:marTop w:val="0"/>
          <w:marBottom w:val="240"/>
          <w:divBdr>
            <w:top w:val="none" w:sz="0" w:space="0" w:color="auto"/>
            <w:left w:val="none" w:sz="0" w:space="0" w:color="auto"/>
            <w:bottom w:val="none" w:sz="0" w:space="0" w:color="auto"/>
            <w:right w:val="none" w:sz="0" w:space="0" w:color="auto"/>
          </w:divBdr>
        </w:div>
        <w:div w:id="1072659449">
          <w:marLeft w:val="0"/>
          <w:marRight w:val="0"/>
          <w:marTop w:val="180"/>
          <w:marBottom w:val="240"/>
          <w:divBdr>
            <w:top w:val="none" w:sz="0" w:space="0" w:color="auto"/>
            <w:left w:val="none" w:sz="0" w:space="0" w:color="auto"/>
            <w:bottom w:val="none" w:sz="0" w:space="0" w:color="auto"/>
            <w:right w:val="none" w:sz="0" w:space="0" w:color="auto"/>
          </w:divBdr>
        </w:div>
      </w:divsChild>
    </w:div>
    <w:div w:id="465052023">
      <w:bodyDiv w:val="1"/>
      <w:marLeft w:val="0"/>
      <w:marRight w:val="0"/>
      <w:marTop w:val="0"/>
      <w:marBottom w:val="0"/>
      <w:divBdr>
        <w:top w:val="none" w:sz="0" w:space="0" w:color="auto"/>
        <w:left w:val="none" w:sz="0" w:space="0" w:color="auto"/>
        <w:bottom w:val="none" w:sz="0" w:space="0" w:color="auto"/>
        <w:right w:val="none" w:sz="0" w:space="0" w:color="auto"/>
      </w:divBdr>
      <w:divsChild>
        <w:div w:id="198778252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7836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8037">
      <w:bodyDiv w:val="1"/>
      <w:marLeft w:val="0"/>
      <w:marRight w:val="0"/>
      <w:marTop w:val="0"/>
      <w:marBottom w:val="0"/>
      <w:divBdr>
        <w:top w:val="none" w:sz="0" w:space="0" w:color="auto"/>
        <w:left w:val="none" w:sz="0" w:space="0" w:color="auto"/>
        <w:bottom w:val="none" w:sz="0" w:space="0" w:color="auto"/>
        <w:right w:val="none" w:sz="0" w:space="0" w:color="auto"/>
      </w:divBdr>
      <w:divsChild>
        <w:div w:id="39789961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51971955">
              <w:marLeft w:val="0"/>
              <w:marRight w:val="0"/>
              <w:marTop w:val="0"/>
              <w:marBottom w:val="240"/>
              <w:divBdr>
                <w:top w:val="none" w:sz="0" w:space="0" w:color="auto"/>
                <w:left w:val="none" w:sz="0" w:space="0" w:color="auto"/>
                <w:bottom w:val="none" w:sz="0" w:space="0" w:color="auto"/>
                <w:right w:val="none" w:sz="0" w:space="0" w:color="auto"/>
              </w:divBdr>
            </w:div>
            <w:div w:id="213459228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584068246">
      <w:bodyDiv w:val="1"/>
      <w:marLeft w:val="0"/>
      <w:marRight w:val="0"/>
      <w:marTop w:val="0"/>
      <w:marBottom w:val="0"/>
      <w:divBdr>
        <w:top w:val="none" w:sz="0" w:space="0" w:color="auto"/>
        <w:left w:val="none" w:sz="0" w:space="0" w:color="auto"/>
        <w:bottom w:val="none" w:sz="0" w:space="0" w:color="auto"/>
        <w:right w:val="none" w:sz="0" w:space="0" w:color="auto"/>
      </w:divBdr>
      <w:divsChild>
        <w:div w:id="1474251828">
          <w:marLeft w:val="0"/>
          <w:marRight w:val="0"/>
          <w:marTop w:val="0"/>
          <w:marBottom w:val="240"/>
          <w:divBdr>
            <w:top w:val="none" w:sz="0" w:space="0" w:color="auto"/>
            <w:left w:val="none" w:sz="0" w:space="0" w:color="auto"/>
            <w:bottom w:val="none" w:sz="0" w:space="0" w:color="auto"/>
            <w:right w:val="none" w:sz="0" w:space="0" w:color="auto"/>
          </w:divBdr>
        </w:div>
      </w:divsChild>
    </w:div>
    <w:div w:id="641352318">
      <w:bodyDiv w:val="1"/>
      <w:marLeft w:val="0"/>
      <w:marRight w:val="0"/>
      <w:marTop w:val="0"/>
      <w:marBottom w:val="0"/>
      <w:divBdr>
        <w:top w:val="none" w:sz="0" w:space="0" w:color="auto"/>
        <w:left w:val="none" w:sz="0" w:space="0" w:color="auto"/>
        <w:bottom w:val="none" w:sz="0" w:space="0" w:color="auto"/>
        <w:right w:val="none" w:sz="0" w:space="0" w:color="auto"/>
      </w:divBdr>
      <w:divsChild>
        <w:div w:id="182839991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9846608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674260230">
      <w:bodyDiv w:val="1"/>
      <w:marLeft w:val="0"/>
      <w:marRight w:val="0"/>
      <w:marTop w:val="0"/>
      <w:marBottom w:val="0"/>
      <w:divBdr>
        <w:top w:val="none" w:sz="0" w:space="0" w:color="auto"/>
        <w:left w:val="none" w:sz="0" w:space="0" w:color="auto"/>
        <w:bottom w:val="none" w:sz="0" w:space="0" w:color="auto"/>
        <w:right w:val="none" w:sz="0" w:space="0" w:color="auto"/>
      </w:divBdr>
      <w:divsChild>
        <w:div w:id="1707485592">
          <w:marLeft w:val="0"/>
          <w:marRight w:val="0"/>
          <w:marTop w:val="0"/>
          <w:marBottom w:val="240"/>
          <w:divBdr>
            <w:top w:val="none" w:sz="0" w:space="0" w:color="auto"/>
            <w:left w:val="none" w:sz="0" w:space="0" w:color="auto"/>
            <w:bottom w:val="none" w:sz="0" w:space="0" w:color="auto"/>
            <w:right w:val="none" w:sz="0" w:space="0" w:color="auto"/>
          </w:divBdr>
        </w:div>
        <w:div w:id="1377467697">
          <w:marLeft w:val="0"/>
          <w:marRight w:val="0"/>
          <w:marTop w:val="180"/>
          <w:marBottom w:val="240"/>
          <w:divBdr>
            <w:top w:val="none" w:sz="0" w:space="0" w:color="auto"/>
            <w:left w:val="none" w:sz="0" w:space="0" w:color="auto"/>
            <w:bottom w:val="none" w:sz="0" w:space="0" w:color="auto"/>
            <w:right w:val="none" w:sz="0" w:space="0" w:color="auto"/>
          </w:divBdr>
        </w:div>
        <w:div w:id="1555122950">
          <w:marLeft w:val="0"/>
          <w:marRight w:val="0"/>
          <w:marTop w:val="180"/>
          <w:marBottom w:val="240"/>
          <w:divBdr>
            <w:top w:val="none" w:sz="0" w:space="0" w:color="auto"/>
            <w:left w:val="none" w:sz="0" w:space="0" w:color="auto"/>
            <w:bottom w:val="none" w:sz="0" w:space="0" w:color="auto"/>
            <w:right w:val="none" w:sz="0" w:space="0" w:color="auto"/>
          </w:divBdr>
        </w:div>
        <w:div w:id="1813330328">
          <w:marLeft w:val="0"/>
          <w:marRight w:val="0"/>
          <w:marTop w:val="180"/>
          <w:marBottom w:val="240"/>
          <w:divBdr>
            <w:top w:val="none" w:sz="0" w:space="0" w:color="auto"/>
            <w:left w:val="none" w:sz="0" w:space="0" w:color="auto"/>
            <w:bottom w:val="none" w:sz="0" w:space="0" w:color="auto"/>
            <w:right w:val="none" w:sz="0" w:space="0" w:color="auto"/>
          </w:divBdr>
        </w:div>
      </w:divsChild>
    </w:div>
    <w:div w:id="712966857">
      <w:bodyDiv w:val="1"/>
      <w:marLeft w:val="0"/>
      <w:marRight w:val="0"/>
      <w:marTop w:val="0"/>
      <w:marBottom w:val="0"/>
      <w:divBdr>
        <w:top w:val="none" w:sz="0" w:space="0" w:color="auto"/>
        <w:left w:val="none" w:sz="0" w:space="0" w:color="auto"/>
        <w:bottom w:val="none" w:sz="0" w:space="0" w:color="auto"/>
        <w:right w:val="none" w:sz="0" w:space="0" w:color="auto"/>
      </w:divBdr>
      <w:divsChild>
        <w:div w:id="207153818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6296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01123">
      <w:bodyDiv w:val="1"/>
      <w:marLeft w:val="0"/>
      <w:marRight w:val="0"/>
      <w:marTop w:val="0"/>
      <w:marBottom w:val="0"/>
      <w:divBdr>
        <w:top w:val="none" w:sz="0" w:space="0" w:color="auto"/>
        <w:left w:val="none" w:sz="0" w:space="0" w:color="auto"/>
        <w:bottom w:val="none" w:sz="0" w:space="0" w:color="auto"/>
        <w:right w:val="none" w:sz="0" w:space="0" w:color="auto"/>
      </w:divBdr>
      <w:divsChild>
        <w:div w:id="727218993">
          <w:marLeft w:val="0"/>
          <w:marRight w:val="0"/>
          <w:marTop w:val="0"/>
          <w:marBottom w:val="240"/>
          <w:divBdr>
            <w:top w:val="none" w:sz="0" w:space="0" w:color="auto"/>
            <w:left w:val="none" w:sz="0" w:space="0" w:color="auto"/>
            <w:bottom w:val="none" w:sz="0" w:space="0" w:color="auto"/>
            <w:right w:val="none" w:sz="0" w:space="0" w:color="auto"/>
          </w:divBdr>
        </w:div>
      </w:divsChild>
    </w:div>
    <w:div w:id="856889349">
      <w:bodyDiv w:val="1"/>
      <w:marLeft w:val="0"/>
      <w:marRight w:val="0"/>
      <w:marTop w:val="0"/>
      <w:marBottom w:val="0"/>
      <w:divBdr>
        <w:top w:val="none" w:sz="0" w:space="0" w:color="auto"/>
        <w:left w:val="none" w:sz="0" w:space="0" w:color="auto"/>
        <w:bottom w:val="none" w:sz="0" w:space="0" w:color="auto"/>
        <w:right w:val="none" w:sz="0" w:space="0" w:color="auto"/>
      </w:divBdr>
      <w:divsChild>
        <w:div w:id="387090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7777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3500">
      <w:bodyDiv w:val="1"/>
      <w:marLeft w:val="0"/>
      <w:marRight w:val="0"/>
      <w:marTop w:val="0"/>
      <w:marBottom w:val="0"/>
      <w:divBdr>
        <w:top w:val="none" w:sz="0" w:space="0" w:color="auto"/>
        <w:left w:val="none" w:sz="0" w:space="0" w:color="auto"/>
        <w:bottom w:val="none" w:sz="0" w:space="0" w:color="auto"/>
        <w:right w:val="none" w:sz="0" w:space="0" w:color="auto"/>
      </w:divBdr>
      <w:divsChild>
        <w:div w:id="1695302772">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949512597">
      <w:bodyDiv w:val="1"/>
      <w:marLeft w:val="0"/>
      <w:marRight w:val="0"/>
      <w:marTop w:val="0"/>
      <w:marBottom w:val="0"/>
      <w:divBdr>
        <w:top w:val="none" w:sz="0" w:space="0" w:color="auto"/>
        <w:left w:val="none" w:sz="0" w:space="0" w:color="auto"/>
        <w:bottom w:val="none" w:sz="0" w:space="0" w:color="auto"/>
        <w:right w:val="none" w:sz="0" w:space="0" w:color="auto"/>
      </w:divBdr>
      <w:divsChild>
        <w:div w:id="1710111442">
          <w:marLeft w:val="0"/>
          <w:marRight w:val="0"/>
          <w:marTop w:val="0"/>
          <w:marBottom w:val="240"/>
          <w:divBdr>
            <w:top w:val="none" w:sz="0" w:space="0" w:color="auto"/>
            <w:left w:val="none" w:sz="0" w:space="0" w:color="auto"/>
            <w:bottom w:val="none" w:sz="0" w:space="0" w:color="auto"/>
            <w:right w:val="none" w:sz="0" w:space="0" w:color="auto"/>
          </w:divBdr>
        </w:div>
      </w:divsChild>
    </w:div>
    <w:div w:id="1013529272">
      <w:bodyDiv w:val="1"/>
      <w:marLeft w:val="0"/>
      <w:marRight w:val="0"/>
      <w:marTop w:val="0"/>
      <w:marBottom w:val="0"/>
      <w:divBdr>
        <w:top w:val="none" w:sz="0" w:space="0" w:color="auto"/>
        <w:left w:val="none" w:sz="0" w:space="0" w:color="auto"/>
        <w:bottom w:val="none" w:sz="0" w:space="0" w:color="auto"/>
        <w:right w:val="none" w:sz="0" w:space="0" w:color="auto"/>
      </w:divBdr>
      <w:divsChild>
        <w:div w:id="816260798">
          <w:marLeft w:val="0"/>
          <w:marRight w:val="0"/>
          <w:marTop w:val="0"/>
          <w:marBottom w:val="240"/>
          <w:divBdr>
            <w:top w:val="none" w:sz="0" w:space="0" w:color="auto"/>
            <w:left w:val="none" w:sz="0" w:space="0" w:color="auto"/>
            <w:bottom w:val="none" w:sz="0" w:space="0" w:color="auto"/>
            <w:right w:val="none" w:sz="0" w:space="0" w:color="auto"/>
          </w:divBdr>
        </w:div>
        <w:div w:id="1376848438">
          <w:marLeft w:val="0"/>
          <w:marRight w:val="0"/>
          <w:marTop w:val="180"/>
          <w:marBottom w:val="0"/>
          <w:divBdr>
            <w:top w:val="none" w:sz="0" w:space="0" w:color="auto"/>
            <w:left w:val="none" w:sz="0" w:space="0" w:color="auto"/>
            <w:bottom w:val="none" w:sz="0" w:space="0" w:color="auto"/>
            <w:right w:val="none" w:sz="0" w:space="0" w:color="auto"/>
          </w:divBdr>
        </w:div>
      </w:divsChild>
    </w:div>
    <w:div w:id="1014697085">
      <w:bodyDiv w:val="1"/>
      <w:marLeft w:val="0"/>
      <w:marRight w:val="0"/>
      <w:marTop w:val="0"/>
      <w:marBottom w:val="0"/>
      <w:divBdr>
        <w:top w:val="none" w:sz="0" w:space="0" w:color="auto"/>
        <w:left w:val="none" w:sz="0" w:space="0" w:color="auto"/>
        <w:bottom w:val="none" w:sz="0" w:space="0" w:color="auto"/>
        <w:right w:val="none" w:sz="0" w:space="0" w:color="auto"/>
      </w:divBdr>
      <w:divsChild>
        <w:div w:id="17708255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117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96409">
      <w:bodyDiv w:val="1"/>
      <w:marLeft w:val="0"/>
      <w:marRight w:val="0"/>
      <w:marTop w:val="0"/>
      <w:marBottom w:val="0"/>
      <w:divBdr>
        <w:top w:val="none" w:sz="0" w:space="0" w:color="auto"/>
        <w:left w:val="none" w:sz="0" w:space="0" w:color="auto"/>
        <w:bottom w:val="none" w:sz="0" w:space="0" w:color="auto"/>
        <w:right w:val="none" w:sz="0" w:space="0" w:color="auto"/>
      </w:divBdr>
      <w:divsChild>
        <w:div w:id="1997611324">
          <w:marLeft w:val="0"/>
          <w:marRight w:val="0"/>
          <w:marTop w:val="0"/>
          <w:marBottom w:val="240"/>
          <w:divBdr>
            <w:top w:val="none" w:sz="0" w:space="0" w:color="auto"/>
            <w:left w:val="none" w:sz="0" w:space="0" w:color="auto"/>
            <w:bottom w:val="none" w:sz="0" w:space="0" w:color="auto"/>
            <w:right w:val="none" w:sz="0" w:space="0" w:color="auto"/>
          </w:divBdr>
        </w:div>
        <w:div w:id="328099791">
          <w:marLeft w:val="0"/>
          <w:marRight w:val="0"/>
          <w:marTop w:val="180"/>
          <w:marBottom w:val="240"/>
          <w:divBdr>
            <w:top w:val="none" w:sz="0" w:space="0" w:color="auto"/>
            <w:left w:val="none" w:sz="0" w:space="0" w:color="auto"/>
            <w:bottom w:val="none" w:sz="0" w:space="0" w:color="auto"/>
            <w:right w:val="none" w:sz="0" w:space="0" w:color="auto"/>
          </w:divBdr>
        </w:div>
        <w:div w:id="133834823">
          <w:marLeft w:val="0"/>
          <w:marRight w:val="0"/>
          <w:marTop w:val="180"/>
          <w:marBottom w:val="0"/>
          <w:divBdr>
            <w:top w:val="none" w:sz="0" w:space="0" w:color="auto"/>
            <w:left w:val="none" w:sz="0" w:space="0" w:color="auto"/>
            <w:bottom w:val="none" w:sz="0" w:space="0" w:color="auto"/>
            <w:right w:val="none" w:sz="0" w:space="0" w:color="auto"/>
          </w:divBdr>
        </w:div>
      </w:divsChild>
    </w:div>
    <w:div w:id="1110902224">
      <w:bodyDiv w:val="1"/>
      <w:marLeft w:val="0"/>
      <w:marRight w:val="0"/>
      <w:marTop w:val="0"/>
      <w:marBottom w:val="0"/>
      <w:divBdr>
        <w:top w:val="none" w:sz="0" w:space="0" w:color="auto"/>
        <w:left w:val="none" w:sz="0" w:space="0" w:color="auto"/>
        <w:bottom w:val="none" w:sz="0" w:space="0" w:color="auto"/>
        <w:right w:val="none" w:sz="0" w:space="0" w:color="auto"/>
      </w:divBdr>
      <w:divsChild>
        <w:div w:id="1709187170">
          <w:marLeft w:val="0"/>
          <w:marRight w:val="0"/>
          <w:marTop w:val="0"/>
          <w:marBottom w:val="240"/>
          <w:divBdr>
            <w:top w:val="none" w:sz="0" w:space="0" w:color="auto"/>
            <w:left w:val="none" w:sz="0" w:space="0" w:color="auto"/>
            <w:bottom w:val="none" w:sz="0" w:space="0" w:color="auto"/>
            <w:right w:val="none" w:sz="0" w:space="0" w:color="auto"/>
          </w:divBdr>
        </w:div>
        <w:div w:id="524707395">
          <w:marLeft w:val="0"/>
          <w:marRight w:val="0"/>
          <w:marTop w:val="180"/>
          <w:marBottom w:val="240"/>
          <w:divBdr>
            <w:top w:val="none" w:sz="0" w:space="0" w:color="auto"/>
            <w:left w:val="none" w:sz="0" w:space="0" w:color="auto"/>
            <w:bottom w:val="none" w:sz="0" w:space="0" w:color="auto"/>
            <w:right w:val="none" w:sz="0" w:space="0" w:color="auto"/>
          </w:divBdr>
        </w:div>
      </w:divsChild>
    </w:div>
    <w:div w:id="1112478204">
      <w:bodyDiv w:val="1"/>
      <w:marLeft w:val="0"/>
      <w:marRight w:val="0"/>
      <w:marTop w:val="0"/>
      <w:marBottom w:val="0"/>
      <w:divBdr>
        <w:top w:val="none" w:sz="0" w:space="0" w:color="auto"/>
        <w:left w:val="none" w:sz="0" w:space="0" w:color="auto"/>
        <w:bottom w:val="none" w:sz="0" w:space="0" w:color="auto"/>
        <w:right w:val="none" w:sz="0" w:space="0" w:color="auto"/>
      </w:divBdr>
      <w:divsChild>
        <w:div w:id="47730964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50618376">
              <w:marLeft w:val="0"/>
              <w:marRight w:val="0"/>
              <w:marTop w:val="0"/>
              <w:marBottom w:val="240"/>
              <w:divBdr>
                <w:top w:val="none" w:sz="0" w:space="0" w:color="auto"/>
                <w:left w:val="none" w:sz="0" w:space="0" w:color="auto"/>
                <w:bottom w:val="none" w:sz="0" w:space="0" w:color="auto"/>
                <w:right w:val="none" w:sz="0" w:space="0" w:color="auto"/>
              </w:divBdr>
            </w:div>
            <w:div w:id="80886325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147208534">
      <w:bodyDiv w:val="1"/>
      <w:marLeft w:val="0"/>
      <w:marRight w:val="0"/>
      <w:marTop w:val="0"/>
      <w:marBottom w:val="0"/>
      <w:divBdr>
        <w:top w:val="none" w:sz="0" w:space="0" w:color="auto"/>
        <w:left w:val="none" w:sz="0" w:space="0" w:color="auto"/>
        <w:bottom w:val="none" w:sz="0" w:space="0" w:color="auto"/>
        <w:right w:val="none" w:sz="0" w:space="0" w:color="auto"/>
      </w:divBdr>
      <w:divsChild>
        <w:div w:id="130877689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827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7260">
      <w:bodyDiv w:val="1"/>
      <w:marLeft w:val="0"/>
      <w:marRight w:val="0"/>
      <w:marTop w:val="0"/>
      <w:marBottom w:val="0"/>
      <w:divBdr>
        <w:top w:val="none" w:sz="0" w:space="0" w:color="auto"/>
        <w:left w:val="none" w:sz="0" w:space="0" w:color="auto"/>
        <w:bottom w:val="none" w:sz="0" w:space="0" w:color="auto"/>
        <w:right w:val="none" w:sz="0" w:space="0" w:color="auto"/>
      </w:divBdr>
      <w:divsChild>
        <w:div w:id="547493535">
          <w:marLeft w:val="0"/>
          <w:marRight w:val="0"/>
          <w:marTop w:val="0"/>
          <w:marBottom w:val="240"/>
          <w:divBdr>
            <w:top w:val="none" w:sz="0" w:space="0" w:color="auto"/>
            <w:left w:val="none" w:sz="0" w:space="0" w:color="auto"/>
            <w:bottom w:val="none" w:sz="0" w:space="0" w:color="auto"/>
            <w:right w:val="none" w:sz="0" w:space="0" w:color="auto"/>
          </w:divBdr>
        </w:div>
        <w:div w:id="1875339425">
          <w:marLeft w:val="0"/>
          <w:marRight w:val="0"/>
          <w:marTop w:val="180"/>
          <w:marBottom w:val="240"/>
          <w:divBdr>
            <w:top w:val="none" w:sz="0" w:space="0" w:color="auto"/>
            <w:left w:val="none" w:sz="0" w:space="0" w:color="auto"/>
            <w:bottom w:val="none" w:sz="0" w:space="0" w:color="auto"/>
            <w:right w:val="none" w:sz="0" w:space="0" w:color="auto"/>
          </w:divBdr>
        </w:div>
        <w:div w:id="548148731">
          <w:marLeft w:val="0"/>
          <w:marRight w:val="0"/>
          <w:marTop w:val="180"/>
          <w:marBottom w:val="240"/>
          <w:divBdr>
            <w:top w:val="none" w:sz="0" w:space="0" w:color="auto"/>
            <w:left w:val="none" w:sz="0" w:space="0" w:color="auto"/>
            <w:bottom w:val="none" w:sz="0" w:space="0" w:color="auto"/>
            <w:right w:val="none" w:sz="0" w:space="0" w:color="auto"/>
          </w:divBdr>
        </w:div>
      </w:divsChild>
    </w:div>
    <w:div w:id="1314411634">
      <w:bodyDiv w:val="1"/>
      <w:marLeft w:val="0"/>
      <w:marRight w:val="0"/>
      <w:marTop w:val="0"/>
      <w:marBottom w:val="0"/>
      <w:divBdr>
        <w:top w:val="none" w:sz="0" w:space="0" w:color="auto"/>
        <w:left w:val="none" w:sz="0" w:space="0" w:color="auto"/>
        <w:bottom w:val="none" w:sz="0" w:space="0" w:color="auto"/>
        <w:right w:val="none" w:sz="0" w:space="0" w:color="auto"/>
      </w:divBdr>
      <w:divsChild>
        <w:div w:id="162739551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718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9842">
      <w:bodyDiv w:val="1"/>
      <w:marLeft w:val="0"/>
      <w:marRight w:val="0"/>
      <w:marTop w:val="0"/>
      <w:marBottom w:val="0"/>
      <w:divBdr>
        <w:top w:val="none" w:sz="0" w:space="0" w:color="auto"/>
        <w:left w:val="none" w:sz="0" w:space="0" w:color="auto"/>
        <w:bottom w:val="none" w:sz="0" w:space="0" w:color="auto"/>
        <w:right w:val="none" w:sz="0" w:space="0" w:color="auto"/>
      </w:divBdr>
    </w:div>
    <w:div w:id="1446733043">
      <w:bodyDiv w:val="1"/>
      <w:marLeft w:val="0"/>
      <w:marRight w:val="0"/>
      <w:marTop w:val="0"/>
      <w:marBottom w:val="0"/>
      <w:divBdr>
        <w:top w:val="none" w:sz="0" w:space="0" w:color="auto"/>
        <w:left w:val="none" w:sz="0" w:space="0" w:color="auto"/>
        <w:bottom w:val="none" w:sz="0" w:space="0" w:color="auto"/>
        <w:right w:val="none" w:sz="0" w:space="0" w:color="auto"/>
      </w:divBdr>
      <w:divsChild>
        <w:div w:id="197763652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4541689">
              <w:marLeft w:val="0"/>
              <w:marRight w:val="0"/>
              <w:marTop w:val="0"/>
              <w:marBottom w:val="240"/>
              <w:divBdr>
                <w:top w:val="none" w:sz="0" w:space="0" w:color="auto"/>
                <w:left w:val="none" w:sz="0" w:space="0" w:color="auto"/>
                <w:bottom w:val="none" w:sz="0" w:space="0" w:color="auto"/>
                <w:right w:val="none" w:sz="0" w:space="0" w:color="auto"/>
              </w:divBdr>
            </w:div>
            <w:div w:id="1367802047">
              <w:marLeft w:val="0"/>
              <w:marRight w:val="0"/>
              <w:marTop w:val="180"/>
              <w:marBottom w:val="240"/>
              <w:divBdr>
                <w:top w:val="none" w:sz="0" w:space="0" w:color="auto"/>
                <w:left w:val="none" w:sz="0" w:space="0" w:color="auto"/>
                <w:bottom w:val="none" w:sz="0" w:space="0" w:color="auto"/>
                <w:right w:val="none" w:sz="0" w:space="0" w:color="auto"/>
              </w:divBdr>
            </w:div>
            <w:div w:id="149502600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476409012">
      <w:bodyDiv w:val="1"/>
      <w:marLeft w:val="0"/>
      <w:marRight w:val="0"/>
      <w:marTop w:val="0"/>
      <w:marBottom w:val="0"/>
      <w:divBdr>
        <w:top w:val="none" w:sz="0" w:space="0" w:color="auto"/>
        <w:left w:val="none" w:sz="0" w:space="0" w:color="auto"/>
        <w:bottom w:val="none" w:sz="0" w:space="0" w:color="auto"/>
        <w:right w:val="none" w:sz="0" w:space="0" w:color="auto"/>
      </w:divBdr>
      <w:divsChild>
        <w:div w:id="1813255569">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483934281">
      <w:bodyDiv w:val="1"/>
      <w:marLeft w:val="0"/>
      <w:marRight w:val="0"/>
      <w:marTop w:val="0"/>
      <w:marBottom w:val="0"/>
      <w:divBdr>
        <w:top w:val="none" w:sz="0" w:space="0" w:color="auto"/>
        <w:left w:val="none" w:sz="0" w:space="0" w:color="auto"/>
        <w:bottom w:val="none" w:sz="0" w:space="0" w:color="auto"/>
        <w:right w:val="none" w:sz="0" w:space="0" w:color="auto"/>
      </w:divBdr>
      <w:divsChild>
        <w:div w:id="53674406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745485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94315972">
      <w:bodyDiv w:val="1"/>
      <w:marLeft w:val="0"/>
      <w:marRight w:val="0"/>
      <w:marTop w:val="0"/>
      <w:marBottom w:val="0"/>
      <w:divBdr>
        <w:top w:val="none" w:sz="0" w:space="0" w:color="auto"/>
        <w:left w:val="none" w:sz="0" w:space="0" w:color="auto"/>
        <w:bottom w:val="none" w:sz="0" w:space="0" w:color="auto"/>
        <w:right w:val="none" w:sz="0" w:space="0" w:color="auto"/>
      </w:divBdr>
      <w:divsChild>
        <w:div w:id="2130278958">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626886033">
      <w:bodyDiv w:val="1"/>
      <w:marLeft w:val="0"/>
      <w:marRight w:val="0"/>
      <w:marTop w:val="0"/>
      <w:marBottom w:val="0"/>
      <w:divBdr>
        <w:top w:val="none" w:sz="0" w:space="0" w:color="auto"/>
        <w:left w:val="none" w:sz="0" w:space="0" w:color="auto"/>
        <w:bottom w:val="none" w:sz="0" w:space="0" w:color="auto"/>
        <w:right w:val="none" w:sz="0" w:space="0" w:color="auto"/>
      </w:divBdr>
      <w:divsChild>
        <w:div w:id="147213556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660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70296">
      <w:bodyDiv w:val="1"/>
      <w:marLeft w:val="0"/>
      <w:marRight w:val="0"/>
      <w:marTop w:val="0"/>
      <w:marBottom w:val="0"/>
      <w:divBdr>
        <w:top w:val="none" w:sz="0" w:space="0" w:color="auto"/>
        <w:left w:val="none" w:sz="0" w:space="0" w:color="auto"/>
        <w:bottom w:val="none" w:sz="0" w:space="0" w:color="auto"/>
        <w:right w:val="none" w:sz="0" w:space="0" w:color="auto"/>
      </w:divBdr>
      <w:divsChild>
        <w:div w:id="2061325458">
          <w:marLeft w:val="0"/>
          <w:marRight w:val="0"/>
          <w:marTop w:val="0"/>
          <w:marBottom w:val="240"/>
          <w:divBdr>
            <w:top w:val="none" w:sz="0" w:space="0" w:color="auto"/>
            <w:left w:val="none" w:sz="0" w:space="0" w:color="auto"/>
            <w:bottom w:val="none" w:sz="0" w:space="0" w:color="auto"/>
            <w:right w:val="none" w:sz="0" w:space="0" w:color="auto"/>
          </w:divBdr>
        </w:div>
        <w:div w:id="1346789659">
          <w:marLeft w:val="0"/>
          <w:marRight w:val="0"/>
          <w:marTop w:val="180"/>
          <w:marBottom w:val="0"/>
          <w:divBdr>
            <w:top w:val="none" w:sz="0" w:space="0" w:color="auto"/>
            <w:left w:val="none" w:sz="0" w:space="0" w:color="auto"/>
            <w:bottom w:val="none" w:sz="0" w:space="0" w:color="auto"/>
            <w:right w:val="none" w:sz="0" w:space="0" w:color="auto"/>
          </w:divBdr>
        </w:div>
      </w:divsChild>
    </w:div>
    <w:div w:id="1803689570">
      <w:bodyDiv w:val="1"/>
      <w:marLeft w:val="0"/>
      <w:marRight w:val="0"/>
      <w:marTop w:val="0"/>
      <w:marBottom w:val="0"/>
      <w:divBdr>
        <w:top w:val="none" w:sz="0" w:space="0" w:color="auto"/>
        <w:left w:val="none" w:sz="0" w:space="0" w:color="auto"/>
        <w:bottom w:val="none" w:sz="0" w:space="0" w:color="auto"/>
        <w:right w:val="none" w:sz="0" w:space="0" w:color="auto"/>
      </w:divBdr>
      <w:divsChild>
        <w:div w:id="363680616">
          <w:marLeft w:val="0"/>
          <w:marRight w:val="0"/>
          <w:marTop w:val="0"/>
          <w:marBottom w:val="240"/>
          <w:divBdr>
            <w:top w:val="none" w:sz="0" w:space="0" w:color="auto"/>
            <w:left w:val="none" w:sz="0" w:space="0" w:color="auto"/>
            <w:bottom w:val="none" w:sz="0" w:space="0" w:color="auto"/>
            <w:right w:val="none" w:sz="0" w:space="0" w:color="auto"/>
          </w:divBdr>
        </w:div>
      </w:divsChild>
    </w:div>
    <w:div w:id="2040398621">
      <w:bodyDiv w:val="1"/>
      <w:marLeft w:val="0"/>
      <w:marRight w:val="0"/>
      <w:marTop w:val="0"/>
      <w:marBottom w:val="0"/>
      <w:divBdr>
        <w:top w:val="none" w:sz="0" w:space="0" w:color="auto"/>
        <w:left w:val="none" w:sz="0" w:space="0" w:color="auto"/>
        <w:bottom w:val="none" w:sz="0" w:space="0" w:color="auto"/>
        <w:right w:val="none" w:sz="0" w:space="0" w:color="auto"/>
      </w:divBdr>
      <w:divsChild>
        <w:div w:id="103855068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96070263">
              <w:marLeft w:val="0"/>
              <w:marRight w:val="0"/>
              <w:marTop w:val="0"/>
              <w:marBottom w:val="240"/>
              <w:divBdr>
                <w:top w:val="none" w:sz="0" w:space="0" w:color="auto"/>
                <w:left w:val="none" w:sz="0" w:space="0" w:color="auto"/>
                <w:bottom w:val="none" w:sz="0" w:space="0" w:color="auto"/>
                <w:right w:val="none" w:sz="0" w:space="0" w:color="auto"/>
              </w:divBdr>
            </w:div>
            <w:div w:id="12839737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055226546">
      <w:bodyDiv w:val="1"/>
      <w:marLeft w:val="0"/>
      <w:marRight w:val="0"/>
      <w:marTop w:val="0"/>
      <w:marBottom w:val="0"/>
      <w:divBdr>
        <w:top w:val="none" w:sz="0" w:space="0" w:color="auto"/>
        <w:left w:val="none" w:sz="0" w:space="0" w:color="auto"/>
        <w:bottom w:val="none" w:sz="0" w:space="0" w:color="auto"/>
        <w:right w:val="none" w:sz="0" w:space="0" w:color="auto"/>
      </w:divBdr>
      <w:divsChild>
        <w:div w:id="245385251">
          <w:marLeft w:val="0"/>
          <w:marRight w:val="0"/>
          <w:marTop w:val="0"/>
          <w:marBottom w:val="240"/>
          <w:divBdr>
            <w:top w:val="none" w:sz="0" w:space="0" w:color="auto"/>
            <w:left w:val="none" w:sz="0" w:space="0" w:color="auto"/>
            <w:bottom w:val="none" w:sz="0" w:space="0" w:color="auto"/>
            <w:right w:val="none" w:sz="0" w:space="0" w:color="auto"/>
          </w:divBdr>
        </w:div>
        <w:div w:id="1768116620">
          <w:marLeft w:val="0"/>
          <w:marRight w:val="0"/>
          <w:marTop w:val="180"/>
          <w:marBottom w:val="240"/>
          <w:divBdr>
            <w:top w:val="none" w:sz="0" w:space="0" w:color="auto"/>
            <w:left w:val="none" w:sz="0" w:space="0" w:color="auto"/>
            <w:bottom w:val="none" w:sz="0" w:space="0" w:color="auto"/>
            <w:right w:val="none" w:sz="0" w:space="0" w:color="auto"/>
          </w:divBdr>
        </w:div>
      </w:divsChild>
    </w:div>
    <w:div w:id="2125030966">
      <w:bodyDiv w:val="1"/>
      <w:marLeft w:val="0"/>
      <w:marRight w:val="0"/>
      <w:marTop w:val="0"/>
      <w:marBottom w:val="0"/>
      <w:divBdr>
        <w:top w:val="none" w:sz="0" w:space="0" w:color="auto"/>
        <w:left w:val="none" w:sz="0" w:space="0" w:color="auto"/>
        <w:bottom w:val="none" w:sz="0" w:space="0" w:color="auto"/>
        <w:right w:val="none" w:sz="0" w:space="0" w:color="auto"/>
      </w:divBdr>
      <w:divsChild>
        <w:div w:id="1527594914">
          <w:marLeft w:val="0"/>
          <w:marRight w:val="0"/>
          <w:marTop w:val="0"/>
          <w:marBottom w:val="240"/>
          <w:divBdr>
            <w:top w:val="none" w:sz="0" w:space="0" w:color="auto"/>
            <w:left w:val="none" w:sz="0" w:space="0" w:color="auto"/>
            <w:bottom w:val="none" w:sz="0" w:space="0" w:color="auto"/>
            <w:right w:val="none" w:sz="0" w:space="0" w:color="auto"/>
          </w:divBdr>
        </w:div>
        <w:div w:id="9275356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hdphoto" Target="media/hdphoto7.wdp"/><Relationship Id="rId26" Type="http://schemas.microsoft.com/office/2007/relationships/hdphoto" Target="media/hdphoto11.wdp"/><Relationship Id="rId39" Type="http://schemas.openxmlformats.org/officeDocument/2006/relationships/image" Target="media/image19.png"/><Relationship Id="rId21" Type="http://schemas.openxmlformats.org/officeDocument/2006/relationships/image" Target="media/image9.png"/><Relationship Id="rId34" Type="http://schemas.microsoft.com/office/2007/relationships/hdphoto" Target="media/hdphoto15.wdp"/><Relationship Id="rId42" Type="http://schemas.microsoft.com/office/2007/relationships/hdphoto" Target="media/hdphoto18.wdp"/><Relationship Id="rId47" Type="http://schemas.openxmlformats.org/officeDocument/2006/relationships/image" Target="media/image23.png"/><Relationship Id="rId50" Type="http://schemas.openxmlformats.org/officeDocument/2006/relationships/image" Target="media/image25.png"/><Relationship Id="rId55" Type="http://schemas.microsoft.com/office/2007/relationships/hdphoto" Target="media/hdphoto24.wdp"/><Relationship Id="rId63" Type="http://schemas.microsoft.com/office/2007/relationships/hdphoto" Target="media/hdphoto28.wdp"/><Relationship Id="rId68" Type="http://schemas.openxmlformats.org/officeDocument/2006/relationships/image" Target="media/image34.png"/><Relationship Id="rId7" Type="http://schemas.openxmlformats.org/officeDocument/2006/relationships/image" Target="media/image2.png"/><Relationship Id="rId71" Type="http://schemas.microsoft.com/office/2007/relationships/hdphoto" Target="media/hdphoto32.wdp"/><Relationship Id="rId2" Type="http://schemas.openxmlformats.org/officeDocument/2006/relationships/styles" Target="styles.xml"/><Relationship Id="rId16" Type="http://schemas.microsoft.com/office/2007/relationships/hdphoto" Target="media/hdphoto6.wdp"/><Relationship Id="rId29" Type="http://schemas.openxmlformats.org/officeDocument/2006/relationships/image" Target="media/image13.png"/><Relationship Id="rId11" Type="http://schemas.openxmlformats.org/officeDocument/2006/relationships/image" Target="media/image4.png"/><Relationship Id="rId24" Type="http://schemas.microsoft.com/office/2007/relationships/hdphoto" Target="media/hdphoto10.wdp"/><Relationship Id="rId32" Type="http://schemas.microsoft.com/office/2007/relationships/hdphoto" Target="media/hdphoto14.wdp"/><Relationship Id="rId37" Type="http://schemas.microsoft.com/office/2007/relationships/hdphoto" Target="media/hdphoto16.wdp"/><Relationship Id="rId40" Type="http://schemas.microsoft.com/office/2007/relationships/hdphoto" Target="media/hdphoto17.wdp"/><Relationship Id="rId45" Type="http://schemas.openxmlformats.org/officeDocument/2006/relationships/image" Target="media/image22.png"/><Relationship Id="rId53" Type="http://schemas.microsoft.com/office/2007/relationships/hdphoto" Target="media/hdphoto23.wdp"/><Relationship Id="rId58" Type="http://schemas.openxmlformats.org/officeDocument/2006/relationships/image" Target="media/image29.png"/><Relationship Id="rId66" Type="http://schemas.openxmlformats.org/officeDocument/2006/relationships/image" Target="media/image33.png"/><Relationship Id="rId7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microsoft.com/office/2007/relationships/hdphoto" Target="media/hdphoto12.wdp"/><Relationship Id="rId36" Type="http://schemas.openxmlformats.org/officeDocument/2006/relationships/image" Target="media/image17.png"/><Relationship Id="rId49" Type="http://schemas.microsoft.com/office/2007/relationships/hdphoto" Target="media/hdphoto21.wdp"/><Relationship Id="rId57" Type="http://schemas.microsoft.com/office/2007/relationships/hdphoto" Target="media/hdphoto25.wdp"/><Relationship Id="rId61" Type="http://schemas.microsoft.com/office/2007/relationships/hdphoto" Target="media/hdphoto27.wdp"/><Relationship Id="rId10" Type="http://schemas.microsoft.com/office/2007/relationships/hdphoto" Target="media/hdphoto3.wdp"/><Relationship Id="rId19" Type="http://schemas.openxmlformats.org/officeDocument/2006/relationships/image" Target="media/image8.png"/><Relationship Id="rId31" Type="http://schemas.openxmlformats.org/officeDocument/2006/relationships/image" Target="media/image14.png"/><Relationship Id="rId44" Type="http://schemas.microsoft.com/office/2007/relationships/hdphoto" Target="media/hdphoto19.wdp"/><Relationship Id="rId52" Type="http://schemas.openxmlformats.org/officeDocument/2006/relationships/image" Target="media/image26.png"/><Relationship Id="rId60" Type="http://schemas.openxmlformats.org/officeDocument/2006/relationships/image" Target="media/image30.png"/><Relationship Id="rId65" Type="http://schemas.microsoft.com/office/2007/relationships/hdphoto" Target="media/hdphoto29.wdp"/><Relationship Id="rId73" Type="http://schemas.microsoft.com/office/2007/relationships/hdphoto" Target="media/hdphoto33.wdp"/><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5.wdp"/><Relationship Id="rId22" Type="http://schemas.microsoft.com/office/2007/relationships/hdphoto" Target="media/hdphoto9.wdp"/><Relationship Id="rId27" Type="http://schemas.openxmlformats.org/officeDocument/2006/relationships/image" Target="media/image12.png"/><Relationship Id="rId30" Type="http://schemas.microsoft.com/office/2007/relationships/hdphoto" Target="media/hdphoto13.wdp"/><Relationship Id="rId35" Type="http://schemas.openxmlformats.org/officeDocument/2006/relationships/image" Target="media/image16.png"/><Relationship Id="rId43" Type="http://schemas.openxmlformats.org/officeDocument/2006/relationships/image" Target="media/image21.png"/><Relationship Id="rId48" Type="http://schemas.openxmlformats.org/officeDocument/2006/relationships/image" Target="media/image24.png"/><Relationship Id="rId56" Type="http://schemas.openxmlformats.org/officeDocument/2006/relationships/image" Target="media/image28.png"/><Relationship Id="rId64" Type="http://schemas.openxmlformats.org/officeDocument/2006/relationships/image" Target="media/image32.png"/><Relationship Id="rId69" Type="http://schemas.microsoft.com/office/2007/relationships/hdphoto" Target="media/hdphoto31.wdp"/><Relationship Id="rId8" Type="http://schemas.microsoft.com/office/2007/relationships/hdphoto" Target="media/hdphoto2.wdp"/><Relationship Id="rId51" Type="http://schemas.microsoft.com/office/2007/relationships/hdphoto" Target="media/hdphoto22.wdp"/><Relationship Id="rId72" Type="http://schemas.openxmlformats.org/officeDocument/2006/relationships/image" Target="media/image36.png"/><Relationship Id="rId3" Type="http://schemas.openxmlformats.org/officeDocument/2006/relationships/settings" Target="settings.xml"/><Relationship Id="rId12" Type="http://schemas.microsoft.com/office/2007/relationships/hdphoto" Target="media/hdphoto4.wdp"/><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18.png"/><Relationship Id="rId46" Type="http://schemas.microsoft.com/office/2007/relationships/hdphoto" Target="media/hdphoto20.wdp"/><Relationship Id="rId59" Type="http://schemas.microsoft.com/office/2007/relationships/hdphoto" Target="media/hdphoto26.wdp"/><Relationship Id="rId67" Type="http://schemas.microsoft.com/office/2007/relationships/hdphoto" Target="media/hdphoto30.wdp"/><Relationship Id="rId20" Type="http://schemas.microsoft.com/office/2007/relationships/hdphoto" Target="media/hdphoto8.wdp"/><Relationship Id="rId41" Type="http://schemas.openxmlformats.org/officeDocument/2006/relationships/image" Target="media/image20.png"/><Relationship Id="rId54" Type="http://schemas.openxmlformats.org/officeDocument/2006/relationships/image" Target="media/image27.png"/><Relationship Id="rId62" Type="http://schemas.openxmlformats.org/officeDocument/2006/relationships/image" Target="media/image31.png"/><Relationship Id="rId70" Type="http://schemas.openxmlformats.org/officeDocument/2006/relationships/image" Target="media/image35.png"/><Relationship Id="rId75"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1381</TotalTime>
  <Pages>45</Pages>
  <Words>6872</Words>
  <Characters>51271</Characters>
  <Application>Microsoft Office Word</Application>
  <DocSecurity>0</DocSecurity>
  <Lines>1385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Тищенко Володимир Валентинович</dc:creator>
  <cp:keywords/>
  <dc:description/>
  <cp:lastModifiedBy>Тищенко Володимир Валентинович</cp:lastModifiedBy>
  <cp:revision>8</cp:revision>
  <dcterms:created xsi:type="dcterms:W3CDTF">2026-06-05T11:51:00Z</dcterms:created>
  <dcterms:modified xsi:type="dcterms:W3CDTF">2026-06-06T11:34:00Z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3592178a-519d-45a2-9888-52a8fe2500cf</vt:lpwstr>
  </property>
</Properties>
</file>