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621C7" w:rsidRDefault="005D53F5">
      <w:pPr>
        <w:ind w:firstLine="0"/>
        <w:jc w:val="center"/>
      </w:pPr>
      <w:bookmarkStart w:id="0" w:name="_GoBack"/>
      <w:bookmarkEnd w:id="0"/>
      <w:r>
        <w:rPr>
          <w:b/>
          <w:bCs/>
        </w:rPr>
        <w:t>МІНІСТЕРСТВО ОСВІТИ І НАУКИ УКРАЇНИ</w:t>
      </w:r>
    </w:p>
    <w:p w:rsidR="00B621C7" w:rsidRDefault="005D53F5">
      <w:pPr>
        <w:ind w:firstLine="0"/>
        <w:jc w:val="center"/>
      </w:pPr>
      <w:r>
        <w:rPr>
          <w:b/>
          <w:bCs/>
        </w:rPr>
        <w:t>СХІДНОУКРАЇНСЬКИЙ НАЦІОНАЛЬНИЙ УНІВЕРСИТЕТ</w:t>
      </w:r>
    </w:p>
    <w:p w:rsidR="00B621C7" w:rsidRDefault="005D53F5">
      <w:pPr>
        <w:ind w:firstLine="0"/>
        <w:jc w:val="center"/>
      </w:pPr>
      <w:r>
        <w:rPr>
          <w:b/>
          <w:bCs/>
        </w:rPr>
        <w:t>ІМЕНІ ВОЛОДИМИРА ДАЛЯ</w:t>
      </w:r>
    </w:p>
    <w:p w:rsidR="00B621C7" w:rsidRDefault="00B621C7">
      <w:pPr>
        <w:ind w:firstLine="0"/>
      </w:pPr>
    </w:p>
    <w:p w:rsidR="00B621C7" w:rsidRDefault="005D53F5">
      <w:pPr>
        <w:ind w:firstLine="0"/>
        <w:jc w:val="center"/>
      </w:pPr>
      <w:r>
        <w:rPr>
          <w:b/>
          <w:bCs/>
        </w:rPr>
        <w:t>ФАКУЛЬТЕТ ЕКОНОМІКИ І УПРАВЛІННЯ</w:t>
      </w:r>
    </w:p>
    <w:p w:rsidR="00B621C7" w:rsidRDefault="005D53F5">
      <w:pPr>
        <w:ind w:firstLine="0"/>
        <w:jc w:val="center"/>
      </w:pPr>
      <w:r>
        <w:rPr>
          <w:b/>
          <w:bCs/>
        </w:rPr>
        <w:t>КАФЕДРА «ФІНАНСИ ТА БАНКІВСЬКА СПРАВА»</w:t>
      </w:r>
    </w:p>
    <w:p w:rsidR="00B621C7" w:rsidRDefault="00B621C7">
      <w:pPr>
        <w:ind w:firstLine="0"/>
      </w:pPr>
    </w:p>
    <w:p w:rsidR="00B621C7" w:rsidRDefault="005D53F5">
      <w:pPr>
        <w:ind w:firstLine="0"/>
        <w:jc w:val="center"/>
      </w:pPr>
      <w:r>
        <w:t>Спеціальність 072 «Фінанси, банківська справа та страхування»</w:t>
      </w:r>
    </w:p>
    <w:p w:rsidR="00B621C7" w:rsidRDefault="00B621C7">
      <w:pPr>
        <w:ind w:firstLine="0"/>
        <w:jc w:val="center"/>
      </w:pPr>
    </w:p>
    <w:p w:rsidR="00B621C7" w:rsidRDefault="00B621C7">
      <w:pPr>
        <w:ind w:firstLine="0"/>
      </w:pPr>
    </w:p>
    <w:p w:rsidR="00B621C7" w:rsidRDefault="00B621C7">
      <w:pPr>
        <w:ind w:firstLine="0"/>
      </w:pPr>
    </w:p>
    <w:p w:rsidR="00B621C7" w:rsidRDefault="00B621C7">
      <w:pPr>
        <w:ind w:firstLine="0"/>
      </w:pPr>
    </w:p>
    <w:p w:rsidR="00B621C7" w:rsidRDefault="005D53F5">
      <w:pPr>
        <w:ind w:firstLine="0"/>
        <w:jc w:val="center"/>
      </w:pPr>
      <w:r>
        <w:rPr>
          <w:b/>
          <w:bCs/>
        </w:rPr>
        <w:t>П О Я С Н Ю В А Л Ь Н А   З А П И С К А</w:t>
      </w:r>
    </w:p>
    <w:p w:rsidR="00B621C7" w:rsidRDefault="005D53F5">
      <w:pPr>
        <w:ind w:firstLine="0"/>
        <w:jc w:val="center"/>
      </w:pPr>
      <w:r>
        <w:t>до дипломної роботи на тему:</w:t>
      </w:r>
    </w:p>
    <w:p w:rsidR="00B621C7" w:rsidRDefault="005D53F5">
      <w:pPr>
        <w:ind w:firstLine="0"/>
        <w:jc w:val="center"/>
      </w:pPr>
      <w:r>
        <w:rPr>
          <w:b/>
          <w:bCs/>
        </w:rPr>
        <w:t>«Грошово-кредитна політика і розвиток інструментів її реалізації в умовах ринкової трансформації України»</w:t>
      </w:r>
    </w:p>
    <w:p w:rsidR="00B621C7" w:rsidRDefault="00B621C7">
      <w:pPr>
        <w:ind w:firstLine="0"/>
      </w:pPr>
    </w:p>
    <w:p w:rsidR="00B621C7" w:rsidRDefault="00B621C7">
      <w:pPr>
        <w:ind w:firstLine="0"/>
      </w:pPr>
    </w:p>
    <w:p w:rsidR="00B621C7" w:rsidRDefault="00B621C7">
      <w:pPr>
        <w:ind w:firstLine="0"/>
      </w:pPr>
    </w:p>
    <w:p w:rsidR="00B621C7" w:rsidRDefault="005D53F5">
      <w:pPr>
        <w:ind w:firstLine="0"/>
        <w:jc w:val="left"/>
      </w:pPr>
      <w:r>
        <w:t>Студент груп</w:t>
      </w:r>
      <w:r>
        <w:t>и БСП-22д _____________________ Великий О.О.</w:t>
      </w:r>
    </w:p>
    <w:p w:rsidR="00B621C7" w:rsidRDefault="005D53F5">
      <w:pPr>
        <w:ind w:firstLine="0"/>
        <w:jc w:val="left"/>
      </w:pPr>
      <w:r>
        <w:t>Науковий керівник дипломної роботи _________ Тищенко О.І.</w:t>
      </w:r>
    </w:p>
    <w:p w:rsidR="00B621C7" w:rsidRDefault="005D53F5">
      <w:pPr>
        <w:ind w:firstLine="0"/>
        <w:jc w:val="left"/>
      </w:pPr>
      <w:r>
        <w:t>Завідувач кафедрою _____________________</w:t>
      </w:r>
    </w:p>
    <w:p w:rsidR="00B621C7" w:rsidRDefault="00B621C7">
      <w:pPr>
        <w:ind w:firstLine="0"/>
      </w:pPr>
    </w:p>
    <w:p w:rsidR="00B621C7" w:rsidRDefault="00B621C7">
      <w:pPr>
        <w:ind w:firstLine="0"/>
      </w:pPr>
    </w:p>
    <w:p w:rsidR="00B621C7" w:rsidRDefault="00B621C7">
      <w:pPr>
        <w:ind w:firstLine="0"/>
      </w:pPr>
    </w:p>
    <w:p w:rsidR="00B621C7" w:rsidRDefault="00B621C7">
      <w:pPr>
        <w:ind w:firstLine="0"/>
      </w:pPr>
    </w:p>
    <w:p w:rsidR="00B621C7" w:rsidRDefault="00B621C7">
      <w:pPr>
        <w:ind w:firstLine="0"/>
      </w:pPr>
    </w:p>
    <w:p w:rsidR="00B621C7" w:rsidRDefault="005D53F5">
      <w:pPr>
        <w:ind w:firstLine="0"/>
        <w:jc w:val="center"/>
      </w:pPr>
      <w:r>
        <w:t>Київ – 2026</w:t>
      </w:r>
    </w:p>
    <w:p w:rsidR="00B621C7" w:rsidRDefault="005D53F5">
      <w:pPr>
        <w:ind w:firstLine="0"/>
      </w:pPr>
      <w:r>
        <w:br w:type="page"/>
      </w:r>
    </w:p>
    <w:p w:rsidR="00B621C7" w:rsidRDefault="005D53F5">
      <w:pPr>
        <w:ind w:firstLine="0"/>
        <w:jc w:val="center"/>
      </w:pPr>
      <w:r>
        <w:rPr>
          <w:b/>
          <w:bCs/>
        </w:rPr>
        <w:lastRenderedPageBreak/>
        <w:t>МІНІСТЕРСТВО ОСВІТИ І НАУКИ УКРАЇНИ</w:t>
      </w:r>
    </w:p>
    <w:p w:rsidR="00B621C7" w:rsidRDefault="005D53F5">
      <w:pPr>
        <w:ind w:firstLine="0"/>
        <w:jc w:val="center"/>
      </w:pPr>
      <w:r>
        <w:rPr>
          <w:b/>
          <w:bCs/>
        </w:rPr>
        <w:t>СХІДНОУКРАЇНСЬКИЙ НАЦІОНАЛЬНИЙ УНІВЕРСИТЕТ ІМЕНІ ВОЛОДИМИРА ДАЛЯ</w:t>
      </w:r>
    </w:p>
    <w:p w:rsidR="00B621C7" w:rsidRDefault="005D53F5">
      <w:pPr>
        <w:ind w:firstLine="0"/>
        <w:jc w:val="center"/>
      </w:pPr>
      <w:r>
        <w:rPr>
          <w:b/>
          <w:bCs/>
        </w:rPr>
        <w:t>ФАКУЛЬТЕТ ЕКОНОМІКИ І УПРАВЛІННЯ</w:t>
      </w:r>
    </w:p>
    <w:p w:rsidR="00B621C7" w:rsidRDefault="005D53F5">
      <w:pPr>
        <w:ind w:firstLine="0"/>
        <w:jc w:val="center"/>
      </w:pPr>
      <w:r>
        <w:rPr>
          <w:b/>
          <w:bCs/>
        </w:rPr>
        <w:t>КАФЕДРА «ФІНАНСИ ТА БАНКІВСЬКА СПРАВА»</w:t>
      </w:r>
    </w:p>
    <w:p w:rsidR="00B621C7" w:rsidRDefault="00B621C7">
      <w:pPr>
        <w:ind w:firstLine="0"/>
      </w:pPr>
    </w:p>
    <w:p w:rsidR="00B621C7" w:rsidRDefault="005D53F5">
      <w:pPr>
        <w:ind w:firstLine="0"/>
        <w:jc w:val="center"/>
      </w:pPr>
      <w:r>
        <w:rPr>
          <w:b/>
          <w:bCs/>
        </w:rPr>
        <w:t>ЗАТВЕРДЖУЮ:</w:t>
      </w:r>
    </w:p>
    <w:p w:rsidR="00B621C7" w:rsidRDefault="005D53F5">
      <w:pPr>
        <w:ind w:firstLine="0"/>
        <w:jc w:val="right"/>
      </w:pPr>
      <w:r>
        <w:t>Завідувач кафедрою _____________________</w:t>
      </w:r>
    </w:p>
    <w:p w:rsidR="00B621C7" w:rsidRDefault="005D53F5">
      <w:pPr>
        <w:ind w:firstLine="0"/>
        <w:jc w:val="right"/>
      </w:pPr>
      <w:r>
        <w:t>«____» ______________ 2026 р.</w:t>
      </w:r>
    </w:p>
    <w:p w:rsidR="00B621C7" w:rsidRDefault="00B621C7">
      <w:pPr>
        <w:ind w:firstLine="0"/>
      </w:pPr>
    </w:p>
    <w:p w:rsidR="00B621C7" w:rsidRDefault="005D53F5">
      <w:pPr>
        <w:ind w:firstLine="0"/>
        <w:jc w:val="center"/>
      </w:pPr>
      <w:r>
        <w:rPr>
          <w:b/>
          <w:bCs/>
        </w:rPr>
        <w:t xml:space="preserve">З А В Д А Н </w:t>
      </w:r>
      <w:proofErr w:type="spellStart"/>
      <w:r>
        <w:rPr>
          <w:b/>
          <w:bCs/>
        </w:rPr>
        <w:t>Н</w:t>
      </w:r>
      <w:proofErr w:type="spellEnd"/>
      <w:r>
        <w:rPr>
          <w:b/>
          <w:bCs/>
        </w:rPr>
        <w:t xml:space="preserve"> Я</w:t>
      </w:r>
    </w:p>
    <w:p w:rsidR="00B621C7" w:rsidRDefault="005D53F5">
      <w:pPr>
        <w:ind w:firstLine="0"/>
        <w:jc w:val="center"/>
      </w:pPr>
      <w:r>
        <w:rPr>
          <w:b/>
          <w:bCs/>
        </w:rPr>
        <w:t>НА ДИПЛОМНУ РОБОТУ</w:t>
      </w:r>
    </w:p>
    <w:p w:rsidR="00B621C7" w:rsidRDefault="005D53F5">
      <w:pPr>
        <w:ind w:firstLine="0"/>
        <w:jc w:val="center"/>
      </w:pPr>
      <w:r>
        <w:t>здобувача вищої освіти групи БСП-22д Великий Олександр Олексійович</w:t>
      </w:r>
    </w:p>
    <w:p w:rsidR="00B621C7" w:rsidRDefault="005D53F5">
      <w:r>
        <w:t>1. Тема роботи: «Грошово-кредитна політика і розвиток інструментів її реалізації в умовах ринкової трансформації України».</w:t>
      </w:r>
    </w:p>
    <w:p w:rsidR="00B621C7" w:rsidRDefault="005D53F5">
      <w:r>
        <w:t>2. Вихідні дані до роботи: законодавчо-нормативні акти України, о</w:t>
      </w:r>
      <w:r>
        <w:t>фіційні матеріали Національного банку України, дані Державної служби статистики України, фінансова звітність та річні звіти АТ «Ощадбанк».</w:t>
      </w:r>
    </w:p>
    <w:p w:rsidR="00B621C7" w:rsidRDefault="005D53F5">
      <w:r>
        <w:t xml:space="preserve">3. Зміст розрахунково-пояснювальної записки: </w:t>
      </w:r>
    </w:p>
    <w:p w:rsidR="00B621C7" w:rsidRDefault="005D53F5">
      <w:r>
        <w:t>РОЗДІЛ 1. Теоретико-методологічні засади грошово-кредитної політики НБУ</w:t>
      </w:r>
      <w:r>
        <w:t>;</w:t>
      </w:r>
    </w:p>
    <w:p w:rsidR="00B621C7" w:rsidRDefault="005D53F5">
      <w:r>
        <w:t xml:space="preserve">РОЗДІЛ 2. Оцінка впливу грошово-кредитної політики на банківську систему та АТ «Ощадбанк»; </w:t>
      </w:r>
    </w:p>
    <w:p w:rsidR="00B621C7" w:rsidRDefault="005D53F5">
      <w:r>
        <w:t>РОЗДІЛ 3. Напрями розвитку інструментів грошово-кредитної політики в умовах ринкової трансформації України.</w:t>
      </w:r>
    </w:p>
    <w:p w:rsidR="00B621C7" w:rsidRDefault="005D53F5">
      <w:pPr>
        <w:rPr>
          <w:b/>
          <w:bCs/>
          <w:color w:val="FF0000"/>
          <w:highlight w:val="white"/>
        </w:rPr>
      </w:pPr>
      <w:r>
        <w:t xml:space="preserve">4. Перелік графічного матеріалу: </w:t>
      </w:r>
      <w:r>
        <w:rPr>
          <w:highlight w:val="white"/>
        </w:rPr>
        <w:t>табл. 1.1 “Порівняльн</w:t>
      </w:r>
      <w:r>
        <w:rPr>
          <w:highlight w:val="white"/>
        </w:rPr>
        <w:t xml:space="preserve">а характеристика підходів до визначення грошово-кредитної політики”; табл. 1.2 “Ієрархічна структура цілей грошово-кредитної політики НБУ”; табл. 1.3 “Типологічна класифікація грошово-кредитної політики”; табл. 1.4 “Функціональна класифікація інструментів </w:t>
      </w:r>
      <w:r>
        <w:rPr>
          <w:highlight w:val="white"/>
        </w:rPr>
        <w:t xml:space="preserve">монетарної політики НБУ”; табл. 1.5 “Канали </w:t>
      </w:r>
      <w:r>
        <w:rPr>
          <w:highlight w:val="white"/>
        </w:rPr>
        <w:lastRenderedPageBreak/>
        <w:t>монетарної трансмісії та особливості їх дії в Україні”; табл. 1.6 “Вплив характеристик банківської системи на ефективність монетарної трансмісії”; табл. 1.7 “Фіскальні та зовнішні фактори впливу на ефективність Г</w:t>
      </w:r>
      <w:r>
        <w:rPr>
          <w:highlight w:val="white"/>
        </w:rPr>
        <w:t>КП”; табл. 2.1 “Динаміка процентних індикаторів трансмісії НБУ у 2022–2025 роках”; табл. 2.2 “Інфляційні показники та реальні процентні ставки у 2022–2025 роках”; табл. 2.3 “Динаміка ресурсної бази АТ «Ощадбанк» у 2023–2025 роках”; табл. 2.4 “Кредитний пор</w:t>
      </w:r>
      <w:r>
        <w:rPr>
          <w:highlight w:val="white"/>
        </w:rPr>
        <w:t>тфель і показники кредитного ризику АТ «Ощадбанк» у 2023–2025 роках”; табл. 2.5 “Структура активів АТ «Ощадбанк» у 2023–2025 роках”; табл. 2.6 “Процентні доходи, процентні витрати та чистий процентний дохід АТ «Ощадбанк» у 2023–2025 роках”; табл. 3.1 “Евол</w:t>
      </w:r>
      <w:r>
        <w:rPr>
          <w:highlight w:val="white"/>
        </w:rPr>
        <w:t>юція операційного дизайну грошово-кредитної політики Національного банку України у 2023–2026 роках та її вплив на банківський сектор”; табл. 3.2 “Напрями вдосконалення інструментів грошово-кредитної політики Національного банку України”; табл. 3.3 “Розраху</w:t>
      </w:r>
      <w:r>
        <w:rPr>
          <w:highlight w:val="white"/>
        </w:rPr>
        <w:t xml:space="preserve">нок кількісного ефекту від зміни строковості ресурсної бази АТ «Ощадбанк» у 2025 році”; рис. 1.1 “Ієрархія цілей грошово-кредитної політики НБУ”; рис. 1.2 “Етапи становлення грошово-кредитної політики України”; рис. 1.3 “Функціональна система інструментів </w:t>
      </w:r>
      <w:r>
        <w:rPr>
          <w:highlight w:val="white"/>
        </w:rPr>
        <w:t>монетарної політики НБУ”; рис. 1.4 “Операційна роль UONIA в системі процентних ставок НБУ”; рис. 1.5 “Трансмісійний механізм грошово-кредитної політики НБУ”; рис. 1.6 “Взаємозв’язок валютного каналу та інфляційних очікувань”; рис. 1.7 “Система факторів ефе</w:t>
      </w:r>
      <w:r>
        <w:rPr>
          <w:highlight w:val="white"/>
        </w:rPr>
        <w:t xml:space="preserve">ктивності грошово-кредитної політики НБУ”. </w:t>
      </w:r>
    </w:p>
    <w:p w:rsidR="00B621C7" w:rsidRDefault="00B621C7">
      <w:pPr>
        <w:ind w:firstLine="0"/>
        <w:jc w:val="center"/>
        <w:rPr>
          <w:b/>
          <w:bCs/>
        </w:rPr>
      </w:pPr>
    </w:p>
    <w:p w:rsidR="00B621C7" w:rsidRDefault="00B621C7">
      <w:pPr>
        <w:ind w:firstLine="0"/>
        <w:jc w:val="center"/>
        <w:rPr>
          <w:b/>
          <w:bCs/>
        </w:rPr>
      </w:pPr>
    </w:p>
    <w:p w:rsidR="00B621C7" w:rsidRDefault="00B621C7">
      <w:pPr>
        <w:ind w:firstLine="0"/>
        <w:jc w:val="center"/>
        <w:rPr>
          <w:b/>
          <w:bCs/>
        </w:rPr>
      </w:pPr>
    </w:p>
    <w:p w:rsidR="00B621C7" w:rsidRDefault="00B621C7">
      <w:pPr>
        <w:ind w:firstLine="0"/>
        <w:jc w:val="center"/>
        <w:rPr>
          <w:b/>
          <w:bCs/>
        </w:rPr>
      </w:pPr>
    </w:p>
    <w:p w:rsidR="00B621C7" w:rsidRDefault="00B621C7">
      <w:pPr>
        <w:ind w:firstLine="0"/>
        <w:jc w:val="center"/>
        <w:rPr>
          <w:b/>
          <w:bCs/>
        </w:rPr>
      </w:pPr>
    </w:p>
    <w:p w:rsidR="00B621C7" w:rsidRDefault="00B621C7">
      <w:pPr>
        <w:ind w:firstLine="0"/>
        <w:jc w:val="center"/>
        <w:rPr>
          <w:b/>
          <w:bCs/>
        </w:rPr>
      </w:pPr>
    </w:p>
    <w:p w:rsidR="00B621C7" w:rsidRDefault="00B621C7">
      <w:pPr>
        <w:ind w:firstLine="0"/>
        <w:jc w:val="center"/>
        <w:rPr>
          <w:b/>
          <w:bCs/>
        </w:rPr>
      </w:pPr>
    </w:p>
    <w:p w:rsidR="00B621C7" w:rsidRDefault="00B621C7">
      <w:pPr>
        <w:ind w:firstLine="0"/>
        <w:jc w:val="center"/>
        <w:rPr>
          <w:b/>
          <w:bCs/>
        </w:rPr>
      </w:pPr>
    </w:p>
    <w:p w:rsidR="00B621C7" w:rsidRDefault="00B621C7">
      <w:pPr>
        <w:ind w:firstLine="0"/>
        <w:jc w:val="center"/>
        <w:rPr>
          <w:b/>
          <w:bCs/>
        </w:rPr>
      </w:pPr>
    </w:p>
    <w:p w:rsidR="00B621C7" w:rsidRDefault="005D53F5">
      <w:pPr>
        <w:ind w:firstLine="0"/>
        <w:jc w:val="center"/>
      </w:pPr>
      <w:r>
        <w:rPr>
          <w:b/>
          <w:bCs/>
        </w:rPr>
        <w:lastRenderedPageBreak/>
        <w:t>КАЛЕНДАРНИЙ ПЛАН</w:t>
      </w:r>
    </w:p>
    <w:tbl>
      <w:tblPr>
        <w:tblStyle w:val="a5"/>
        <w:tblW w:w="10624" w:type="dxa"/>
        <w:jc w:val="center"/>
        <w:tblInd w:w="0" w:type="dxa"/>
        <w:tblLayout w:type="fixed"/>
        <w:tblLook w:val="0400" w:firstRow="0" w:lastRow="0" w:firstColumn="0" w:lastColumn="0" w:noHBand="0" w:noVBand="1"/>
      </w:tblPr>
      <w:tblGrid>
        <w:gridCol w:w="2085"/>
        <w:gridCol w:w="3990"/>
        <w:gridCol w:w="2281"/>
        <w:gridCol w:w="2268"/>
      </w:tblGrid>
      <w:tr w:rsidR="00B621C7">
        <w:trPr>
          <w:tblHeader/>
          <w:jc w:val="center"/>
        </w:trPr>
        <w:tc>
          <w:tcPr>
            <w:tcW w:w="20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rPr>
              <w:t>Пор.</w:t>
            </w:r>
            <w:r>
              <w:rPr>
                <w:b/>
                <w:bCs/>
              </w:rPr>
              <w:br/>
              <w:t>№</w:t>
            </w:r>
          </w:p>
        </w:tc>
        <w:tc>
          <w:tcPr>
            <w:tcW w:w="3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rPr>
              <w:t>Назва етапів дипломної роботи</w:t>
            </w:r>
          </w:p>
        </w:tc>
        <w:tc>
          <w:tcPr>
            <w:tcW w:w="2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rPr>
              <w:t>Термін виконання етапів роботи</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rPr>
              <w:t>Примітка</w:t>
            </w:r>
          </w:p>
        </w:tc>
      </w:tr>
      <w:tr w:rsidR="00B621C7">
        <w:trPr>
          <w:jc w:val="center"/>
        </w:trPr>
        <w:tc>
          <w:tcPr>
            <w:tcW w:w="20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1.</w:t>
            </w:r>
          </w:p>
        </w:tc>
        <w:tc>
          <w:tcPr>
            <w:tcW w:w="3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Вибір теми, складання та узгодження з керівником роботи плану</w:t>
            </w:r>
          </w:p>
        </w:tc>
        <w:tc>
          <w:tcPr>
            <w:tcW w:w="2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highlight w:val="white"/>
              </w:rPr>
            </w:pPr>
            <w:r>
              <w:rPr>
                <w:highlight w:val="white"/>
              </w:rPr>
              <w:t>До 08.06.2026</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B621C7">
            <w:pPr>
              <w:spacing w:line="240" w:lineRule="auto"/>
              <w:ind w:firstLine="0"/>
              <w:jc w:val="center"/>
            </w:pPr>
          </w:p>
        </w:tc>
      </w:tr>
      <w:tr w:rsidR="00B621C7">
        <w:trPr>
          <w:jc w:val="center"/>
        </w:trPr>
        <w:tc>
          <w:tcPr>
            <w:tcW w:w="20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2.</w:t>
            </w:r>
          </w:p>
        </w:tc>
        <w:tc>
          <w:tcPr>
            <w:tcW w:w="3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Підбір та опрацювання літератури</w:t>
            </w:r>
          </w:p>
        </w:tc>
        <w:tc>
          <w:tcPr>
            <w:tcW w:w="2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highlight w:val="white"/>
              </w:rPr>
            </w:pPr>
            <w:r>
              <w:rPr>
                <w:highlight w:val="white"/>
              </w:rPr>
              <w:t>До 10.06.2026</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B621C7">
            <w:pPr>
              <w:spacing w:line="240" w:lineRule="auto"/>
              <w:ind w:firstLine="0"/>
              <w:jc w:val="center"/>
            </w:pPr>
          </w:p>
        </w:tc>
      </w:tr>
      <w:tr w:rsidR="00B621C7">
        <w:trPr>
          <w:jc w:val="center"/>
        </w:trPr>
        <w:tc>
          <w:tcPr>
            <w:tcW w:w="20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3.</w:t>
            </w:r>
          </w:p>
        </w:tc>
        <w:tc>
          <w:tcPr>
            <w:tcW w:w="3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Робота над розділом 1</w:t>
            </w:r>
          </w:p>
        </w:tc>
        <w:tc>
          <w:tcPr>
            <w:tcW w:w="2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highlight w:val="white"/>
              </w:rPr>
              <w:t>До 11.06.2026</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B621C7">
            <w:pPr>
              <w:spacing w:line="240" w:lineRule="auto"/>
              <w:ind w:firstLine="0"/>
              <w:jc w:val="center"/>
            </w:pPr>
          </w:p>
        </w:tc>
      </w:tr>
      <w:tr w:rsidR="00B621C7">
        <w:trPr>
          <w:jc w:val="center"/>
        </w:trPr>
        <w:tc>
          <w:tcPr>
            <w:tcW w:w="20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4.</w:t>
            </w:r>
          </w:p>
        </w:tc>
        <w:tc>
          <w:tcPr>
            <w:tcW w:w="3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Робота над розділом 2</w:t>
            </w:r>
          </w:p>
        </w:tc>
        <w:tc>
          <w:tcPr>
            <w:tcW w:w="2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highlight w:val="white"/>
              </w:rPr>
              <w:t>До 14.06.2026</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B621C7">
            <w:pPr>
              <w:spacing w:line="240" w:lineRule="auto"/>
              <w:ind w:firstLine="0"/>
              <w:jc w:val="center"/>
            </w:pPr>
          </w:p>
        </w:tc>
      </w:tr>
      <w:tr w:rsidR="00B621C7">
        <w:trPr>
          <w:jc w:val="center"/>
        </w:trPr>
        <w:tc>
          <w:tcPr>
            <w:tcW w:w="20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5.</w:t>
            </w:r>
          </w:p>
        </w:tc>
        <w:tc>
          <w:tcPr>
            <w:tcW w:w="3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Робота над розділом 3</w:t>
            </w:r>
          </w:p>
        </w:tc>
        <w:tc>
          <w:tcPr>
            <w:tcW w:w="2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highlight w:val="white"/>
              </w:rPr>
              <w:t>До 15.06.2026</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B621C7">
            <w:pPr>
              <w:spacing w:line="240" w:lineRule="auto"/>
              <w:ind w:firstLine="0"/>
              <w:jc w:val="center"/>
            </w:pPr>
          </w:p>
        </w:tc>
      </w:tr>
      <w:tr w:rsidR="00B621C7">
        <w:trPr>
          <w:jc w:val="center"/>
        </w:trPr>
        <w:tc>
          <w:tcPr>
            <w:tcW w:w="20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6.</w:t>
            </w:r>
          </w:p>
        </w:tc>
        <w:tc>
          <w:tcPr>
            <w:tcW w:w="3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Оформлення дипломної роботи та подання її на перевірку науковому керівнику</w:t>
            </w:r>
          </w:p>
        </w:tc>
        <w:tc>
          <w:tcPr>
            <w:tcW w:w="2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highlight w:val="white"/>
              </w:rPr>
              <w:t>До 16.06.2026</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B621C7">
            <w:pPr>
              <w:spacing w:line="240" w:lineRule="auto"/>
              <w:ind w:firstLine="0"/>
              <w:jc w:val="center"/>
            </w:pPr>
          </w:p>
        </w:tc>
      </w:tr>
      <w:tr w:rsidR="00B621C7">
        <w:trPr>
          <w:jc w:val="center"/>
        </w:trPr>
        <w:tc>
          <w:tcPr>
            <w:tcW w:w="20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7.</w:t>
            </w:r>
          </w:p>
        </w:tc>
        <w:tc>
          <w:tcPr>
            <w:tcW w:w="3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Доопрацювання роботи після зауважень наукового керівника та подання її на відгук</w:t>
            </w:r>
          </w:p>
        </w:tc>
        <w:tc>
          <w:tcPr>
            <w:tcW w:w="2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highlight w:val="white"/>
              </w:rPr>
              <w:t>До 18.06.2026</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B621C7">
            <w:pPr>
              <w:spacing w:line="240" w:lineRule="auto"/>
              <w:ind w:firstLine="0"/>
              <w:jc w:val="center"/>
            </w:pPr>
          </w:p>
        </w:tc>
      </w:tr>
      <w:tr w:rsidR="00B621C7">
        <w:trPr>
          <w:jc w:val="center"/>
        </w:trPr>
        <w:tc>
          <w:tcPr>
            <w:tcW w:w="20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8.</w:t>
            </w:r>
          </w:p>
        </w:tc>
        <w:tc>
          <w:tcPr>
            <w:tcW w:w="3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Подання роботи на рецензування</w:t>
            </w:r>
          </w:p>
        </w:tc>
        <w:tc>
          <w:tcPr>
            <w:tcW w:w="2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highlight w:val="white"/>
              </w:rPr>
              <w:t>До 19.06.2026</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B621C7">
            <w:pPr>
              <w:spacing w:line="240" w:lineRule="auto"/>
              <w:ind w:firstLine="0"/>
              <w:jc w:val="center"/>
            </w:pPr>
          </w:p>
        </w:tc>
      </w:tr>
      <w:tr w:rsidR="00B621C7">
        <w:trPr>
          <w:jc w:val="center"/>
        </w:trPr>
        <w:tc>
          <w:tcPr>
            <w:tcW w:w="20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9.</w:t>
            </w:r>
          </w:p>
        </w:tc>
        <w:tc>
          <w:tcPr>
            <w:tcW w:w="3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Захист дипломної роботи</w:t>
            </w:r>
          </w:p>
        </w:tc>
        <w:tc>
          <w:tcPr>
            <w:tcW w:w="22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t>До 20.06.2026</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B621C7">
            <w:pPr>
              <w:spacing w:line="240" w:lineRule="auto"/>
              <w:ind w:firstLine="0"/>
              <w:jc w:val="center"/>
            </w:pPr>
          </w:p>
        </w:tc>
      </w:tr>
    </w:tbl>
    <w:p w:rsidR="00B621C7" w:rsidRDefault="00B621C7">
      <w:pPr>
        <w:ind w:firstLine="0"/>
      </w:pPr>
    </w:p>
    <w:p w:rsidR="00B621C7" w:rsidRDefault="005D53F5">
      <w:pPr>
        <w:ind w:firstLine="0"/>
        <w:jc w:val="left"/>
      </w:pPr>
      <w:r>
        <w:t>Студент _____________________ Великий О.О.</w:t>
      </w:r>
    </w:p>
    <w:p w:rsidR="00B621C7" w:rsidRDefault="005D53F5">
      <w:pPr>
        <w:ind w:firstLine="0"/>
        <w:jc w:val="left"/>
      </w:pPr>
      <w:r>
        <w:t>Науковий керівник роботи _____ Тищенко О.І.</w:t>
      </w:r>
    </w:p>
    <w:p w:rsidR="00B621C7" w:rsidRDefault="005D53F5">
      <w:pPr>
        <w:ind w:firstLine="0"/>
      </w:pPr>
      <w:r>
        <w:br w:type="page"/>
      </w:r>
    </w:p>
    <w:p w:rsidR="00B621C7" w:rsidRDefault="005D53F5">
      <w:pPr>
        <w:spacing w:after="240"/>
        <w:ind w:firstLine="0"/>
        <w:jc w:val="center"/>
      </w:pPr>
      <w:r>
        <w:rPr>
          <w:b/>
          <w:bCs/>
        </w:rPr>
        <w:lastRenderedPageBreak/>
        <w:t>РЕФЕРАТ</w:t>
      </w:r>
    </w:p>
    <w:p w:rsidR="00B621C7" w:rsidRDefault="005D53F5">
      <w:r>
        <w:t xml:space="preserve">Дипломна робота 78 </w:t>
      </w:r>
      <w:proofErr w:type="spellStart"/>
      <w:r>
        <w:t>стор</w:t>
      </w:r>
      <w:proofErr w:type="spellEnd"/>
      <w:r>
        <w:t xml:space="preserve">., 7 рис., 15 табл., 31 використаних джерело, </w:t>
      </w:r>
      <w:r>
        <w:rPr>
          <w:highlight w:val="white"/>
        </w:rPr>
        <w:t>4</w:t>
      </w:r>
      <w:r>
        <w:t xml:space="preserve"> додатків. </w:t>
      </w:r>
    </w:p>
    <w:p w:rsidR="00B621C7" w:rsidRDefault="005D53F5">
      <w:r>
        <w:t xml:space="preserve">ГРОШОВО-КРЕДИТНА ПОЛІТИКА, НАЦІОНАЛЬНИЙ БАНК УКРАЇНИ, ІНСТРУМЕНТИ МОНЕТАРНОЇ </w:t>
      </w:r>
      <w:r>
        <w:t>ПОЛІТИКИ, ОБЛІКОВА СТАВКА, UONIA, ІНФЛЯЦІЙНЕ ТАРГЕТУВАННЯ, БАНКІВСЬКА СИСТЕМА, АТ «ОЩАДБАНК», ДЕПОЗИТНА ТРАНСМІСІЯ, КРЕДИТНИЙ КАНАЛ.</w:t>
      </w:r>
    </w:p>
    <w:p w:rsidR="00B621C7" w:rsidRDefault="005D53F5">
      <w:r>
        <w:t>Об’єктом дослідження є грошово-кредитна політика Національного банку України та інструменти її реалізації в умовах ринкової</w:t>
      </w:r>
      <w:r>
        <w:t xml:space="preserve"> трансформації.</w:t>
      </w:r>
    </w:p>
    <w:p w:rsidR="00B621C7" w:rsidRDefault="005D53F5">
      <w:r>
        <w:t>Предметом дослідження є механізм впливу інструментів грошово-кредитної політики НБУ на банківську систему та діяльність АТ «Ощадбанк».</w:t>
      </w:r>
    </w:p>
    <w:p w:rsidR="00B621C7" w:rsidRDefault="005D53F5">
      <w:r>
        <w:t>Метою роботи є обґрунтування напрямів вдосконалення інструментів грошово-кредитної політики Національного</w:t>
      </w:r>
      <w:r>
        <w:t xml:space="preserve"> банку України в умовах ринкової трансформації з урахуванням їх впливу на банківську систему та діяльність АТ «Ощадбанк».</w:t>
      </w:r>
    </w:p>
    <w:p w:rsidR="00B621C7" w:rsidRDefault="005D53F5">
      <w:r>
        <w:t xml:space="preserve">У роботі розкрито теоретико-методологічні засади грошово-кредитної політики, проаналізовано процентний та інфляційний канали трансмісії, оцінено вплив монетарного середовища на банківську систему та діяльність АТ «Ощадбанк». </w:t>
      </w:r>
    </w:p>
    <w:p w:rsidR="00B621C7" w:rsidRDefault="005D53F5">
      <w:r>
        <w:t>У дослідженні використано мето</w:t>
      </w:r>
      <w:r>
        <w:t xml:space="preserve">ди узагальнення, порівняння, систематизації, структурного і динамічного аналізу, а також розрахунок відносних показників і </w:t>
      </w:r>
      <w:proofErr w:type="spellStart"/>
      <w:r>
        <w:t>спредів</w:t>
      </w:r>
      <w:proofErr w:type="spellEnd"/>
      <w:r>
        <w:t xml:space="preserve">; результати представлено у табличній та графічній формах. </w:t>
      </w:r>
    </w:p>
    <w:p w:rsidR="00B621C7" w:rsidRDefault="005D53F5">
      <w:pPr>
        <w:rPr>
          <w:b/>
          <w:bCs/>
          <w:color w:val="FF0000"/>
        </w:rPr>
      </w:pPr>
      <w:r>
        <w:t>Результати дослідження полягають у визначенні обмежень процентного</w:t>
      </w:r>
      <w:r>
        <w:t xml:space="preserve">, депозитного, кредитного й валютного каналів трансмісії та формуванні рекомендацій щодо вдосконалення операційного дизайну монетарної політики, інструментів абсорбції ліквідності й посилення впливу процентного сигналу на банківську систему. </w:t>
      </w:r>
    </w:p>
    <w:p w:rsidR="00B621C7" w:rsidRDefault="005D53F5">
      <w:pPr>
        <w:ind w:firstLine="0"/>
      </w:pPr>
      <w:r>
        <w:br w:type="page"/>
      </w:r>
    </w:p>
    <w:p w:rsidR="00B621C7" w:rsidRDefault="005D53F5">
      <w:pPr>
        <w:spacing w:after="200"/>
        <w:ind w:firstLine="0"/>
        <w:jc w:val="center"/>
      </w:pPr>
      <w:r>
        <w:rPr>
          <w:b/>
          <w:bCs/>
        </w:rPr>
        <w:lastRenderedPageBreak/>
        <w:t>ЗМІСТ</w:t>
      </w:r>
    </w:p>
    <w:p w:rsidR="00B621C7" w:rsidRDefault="005D53F5">
      <w:pPr>
        <w:tabs>
          <w:tab w:val="right" w:pos="9354"/>
        </w:tabs>
        <w:jc w:val="left"/>
      </w:pPr>
      <w:r>
        <w:t>ВСТУП</w:t>
      </w:r>
      <w:r>
        <w:tab/>
        <w:t>7</w:t>
      </w:r>
    </w:p>
    <w:p w:rsidR="00B621C7" w:rsidRDefault="005D53F5">
      <w:pPr>
        <w:tabs>
          <w:tab w:val="right" w:pos="9354"/>
        </w:tabs>
        <w:jc w:val="left"/>
      </w:pPr>
      <w:r>
        <w:t>РОЗДІЛ 1. ТЕОРЕТИКО-МЕТОДОЛОГІЧНІ ЗАСАДИ ГРОШОВО-КРЕДИТНОЇ ПОЛІТИКИ НБУ В УМОВАХ РИНКОВОЇ ТРАНСФОРМАЦІЇ</w:t>
      </w:r>
      <w:r>
        <w:tab/>
        <w:t>10</w:t>
      </w:r>
    </w:p>
    <w:p w:rsidR="00B621C7" w:rsidRDefault="005D53F5">
      <w:pPr>
        <w:tabs>
          <w:tab w:val="right" w:pos="9354"/>
        </w:tabs>
        <w:jc w:val="left"/>
      </w:pPr>
      <w:r>
        <w:t>1.1 Сутність, цілі та типи грошово-кредитної політики в умовах ринкової трансформації</w:t>
      </w:r>
      <w:r>
        <w:tab/>
        <w:t>10</w:t>
      </w:r>
    </w:p>
    <w:p w:rsidR="00B621C7" w:rsidRDefault="005D53F5">
      <w:pPr>
        <w:tabs>
          <w:tab w:val="right" w:pos="9354"/>
        </w:tabs>
        <w:jc w:val="left"/>
      </w:pPr>
      <w:r>
        <w:t xml:space="preserve">1.2 Інструментарій грошово-кредитної політики: механізми </w:t>
      </w:r>
      <w:r>
        <w:t>дії та трансмісія до банківської системи</w:t>
      </w:r>
      <w:r>
        <w:tab/>
        <w:t>16</w:t>
      </w:r>
    </w:p>
    <w:p w:rsidR="00B621C7" w:rsidRDefault="005D53F5">
      <w:pPr>
        <w:tabs>
          <w:tab w:val="right" w:pos="9354"/>
        </w:tabs>
        <w:jc w:val="left"/>
      </w:pPr>
      <w:r>
        <w:t>1.3 Фактори, що визначають ефективність реалізації грошово-кредитної політики</w:t>
      </w:r>
      <w:r>
        <w:tab/>
        <w:t>23</w:t>
      </w:r>
    </w:p>
    <w:p w:rsidR="00B621C7" w:rsidRDefault="005D53F5">
      <w:pPr>
        <w:tabs>
          <w:tab w:val="right" w:pos="9354"/>
        </w:tabs>
        <w:jc w:val="left"/>
      </w:pPr>
      <w:r>
        <w:t>РОЗДІЛ 2. ОЦІНКА ВПЛИВУ ГРОШОВО-КРЕДИТНОЇ ПОЛІТИКИ НБУ НА БАНКІВСЬКУ СИСТЕМУ ТА АТ «ОЩАДБАНК»</w:t>
      </w:r>
      <w:r>
        <w:tab/>
        <w:t>33</w:t>
      </w:r>
    </w:p>
    <w:p w:rsidR="00B621C7" w:rsidRDefault="005D53F5">
      <w:pPr>
        <w:tabs>
          <w:tab w:val="right" w:pos="9354"/>
        </w:tabs>
        <w:jc w:val="left"/>
      </w:pPr>
      <w:r>
        <w:t>2.1 Макроекономічні та інституційн</w:t>
      </w:r>
      <w:r>
        <w:t>і умови реалізації грошово-кредитної політики НБУ у 2022–2025 роках</w:t>
      </w:r>
      <w:r>
        <w:tab/>
        <w:t>33</w:t>
      </w:r>
    </w:p>
    <w:p w:rsidR="00B621C7" w:rsidRDefault="005D53F5">
      <w:pPr>
        <w:tabs>
          <w:tab w:val="right" w:pos="9354"/>
        </w:tabs>
        <w:jc w:val="left"/>
      </w:pPr>
      <w:r>
        <w:t>2.2 Процентний канал грошово-кредитної політики НБУ</w:t>
      </w:r>
      <w:r>
        <w:tab/>
        <w:t>35</w:t>
      </w:r>
    </w:p>
    <w:p w:rsidR="00B621C7" w:rsidRDefault="005D53F5">
      <w:pPr>
        <w:tabs>
          <w:tab w:val="right" w:pos="9354"/>
        </w:tabs>
        <w:jc w:val="left"/>
      </w:pPr>
      <w:r>
        <w:t>2.3 Вплив грошово-кредитної політики НБУ на діяльність АТ «Ощадбанк» у 2023–2025 роках</w:t>
      </w:r>
      <w:r>
        <w:tab/>
        <w:t>40</w:t>
      </w:r>
    </w:p>
    <w:p w:rsidR="00B621C7" w:rsidRDefault="005D53F5">
      <w:pPr>
        <w:tabs>
          <w:tab w:val="right" w:pos="9354"/>
        </w:tabs>
        <w:jc w:val="left"/>
      </w:pPr>
      <w:r>
        <w:t>РОЗДІЛ 3. РОЗВИТОК ІНСТРУМЕНТІВ ГРОШОВО-КРЕДИТНОЇ ПОЛІТИКИ В УМОВАХ РИНКОВОЇ ТРАНСФОРМАЦІЇ УКРАЇНИ</w:t>
      </w:r>
      <w:r>
        <w:tab/>
        <w:t>47</w:t>
      </w:r>
    </w:p>
    <w:p w:rsidR="00B621C7" w:rsidRDefault="005D53F5">
      <w:pPr>
        <w:tabs>
          <w:tab w:val="right" w:pos="9354"/>
        </w:tabs>
        <w:jc w:val="left"/>
      </w:pPr>
      <w:r>
        <w:t>3.1 Еволюція операційного дизайну грошово-кредитної політики НБУ у 2023–2026 роках та оцінка її ефективності</w:t>
      </w:r>
      <w:r>
        <w:tab/>
        <w:t>47</w:t>
      </w:r>
    </w:p>
    <w:p w:rsidR="00B621C7" w:rsidRDefault="005D53F5">
      <w:pPr>
        <w:tabs>
          <w:tab w:val="right" w:pos="9354"/>
        </w:tabs>
        <w:jc w:val="left"/>
      </w:pPr>
      <w:r>
        <w:t>3.2 Рекомендації щодо вдосконалення інстру</w:t>
      </w:r>
      <w:r>
        <w:t>ментів грошово-кредитної політики</w:t>
      </w:r>
      <w:r>
        <w:tab/>
        <w:t>55</w:t>
      </w:r>
    </w:p>
    <w:p w:rsidR="00B621C7" w:rsidRDefault="005D53F5">
      <w:pPr>
        <w:tabs>
          <w:tab w:val="right" w:pos="9354"/>
        </w:tabs>
        <w:jc w:val="left"/>
      </w:pPr>
      <w:r>
        <w:t>3.3 Очікувані результати реалізації рекомендацій та їх вплив на банківську систему і діяльність АТ «Ощадбанк»</w:t>
      </w:r>
      <w:r>
        <w:tab/>
        <w:t>65</w:t>
      </w:r>
    </w:p>
    <w:p w:rsidR="00B621C7" w:rsidRDefault="005D53F5">
      <w:pPr>
        <w:tabs>
          <w:tab w:val="right" w:pos="9354"/>
        </w:tabs>
        <w:jc w:val="left"/>
      </w:pPr>
      <w:r>
        <w:t>ВИСНОВКИ</w:t>
      </w:r>
      <w:r>
        <w:tab/>
        <w:t>72</w:t>
      </w:r>
    </w:p>
    <w:p w:rsidR="00B621C7" w:rsidRDefault="005D53F5">
      <w:pPr>
        <w:tabs>
          <w:tab w:val="right" w:pos="9354"/>
        </w:tabs>
        <w:jc w:val="left"/>
      </w:pPr>
      <w:r>
        <w:t>СПИСОК ВИКОРИСТАНИХ ДЖЕРЕЛ</w:t>
      </w:r>
      <w:r>
        <w:tab/>
        <w:t>76</w:t>
      </w:r>
    </w:p>
    <w:p w:rsidR="00B621C7" w:rsidRDefault="005D53F5">
      <w:pPr>
        <w:tabs>
          <w:tab w:val="right" w:pos="9354"/>
        </w:tabs>
        <w:jc w:val="left"/>
      </w:pPr>
      <w:r>
        <w:t>ДОДАТКИ</w:t>
      </w:r>
      <w:r>
        <w:tab/>
        <w:t>80</w:t>
      </w:r>
    </w:p>
    <w:p w:rsidR="00B621C7" w:rsidRDefault="005D53F5">
      <w:pPr>
        <w:tabs>
          <w:tab w:val="right" w:pos="9354"/>
        </w:tabs>
        <w:spacing w:line="240" w:lineRule="auto"/>
        <w:ind w:firstLine="0"/>
        <w:jc w:val="left"/>
      </w:pPr>
      <w:r>
        <w:br w:type="page"/>
      </w:r>
    </w:p>
    <w:p w:rsidR="00B621C7" w:rsidRDefault="005D53F5">
      <w:pPr>
        <w:pStyle w:val="1"/>
        <w:spacing w:after="240"/>
        <w:jc w:val="center"/>
      </w:pPr>
      <w:r>
        <w:lastRenderedPageBreak/>
        <w:t>ВСТУП</w:t>
      </w:r>
    </w:p>
    <w:p w:rsidR="00B621C7" w:rsidRDefault="005D53F5">
      <w:r>
        <w:t>Грошово-кредитна політика Національного банку України залишається предметом постійної наукової уваги - передусім через її визначальну роль у забезпеченні цінової стабільності, підтриманні банківського сектору та формуванні фінансових умов функціонування ек</w:t>
      </w:r>
      <w:r>
        <w:t>ономіки [2]. Умови ринкової трансформації, пов’язані з воєнною невизначеністю, значними коливаннями на валютному ринку та структурними перетвореннями в банківській системі, ускладнюють механізм реалізації монетарних рішень. Їхня результативність виходить з</w:t>
      </w:r>
      <w:r>
        <w:t>а межі простого регулювання рівня облікової ставки й охоплює якість операційного дизайну, ліквідну позицію банків, поведінку вкладників, оцінку кредитного ризику та ступінь узгодженості монетарного і фіскального курсу.</w:t>
      </w:r>
    </w:p>
    <w:p w:rsidR="00B621C7" w:rsidRDefault="005D53F5">
      <w:r>
        <w:t>Повномасштабне вторгнення різко загос</w:t>
      </w:r>
      <w:r>
        <w:t xml:space="preserve">трило макрофінансові ризики, в яких НБУ продовжував провадити монетарну політику. Це зумовило необхідність з'ясувати, наскільки ефективно процентні, </w:t>
      </w:r>
      <w:proofErr w:type="spellStart"/>
      <w:r>
        <w:t>ліквіднісні</w:t>
      </w:r>
      <w:proofErr w:type="spellEnd"/>
      <w:r>
        <w:t>, валютні та комунікаційні інструменти центрального банку транслюються до банківської системи, а</w:t>
      </w:r>
      <w:r>
        <w:t xml:space="preserve"> також яким чином монетарне середовище позначається на роботі державного системно важливого банку. Емпіричним об'єктом для такого аналізу в роботі обрано АТ «Ощадбанк» - установу, чия діяльність поєднує принципи ринкового банківського бізнесу з державною у</w:t>
      </w:r>
      <w:r>
        <w:t>частю та необхідністю адаптуватися до мінливих монетарних умов.</w:t>
      </w:r>
    </w:p>
    <w:p w:rsidR="00B621C7" w:rsidRDefault="005D53F5">
      <w:r>
        <w:t>Теоретичні та методологічні засади грошово-кредитної політики перебувають у центрі уваги широкого кола вітчизняних і зарубіжних дослідників. В українській науковій традиції вагомий внесок у ро</w:t>
      </w:r>
      <w:r>
        <w:t xml:space="preserve">зроблення концептуальних підходів до монетарного регулювання зробили А. С. </w:t>
      </w:r>
      <w:proofErr w:type="spellStart"/>
      <w:r>
        <w:t>Гальчинський</w:t>
      </w:r>
      <w:proofErr w:type="spellEnd"/>
      <w:r>
        <w:t xml:space="preserve">, який систематизував теорію грошей і монетарної політики, та М. І. </w:t>
      </w:r>
      <w:proofErr w:type="spellStart"/>
      <w:r>
        <w:t>Савлук</w:t>
      </w:r>
      <w:proofErr w:type="spellEnd"/>
      <w:r>
        <w:t>, що дослідив кредитні механізми грошового обігу [8; 30]. Питання ефективності процентного й ва</w:t>
      </w:r>
      <w:r>
        <w:t xml:space="preserve">лютного каналів трансмісії розкривають праці О. В. </w:t>
      </w:r>
      <w:proofErr w:type="spellStart"/>
      <w:r>
        <w:t>Дзюблюка</w:t>
      </w:r>
      <w:proofErr w:type="spellEnd"/>
      <w:r>
        <w:t xml:space="preserve"> та В. В. </w:t>
      </w:r>
      <w:proofErr w:type="spellStart"/>
      <w:r>
        <w:t>Козюка</w:t>
      </w:r>
      <w:proofErr w:type="spellEnd"/>
      <w:r>
        <w:t xml:space="preserve">; аналіз валютно-курсової складової та еволюції режимів ГКП в Україні здійснено в роботах О. І. </w:t>
      </w:r>
      <w:proofErr w:type="spellStart"/>
      <w:r>
        <w:t>Береславської</w:t>
      </w:r>
      <w:proofErr w:type="spellEnd"/>
      <w:r>
        <w:t xml:space="preserve"> та Н. </w:t>
      </w:r>
      <w:proofErr w:type="spellStart"/>
      <w:r>
        <w:t>Гребеника</w:t>
      </w:r>
      <w:proofErr w:type="spellEnd"/>
      <w:r>
        <w:t xml:space="preserve"> </w:t>
      </w:r>
      <w:r>
        <w:lastRenderedPageBreak/>
        <w:t>[9; 12; 13; 15]. Зазначені дослідження сформували конце</w:t>
      </w:r>
      <w:r>
        <w:t>птуальну рамку для аналізу монетарної трансмісії в умовах ринкової трансформації.</w:t>
      </w:r>
    </w:p>
    <w:p w:rsidR="00B621C7" w:rsidRDefault="005D53F5">
      <w:r>
        <w:t xml:space="preserve">Серед зарубіжних дослідників концептуальні засади інфляційного </w:t>
      </w:r>
      <w:proofErr w:type="spellStart"/>
      <w:r>
        <w:t>таргетування</w:t>
      </w:r>
      <w:proofErr w:type="spellEnd"/>
      <w:r>
        <w:t xml:space="preserve"> та трансмісійних механізмів розробили Ф. </w:t>
      </w:r>
      <w:proofErr w:type="spellStart"/>
      <w:r>
        <w:t>Мішкін</w:t>
      </w:r>
      <w:proofErr w:type="spellEnd"/>
      <w:r>
        <w:t xml:space="preserve">, Б. </w:t>
      </w:r>
      <w:proofErr w:type="spellStart"/>
      <w:r>
        <w:t>Бернанке</w:t>
      </w:r>
      <w:proofErr w:type="spellEnd"/>
      <w:r>
        <w:t xml:space="preserve"> і </w:t>
      </w:r>
      <w:proofErr w:type="spellStart"/>
      <w:r>
        <w:t>Дж</w:t>
      </w:r>
      <w:proofErr w:type="spellEnd"/>
      <w:r>
        <w:t>. Тейлор, чиї роботи лягли в осно</w:t>
      </w:r>
      <w:r>
        <w:t>ву сучасної практики центрального банкінгу. Поряд із цим умови повномасштабної воєнної агресії, структурний профіцит ліквідності, зміна операційного дизайну НБУ та специфіка впливу монетарного середовища на державні системно важливі банки утворюють дослідн</w:t>
      </w:r>
      <w:r>
        <w:t>ицький простір, що потребує окремого емпіричного аналізу. Зазначена прогалина визначає актуальність цього дослідження.</w:t>
      </w:r>
    </w:p>
    <w:p w:rsidR="00B621C7" w:rsidRDefault="005D53F5">
      <w:r>
        <w:t xml:space="preserve">Мета дипломної роботи полягає в обґрунтуванні напрямів вдосконалення інструментів грошово-кредитної політики Національного банку України </w:t>
      </w:r>
      <w:r>
        <w:t>в умовах ринкової трансформації з урахуванням їх впливу на банківську систему та діяльність АТ «Ощадбанк».</w:t>
      </w:r>
    </w:p>
    <w:p w:rsidR="00B621C7" w:rsidRDefault="005D53F5">
      <w:r>
        <w:t>Поставленій меті підпорядковано такі дослідницькі завдання: з'ясування сутності, цілей і типів грошово-кредитної політики; систематизація інструмента</w:t>
      </w:r>
      <w:r>
        <w:t>рію НБУ та каналів монетарної трансмісії; виявлення чинників, які визначають ефективність монетарної політики в умовах ринкової трансформації; аналіз макроекономічних та інституційних умов її реалізації у 2022–2025 роках; оцінювання дії процентного й інфля</w:t>
      </w:r>
      <w:r>
        <w:t>ційного каналів трансмісії; дослідження впливу монетарного середовища на ресурсну базу, кредитний портфель, структуру активів і процентний результат АТ «Ощадбанк»; визначення обмежень чинного операційного дизайну; формування напрямів удосконалення інструме</w:t>
      </w:r>
      <w:r>
        <w:t>нтів грошово-кредитної політики та окреслення очікуваних наслідків їх впровадження.</w:t>
      </w:r>
    </w:p>
    <w:p w:rsidR="00B621C7" w:rsidRDefault="005D53F5">
      <w:r>
        <w:t>Об’єктом дослідження є грошово-кредитна політика Національного банку України та інструменти її реалізації в умовах ринкової трансформації.</w:t>
      </w:r>
    </w:p>
    <w:p w:rsidR="00B621C7" w:rsidRDefault="005D53F5">
      <w:r>
        <w:t xml:space="preserve">Предметом дослідження є механізм </w:t>
      </w:r>
      <w:r>
        <w:t>впливу інструментів грошово-кредитної політики НБУ на банківську систему та діяльність АТ «Ощадбанк».</w:t>
      </w:r>
    </w:p>
    <w:p w:rsidR="00B621C7" w:rsidRDefault="005D53F5">
      <w:r>
        <w:lastRenderedPageBreak/>
        <w:t>Методологічну основу дослідження становлять методи узагальнення, порівняння, систематизації, динамічного і структурного аналізу, а також розрахунок віднос</w:t>
      </w:r>
      <w:r>
        <w:t xml:space="preserve">них показників і </w:t>
      </w:r>
      <w:proofErr w:type="spellStart"/>
      <w:r>
        <w:t>спредів</w:t>
      </w:r>
      <w:proofErr w:type="spellEnd"/>
      <w:r>
        <w:t xml:space="preserve">; результати представлено у табличній та графічній формах. Інформаційна база охоплює законодавчо-нормативні акти України, офіційні матеріали НБУ, статистику Державної служби статистики України, фінансову звітність та річні звіти АТ </w:t>
      </w:r>
      <w:r>
        <w:t>«Ощадбанк». Розширені довідкові й аналітичні матеріали дослідження систематизовано в додатках А–Г.</w:t>
      </w:r>
    </w:p>
    <w:p w:rsidR="00B621C7" w:rsidRDefault="005D53F5">
      <w:r>
        <w:t>Структура роботи охоплює вступ, три розділи, загальні висновки та список використаних джерел. Перший розділ присвячено теоретико-методологічним засадам грошо</w:t>
      </w:r>
      <w:r>
        <w:t>во-кредитної політики НБУ. Другий розділ містить аналіз впливу монетарної політики НБУ на банківську систему й АТ «Ощадбанк». У третьому розділі сформульовано напрями розвитку інструментів грошово-кредитної політики в умовах ринкової трансформації України.</w:t>
      </w:r>
    </w:p>
    <w:p w:rsidR="00B621C7" w:rsidRDefault="005D53F5">
      <w:pPr>
        <w:ind w:firstLine="0"/>
      </w:pPr>
      <w:r>
        <w:br w:type="page"/>
      </w:r>
    </w:p>
    <w:p w:rsidR="00B621C7" w:rsidRDefault="005D53F5">
      <w:pPr>
        <w:ind w:firstLine="0"/>
        <w:jc w:val="center"/>
      </w:pPr>
      <w:r>
        <w:rPr>
          <w:b/>
          <w:bCs/>
        </w:rPr>
        <w:lastRenderedPageBreak/>
        <w:t>РОЗДІЛ 1. ТЕОРЕТИКО-МЕТОДОЛОГІЧНІ ЗАСАДИ ГРОШОВО-КРЕДИТНОЇ ПОЛІТИКИ НБУ В УМОВАХ РИНКОВОЇ ТРАНСФОРМАЦІЇ</w:t>
      </w:r>
    </w:p>
    <w:p w:rsidR="00B621C7" w:rsidRDefault="00B621C7">
      <w:pPr>
        <w:ind w:firstLine="0"/>
      </w:pPr>
    </w:p>
    <w:p w:rsidR="00B621C7" w:rsidRDefault="005D53F5">
      <w:pPr>
        <w:rPr>
          <w:color w:val="000000"/>
        </w:rPr>
      </w:pPr>
      <w:r>
        <w:t>1.1.  Сутність, цілі та типи грошово-кредитної політики в умовах ринкової трансформації</w:t>
      </w:r>
    </w:p>
    <w:p w:rsidR="00B621C7" w:rsidRDefault="00B621C7">
      <w:pPr>
        <w:ind w:firstLine="0"/>
      </w:pPr>
    </w:p>
    <w:p w:rsidR="00B621C7" w:rsidRDefault="005D53F5">
      <w:r>
        <w:t xml:space="preserve">У структурі макроекономічного регулювання грошово-кредитна </w:t>
      </w:r>
      <w:r>
        <w:t>політика посідає ключове місце, забезпечуючи вплив центрального банку на вартість грошей, умови кредитування, цінову динаміку, стан валютного ринку й очікування господарюючих суб’єктів. У сучасних фінансових системах монетарна політика не зводиться до техн</w:t>
      </w:r>
      <w:r>
        <w:t>ічного контролю над грошовою масою - її дієвість визначається взаємодією процентного сигналу, ліквідності банківського сектору, валютного каналу та довіри до центрального банку. Для України ця проблематика набуває особливої ваги: монетарна система складала</w:t>
      </w:r>
      <w:r>
        <w:t>сь в умовах системного переходу від планової до ринкової економіки, повторюваних фінансових криз, стійкої доларизації та воєнних потрясінь.</w:t>
      </w:r>
    </w:p>
    <w:p w:rsidR="00B621C7" w:rsidRDefault="005D53F5">
      <w:r>
        <w:t>Ринкова трансформація господарства охоплює докорінну зміну регуляторної архітектури: ціноутворення, розподіл фінансо</w:t>
      </w:r>
      <w:r>
        <w:t>вих ресурсів, кредитна діяльність і формування обмінного курсу поступово переходять із адміністративної площини до сфери ринкових взаємодій. У монетарному вимірі цей процес означає утвердження незалежного центрального банку, розгортання банківського посере</w:t>
      </w:r>
      <w:r>
        <w:t>дництва, розбудову повноцінного грошового ринку, поступове витіснення адміністративних обмежень ринковими інструментами й закріплення цінової стабільності як пріоритетного орієнтиру. Від того, якою мірою ці умови виконані, залежить повнота трансмісії рішен</w:t>
      </w:r>
      <w:r>
        <w:t>ь НБУ до банків, підприємств і домогосподарств.</w:t>
      </w:r>
    </w:p>
    <w:p w:rsidR="00B621C7" w:rsidRDefault="005D53F5">
      <w:r>
        <w:t>Правову основу монетарного регулювання в Україні закладає Закон України «Про Національний банк України». Цим документом грошово-кредитна політика окреслюється як цілісна сукупність регуляторних дій у сфері гр</w:t>
      </w:r>
      <w:r>
        <w:t xml:space="preserve">ошового </w:t>
      </w:r>
      <w:r>
        <w:lastRenderedPageBreak/>
        <w:t xml:space="preserve">обігу та кредиту, підпорядкованих забезпеченню стабільності національної грошової одиниці [1; 16]. Ця законодавча конструкція визначає НБУ як суб’єкта монетарної політики та закріплює цінову стабільність і підтримання довіри до національної валюти </w:t>
      </w:r>
      <w:r>
        <w:t>як її ключовий пріоритет [1].</w:t>
      </w:r>
    </w:p>
    <w:p w:rsidR="00B621C7" w:rsidRDefault="005D53F5">
      <w:r>
        <w:t xml:space="preserve">Наукова дискусія навколо поняття грошово-кредитної політики відображає розмаїтість методологічних позицій. Вітчизняна академічна традиція акцентує на системі державних і </w:t>
      </w:r>
      <w:proofErr w:type="spellStart"/>
      <w:r>
        <w:t>центральнобанківських</w:t>
      </w:r>
      <w:proofErr w:type="spellEnd"/>
      <w:r>
        <w:t xml:space="preserve"> заходів з регулювання грошового об</w:t>
      </w:r>
      <w:r>
        <w:t>ігу та кредиту, тоді як сучасна концепція НБУ пов’язує монетарну політику з досягненням цінової стабільності через процентні, валютні та комунікаційні канали. Порівняльний аналіз підходів до визначення грошово-кредитної політики подано в табл. 1.1.</w:t>
      </w:r>
    </w:p>
    <w:p w:rsidR="00B621C7" w:rsidRDefault="005D53F5">
      <w:pPr>
        <w:spacing w:before="120"/>
        <w:ind w:firstLine="0"/>
        <w:jc w:val="right"/>
        <w:rPr>
          <w:highlight w:val="white"/>
        </w:rPr>
      </w:pPr>
      <w:r>
        <w:rPr>
          <w:highlight w:val="white"/>
        </w:rPr>
        <w:t>Таблиця</w:t>
      </w:r>
      <w:r>
        <w:rPr>
          <w:highlight w:val="white"/>
        </w:rPr>
        <w:t xml:space="preserve"> 1.1</w:t>
      </w:r>
    </w:p>
    <w:p w:rsidR="00B621C7" w:rsidRDefault="005D53F5">
      <w:pPr>
        <w:jc w:val="center"/>
        <w:rPr>
          <w:highlight w:val="white"/>
        </w:rPr>
      </w:pPr>
      <w:r>
        <w:rPr>
          <w:highlight w:val="white"/>
        </w:rPr>
        <w:t>Порівняльна характеристика підходів до визначення грошово-кредитної політики</w:t>
      </w:r>
    </w:p>
    <w:tbl>
      <w:tblPr>
        <w:tblStyle w:val="a6"/>
        <w:tblW w:w="9971" w:type="dxa"/>
        <w:jc w:val="center"/>
        <w:tblInd w:w="0" w:type="dxa"/>
        <w:tblLayout w:type="fixed"/>
        <w:tblLook w:val="0400" w:firstRow="0" w:lastRow="0" w:firstColumn="0" w:lastColumn="0" w:noHBand="0" w:noVBand="1"/>
      </w:tblPr>
      <w:tblGrid>
        <w:gridCol w:w="2493"/>
        <w:gridCol w:w="2493"/>
        <w:gridCol w:w="2493"/>
        <w:gridCol w:w="2492"/>
      </w:tblGrid>
      <w:tr w:rsidR="00B621C7">
        <w:trPr>
          <w:tblHeade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2"/>
                <w:szCs w:val="22"/>
              </w:rPr>
              <w:t>Підхід</w:t>
            </w:r>
          </w:p>
        </w:tc>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2"/>
                <w:szCs w:val="22"/>
              </w:rPr>
              <w:t>Ключовий акцент</w:t>
            </w:r>
          </w:p>
        </w:tc>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2"/>
                <w:szCs w:val="22"/>
              </w:rPr>
              <w:t>Суб’єкт політики</w:t>
            </w:r>
          </w:p>
        </w:tc>
        <w:tc>
          <w:tcPr>
            <w:tcW w:w="2492"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2"/>
                <w:szCs w:val="22"/>
              </w:rPr>
              <w:t>Основна ціль</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Нормативно-правовий</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Комплекс заходів у сфері грошового обігу та кредиту</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Національний банк України</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Стабільність грошової одиниці та цінова стабільність</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Вітчизняна академічна школа</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Регулювання грошового обігу, кредиту, банківської ліквідності</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Держава через центральний банк</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Макроекономічна стабілізація</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Кейнсіанський підхід</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Вплив на сукупний попит через процентні ставки та кредит</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Центральний банк у взаємодії з фіскальною політикою</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Стабілізація циклу та зайнятості</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proofErr w:type="spellStart"/>
            <w:r>
              <w:rPr>
                <w:sz w:val="22"/>
                <w:szCs w:val="22"/>
              </w:rPr>
              <w:t>Монетаристський</w:t>
            </w:r>
            <w:proofErr w:type="spellEnd"/>
            <w:r>
              <w:rPr>
                <w:sz w:val="22"/>
                <w:szCs w:val="22"/>
              </w:rPr>
              <w:t xml:space="preserve"> підхід</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Контроль грошової пропозиції і довгостр</w:t>
            </w:r>
            <w:r>
              <w:rPr>
                <w:sz w:val="22"/>
                <w:szCs w:val="22"/>
              </w:rPr>
              <w:t>окової інфляції</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Незалежний центральний банк</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Низька та стабільна інфляція</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Сучасний підхід центрального банкінгу</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Поєднання процентної політики, очікувань, ліквідності та валютного каналу</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Центральний банк</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24"/>
                <w:szCs w:val="24"/>
              </w:rPr>
            </w:pPr>
            <w:r>
              <w:rPr>
                <w:sz w:val="22"/>
                <w:szCs w:val="22"/>
              </w:rPr>
              <w:t>Цінова стабільність і стійкість фінансової системи</w:t>
            </w:r>
          </w:p>
        </w:tc>
      </w:tr>
    </w:tbl>
    <w:p w:rsidR="00B621C7" w:rsidRDefault="005D53F5">
      <w:pPr>
        <w:ind w:firstLine="0"/>
        <w:jc w:val="left"/>
      </w:pPr>
      <w:r>
        <w:rPr>
          <w:i/>
          <w:iCs/>
          <w:sz w:val="24"/>
          <w:szCs w:val="24"/>
        </w:rPr>
        <w:t>Д</w:t>
      </w:r>
      <w:r>
        <w:rPr>
          <w:i/>
          <w:iCs/>
          <w:sz w:val="24"/>
          <w:szCs w:val="24"/>
        </w:rPr>
        <w:t>жерело: складено автором на основі Закону України «Про Національний банк України» та матеріалів НБУ щодо монетарної політики.</w:t>
      </w:r>
    </w:p>
    <w:p w:rsidR="00B621C7" w:rsidRDefault="005D53F5">
      <w:r>
        <w:t xml:space="preserve">Цілі грошово-кредитної політики НБУ побудовані за принципом ієрархії. На стратегічному рівні центральне місце посідає забезпечення стабільності гривні, причому пріоритетним інструментом виконання цього мандату є цінова </w:t>
      </w:r>
      <w:r>
        <w:lastRenderedPageBreak/>
        <w:t>стабільність. Підтримка фінансової ст</w:t>
      </w:r>
      <w:r>
        <w:t>абільності та економічного зростання є для НБУ завданнями другорядними - вони реалізуються лише за умови, що не вступають у суперечність із пріоритетною ціллю. Ієрархічну структуру цілей НБУ відображено на рис. 1.1.</w:t>
      </w:r>
    </w:p>
    <w:p w:rsidR="00B621C7" w:rsidRDefault="005D53F5">
      <w:pPr>
        <w:ind w:firstLine="0"/>
      </w:pPr>
      <w:r>
        <w:rPr>
          <w:noProof/>
        </w:rPr>
        <w:drawing>
          <wp:inline distT="0" distB="0" distL="0" distR="0">
            <wp:extent cx="5669280" cy="382206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669280" cy="3822065"/>
                    </a:xfrm>
                    <a:prstGeom prst="rect">
                      <a:avLst/>
                    </a:prstGeom>
                    <a:ln/>
                  </pic:spPr>
                </pic:pic>
              </a:graphicData>
            </a:graphic>
          </wp:inline>
        </w:drawing>
      </w:r>
    </w:p>
    <w:p w:rsidR="00B621C7" w:rsidRDefault="005D53F5">
      <w:pPr>
        <w:spacing w:before="120"/>
        <w:ind w:firstLine="0"/>
        <w:jc w:val="center"/>
        <w:rPr>
          <w:highlight w:val="white"/>
        </w:rPr>
      </w:pPr>
      <w:r>
        <w:t>Рис. 1.1. Ієрархія цілей грошово-креди</w:t>
      </w:r>
      <w:r>
        <w:t>тної політики НБУ</w:t>
      </w:r>
    </w:p>
    <w:p w:rsidR="00B621C7" w:rsidRDefault="005D53F5">
      <w:pPr>
        <w:ind w:firstLine="0"/>
        <w:jc w:val="left"/>
      </w:pPr>
      <w:r>
        <w:rPr>
          <w:i/>
          <w:iCs/>
          <w:sz w:val="24"/>
          <w:szCs w:val="24"/>
        </w:rPr>
        <w:t>Джерело: складено автором на основі Закону України «Про Національний банк України» та матеріалів НБУ щодо монетарної політики.</w:t>
      </w:r>
    </w:p>
    <w:p w:rsidR="00B621C7" w:rsidRDefault="00B621C7">
      <w:pPr>
        <w:ind w:firstLine="0"/>
        <w:rPr>
          <w:b/>
          <w:bCs/>
          <w:color w:val="FF0000"/>
        </w:rPr>
      </w:pPr>
    </w:p>
    <w:p w:rsidR="00B621C7" w:rsidRDefault="005D53F5">
      <w:r>
        <w:t xml:space="preserve">Чинний монетарний режим НБУ базується на принципі інфляційного </w:t>
      </w:r>
      <w:proofErr w:type="spellStart"/>
      <w:r>
        <w:t>таргетування</w:t>
      </w:r>
      <w:proofErr w:type="spellEnd"/>
      <w:r>
        <w:t xml:space="preserve"> [26]. Кількісний орієнтир встановл</w:t>
      </w:r>
      <w:r>
        <w:t>ено на рівні 5% з горизонтом досягнення, що не перевищує трьох років [3]. Цей підхід відображає прогностичний характер монетарних рішень: центральний банк орієнтується не лише на актуальний рівень цін, а й на очікувану динаміку інфляції, валютного ринку, с</w:t>
      </w:r>
      <w:r>
        <w:t>укупного попиту та наявних ризиків.</w:t>
      </w:r>
    </w:p>
    <w:p w:rsidR="00B621C7" w:rsidRDefault="005D53F5">
      <w:r>
        <w:t xml:space="preserve">Зв’язок між стратегічним мандатом НБУ та повсякденною практикою монетарного регулювання забезпечується через проміжні й операційні цілі. Проміжним орієнтиром слугує прогнозна траєкторія інфляції та фінансових </w:t>
      </w:r>
      <w:r>
        <w:lastRenderedPageBreak/>
        <w:t>умов; опера</w:t>
      </w:r>
      <w:r>
        <w:t>ційна ціль процентної політики - утримання короткострокових гривневих міжбанківських ставок поблизу облікової ставки, але не нижче за неї. Систематизовану структуру цілей НБУ представлено в табл. 1.2.</w:t>
      </w:r>
    </w:p>
    <w:p w:rsidR="00B621C7" w:rsidRDefault="005D53F5">
      <w:pPr>
        <w:spacing w:before="120"/>
        <w:ind w:firstLine="0"/>
        <w:jc w:val="right"/>
        <w:rPr>
          <w:sz w:val="32"/>
          <w:szCs w:val="32"/>
        </w:rPr>
      </w:pPr>
      <w:r>
        <w:t>Таблиця 1.2</w:t>
      </w:r>
    </w:p>
    <w:p w:rsidR="00B621C7" w:rsidRDefault="005D53F5">
      <w:r>
        <w:t>Ієрархічна структура цілей грошово-кредитно</w:t>
      </w:r>
      <w:r>
        <w:t>ї політики НБУ</w:t>
      </w:r>
    </w:p>
    <w:tbl>
      <w:tblPr>
        <w:tblStyle w:val="a7"/>
        <w:tblW w:w="9971" w:type="dxa"/>
        <w:jc w:val="center"/>
        <w:tblInd w:w="0" w:type="dxa"/>
        <w:tblLayout w:type="fixed"/>
        <w:tblLook w:val="0400" w:firstRow="0" w:lastRow="0" w:firstColumn="0" w:lastColumn="0" w:noHBand="0" w:noVBand="1"/>
      </w:tblPr>
      <w:tblGrid>
        <w:gridCol w:w="2493"/>
        <w:gridCol w:w="2493"/>
        <w:gridCol w:w="2493"/>
        <w:gridCol w:w="2492"/>
      </w:tblGrid>
      <w:tr w:rsidR="00B621C7">
        <w:trPr>
          <w:tblHeade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Рівень цілей</w:t>
            </w:r>
          </w:p>
        </w:tc>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Зміст</w:t>
            </w:r>
          </w:p>
        </w:tc>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Орієнтир / показник</w:t>
            </w:r>
          </w:p>
        </w:tc>
        <w:tc>
          <w:tcPr>
            <w:tcW w:w="2492"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Зв’язок з інструментами НБУ</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Стратегічна ціль</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Цінова стабільність як пріоритет</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Інфляційна ціль 5% на належному горизонті політики</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Облікова ставка, валютно-курсова політика, операції з ліквідністю, комунікація</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Друга ціль</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Фінансова стабільність, зокрема стабільність банківської системи</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Стійкість банків, ліквідність, капітал, відсутність системних криз</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proofErr w:type="spellStart"/>
            <w:r>
              <w:rPr>
                <w:sz w:val="22"/>
                <w:szCs w:val="22"/>
              </w:rPr>
              <w:t>Пруденційний</w:t>
            </w:r>
            <w:proofErr w:type="spellEnd"/>
            <w:r>
              <w:rPr>
                <w:sz w:val="22"/>
                <w:szCs w:val="22"/>
              </w:rPr>
              <w:t xml:space="preserve"> нагляд, рефінансуван</w:t>
            </w:r>
            <w:r>
              <w:rPr>
                <w:sz w:val="22"/>
                <w:szCs w:val="22"/>
              </w:rPr>
              <w:t xml:space="preserve">ня, резервні вимоги, </w:t>
            </w:r>
            <w:proofErr w:type="spellStart"/>
            <w:r>
              <w:rPr>
                <w:sz w:val="22"/>
                <w:szCs w:val="22"/>
              </w:rPr>
              <w:t>макропруденційні</w:t>
            </w:r>
            <w:proofErr w:type="spellEnd"/>
            <w:r>
              <w:rPr>
                <w:sz w:val="22"/>
                <w:szCs w:val="22"/>
              </w:rPr>
              <w:t xml:space="preserve"> заходи</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Третя ціль</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Підтримка економічної політики уряду без шкоди для перших двох цілей</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Стійке економічне зростання у стабільному ціновому середовищі</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Непряма дія через фінансові умови та кредитний канал</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Операційна ціль</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Підтримання короткострокових міжбанківських ставок близько до ключової ставки, але не нижче неї</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UONIA як індикатор короткострокової вартості гривневих ресурсів</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Депозитні сертифікати, інс</w:t>
            </w:r>
            <w:r>
              <w:rPr>
                <w:sz w:val="22"/>
                <w:szCs w:val="22"/>
              </w:rPr>
              <w:t>трументи постійного доступу, регулювання ліквідності</w:t>
            </w:r>
          </w:p>
        </w:tc>
      </w:tr>
    </w:tbl>
    <w:p w:rsidR="00B621C7" w:rsidRDefault="005D53F5">
      <w:pPr>
        <w:ind w:firstLine="0"/>
        <w:jc w:val="left"/>
      </w:pPr>
      <w:r>
        <w:rPr>
          <w:i/>
          <w:iCs/>
          <w:sz w:val="24"/>
          <w:szCs w:val="24"/>
        </w:rPr>
        <w:t>Джерело: складено автором на основі Закону України «Про Національний банк України» та матеріалів НБУ щодо монетарної політики й інструментів процентної політики.</w:t>
      </w:r>
    </w:p>
    <w:p w:rsidR="00B621C7" w:rsidRDefault="005D53F5">
      <w:proofErr w:type="spellStart"/>
      <w:r>
        <w:t>Типологізація</w:t>
      </w:r>
      <w:proofErr w:type="spellEnd"/>
      <w:r>
        <w:t xml:space="preserve"> грошово-кредитної політики демонструє, що монетарні рішення різняться за спрямов</w:t>
      </w:r>
      <w:r>
        <w:t xml:space="preserve">аністю, часовим горизонтом, обраним режимом і мірою регуляторного втручання. За вектором впливу виокремлюють </w:t>
      </w:r>
      <w:proofErr w:type="spellStart"/>
      <w:r>
        <w:t>експансійну</w:t>
      </w:r>
      <w:proofErr w:type="spellEnd"/>
      <w:r>
        <w:t xml:space="preserve"> та </w:t>
      </w:r>
      <w:proofErr w:type="spellStart"/>
      <w:r>
        <w:t>рестрикційну</w:t>
      </w:r>
      <w:proofErr w:type="spellEnd"/>
      <w:r>
        <w:t xml:space="preserve"> політику; за часовим виміром - коротко-, середньо- та довгострокову; за режимом </w:t>
      </w:r>
      <w:proofErr w:type="spellStart"/>
      <w:r>
        <w:t>таргетування</w:t>
      </w:r>
      <w:proofErr w:type="spellEnd"/>
      <w:r>
        <w:t xml:space="preserve"> - орієнтовану на грошові а</w:t>
      </w:r>
      <w:r>
        <w:t>грегати, обмінний курс або інфляцію; за ступенем регулювання - ринкову, адміністративну або змішану. Детальну класифікацію наведено в табл. 1.3.</w:t>
      </w:r>
    </w:p>
    <w:p w:rsidR="00B621C7" w:rsidRDefault="005D53F5">
      <w:r>
        <w:t>Еволюція монетарних режимів в Україні носила послідовний характер: від нестабільних емісійних та курсових механ</w:t>
      </w:r>
      <w:r>
        <w:t xml:space="preserve">ізмів 1990-х до офіційного переходу до інфляційного </w:t>
      </w:r>
      <w:proofErr w:type="spellStart"/>
      <w:r>
        <w:t>таргетування</w:t>
      </w:r>
      <w:proofErr w:type="spellEnd"/>
      <w:r>
        <w:t xml:space="preserve"> після 2015 р. [31]. і подальшого пристосування </w:t>
      </w:r>
      <w:r>
        <w:lastRenderedPageBreak/>
        <w:t xml:space="preserve">цього режиму до реалій повномасштабної війни. Чинна конфігурація НБУ поєднує гнучке інфляційне </w:t>
      </w:r>
      <w:proofErr w:type="spellStart"/>
      <w:r>
        <w:t>таргетування</w:t>
      </w:r>
      <w:proofErr w:type="spellEnd"/>
      <w:r>
        <w:t xml:space="preserve"> з керованою гнучкістю обмінного курс</w:t>
      </w:r>
      <w:r>
        <w:t>у, валютними інтервенціями та поступовою лібералізацією валютних обмежень [3; 7].</w:t>
      </w:r>
    </w:p>
    <w:p w:rsidR="00B621C7" w:rsidRDefault="005D53F5">
      <w:pPr>
        <w:spacing w:before="120"/>
        <w:ind w:firstLine="0"/>
        <w:jc w:val="right"/>
        <w:rPr>
          <w:sz w:val="32"/>
          <w:szCs w:val="32"/>
        </w:rPr>
      </w:pPr>
      <w:r>
        <w:t>Таблиця 1.3</w:t>
      </w:r>
    </w:p>
    <w:p w:rsidR="00B621C7" w:rsidRDefault="005D53F5">
      <w:r>
        <w:t>Типологічна класифікація грошово-кредитної політики</w:t>
      </w:r>
    </w:p>
    <w:tbl>
      <w:tblPr>
        <w:tblStyle w:val="a8"/>
        <w:tblW w:w="9971" w:type="dxa"/>
        <w:jc w:val="center"/>
        <w:tblInd w:w="0" w:type="dxa"/>
        <w:tblLayout w:type="fixed"/>
        <w:tblLook w:val="0400" w:firstRow="0" w:lastRow="0" w:firstColumn="0" w:lastColumn="0" w:noHBand="0" w:noVBand="1"/>
      </w:tblPr>
      <w:tblGrid>
        <w:gridCol w:w="2493"/>
        <w:gridCol w:w="2493"/>
        <w:gridCol w:w="2493"/>
        <w:gridCol w:w="2492"/>
      </w:tblGrid>
      <w:tr w:rsidR="00B621C7">
        <w:trPr>
          <w:tblHeade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Критерій</w:t>
            </w:r>
          </w:p>
        </w:tc>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Тип ГКП</w:t>
            </w:r>
          </w:p>
        </w:tc>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Сутність</w:t>
            </w:r>
          </w:p>
        </w:tc>
        <w:tc>
          <w:tcPr>
            <w:tcW w:w="2492"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Умови застосування</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Напрям впливу</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proofErr w:type="spellStart"/>
            <w:r>
              <w:rPr>
                <w:sz w:val="22"/>
                <w:szCs w:val="22"/>
              </w:rPr>
              <w:t>Експансійна</w:t>
            </w:r>
            <w:proofErr w:type="spellEnd"/>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Пом’якшення монетарних умов, зниження вартості грошей, стимулювання попиту</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 xml:space="preserve">Рецесія, слабкий попит, </w:t>
            </w:r>
            <w:proofErr w:type="spellStart"/>
            <w:r>
              <w:rPr>
                <w:sz w:val="22"/>
                <w:szCs w:val="22"/>
              </w:rPr>
              <w:t>дефляційні</w:t>
            </w:r>
            <w:proofErr w:type="spellEnd"/>
            <w:r>
              <w:rPr>
                <w:sz w:val="22"/>
                <w:szCs w:val="22"/>
              </w:rPr>
              <w:t xml:space="preserve"> ризики</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Напрям впливу</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proofErr w:type="spellStart"/>
            <w:r>
              <w:rPr>
                <w:sz w:val="22"/>
                <w:szCs w:val="22"/>
              </w:rPr>
              <w:t>Рестрикційна</w:t>
            </w:r>
            <w:proofErr w:type="spellEnd"/>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Посилення монетарних умов, підвищення вартості грошей, стримування інфляції</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Прискорення інфляції, девальваційни</w:t>
            </w:r>
            <w:r>
              <w:rPr>
                <w:sz w:val="22"/>
                <w:szCs w:val="22"/>
              </w:rPr>
              <w:t>й тиск, перегрів попиту</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Горизонт</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Короткострокова</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Антикризова реакція на поточний шок</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Фінансова паніка, воєнний або зовнішній шок</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Горизонт</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Середньострокова</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Досягнення цільових показників у прогнозному горизонті</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 xml:space="preserve">Інфляційне </w:t>
            </w:r>
            <w:proofErr w:type="spellStart"/>
            <w:r>
              <w:rPr>
                <w:sz w:val="22"/>
                <w:szCs w:val="22"/>
              </w:rPr>
              <w:t>таргетування</w:t>
            </w:r>
            <w:proofErr w:type="spellEnd"/>
            <w:r>
              <w:rPr>
                <w:sz w:val="22"/>
                <w:szCs w:val="22"/>
              </w:rPr>
              <w:t>, стабілізація очікувань</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 xml:space="preserve">Режим </w:t>
            </w:r>
            <w:proofErr w:type="spellStart"/>
            <w:r>
              <w:rPr>
                <w:sz w:val="22"/>
                <w:szCs w:val="22"/>
              </w:rPr>
              <w:t>таргетування</w:t>
            </w:r>
            <w:proofErr w:type="spellEnd"/>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 xml:space="preserve">Курсове </w:t>
            </w:r>
            <w:proofErr w:type="spellStart"/>
            <w:r>
              <w:rPr>
                <w:sz w:val="22"/>
                <w:szCs w:val="22"/>
              </w:rPr>
              <w:t>таргетування</w:t>
            </w:r>
            <w:proofErr w:type="spellEnd"/>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Орієнтація на стабільність обмінного курсу</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Висока доларизація або гостра криза довіри</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 xml:space="preserve">Режим </w:t>
            </w:r>
            <w:proofErr w:type="spellStart"/>
            <w:r>
              <w:rPr>
                <w:sz w:val="22"/>
                <w:szCs w:val="22"/>
              </w:rPr>
              <w:t>таргетування</w:t>
            </w:r>
            <w:proofErr w:type="spellEnd"/>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Інфляц</w:t>
            </w:r>
            <w:r>
              <w:rPr>
                <w:sz w:val="22"/>
                <w:szCs w:val="22"/>
              </w:rPr>
              <w:t xml:space="preserve">ійне </w:t>
            </w:r>
            <w:proofErr w:type="spellStart"/>
            <w:r>
              <w:rPr>
                <w:sz w:val="22"/>
                <w:szCs w:val="22"/>
              </w:rPr>
              <w:t>таргетування</w:t>
            </w:r>
            <w:proofErr w:type="spellEnd"/>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Публічна інфляційна ціль і підпорядкування політики ціновій стабільності</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Наявність незалежного центрального банку та розвиненої комунікації</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Ступінь втручання</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Ринкова</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Вплив через ставки, ліквідність і очікування</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Функціонування грошового й валютного ринків</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Ступінь втручання</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Адміністративна / змішана</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Поєднання ринкових інструментів з обмеженнями</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 xml:space="preserve">Криза, війна, різкі валютні </w:t>
            </w:r>
            <w:proofErr w:type="spellStart"/>
            <w:r>
              <w:rPr>
                <w:sz w:val="22"/>
                <w:szCs w:val="22"/>
              </w:rPr>
              <w:t>дисбаланси</w:t>
            </w:r>
            <w:proofErr w:type="spellEnd"/>
          </w:p>
        </w:tc>
      </w:tr>
    </w:tbl>
    <w:p w:rsidR="00B621C7" w:rsidRDefault="005D53F5">
      <w:pPr>
        <w:ind w:firstLine="0"/>
        <w:jc w:val="left"/>
      </w:pPr>
      <w:r>
        <w:rPr>
          <w:i/>
          <w:iCs/>
          <w:sz w:val="24"/>
          <w:szCs w:val="24"/>
        </w:rPr>
        <w:t xml:space="preserve">Джерело: складено автором на основі </w:t>
      </w:r>
      <w:r>
        <w:rPr>
          <w:i/>
          <w:iCs/>
          <w:sz w:val="24"/>
          <w:szCs w:val="24"/>
        </w:rPr>
        <w:t xml:space="preserve">матеріалів НБУ щодо монетарної політики, інфляційного </w:t>
      </w:r>
      <w:proofErr w:type="spellStart"/>
      <w:r>
        <w:rPr>
          <w:i/>
          <w:iCs/>
          <w:sz w:val="24"/>
          <w:szCs w:val="24"/>
        </w:rPr>
        <w:t>таргетування</w:t>
      </w:r>
      <w:proofErr w:type="spellEnd"/>
      <w:r>
        <w:rPr>
          <w:i/>
          <w:iCs/>
          <w:sz w:val="24"/>
          <w:szCs w:val="24"/>
        </w:rPr>
        <w:t xml:space="preserve"> та валютно-курсової політики.</w:t>
      </w:r>
    </w:p>
    <w:p w:rsidR="00B621C7" w:rsidRDefault="005D53F5">
      <w:r>
        <w:t xml:space="preserve">Становлення грошово-кредитної політики України підпорядковується загальній </w:t>
      </w:r>
      <w:proofErr w:type="spellStart"/>
      <w:r>
        <w:t>логіці</w:t>
      </w:r>
      <w:proofErr w:type="spellEnd"/>
      <w:r>
        <w:t xml:space="preserve"> ринкової трансформації. На ранньому етапі незалежності монетарна система функ</w:t>
      </w:r>
      <w:r>
        <w:t xml:space="preserve">ціонувала за умов інституційної незрілості, гіперінфляції та підірваної довіри до національної грошової одиниці. </w:t>
      </w:r>
      <w:r>
        <w:lastRenderedPageBreak/>
        <w:t>Впровадження гривні, набуття НБУ повноцінного статусу центрального банку та розвиток банківської інфраструктури заклали підвалини для монетарно</w:t>
      </w:r>
      <w:r>
        <w:t>ї стабілізації. Втім, тривалий час курсовий якір відігравав важливішу роль, ніж процентна політика, що стримувало повноцінну ринкову трансмісію.</w:t>
      </w:r>
    </w:p>
    <w:p w:rsidR="00B621C7" w:rsidRDefault="005D53F5">
      <w:r>
        <w:t xml:space="preserve">Якісний злам відбувся із запровадженням інфляційного </w:t>
      </w:r>
      <w:proofErr w:type="spellStart"/>
      <w:r>
        <w:t>таргетування</w:t>
      </w:r>
      <w:proofErr w:type="spellEnd"/>
      <w:r>
        <w:t xml:space="preserve">. Нова операційна логіка означала відмову від </w:t>
      </w:r>
      <w:r>
        <w:t xml:space="preserve">курсового якоря як головного орієнтиру: НБУ зосередився на інфляційній цілі, прогностичному аналізі та процентному каналі. Повномасштабне вторгнення не скасувало цієї логіки, однак змінило форму її реалізації - перехід до гнучкого </w:t>
      </w:r>
      <w:proofErr w:type="spellStart"/>
      <w:r>
        <w:t>таргетування</w:t>
      </w:r>
      <w:proofErr w:type="spellEnd"/>
      <w:r>
        <w:t>, курсової гн</w:t>
      </w:r>
      <w:r>
        <w:t>учкості під контролем, активних валютних інтервенцій та посиленої комунікаційної складової. Узагальнену схему етапів становлення ГКП України наведено на рис. 1.2.</w:t>
      </w:r>
    </w:p>
    <w:p w:rsidR="00B621C7" w:rsidRDefault="005D53F5">
      <w:pPr>
        <w:ind w:firstLine="0"/>
      </w:pPr>
      <w:r>
        <w:rPr>
          <w:noProof/>
        </w:rPr>
        <w:drawing>
          <wp:inline distT="0" distB="0" distL="0" distR="0">
            <wp:extent cx="5669280" cy="28384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69280" cy="2838450"/>
                    </a:xfrm>
                    <a:prstGeom prst="rect">
                      <a:avLst/>
                    </a:prstGeom>
                    <a:ln/>
                  </pic:spPr>
                </pic:pic>
              </a:graphicData>
            </a:graphic>
          </wp:inline>
        </w:drawing>
      </w:r>
    </w:p>
    <w:p w:rsidR="00B621C7" w:rsidRDefault="005D53F5">
      <w:pPr>
        <w:spacing w:before="120"/>
        <w:ind w:firstLine="0"/>
        <w:jc w:val="center"/>
        <w:rPr>
          <w:sz w:val="32"/>
          <w:szCs w:val="32"/>
        </w:rPr>
      </w:pPr>
      <w:r>
        <w:t>Рис. 1.2. Етапи становлення грошово-кредитної політики України</w:t>
      </w:r>
    </w:p>
    <w:p w:rsidR="00B621C7" w:rsidRDefault="005D53F5">
      <w:pPr>
        <w:ind w:firstLine="0"/>
        <w:jc w:val="left"/>
      </w:pPr>
      <w:r>
        <w:rPr>
          <w:i/>
          <w:iCs/>
          <w:sz w:val="24"/>
          <w:szCs w:val="24"/>
        </w:rPr>
        <w:t xml:space="preserve">Джерело: складено автором на основі матеріалів НБУ щодо монетарної політики, валютно-курсової політики та інфляційного </w:t>
      </w:r>
      <w:proofErr w:type="spellStart"/>
      <w:r>
        <w:rPr>
          <w:i/>
          <w:iCs/>
          <w:sz w:val="24"/>
          <w:szCs w:val="24"/>
        </w:rPr>
        <w:t>таргетування</w:t>
      </w:r>
      <w:proofErr w:type="spellEnd"/>
      <w:r>
        <w:rPr>
          <w:i/>
          <w:iCs/>
          <w:sz w:val="24"/>
          <w:szCs w:val="24"/>
        </w:rPr>
        <w:t>.</w:t>
      </w:r>
    </w:p>
    <w:p w:rsidR="00B621C7" w:rsidRDefault="005D53F5">
      <w:r>
        <w:t xml:space="preserve">Аналіз сутності, цілей, типів та етапів становлення ГКП засвідчує, що сучасна монетарна політика НБУ склалася як результат </w:t>
      </w:r>
      <w:r>
        <w:t xml:space="preserve">тривалого переходу від адміністративних і </w:t>
      </w:r>
      <w:proofErr w:type="spellStart"/>
      <w:r>
        <w:t>курсоцентричних</w:t>
      </w:r>
      <w:proofErr w:type="spellEnd"/>
      <w:r>
        <w:t xml:space="preserve"> механізмів до режиму, у якому пріоритет належить ціновій стабільності, прогнозному мисленню, процентним сигналам та керованій взаємодії з валютним ринком. Наступний аналітичний крок полягає в </w:t>
      </w:r>
      <w:r>
        <w:lastRenderedPageBreak/>
        <w:t>розгля</w:t>
      </w:r>
      <w:r>
        <w:t>ді інструментарію, за допомогою якого НБУ досягає своїх цілей у поточному макроекономічному середовищі.</w:t>
      </w:r>
    </w:p>
    <w:p w:rsidR="00B621C7" w:rsidRDefault="00B621C7">
      <w:pPr>
        <w:ind w:firstLine="0"/>
      </w:pPr>
    </w:p>
    <w:p w:rsidR="00B621C7" w:rsidRDefault="00B621C7">
      <w:pPr>
        <w:ind w:firstLine="0"/>
      </w:pPr>
    </w:p>
    <w:p w:rsidR="00B621C7" w:rsidRDefault="005D53F5">
      <w:pPr>
        <w:spacing w:before="240" w:after="120"/>
        <w:rPr>
          <w:color w:val="000000"/>
        </w:rPr>
      </w:pPr>
      <w:r>
        <w:t>1.2 Інструментарій грошово-кредитної політики: механізми дії та трансмісія до банківської системи</w:t>
      </w:r>
    </w:p>
    <w:p w:rsidR="00B621C7" w:rsidRDefault="00B621C7">
      <w:pPr>
        <w:ind w:firstLine="0"/>
        <w:rPr>
          <w:color w:val="000000"/>
        </w:rPr>
      </w:pPr>
    </w:p>
    <w:p w:rsidR="00B621C7" w:rsidRDefault="005D53F5">
      <w:r>
        <w:t xml:space="preserve">Після з’ясування сутності, цілей, типів і </w:t>
      </w:r>
      <w:proofErr w:type="spellStart"/>
      <w:r>
        <w:t>генези</w:t>
      </w:r>
      <w:proofErr w:type="spellEnd"/>
      <w:r>
        <w:t xml:space="preserve"> гр</w:t>
      </w:r>
      <w:r>
        <w:t>ошово-кредитної політики логіка дослідження вимагає звернення до інструментального арсеналу центрального банку. Інструменти монетарної політики є ланцюжком, що з’єднує стратегічну ціль цінової стабільності з конкретними операційними рішеннями НБУ. Проголос</w:t>
      </w:r>
      <w:r>
        <w:t>ити інфляційну ціль чи задекларувати монетарну позицію недостатньо: центральний банк має розпоряджатися системою інструментів, спроможних реально впливати на ліквідність банків, рівень короткострокових ставок, динаміку валютного ринку, очікування та поведі</w:t>
      </w:r>
      <w:r>
        <w:t>нку фінансових посередників.</w:t>
      </w:r>
    </w:p>
    <w:p w:rsidR="00B621C7" w:rsidRDefault="005D53F5">
      <w:r>
        <w:t>Зводити інструментарій НБУ лише до облікової ставки було б надмірним спрощенням [18]. Облікова ставка справді є центральним процентним орієнтиром, але її практичний вплив реалізується у взаємодії з валютно-курсовою політикою, в</w:t>
      </w:r>
      <w:r>
        <w:t xml:space="preserve">алютними обмеженнями та операціями з ліквідністю. Ця комбінація відповідає </w:t>
      </w:r>
      <w:proofErr w:type="spellStart"/>
      <w:r>
        <w:t>логіці</w:t>
      </w:r>
      <w:proofErr w:type="spellEnd"/>
      <w:r>
        <w:t xml:space="preserve"> гнучкого інфляційного </w:t>
      </w:r>
      <w:proofErr w:type="spellStart"/>
      <w:r>
        <w:t>таргетування</w:t>
      </w:r>
      <w:proofErr w:type="spellEnd"/>
      <w:r>
        <w:t>, за якої НБУ спрямовує монетарну позицію на повернення інфляції до цілі 5% на належному горизонті [3].</w:t>
      </w:r>
    </w:p>
    <w:p w:rsidR="00B621C7" w:rsidRDefault="005D53F5">
      <w:r>
        <w:t xml:space="preserve">У функціональному розрізі монетарні </w:t>
      </w:r>
      <w:r>
        <w:t>інструменти розподіляються на кілька груп. Процентні інструменти визначають ціну короткострокових гривневих ресурсів. Засоби регулювання ліквідності підтримують рівновагу між надлишком і дефіцитом ресурсів у банківській системі. Обов’язкові резерви формуют</w:t>
      </w:r>
      <w:r>
        <w:t xml:space="preserve">ь структурні умови банківської ліквідності. Валютні інтервенції діють через курсовий канал, а міжнародні резерви є ресурсною базою для проведення </w:t>
      </w:r>
      <w:r>
        <w:lastRenderedPageBreak/>
        <w:t>таких інтервенцій і чинником довіри до спроможності НБУ підтримувати стабільність валютного ринку. Функціональ</w:t>
      </w:r>
      <w:r>
        <w:t>ну класифікацію узагальнено в табл. 1.4, системну взаємодію інструментів - на рис. 1.3.</w:t>
      </w:r>
    </w:p>
    <w:p w:rsidR="00B621C7" w:rsidRDefault="005D53F5">
      <w:pPr>
        <w:spacing w:before="120"/>
        <w:ind w:firstLine="0"/>
        <w:jc w:val="right"/>
        <w:rPr>
          <w:sz w:val="32"/>
          <w:szCs w:val="32"/>
        </w:rPr>
      </w:pPr>
      <w:r>
        <w:t>Таблиця 1.4</w:t>
      </w:r>
    </w:p>
    <w:p w:rsidR="00B621C7" w:rsidRDefault="005D53F5">
      <w:r>
        <w:t>Функціональна класифікація інструментів монетарної політики НБУ</w:t>
      </w:r>
    </w:p>
    <w:tbl>
      <w:tblPr>
        <w:tblStyle w:val="a9"/>
        <w:tblW w:w="9971" w:type="dxa"/>
        <w:jc w:val="center"/>
        <w:tblInd w:w="0" w:type="dxa"/>
        <w:tblLayout w:type="fixed"/>
        <w:tblLook w:val="0400" w:firstRow="0" w:lastRow="0" w:firstColumn="0" w:lastColumn="0" w:noHBand="0" w:noVBand="1"/>
      </w:tblPr>
      <w:tblGrid>
        <w:gridCol w:w="2493"/>
        <w:gridCol w:w="2493"/>
        <w:gridCol w:w="2493"/>
        <w:gridCol w:w="2492"/>
      </w:tblGrid>
      <w:tr w:rsidR="00B621C7">
        <w:trPr>
          <w:tblHeade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Функціональна група</w:t>
            </w:r>
          </w:p>
        </w:tc>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Основні елементи</w:t>
            </w:r>
          </w:p>
        </w:tc>
        <w:tc>
          <w:tcPr>
            <w:tcW w:w="2493"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Операційна функція</w:t>
            </w:r>
          </w:p>
        </w:tc>
        <w:tc>
          <w:tcPr>
            <w:tcW w:w="2492"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2"/>
                <w:szCs w:val="22"/>
              </w:rPr>
              <w:t>Зв’язок із ціновою стабільністю</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Процентні інструменти</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Облікова ставка, UONIA, ставки за операціями НБУ</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Формування ціни короткострокових гривневих ресурсів</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Передача процентного сигналу до банківських ставок, заощаджень і кредитування</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Регулювання ліквідності</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Депозитні сертифікати, рефінан</w:t>
            </w:r>
            <w:r>
              <w:rPr>
                <w:sz w:val="22"/>
                <w:szCs w:val="22"/>
              </w:rPr>
              <w:t>сування, РЕПО</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Абсорбування надлишкової ліквідності або надання ресурсів банкам</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Підтримання керованості короткострокових ставок і стабільності грошового ринку</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Обов’язкові резерви</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Нормативи резервування за зобов’язаннями банків</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Структурний вплив на ліквідність і ресурсну базу банків</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Обмеження надмірного грошового розширення та посилення стабільності пасивів</w:t>
            </w:r>
          </w:p>
        </w:tc>
      </w:tr>
      <w:tr w:rsidR="00B621C7">
        <w:trPr>
          <w:jc w:val="center"/>
        </w:trPr>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Валютні інструменти та ресурсна база</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Валютні інтервенції; міжнародні резерв</w:t>
            </w:r>
            <w:r>
              <w:rPr>
                <w:sz w:val="22"/>
                <w:szCs w:val="22"/>
              </w:rPr>
              <w:t>и як ресурсна база валютних інтервенцій</w:t>
            </w:r>
          </w:p>
        </w:tc>
        <w:tc>
          <w:tcPr>
            <w:tcW w:w="24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Згладжування надмірних курсових коливань і підтримання валютного ринку</w:t>
            </w:r>
          </w:p>
        </w:tc>
        <w:tc>
          <w:tcPr>
            <w:tcW w:w="24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2"/>
                <w:szCs w:val="22"/>
              </w:rPr>
              <w:t>Зменшення ризику імпортованої інфляції та стабілізація очікувань</w:t>
            </w:r>
          </w:p>
        </w:tc>
      </w:tr>
    </w:tbl>
    <w:p w:rsidR="00B621C7" w:rsidRDefault="005D53F5">
      <w:pPr>
        <w:ind w:firstLine="0"/>
        <w:jc w:val="left"/>
      </w:pPr>
      <w:r>
        <w:rPr>
          <w:i/>
          <w:iCs/>
          <w:sz w:val="24"/>
          <w:szCs w:val="24"/>
        </w:rPr>
        <w:t>Джерело: складено автором на основі матеріалів НБУ щодо монетарної політики, Інфляційного звіту НБУ, Звіту про фінансову стабільність НБУ, Огляду банківського сектору НБУ та матеріалів щодо валютного ринку.</w:t>
      </w:r>
    </w:p>
    <w:p w:rsidR="00B621C7" w:rsidRDefault="005D53F5">
      <w:pPr>
        <w:ind w:firstLine="0"/>
      </w:pPr>
      <w:r>
        <w:rPr>
          <w:noProof/>
        </w:rPr>
        <w:lastRenderedPageBreak/>
        <w:drawing>
          <wp:inline distT="0" distB="0" distL="0" distR="0">
            <wp:extent cx="5708015" cy="3575685"/>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708015" cy="3575685"/>
                    </a:xfrm>
                    <a:prstGeom prst="rect">
                      <a:avLst/>
                    </a:prstGeom>
                    <a:ln/>
                  </pic:spPr>
                </pic:pic>
              </a:graphicData>
            </a:graphic>
          </wp:inline>
        </w:drawing>
      </w:r>
    </w:p>
    <w:p w:rsidR="00B621C7" w:rsidRDefault="005D53F5">
      <w:pPr>
        <w:spacing w:before="120"/>
        <w:ind w:firstLine="0"/>
        <w:jc w:val="center"/>
      </w:pPr>
      <w:r>
        <w:t>Рис. 1.3. Функціональна система інструментів мо</w:t>
      </w:r>
      <w:r>
        <w:t>нетарної політики НБУ</w:t>
      </w:r>
    </w:p>
    <w:p w:rsidR="00B621C7" w:rsidRDefault="005D53F5">
      <w:pPr>
        <w:ind w:firstLine="0"/>
        <w:jc w:val="left"/>
      </w:pPr>
      <w:r>
        <w:rPr>
          <w:i/>
          <w:iCs/>
          <w:sz w:val="24"/>
          <w:szCs w:val="24"/>
        </w:rPr>
        <w:t>Джерело: складено автором на основі матеріалів НБУ щодо інструментів монетарної політики, валютного ринку та міжнародних резервів.</w:t>
      </w:r>
    </w:p>
    <w:p w:rsidR="00B621C7" w:rsidRDefault="005D53F5">
      <w:r>
        <w:t>UONIA є індикатором короткострокової вартості гривневих ресурсів, за допомогою якого НБУ оцінює досягне</w:t>
      </w:r>
      <w:r>
        <w:t xml:space="preserve">ння операційної цілі процентної політики [27]. Цей показник відображає фактичну вартість ресурсів у сегменті </w:t>
      </w:r>
      <w:proofErr w:type="spellStart"/>
      <w:r>
        <w:t>овернайт</w:t>
      </w:r>
      <w:proofErr w:type="spellEnd"/>
      <w:r>
        <w:t xml:space="preserve"> і дає можливість відстежувати, наскільки ефективно монетарний сигнал центрального банку доходить до грошового ринку. UONIA не є стратегічн</w:t>
      </w:r>
      <w:r>
        <w:t>им орієнтиром - він виконує функцію операційного індикатора, що вимірює наближеність ринкових ставок до бажаного рівня [3].</w:t>
      </w:r>
    </w:p>
    <w:p w:rsidR="00B621C7" w:rsidRDefault="005D53F5">
      <w:r>
        <w:t>Після модернізації операційного дизайну в 2023 р. НБУ запровадив конфігурацію нижньої межі: короткострокові ставки мають утримуватис</w:t>
      </w:r>
      <w:r>
        <w:t>я поблизу облікової ставки, але не опускатися нижче за неї. UONIA виступає операційним індикатором вартості короткострокових гривневих ресурсів. Така модель відповідає умовам структурного профіциту ліквідності банківської системи та завданню підтримання пр</w:t>
      </w:r>
      <w:r>
        <w:t>ивабливості гривневих інструментів.</w:t>
      </w:r>
    </w:p>
    <w:p w:rsidR="00B621C7" w:rsidRDefault="005D53F5">
      <w:r>
        <w:t xml:space="preserve">Облікова ставка виконує роль головного процентного орієнтиру НБУ, однак її вплив реалізується у поєднанні з валютно-курсовою політикою, чинними </w:t>
      </w:r>
      <w:r>
        <w:lastRenderedPageBreak/>
        <w:t>валютними обмеженнями та інструментами управління ліквідністю [29]. Через рівень облікової ставки центральний ба</w:t>
      </w:r>
      <w:r>
        <w:t xml:space="preserve">нк сигналізує про жорсткість або м’якість монетарних умов і визначає дохідність власних операцій, стимули для депозитної поведінки населення та фінансові умови функціонування банків. Така </w:t>
      </w:r>
      <w:proofErr w:type="spellStart"/>
      <w:r>
        <w:t>комбінованість</w:t>
      </w:r>
      <w:proofErr w:type="spellEnd"/>
      <w:r>
        <w:t xml:space="preserve"> відповідає природі гнучкого інфляційного </w:t>
      </w:r>
      <w:proofErr w:type="spellStart"/>
      <w:r>
        <w:t>таргетування</w:t>
      </w:r>
      <w:proofErr w:type="spellEnd"/>
      <w:r>
        <w:t xml:space="preserve"> в умовах воєнної й макрофінансової невизначеності.</w:t>
      </w:r>
    </w:p>
    <w:p w:rsidR="00B621C7" w:rsidRDefault="005D53F5">
      <w:r>
        <w:t>У чинному операційному дизайні ставки за інструментами постійного доступу та депозитними сертифікатами формують стимули для поведінки банків на грошовому ринку; їхні конкретні параметри залежать від поточ</w:t>
      </w:r>
      <w:r>
        <w:t>них рішень НБУ. Загалом ця модель розподіляє функції так: облікова ставка є ключовим процентним орієнтиром, UONIA відображає фактичну вартість короткострокових гривневих ресурсів, а операції з ліквідністю підтримують зв’язок між монетарним сигналом і ринко</w:t>
      </w:r>
      <w:r>
        <w:t>вими ставками. Операційну роль UONIA в системі ставок НБУ відображено на рис. 1.4.</w:t>
      </w:r>
    </w:p>
    <w:p w:rsidR="00B621C7" w:rsidRDefault="005D53F5">
      <w:pPr>
        <w:ind w:firstLine="0"/>
      </w:pPr>
      <w:r>
        <w:rPr>
          <w:noProof/>
        </w:rPr>
        <w:drawing>
          <wp:inline distT="0" distB="0" distL="0" distR="0">
            <wp:extent cx="5669280" cy="319722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669280" cy="3197225"/>
                    </a:xfrm>
                    <a:prstGeom prst="rect">
                      <a:avLst/>
                    </a:prstGeom>
                    <a:ln/>
                  </pic:spPr>
                </pic:pic>
              </a:graphicData>
            </a:graphic>
          </wp:inline>
        </w:drawing>
      </w:r>
    </w:p>
    <w:p w:rsidR="00B621C7" w:rsidRDefault="005D53F5">
      <w:pPr>
        <w:spacing w:before="120"/>
        <w:ind w:firstLine="0"/>
        <w:jc w:val="center"/>
      </w:pPr>
      <w:r>
        <w:t>Рис. 1.4. Операційна роль UONIA в системі процентних ставок НБУ</w:t>
      </w:r>
    </w:p>
    <w:p w:rsidR="00B621C7" w:rsidRDefault="005D53F5">
      <w:pPr>
        <w:ind w:firstLine="0"/>
        <w:jc w:val="left"/>
      </w:pPr>
      <w:r>
        <w:rPr>
          <w:i/>
          <w:iCs/>
          <w:sz w:val="24"/>
          <w:szCs w:val="24"/>
        </w:rPr>
        <w:t>Джерело: складено автором на основі матеріалів НБУ щодо інструментів монетарної політики та модернізації оп</w:t>
      </w:r>
      <w:r>
        <w:rPr>
          <w:i/>
          <w:iCs/>
          <w:sz w:val="24"/>
          <w:szCs w:val="24"/>
        </w:rPr>
        <w:t>ераційного дизайну 2023 р.</w:t>
      </w:r>
    </w:p>
    <w:p w:rsidR="00B621C7" w:rsidRDefault="005D53F5">
      <w:r>
        <w:t xml:space="preserve">Практичне проходження процентного сигналу до банківської системи залежить від інструментів регулювання ліквідності. Якщо вільні кошти банків </w:t>
      </w:r>
      <w:r>
        <w:lastRenderedPageBreak/>
        <w:t>суттєво відхиляються від рівня, сумісного з операційною ціллю НБУ, короткострокові ставк</w:t>
      </w:r>
      <w:r>
        <w:t>и можуть розриватися з ключовим орієнтиром. Саме тому депозитні сертифікати, кредити рефінансування та операції РЕПО виконують коригувальну функцію: вони регулюють обсяг ліквідності і підтримують стійкість грошового ринку.</w:t>
      </w:r>
    </w:p>
    <w:p w:rsidR="00B621C7" w:rsidRDefault="005D53F5">
      <w:r>
        <w:t>Через депозитні сертифікати НБУ в</w:t>
      </w:r>
      <w:r>
        <w:t>илучає з банківського обігу надлишкові гривневі ресурси, утримуючи тим самим короткострокові ставки поблизу операційної цілі. Наявність структурного профіциту ліквідності спонукає банки розміщувати вільні кошти в центральному банку, що послаблює курсовий т</w:t>
      </w:r>
      <w:r>
        <w:t>иск і унеможливлює надмірне відхилення міжбанківських ставок від орієнтиру. Завдяки цьому депозитні сертифікати виконують не суто технічну, а й системну функцію - вони є важелем, через який облікова ставка набуває реального операційного змісту.</w:t>
      </w:r>
    </w:p>
    <w:p w:rsidR="00B621C7" w:rsidRDefault="005D53F5">
      <w:r>
        <w:t>Кредити реф</w:t>
      </w:r>
      <w:r>
        <w:t xml:space="preserve">інансування покликані підтримувати ліквідність банків у разі її браку. Кредити </w:t>
      </w:r>
      <w:proofErr w:type="spellStart"/>
      <w:r>
        <w:t>овернайт</w:t>
      </w:r>
      <w:proofErr w:type="spellEnd"/>
      <w:r>
        <w:t xml:space="preserve"> належать до категорії інструментів постійного доступу, тимчасом як тендерне рефінансування виступає окремим механізмом більш комплексної ліквідної підтримки. Такий розп</w:t>
      </w:r>
      <w:r>
        <w:t>оділ дозволяє чітко розмежувати щоденне управління короткостроковими розривами ліквідності і системну стабілізацію банківського сектору.</w:t>
      </w:r>
    </w:p>
    <w:p w:rsidR="00B621C7" w:rsidRDefault="005D53F5">
      <w:r>
        <w:t>Операції РЕПО проводяться переважно з державними цінними паперами із зобов’язанням зворотного продажу чи викупу. Для ба</w:t>
      </w:r>
      <w:r>
        <w:t xml:space="preserve">нків вони є механізмом отримання короткострокової ліквідності під забезпечення; для НБУ - гнучким інструментом управління грошовим ринком. РЕПО пов’язує монетарну політику з ринком держпаперів: наявні в банків ліквідні активи можуть слугувати заставою для </w:t>
      </w:r>
      <w:r>
        <w:t>тимчасового фінансування.</w:t>
      </w:r>
    </w:p>
    <w:p w:rsidR="00B621C7" w:rsidRDefault="005D53F5">
      <w:r>
        <w:t xml:space="preserve">Нормативи обов’язкового резервування функціонують як довгостроковий регулятор банківської ліквідності, відмінний за природою від оперативних інструментів [14]. Вони не призначені для щоденного налаштування ставок, але формують </w:t>
      </w:r>
      <w:proofErr w:type="spellStart"/>
      <w:r>
        <w:t>сер</w:t>
      </w:r>
      <w:r>
        <w:t>едовищні</w:t>
      </w:r>
      <w:proofErr w:type="spellEnd"/>
      <w:r>
        <w:t xml:space="preserve"> умови, у яких банки будують структуру пасивів і визначають свою кредитну активність. Можливість НБУ диференціювати </w:t>
      </w:r>
      <w:r>
        <w:lastRenderedPageBreak/>
        <w:t>нормативи за валютою залучення, строком і видом коштів перетворює резервні вимоги на інструмент тонкого впливу - не лише на сукупний</w:t>
      </w:r>
      <w:r>
        <w:t xml:space="preserve"> обсяг ліквідності, а й на якісний склад ресурсної бази.</w:t>
      </w:r>
    </w:p>
    <w:p w:rsidR="00B621C7" w:rsidRDefault="005D53F5">
      <w:r>
        <w:t xml:space="preserve">Режим керованої гнучкості курсу покладає на валютні інтервенції функцію амортизатора: центральний банк виходить на ринок, щоб обмежити надмірні коливання, не фіксуючи при цьому курсу адміністративно </w:t>
      </w:r>
      <w:r>
        <w:t xml:space="preserve">[23]. Валютний і процентний канали діють у НБУ паралельно - перший страхує від різких цінових шоків через імпорт, другий формує довгострокові процентні стимули. Достатні міжнародні резерви, на які спирається інтервенційна практика, є одночасно операційним </w:t>
      </w:r>
      <w:r>
        <w:t>ресурсом і сигналом ринку про спроможність центрального банку утримувати курсову ситуацію [6; 22]. Характеристику основних каналів монетарної трансмісії узагальнено в табл. 1.5.</w:t>
      </w:r>
    </w:p>
    <w:p w:rsidR="00B621C7" w:rsidRDefault="005D53F5">
      <w:pPr>
        <w:spacing w:before="120"/>
        <w:ind w:firstLine="0"/>
        <w:jc w:val="right"/>
      </w:pPr>
      <w:r>
        <w:t>Таблиця 1.5</w:t>
      </w:r>
    </w:p>
    <w:p w:rsidR="00B621C7" w:rsidRDefault="005D53F5">
      <w:r>
        <w:t>Канали монетарної трансмісії та особливості їх дії в Україні</w:t>
      </w:r>
    </w:p>
    <w:tbl>
      <w:tblPr>
        <w:tblStyle w:val="aa"/>
        <w:tblW w:w="9975" w:type="dxa"/>
        <w:jc w:val="center"/>
        <w:tblInd w:w="0" w:type="dxa"/>
        <w:tblLayout w:type="fixed"/>
        <w:tblLook w:val="0400" w:firstRow="0" w:lastRow="0" w:firstColumn="0" w:lastColumn="0" w:noHBand="0" w:noVBand="1"/>
      </w:tblPr>
      <w:tblGrid>
        <w:gridCol w:w="1995"/>
        <w:gridCol w:w="1995"/>
        <w:gridCol w:w="1995"/>
        <w:gridCol w:w="1995"/>
        <w:gridCol w:w="1995"/>
      </w:tblGrid>
      <w:tr w:rsidR="00B621C7">
        <w:trPr>
          <w:tblHeade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Канал</w:t>
            </w:r>
            <w:r>
              <w:rPr>
                <w:b/>
                <w:bCs/>
                <w:sz w:val="20"/>
                <w:szCs w:val="20"/>
              </w:rPr>
              <w:t xml:space="preserve"> трансмісії</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Початковий імпульс</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Механізм передачі</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Особливості дії в Україні</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Зв’язок із ціновою стабільністю</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Процентний</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Рішення НБУ з монетарної політики, облікова ставка, ставки за операціями НБУ</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Вплив на UONIA, міжбанківські ставки, депозитні та кредитні ставки</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Діє швидше на грошовому ринку, але повільніше переходить у ставки для реального сектору</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Змінює стимули до заощад</w:t>
            </w:r>
            <w:r>
              <w:rPr>
                <w:sz w:val="20"/>
                <w:szCs w:val="20"/>
              </w:rPr>
              <w:t>ження, споживання та інвестування</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Кредитний</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 xml:space="preserve">Зміна вартості та доступності банківського </w:t>
            </w:r>
            <w:proofErr w:type="spellStart"/>
            <w:r>
              <w:rPr>
                <w:sz w:val="20"/>
                <w:szCs w:val="20"/>
              </w:rPr>
              <w:t>фондування</w:t>
            </w:r>
            <w:proofErr w:type="spellEnd"/>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Вплив на кредитну пропозицію банків і попит позичальників</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Послаблюється воєнними ризиками, якістю активів та обережністю банків</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Регулює інтенсивність кредитного розширення і сукупний попит</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Валютний</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Зміна привабливості гривневих активів, валютні інтервенції, міжнародні резерви як ресурсна база валютних інтервенцій</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Вплив на попит і пропозицію валюти, курс, імпортні ціни та очікуванн</w:t>
            </w:r>
            <w:r>
              <w:rPr>
                <w:sz w:val="20"/>
                <w:szCs w:val="20"/>
              </w:rPr>
              <w:t>я</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Має підвищене значення через доларизацію та чутливість цін до курсу</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Зменшує ризик імпортованої інфляції та девальваційних очікувань</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Канал очікувань</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Комунікація НБУ, прогнози, рішення з монетарної політики</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Вплив на інфляційні, процентні та курсові очікування</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Особливо важливий в умовах війни та трансформаційної економіки</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Сприяє закріпленню очікувань поблизу інфляційної цілі</w:t>
            </w:r>
          </w:p>
        </w:tc>
      </w:tr>
    </w:tbl>
    <w:p w:rsidR="00B621C7" w:rsidRDefault="005D53F5">
      <w:pPr>
        <w:ind w:firstLine="0"/>
        <w:jc w:val="left"/>
      </w:pPr>
      <w:r>
        <w:rPr>
          <w:i/>
          <w:iCs/>
          <w:sz w:val="24"/>
          <w:szCs w:val="24"/>
        </w:rPr>
        <w:t>Джерело: складено автором на основі матеріалів НБУ щодо монетарної політики, Інфляцій</w:t>
      </w:r>
      <w:r>
        <w:rPr>
          <w:i/>
          <w:iCs/>
          <w:sz w:val="24"/>
          <w:szCs w:val="24"/>
        </w:rPr>
        <w:t>ного звіту НБУ, Звіту про фінансову стабільність НБУ, Огляду банківського сектору НБУ та матеріалів щодо валютного ринку.</w:t>
      </w:r>
    </w:p>
    <w:p w:rsidR="00B621C7" w:rsidRDefault="005D53F5">
      <w:r>
        <w:lastRenderedPageBreak/>
        <w:t xml:space="preserve">Трансмісійний механізм поєднує інструменти НБУ з кінцевою ціллю цінової стабільності. Його дія не є </w:t>
      </w:r>
      <w:proofErr w:type="spellStart"/>
      <w:r>
        <w:t>одномоментною</w:t>
      </w:r>
      <w:proofErr w:type="spellEnd"/>
      <w:r>
        <w:t>: рішення з монетарно</w:t>
      </w:r>
      <w:r>
        <w:t>ї політики проходять через грошовий ринок, банківські ставки, кредитну активність, валютний курс, очікування та сукупний попит. За оцінкою НБУ, зміна облікової ставки найбільше впливає на інфляцію через 9–18 місяців, тому рішення з монетарної політики мают</w:t>
      </w:r>
      <w:r>
        <w:t>ь прогнозний характер [4].</w:t>
      </w:r>
    </w:p>
    <w:p w:rsidR="00B621C7" w:rsidRDefault="005D53F5">
      <w:r>
        <w:t>Процентний канал забезпечує первинну передачу монетарного сигналу через короткострокові ставки. Кредитний канал відображає реакцію банків і позичальників на зміну вартості ресурсів та кредитних ризиків. Валютний канал пов’язує мо</w:t>
      </w:r>
      <w:r>
        <w:t>нетарну політику з динамікою обмінного курсу, імпортними цінами і валютними очікуваннями. Канал очікувань визначає, наскільки швидко економічні суб’єкти враховують рішення НБУ у власних фінансових планах. Сила трансмісії залежить не лише від якості інструм</w:t>
      </w:r>
      <w:r>
        <w:t>ентів, а й від стану середовища, у якому вони застосовуються. Логіку трансмісійного механізму грошово-кредитної політики НБУ відображено на рис. 1.5.</w:t>
      </w:r>
    </w:p>
    <w:p w:rsidR="00B621C7" w:rsidRDefault="005D53F5">
      <w:pPr>
        <w:ind w:firstLine="0"/>
      </w:pPr>
      <w:r>
        <w:rPr>
          <w:noProof/>
        </w:rPr>
        <w:drawing>
          <wp:inline distT="0" distB="0" distL="0" distR="0">
            <wp:extent cx="5669280" cy="3103245"/>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669280" cy="3103245"/>
                    </a:xfrm>
                    <a:prstGeom prst="rect">
                      <a:avLst/>
                    </a:prstGeom>
                    <a:ln/>
                  </pic:spPr>
                </pic:pic>
              </a:graphicData>
            </a:graphic>
          </wp:inline>
        </w:drawing>
      </w:r>
    </w:p>
    <w:p w:rsidR="00B621C7" w:rsidRDefault="005D53F5">
      <w:pPr>
        <w:spacing w:before="120"/>
        <w:ind w:firstLine="0"/>
        <w:jc w:val="center"/>
      </w:pPr>
      <w:r>
        <w:t>Рис. 1.5. Трансмісійний механізм грошово-кредитної політики НБУ</w:t>
      </w:r>
    </w:p>
    <w:p w:rsidR="00B621C7" w:rsidRDefault="005D53F5">
      <w:pPr>
        <w:ind w:firstLine="0"/>
        <w:jc w:val="left"/>
      </w:pPr>
      <w:r>
        <w:rPr>
          <w:i/>
          <w:iCs/>
          <w:sz w:val="24"/>
          <w:szCs w:val="24"/>
        </w:rPr>
        <w:t xml:space="preserve">Джерело: складено автором на основі матеріалів НБУ щодо монетарної політики, інфляційного </w:t>
      </w:r>
      <w:proofErr w:type="spellStart"/>
      <w:r>
        <w:rPr>
          <w:i/>
          <w:iCs/>
          <w:sz w:val="24"/>
          <w:szCs w:val="24"/>
        </w:rPr>
        <w:t>таргетування</w:t>
      </w:r>
      <w:proofErr w:type="spellEnd"/>
      <w:r>
        <w:rPr>
          <w:i/>
          <w:iCs/>
          <w:sz w:val="24"/>
          <w:szCs w:val="24"/>
        </w:rPr>
        <w:t xml:space="preserve"> та каналів монетарної трансмісії.</w:t>
      </w:r>
    </w:p>
    <w:p w:rsidR="00B621C7" w:rsidRDefault="005D53F5">
      <w:r>
        <w:t>Розгляд інструментарію грошово-кредитної політики показ</w:t>
      </w:r>
      <w:r>
        <w:t xml:space="preserve">ує, що результативність рішень НБУ залежить не лише від формального набору </w:t>
      </w:r>
      <w:r>
        <w:lastRenderedPageBreak/>
        <w:t>інструментів, а й від умов, у яких вони застосовуються. Процентні рішення, операції з ліквідністю, валютні інтервенції та резервні вимоги можуть мати різну силу впливу залежно від с</w:t>
      </w:r>
      <w:r>
        <w:t>тану банківської системи, валютного ринку, очікувань, фіскальної політики та зовнішнього середовища. Це зумовлює перехід до аналізу факторів, що визначають ефективність реалізації грошово-кредитної політики в умовах ринкової трансформації економіки України</w:t>
      </w:r>
      <w:r>
        <w:t>.</w:t>
      </w:r>
    </w:p>
    <w:p w:rsidR="00B621C7" w:rsidRDefault="00B621C7">
      <w:pPr>
        <w:ind w:firstLine="0"/>
      </w:pPr>
    </w:p>
    <w:p w:rsidR="00B621C7" w:rsidRDefault="00B621C7">
      <w:pPr>
        <w:ind w:firstLine="0"/>
      </w:pPr>
    </w:p>
    <w:p w:rsidR="00B621C7" w:rsidRDefault="005D53F5">
      <w:pPr>
        <w:spacing w:before="240" w:after="120"/>
        <w:rPr>
          <w:color w:val="000000"/>
        </w:rPr>
      </w:pPr>
      <w:r>
        <w:t>1.3. Фактори, що визначають ефективність реалізації грошово-кредитної політики</w:t>
      </w:r>
    </w:p>
    <w:p w:rsidR="00B621C7" w:rsidRDefault="00B621C7">
      <w:pPr>
        <w:ind w:firstLine="0"/>
        <w:rPr>
          <w:color w:val="000000"/>
        </w:rPr>
      </w:pPr>
    </w:p>
    <w:p w:rsidR="00B621C7" w:rsidRDefault="005D53F5">
      <w:r>
        <w:t>Ефективність грошово-кредитної політики НБУ визначається не лише наявністю сучасного інструментарію, а й середовищем, у якому цей інструментарій застосовується. Центральний</w:t>
      </w:r>
      <w:r>
        <w:t xml:space="preserve"> банк може встановлювати облікову ставку, регулювати ліквідність, проводити валютні інтервенції та формувати комунікаційну політику, однак сила цих рішень залежить від структури економіки, стану банківської системи, довіри до гривні, очікувань економічних </w:t>
      </w:r>
      <w:r>
        <w:t>суб’єктів, фіскальної політики та зовнішніх шоків.</w:t>
      </w:r>
    </w:p>
    <w:p w:rsidR="00B621C7" w:rsidRDefault="005D53F5">
      <w:pPr>
        <w:rPr>
          <w:color w:val="FF0000"/>
        </w:rPr>
      </w:pPr>
      <w:r>
        <w:t>В умовах ринкової трансформації економіки України монетарна трансмісія функціонує нерівномірно. Частина ринків уже реагує на процентні сигнали НБУ, тоді як окремі сегменти залишаються залежними від адмініс</w:t>
      </w:r>
      <w:r>
        <w:t>тративних рішень, державних програм, валютних очікувань або зовнішнього фінансування. Через це однакове монетарне рішення може мати різну результативність залежно від того, який канал трансмісії є активним у конкретний період.</w:t>
      </w:r>
    </w:p>
    <w:p w:rsidR="00B621C7" w:rsidRDefault="005D53F5">
      <w:r>
        <w:t>Ринкова трансформація економі</w:t>
      </w:r>
      <w:r>
        <w:t xml:space="preserve">ки України створила складне середовище для реалізації монетарної політики. З одного боку, сформовано базові інститути ринкового регулювання: незалежний центральний банк, дворівневу банківську систему, режим інфляційного </w:t>
      </w:r>
      <w:proofErr w:type="spellStart"/>
      <w:r>
        <w:t>таргетування</w:t>
      </w:r>
      <w:proofErr w:type="spellEnd"/>
      <w:r>
        <w:t xml:space="preserve">, механізми операцій на </w:t>
      </w:r>
      <w:r>
        <w:t xml:space="preserve">грошовому ринку та комунікаційну політику НБУ. З іншого боку, фінансовий ринок </w:t>
      </w:r>
      <w:r>
        <w:lastRenderedPageBreak/>
        <w:t>залишається недостатньо глибоким, довіра до довгострокових гривневих інструментів формується повільно, а роль держави в окремих сегментах банківської системи та фінансування еко</w:t>
      </w:r>
      <w:r>
        <w:t>номіки залишається високою.</w:t>
      </w:r>
    </w:p>
    <w:p w:rsidR="00B621C7" w:rsidRDefault="005D53F5">
      <w:r>
        <w:t>Незавершеність трансформаційних процесів проявляється в обмеженій глибині фінансового посередництва. У розвиненій ринковій економіці зміна ключової ставки центрального банку швидко передається через широкий спектр фінансових акт</w:t>
      </w:r>
      <w:r>
        <w:t xml:space="preserve">ивів, ринок капіталу, корпоративний борг, іпотеку й очікування інвесторів. В Україні фінансова система є переважно </w:t>
      </w:r>
      <w:proofErr w:type="spellStart"/>
      <w:r>
        <w:t>банкоцентричною</w:t>
      </w:r>
      <w:proofErr w:type="spellEnd"/>
      <w:r>
        <w:t>, тому ефективність трансмісії значною мірою залежить від поведінки банків. Якщо банки не перетворюють зміну вартості ресурсів</w:t>
      </w:r>
      <w:r>
        <w:t xml:space="preserve"> у зміну кредитної активності, процентний сигнал залишається частково обмеженим.</w:t>
      </w:r>
    </w:p>
    <w:p w:rsidR="00B621C7" w:rsidRDefault="005D53F5">
      <w:r>
        <w:t xml:space="preserve">Структурні </w:t>
      </w:r>
      <w:proofErr w:type="spellStart"/>
      <w:r>
        <w:t>дисбаланси</w:t>
      </w:r>
      <w:proofErr w:type="spellEnd"/>
      <w:r>
        <w:t xml:space="preserve"> економіки послаблюють результативність монетарної політики. Висока імпортна залежність за енергетичними та технологічними товарами, нерівномірність вироб</w:t>
      </w:r>
      <w:r>
        <w:t>ничої структури, логістичні обмеження, воєнні ризики та значна частка бюджетного попиту формують інфляцію, яка не завжди має суто монетарну природу. Підвищення ставки може стримати попит, але не усуває фізичний дефіцит енергоресурсів, руйнування виробничих</w:t>
      </w:r>
      <w:r>
        <w:t xml:space="preserve"> </w:t>
      </w:r>
      <w:proofErr w:type="spellStart"/>
      <w:r>
        <w:t>потужностей</w:t>
      </w:r>
      <w:proofErr w:type="spellEnd"/>
      <w:r>
        <w:t xml:space="preserve"> або зовнішнє подорожчання імпорту. Це обмежує можливість прямого впливу НБУ на частину інфляційних процесів.</w:t>
      </w:r>
    </w:p>
    <w:p w:rsidR="00B621C7" w:rsidRDefault="005D53F5">
      <w:pPr>
        <w:rPr>
          <w:color w:val="FF0000"/>
        </w:rPr>
      </w:pPr>
      <w:r>
        <w:t>Воєнний стан змінив характер монетарного середовища. Рішення НБУ мають одночасно враховувати цінову стабільність, валютний ринок, потр</w:t>
      </w:r>
      <w:r>
        <w:t>еби оборонної економіки, стійкість банківської системи, обсяги міжнародної допомоги та довіру населення до гривні. У таких умовах монетарна політика не може діяти як у стабільній мирній економіці; її результативність залежить від здатності НБУ обмежувати в</w:t>
      </w:r>
      <w:r>
        <w:t>торинні ефекти шоків і запобігати перетворенню тимчасових цінових імпульсів на стійку інфляцію.</w:t>
      </w:r>
    </w:p>
    <w:p w:rsidR="00B621C7" w:rsidRDefault="005D53F5">
      <w:r>
        <w:t>Банківська система є центральною ланкою монетарної трансмісії в Україні. Через банки рішення НБУ щодо процентних ставок, ліквідності, резервних вимог і валютног</w:t>
      </w:r>
      <w:r>
        <w:t xml:space="preserve">о регулювання переходять до підприємств і домогосподарств. Якщо банки швидко реагують на зміну монетарних умов, ефективно управляють </w:t>
      </w:r>
      <w:r>
        <w:lastRenderedPageBreak/>
        <w:t>ліквідністю та кредитують платоспроможних позичальників, трансмісія посилюється. Якщо банківський сектор надмірно ліквідний</w:t>
      </w:r>
      <w:r>
        <w:t xml:space="preserve">, обережний у кредитуванні або зосереджений на </w:t>
      </w:r>
      <w:proofErr w:type="spellStart"/>
      <w:r>
        <w:t>безризикових</w:t>
      </w:r>
      <w:proofErr w:type="spellEnd"/>
      <w:r>
        <w:t xml:space="preserve"> інструментах, кредитний канал послаблюється.</w:t>
      </w:r>
    </w:p>
    <w:p w:rsidR="00B621C7" w:rsidRDefault="005D53F5">
      <w:r>
        <w:t>Концентрація банківського сектору впливає на швидкість перенесення процентного сигналу. У конкурентному середовищі банки активніше змагаються за вкладн</w:t>
      </w:r>
      <w:r>
        <w:t>иків і позичальників, тому зміна ставки швидше відображається у депозитних і кредитних продуктах. За значної ролі великих банків реакція ставок може бути нерівномірною, оскільки банки здатні повільніше переглядати дохідність депозитів або підтримувати вищі</w:t>
      </w:r>
      <w:r>
        <w:t xml:space="preserve"> маржі. Це не заперечує дієвості монетарної політики, але змінює швидкість її проходження до кінцевих клієнтів.</w:t>
      </w:r>
    </w:p>
    <w:p w:rsidR="00B621C7" w:rsidRDefault="005D53F5">
      <w:r>
        <w:t xml:space="preserve">Роль державних банків має подвійний вплив. Вони підтримують фінансову інфраструктуру, обслуговують бюджетні та оборонні потоки, беруть участь у </w:t>
      </w:r>
      <w:r>
        <w:t>державних кредитних програмах і забезпечують стійкість системи у кризових умовах. Водночас їхня кредитна політика може частково визначатися не лише ринковими ставками, а й державними пріоритетами. У результаті кредитний канал стає залежним не тільки від рі</w:t>
      </w:r>
      <w:r>
        <w:t>шень НБУ, а й від узгодженості монетарної та фіскальної політики.</w:t>
      </w:r>
    </w:p>
    <w:p w:rsidR="00B621C7" w:rsidRDefault="005D53F5">
      <w:r>
        <w:t xml:space="preserve">Ліквідність банківської системи безпосередньо впливає на процентний канал. За умов структурного профіциту ліквідності банки менш залежні від міжбанківського </w:t>
      </w:r>
      <w:proofErr w:type="spellStart"/>
      <w:r>
        <w:t>фондування</w:t>
      </w:r>
      <w:proofErr w:type="spellEnd"/>
      <w:r>
        <w:t xml:space="preserve">, а надлишкові ресурси </w:t>
      </w:r>
      <w:r>
        <w:t>можуть розміщуватися в депозитні сертифікати або державні цінні папери. Така ситуація підтримує фінансову стійкість, але не гарантує активізації кредитування. Наявність ліквідності є необхідною, але недостатньою умовою роботи кредитного каналу, оскільки ба</w:t>
      </w:r>
      <w:r>
        <w:t>нки оцінюють не лише вартість ресурсу, а й ризики позичальників. Вплив характеристик банківської системи на ефективність монетарної трансмісії узагальнено в табл. 1.6.</w:t>
      </w:r>
    </w:p>
    <w:p w:rsidR="00B621C7" w:rsidRDefault="005D53F5">
      <w:pPr>
        <w:spacing w:before="120"/>
        <w:ind w:firstLine="0"/>
        <w:jc w:val="right"/>
        <w:rPr>
          <w:sz w:val="32"/>
          <w:szCs w:val="32"/>
        </w:rPr>
      </w:pPr>
      <w:r>
        <w:t>Таблиця 1.6</w:t>
      </w:r>
    </w:p>
    <w:p w:rsidR="00B621C7" w:rsidRDefault="005D53F5">
      <w:r>
        <w:t>Вплив характеристик банківської системи на ефективність монетарної трансмісі</w:t>
      </w:r>
      <w:r>
        <w:t>ї</w:t>
      </w:r>
    </w:p>
    <w:tbl>
      <w:tblPr>
        <w:tblStyle w:val="ab"/>
        <w:tblW w:w="9975" w:type="dxa"/>
        <w:jc w:val="center"/>
        <w:tblInd w:w="0" w:type="dxa"/>
        <w:tblLayout w:type="fixed"/>
        <w:tblLook w:val="0400" w:firstRow="0" w:lastRow="0" w:firstColumn="0" w:lastColumn="0" w:noHBand="0" w:noVBand="1"/>
      </w:tblPr>
      <w:tblGrid>
        <w:gridCol w:w="1995"/>
        <w:gridCol w:w="1995"/>
        <w:gridCol w:w="1995"/>
        <w:gridCol w:w="1995"/>
        <w:gridCol w:w="1995"/>
      </w:tblGrid>
      <w:tr w:rsidR="00B621C7">
        <w:trPr>
          <w:tblHeade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lastRenderedPageBreak/>
              <w:t>Характеристика</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Зміст</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Канал трансмісії</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Напрям впливу</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Аналітичний висновок для України</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Концентрація сектору</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Зосередження активів і депозитів у великих банках</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Процентний, кредитний</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Може уповільнювати перенесення ставки на клієнтські продукти</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Стійкість системи зростає, але конкуренція за ставки може бути слабшою</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Роль державних банків</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Поєднання комерційних, стабілізаційних і соціальних функцій</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Кредитний, очікувань</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Підтримує систему в кризу, але змінює ринкову реакцію кредитування</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Трансмісія залежить від узгодженості з державною фінансовою політикою</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Профіцит ліквідності</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Значний обсяг вільних коштів банківської системи</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Процентний, валютний</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 xml:space="preserve">Підтримує стійкість, але зменшує потребу в ринковому </w:t>
            </w:r>
            <w:proofErr w:type="spellStart"/>
            <w:r>
              <w:rPr>
                <w:sz w:val="20"/>
                <w:szCs w:val="20"/>
              </w:rPr>
              <w:t>фондуванні</w:t>
            </w:r>
            <w:proofErr w:type="spellEnd"/>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Зростає роль депозитних сертиф</w:t>
            </w:r>
            <w:r>
              <w:rPr>
                <w:sz w:val="20"/>
                <w:szCs w:val="20"/>
              </w:rPr>
              <w:t>ікатів і резервних вимог</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Кредитна активність</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Готовність банків кредитувати платоспроможних позичальників</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Кредитний</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Визначає практичне проходження політики до реального сектору</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Воєнні ризики послаблюють реакцію кредитування на зміну ставки</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Якість активів</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Проблемні кредити, резервування, капіталізація</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Кредитний</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Проблемні активи обмежують нове кредитування</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Очищення балансів є передумовою посилення кредитного каналу</w:t>
            </w:r>
          </w:p>
        </w:tc>
      </w:tr>
    </w:tbl>
    <w:p w:rsidR="00B621C7" w:rsidRDefault="005D53F5">
      <w:pPr>
        <w:ind w:firstLine="0"/>
        <w:jc w:val="left"/>
        <w:rPr>
          <w:color w:val="FF0000"/>
        </w:rPr>
      </w:pPr>
      <w:r>
        <w:rPr>
          <w:i/>
          <w:iCs/>
          <w:sz w:val="24"/>
          <w:szCs w:val="24"/>
        </w:rPr>
        <w:t>Джерело: складено автором на основі матеріалів НБУ щодо монетарної політики, Інфляційного звіту НБУ, Звіту про фінансову стабільність НБУ, Огляду банківського сектору НБУ та матеріалів щодо валютного ринку.</w:t>
      </w:r>
    </w:p>
    <w:p w:rsidR="00B621C7" w:rsidRDefault="005D53F5">
      <w:r>
        <w:t xml:space="preserve">Валютний ринок є одним із </w:t>
      </w:r>
      <w:proofErr w:type="spellStart"/>
      <w:r>
        <w:t>найчутливіших</w:t>
      </w:r>
      <w:proofErr w:type="spellEnd"/>
      <w:r>
        <w:t xml:space="preserve"> елементів</w:t>
      </w:r>
      <w:r>
        <w:t xml:space="preserve"> української монетарної системи. Для економіки з історично високою роллю іноземної валюти обмінний курс виконує не лише функцію ціни зовнішньої торгівлі, а й функцію психологічного індикатора макрофінансової стабільності. Населення, бізнес і банки часто оц</w:t>
      </w:r>
      <w:r>
        <w:t>інюють стан економіки через динаміку курсу гривні, тому валютні коливання швидко впливають на очікування, заощадження, ціноутворення та попит на імпорт.</w:t>
      </w:r>
    </w:p>
    <w:p w:rsidR="00B621C7" w:rsidRDefault="005D53F5">
      <w:r>
        <w:t>Доларизація послаблює класичну процентну трансмісію. Якщо значна частина заощаджень, цінових орієнтирів</w:t>
      </w:r>
      <w:r>
        <w:t xml:space="preserve"> або боргових зобов’язань прив’язана до іноземної валюти, зміна гривневої ставки впливає на поведінку суб’єктів неповною мірою. За високої довіри до гривні підвищення ставки стимулює заощадження в національній валюті. За нестійких курсових очікувань частин</w:t>
      </w:r>
      <w:r>
        <w:t>а населення і бізнесу реагує не на процентний сигнал, а на очікувану девальвацію.</w:t>
      </w:r>
    </w:p>
    <w:p w:rsidR="00B621C7" w:rsidRDefault="005D53F5">
      <w:r>
        <w:lastRenderedPageBreak/>
        <w:t xml:space="preserve">Керована гнучкість обмінного курсу дозволяє поєднати ринкове курсоутворення з контролем над надмірною </w:t>
      </w:r>
      <w:proofErr w:type="spellStart"/>
      <w:r>
        <w:t>волатильністю</w:t>
      </w:r>
      <w:proofErr w:type="spellEnd"/>
      <w:r>
        <w:t>. НБУ не повертається до жорсткої фіксації курсу, але викор</w:t>
      </w:r>
      <w:r>
        <w:t>истовує валютні інтервенції для згладжування різких коливань і підтримання функціонування валютного ринку [7]. Такий підхід зменшує ризик перенесення курсових шоків в інфляційні очікування та підтримує довіру до гривні. Взаємозв’язок валютного каналу та ін</w:t>
      </w:r>
      <w:r>
        <w:t>фляційних очікувань подано на рис. 1.6.</w:t>
      </w:r>
    </w:p>
    <w:p w:rsidR="00B621C7" w:rsidRDefault="005D53F5">
      <w:pPr>
        <w:ind w:firstLine="0"/>
      </w:pPr>
      <w:r>
        <w:rPr>
          <w:noProof/>
        </w:rPr>
        <w:drawing>
          <wp:inline distT="0" distB="0" distL="0" distR="0">
            <wp:extent cx="5669280" cy="372364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669280" cy="3723640"/>
                    </a:xfrm>
                    <a:prstGeom prst="rect">
                      <a:avLst/>
                    </a:prstGeom>
                    <a:ln/>
                  </pic:spPr>
                </pic:pic>
              </a:graphicData>
            </a:graphic>
          </wp:inline>
        </w:drawing>
      </w:r>
    </w:p>
    <w:p w:rsidR="00B621C7" w:rsidRDefault="005D53F5">
      <w:pPr>
        <w:spacing w:before="120"/>
        <w:ind w:firstLine="0"/>
        <w:jc w:val="center"/>
      </w:pPr>
      <w:r>
        <w:t>Рис. 1.6. Взаємозв’язок валютного каналу та інфляційних очікувань</w:t>
      </w:r>
    </w:p>
    <w:p w:rsidR="00B621C7" w:rsidRDefault="005D53F5">
      <w:pPr>
        <w:ind w:firstLine="0"/>
        <w:jc w:val="left"/>
      </w:pPr>
      <w:r>
        <w:rPr>
          <w:i/>
          <w:iCs/>
          <w:sz w:val="24"/>
          <w:szCs w:val="24"/>
        </w:rPr>
        <w:t>Джерело: складено автором на основі матеріалів НБУ щодо валютного ринку, керованої гнучкості валютного курсу та інфляційних очікувань.</w:t>
      </w:r>
    </w:p>
    <w:p w:rsidR="00B621C7" w:rsidRDefault="00B621C7">
      <w:pPr>
        <w:ind w:firstLine="0"/>
      </w:pPr>
    </w:p>
    <w:p w:rsidR="00B621C7" w:rsidRDefault="005D53F5">
      <w:r>
        <w:t>Ефективність</w:t>
      </w:r>
      <w:r>
        <w:t xml:space="preserve"> грошово-кредитної політики залежить від фіскального середовища. Центральний банк може контролювати короткострокові процентні ставки, регулювати ліквідність і впливати на очікування, але бюджетна політика формує значну частину сукупного попиту, державних з</w:t>
      </w:r>
      <w:r>
        <w:t xml:space="preserve">апозичень і макрофінансових ризиків. Якщо фіскальна політика узгоджена з монетарною, вона підтримує цінову стабільність. Якщо бюджетний дефіцит фінансується </w:t>
      </w:r>
      <w:r>
        <w:lastRenderedPageBreak/>
        <w:t>способами, що створюють додатковий грошовий тиск, ефективність ГКП знижується.</w:t>
      </w:r>
    </w:p>
    <w:p w:rsidR="00B621C7" w:rsidRDefault="005D53F5">
      <w:r>
        <w:t>Державний борг вплив</w:t>
      </w:r>
      <w:r>
        <w:t>ає на монетарну політику через зв’язок між процентною ставкою та вартістю обслуговування запозичень. Підвищення ставки може бути необхідним для стримування інфляції, але водночас здатне збільшувати витрати бюджету на внутрішні запозичення. За високого борг</w:t>
      </w:r>
      <w:r>
        <w:t>ового навантаження виникає ризик фіскального домінування, коли потреби бюджету створюють тиск на центральний банк щодо утримання ставок нижче рівня, сумісного з ціновою стабільністю.</w:t>
      </w:r>
    </w:p>
    <w:p w:rsidR="00B621C7" w:rsidRDefault="005D53F5">
      <w:r>
        <w:t>Міжнародна допомога є специфічним чинником української монетарної політик</w:t>
      </w:r>
      <w:r>
        <w:t>и воєнного періоду. Вона підтримує бюджет, міжнародні резерви, валютний ринок і довіру до макрофінансової стійкості держави. Неритмічність зовнішнього фінансування, навпаки, може створювати тимчасовий тиск на валютний ринок та бюджетну ліквідність. Зовнішн</w:t>
      </w:r>
      <w:r>
        <w:t>і цінові й енергетичні шоки також обмежують дієвість процентної політики, оскільки підвищення ставки не усуває першопричину інфляції витрат, але може стримувати вторинні ефекти через очікування та валютний канал. Фіскальні та зовнішні фактори впливу на ефе</w:t>
      </w:r>
      <w:r>
        <w:t>ктивність ГКП систематизовано в табл. 1.7.</w:t>
      </w:r>
    </w:p>
    <w:p w:rsidR="00B621C7" w:rsidRDefault="005D53F5">
      <w:pPr>
        <w:spacing w:before="120"/>
        <w:ind w:firstLine="0"/>
        <w:jc w:val="right"/>
        <w:rPr>
          <w:sz w:val="32"/>
          <w:szCs w:val="32"/>
        </w:rPr>
      </w:pPr>
      <w:r>
        <w:t>Таблиця 1.7</w:t>
      </w:r>
    </w:p>
    <w:p w:rsidR="00B621C7" w:rsidRDefault="005D53F5">
      <w:r>
        <w:t>Фіскальні та зовнішні фактори впливу на ефективність ГКП</w:t>
      </w:r>
    </w:p>
    <w:tbl>
      <w:tblPr>
        <w:tblStyle w:val="ac"/>
        <w:tblW w:w="9975" w:type="dxa"/>
        <w:jc w:val="center"/>
        <w:tblInd w:w="0" w:type="dxa"/>
        <w:tblLayout w:type="fixed"/>
        <w:tblLook w:val="0400" w:firstRow="0" w:lastRow="0" w:firstColumn="0" w:lastColumn="0" w:noHBand="0" w:noVBand="1"/>
      </w:tblPr>
      <w:tblGrid>
        <w:gridCol w:w="1995"/>
        <w:gridCol w:w="1995"/>
        <w:gridCol w:w="1995"/>
        <w:gridCol w:w="1995"/>
        <w:gridCol w:w="1995"/>
      </w:tblGrid>
      <w:tr w:rsidR="00B621C7">
        <w:trPr>
          <w:tblHeade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Фактор</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Механізм впливу</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Канал трансмісії</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Ризик для цінової стабільності</w:t>
            </w:r>
          </w:p>
        </w:tc>
        <w:tc>
          <w:tcPr>
            <w:tcW w:w="1995"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pPr>
            <w:r>
              <w:rPr>
                <w:b/>
                <w:bCs/>
                <w:sz w:val="20"/>
                <w:szCs w:val="20"/>
              </w:rPr>
              <w:t>Умова посилення ефективності НБУ</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Бюджетний дефіцит</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Формує державний попит і потребу у фінансуванні</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Процентний, очікувань</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Може посилювати інфляційний тиск</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Прогнозоване фінансування без емісійного тиску</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Державний борг</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Впливає на дохідність ОВДП і вартість обслуговування боргу</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Процентний, банківський</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Ризик фіскального домінування</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Збереження незалежності НБУ та узгоджена боргова політика</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Міжнародна допомога</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Підтримує бюджет, резерви й валютний ринок</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Валютний, очікувань</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Н</w:t>
            </w:r>
            <w:r>
              <w:rPr>
                <w:sz w:val="20"/>
                <w:szCs w:val="20"/>
              </w:rPr>
              <w:t>еритмічність надходжень посилює невизначеність</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Достатність і регулярність зовнішнього фінансування</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Зовнішні цінові шоки</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 xml:space="preserve">Змінюють вартість імпорту, </w:t>
            </w:r>
            <w:r>
              <w:rPr>
                <w:sz w:val="20"/>
                <w:szCs w:val="20"/>
              </w:rPr>
              <w:lastRenderedPageBreak/>
              <w:t>енергоносіїв і сировини</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lastRenderedPageBreak/>
              <w:t>Валютний, очікувань</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Імпортована інфляція</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 xml:space="preserve">Реакція НБУ на вторинні ефекти, а </w:t>
            </w:r>
            <w:r>
              <w:rPr>
                <w:sz w:val="20"/>
                <w:szCs w:val="20"/>
              </w:rPr>
              <w:lastRenderedPageBreak/>
              <w:t>не механі</w:t>
            </w:r>
            <w:r>
              <w:rPr>
                <w:sz w:val="20"/>
                <w:szCs w:val="20"/>
              </w:rPr>
              <w:t>чне придушення шоку</w:t>
            </w:r>
          </w:p>
        </w:tc>
      </w:tr>
      <w:tr w:rsidR="00B621C7">
        <w:trPr>
          <w:jc w:val="center"/>
        </w:trPr>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lastRenderedPageBreak/>
              <w:t>Енергетичні ризики</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Підвищують витрати підприємств і обмежують пропозицію</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Канал витрат, очікувань</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Поєднання інфляції витрат і слабшої активності</w:t>
            </w:r>
          </w:p>
        </w:tc>
        <w:tc>
          <w:tcPr>
            <w:tcW w:w="19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Координація монетарної, енергетичної та бюджетної політики</w:t>
            </w:r>
          </w:p>
        </w:tc>
      </w:tr>
    </w:tbl>
    <w:p w:rsidR="00B621C7" w:rsidRDefault="005D53F5">
      <w:pPr>
        <w:ind w:firstLine="0"/>
        <w:jc w:val="left"/>
        <w:rPr>
          <w:color w:val="FF0000"/>
        </w:rPr>
      </w:pPr>
      <w:r>
        <w:rPr>
          <w:i/>
          <w:iCs/>
          <w:sz w:val="24"/>
          <w:szCs w:val="24"/>
        </w:rPr>
        <w:t>Джерело: складено автором на основі матеріалів НБУ щодо монетарної політики, Інфляційного звіту НБУ, Звіту про фінансову стабільність НБУ, Огляду банківського сектору НБУ та матеріалів щодо валютн</w:t>
      </w:r>
      <w:r>
        <w:rPr>
          <w:i/>
          <w:iCs/>
          <w:sz w:val="24"/>
          <w:szCs w:val="24"/>
        </w:rPr>
        <w:t>ого ринку.</w:t>
      </w:r>
    </w:p>
    <w:p w:rsidR="00B621C7" w:rsidRDefault="005D53F5">
      <w:r>
        <w:t>Систематизація розглянутих факторів дозволяє уявити ефективність грошово-кредитної політики НБУ як продукт взаємодії чотирьох рівнів. Перший - операційний дизайн НБУ, який охоплює процентні інструменти, UONIA, операції з ліквідністю, резервні ви</w:t>
      </w:r>
      <w:r>
        <w:t>моги та валютні інтервенції. Другий - банківська система, через яку рішення центрального банку доходять до підприємств і домогосподарств. Третій - валютний ринок і очікування, що визначають довіру до гривні та силу валютного каналу. Четвертий - фіскальне й</w:t>
      </w:r>
      <w:r>
        <w:t xml:space="preserve"> зовнішньоекономічне середовище, яке формує бюджетні, боргові та </w:t>
      </w:r>
      <w:proofErr w:type="spellStart"/>
      <w:r>
        <w:t>зовнішньошокові</w:t>
      </w:r>
      <w:proofErr w:type="spellEnd"/>
      <w:r>
        <w:t xml:space="preserve"> умови реалізації монетарної політики. Розширену систему факторів ефективності ГКП НБУ відображено на рис. 1.7.</w:t>
      </w:r>
    </w:p>
    <w:p w:rsidR="00B621C7" w:rsidRDefault="005D53F5">
      <w:r>
        <w:t>Інтегральна модель засвідчує: НБУ ніколи не діє у вакуумі. Навіт</w:t>
      </w:r>
      <w:r>
        <w:t xml:space="preserve">ь точно відкалібрований процентний сигнал може виявитися </w:t>
      </w:r>
      <w:proofErr w:type="spellStart"/>
      <w:r>
        <w:t>малодієвим</w:t>
      </w:r>
      <w:proofErr w:type="spellEnd"/>
      <w:r>
        <w:t xml:space="preserve">, якщо банки утримуються від кредитування, валютні очікування залишаються нестабільними, бюджетний дефіцит підживлює надлишковий попит, а зовнішні шоки </w:t>
      </w:r>
      <w:proofErr w:type="spellStart"/>
      <w:r>
        <w:t>здорожчують</w:t>
      </w:r>
      <w:proofErr w:type="spellEnd"/>
      <w:r>
        <w:t xml:space="preserve"> виробничі витрати. Разом </w:t>
      </w:r>
      <w:r>
        <w:t>із тим несприятливі умови не позбавляють монетарну політику важелів впливу: послідовність рішень, керованість короткострокових ставок, достатність міжнародних резервів, прозора комунікація та координація з фіскальною політикою знижують вторинні ефекти шокі</w:t>
      </w:r>
      <w:r>
        <w:t>в.</w:t>
      </w:r>
    </w:p>
    <w:p w:rsidR="00B621C7" w:rsidRDefault="005D53F5">
      <w:pPr>
        <w:ind w:firstLine="0"/>
      </w:pPr>
      <w:r>
        <w:rPr>
          <w:noProof/>
        </w:rPr>
        <w:lastRenderedPageBreak/>
        <w:drawing>
          <wp:inline distT="0" distB="0" distL="0" distR="0">
            <wp:extent cx="5669280" cy="354647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669280" cy="3546475"/>
                    </a:xfrm>
                    <a:prstGeom prst="rect">
                      <a:avLst/>
                    </a:prstGeom>
                    <a:ln/>
                  </pic:spPr>
                </pic:pic>
              </a:graphicData>
            </a:graphic>
          </wp:inline>
        </w:drawing>
      </w:r>
    </w:p>
    <w:p w:rsidR="00B621C7" w:rsidRDefault="005D53F5">
      <w:pPr>
        <w:spacing w:before="120"/>
        <w:ind w:firstLine="0"/>
        <w:jc w:val="center"/>
        <w:rPr>
          <w:sz w:val="32"/>
          <w:szCs w:val="32"/>
        </w:rPr>
      </w:pPr>
      <w:r>
        <w:t>Рис. 1.7. Система факторів ефективності грошово-кредитної політики НБУ</w:t>
      </w:r>
    </w:p>
    <w:p w:rsidR="00B621C7" w:rsidRDefault="005D53F5">
      <w:pPr>
        <w:ind w:firstLine="0"/>
        <w:jc w:val="left"/>
      </w:pPr>
      <w:r>
        <w:rPr>
          <w:i/>
          <w:iCs/>
          <w:sz w:val="24"/>
          <w:szCs w:val="24"/>
        </w:rPr>
        <w:t>Джерело: складено автором на основі узагальнення матеріалів НБУ щодо монетарної політики, фінансової стабільності, банківського сектору, валютного ринку та інфляційного прогнозу.</w:t>
      </w:r>
    </w:p>
    <w:p w:rsidR="00B621C7" w:rsidRDefault="005D53F5">
      <w:r>
        <w:t>Е</w:t>
      </w:r>
      <w:r>
        <w:t xml:space="preserve">фективність грошово-кредитної політики НБУ в умовах ринкової трансформації залежить не лише від переліку доступних інструментів, а й від середовища, в якому вони застосовуються. Інституційне становлення центрального банку, запровадження інфляційного </w:t>
      </w:r>
      <w:proofErr w:type="spellStart"/>
      <w:r>
        <w:t>таргет</w:t>
      </w:r>
      <w:r>
        <w:t>ування</w:t>
      </w:r>
      <w:proofErr w:type="spellEnd"/>
      <w:r>
        <w:t xml:space="preserve">, вдосконалення операційного дизайну та посилення комунікаційного виміру утворили базу для сучасного монетарного регулювання. Водночас незавершеність трансформаційних процесів, умови воєнного стану, структурні </w:t>
      </w:r>
      <w:proofErr w:type="spellStart"/>
      <w:r>
        <w:t>дисбаланси</w:t>
      </w:r>
      <w:proofErr w:type="spellEnd"/>
      <w:r>
        <w:t xml:space="preserve"> та підвищена чутливість еконо</w:t>
      </w:r>
      <w:r>
        <w:t>міки до динаміки обмінного курсу стримують швидкість і повноту трансмісії.</w:t>
      </w:r>
    </w:p>
    <w:p w:rsidR="00B621C7" w:rsidRDefault="005D53F5">
      <w:r>
        <w:t>Банківська система є центральним каналом, через який монетарні рішення НБУ надходять до реального сектору [17]. Стійкість, ліквідність та достатня капіталізація банків підтримують ф</w:t>
      </w:r>
      <w:r>
        <w:t xml:space="preserve">інансову стабільність, однак значна присутність державних банків, структурний профіцит ліквідності, обережна кредитна поведінка та непрацюючі активи здатні ослаблювати кредитний канал. </w:t>
      </w:r>
      <w:r>
        <w:lastRenderedPageBreak/>
        <w:t>Підвищення ефективності ГКП тому потребує не лише точніших монетарних р</w:t>
      </w:r>
      <w:r>
        <w:t>ішень, а й поліпшення якості банківських балансів, поглиблення конкуренції та зниження рівня кредитного ризику.</w:t>
      </w:r>
    </w:p>
    <w:p w:rsidR="00B621C7" w:rsidRDefault="005D53F5">
      <w:r>
        <w:t>Валютний ринок і доларизація мають системне значення для монетарної політики в Україні [11]. Обмінний курс справляє безпосередній вплив на імпор</w:t>
      </w:r>
      <w:r>
        <w:t xml:space="preserve">тні ціни, структуру заощаджень, ринкові очікування та поведінку бізнесу. Режим керованої гнучкості курсу дає змогу поєднати ринкову реакцію на зміну умов зі згладжуванням надмірної </w:t>
      </w:r>
      <w:proofErr w:type="spellStart"/>
      <w:r>
        <w:t>волатильності</w:t>
      </w:r>
      <w:proofErr w:type="spellEnd"/>
      <w:r>
        <w:t>, що обмежує ризик переносу курсових шоків в інфляційні очікув</w:t>
      </w:r>
      <w:r>
        <w:t>ання.</w:t>
      </w:r>
    </w:p>
    <w:p w:rsidR="00B621C7" w:rsidRDefault="005D53F5">
      <w:r>
        <w:t>Фіскальна політика, потоки міжнародної допомоги та зовнішні шоки задають межі результативності НБУ. Бюджетний дефіцит і державний борг здатні посилювати інфляційний тиск та збільшувати ймовірність фіскального домінування, тоді як регулярна зовнішня ф</w:t>
      </w:r>
      <w:r>
        <w:t>інансова підтримка зміцнює резерви, стабілізує валютний ринок і підтримує довіру до монетарної політики. Енергетичні й зовнішні цінові шоки звужують простір для процентної політики, але не скасовують функції НБУ у приглушенні вторинних інфляційних ефектів.</w:t>
      </w:r>
    </w:p>
    <w:p w:rsidR="00B621C7" w:rsidRDefault="005D53F5">
      <w:r>
        <w:t>Проведений аналіз підтверджує, що сучасна грошово-кредитна політика України є багатоканальною. Облікова ставка, UONIA, операції з ліквідністю, валютні інтервенції, міжнародні резерви як ресурсна база для таких інтервенцій, стан банківського сектору і очіку</w:t>
      </w:r>
      <w:r>
        <w:t>вання учасників ринку утворюють єдину систему впливу, орієнтовану на досягнення цінової стабільності. Подальший хід дослідження переходить до емпіричного аналізу того, як ці механізми функціонували в конкретних макроекономічних умовах останніх років.</w:t>
      </w:r>
    </w:p>
    <w:p w:rsidR="00B621C7" w:rsidRDefault="005D53F5">
      <w:pPr>
        <w:pStyle w:val="2"/>
        <w:ind w:firstLine="709"/>
      </w:pPr>
      <w:r>
        <w:t>Висно</w:t>
      </w:r>
      <w:r>
        <w:t>вки до Розділу 1</w:t>
      </w:r>
    </w:p>
    <w:p w:rsidR="00B621C7" w:rsidRDefault="005D53F5">
      <w:r>
        <w:t>Перший розділ заклав теоретико-методологічну основу для дослідження грошово-кредитної політики НБУ в умовах ринкової трансформації української економіки. ГКП постає тут як система рішень центрального банку, підпорядкована ціновій стабільно</w:t>
      </w:r>
      <w:r>
        <w:t xml:space="preserve">сті, — вона впливає на вартість грошей, банківську ліквідність, валютний ринок, кредитування та очікування економічних суб’єктів. В Україні ця система визрівала довго, крок за кроком </w:t>
      </w:r>
      <w:r>
        <w:lastRenderedPageBreak/>
        <w:t>відходячи від адміністративних механізмів до ринкового монетарного регулю</w:t>
      </w:r>
      <w:r>
        <w:t>вання.</w:t>
      </w:r>
    </w:p>
    <w:p w:rsidR="00B621C7" w:rsidRDefault="005D53F5">
      <w:r>
        <w:t>Розгляд цілей вивів на перший план цінову стабільність як серцевину мандата НБУ. Поряд із нею стоять фінансова стабільність і підтримка економічного курсу уряду — щоправда, лише доти, доки вони не суперечать пріоритетній цілі. Така ієрархія цілком в</w:t>
      </w:r>
      <w:r>
        <w:t>кладається в логіку сучасного центрального банкінгу й окреслює межі, у яких НБУ поєднує боротьбу з інфляцією з турботою про стійкість банківської системи.</w:t>
      </w:r>
    </w:p>
    <w:p w:rsidR="00B621C7" w:rsidRDefault="005D53F5">
      <w:r>
        <w:t>Інструментарій НБУ постав як функціональна система: процентні інструменти, регулювання ліквідності, о</w:t>
      </w:r>
      <w:r>
        <w:t>бов’язкові резерви та валютні інтервенції. Окремо варто застерегти щодо міжнародних резервів — у вузькому операційному сенсі вони не є інструментом монетарної політики, а радше слугують ресурсною базою валютних інтервенцій і свідченням спроможності НБУ втр</w:t>
      </w:r>
      <w:r>
        <w:t>имати валютний ринок. Операційний дизайн після модернізації 2023 р. описано через систему нижньої межі та роль UONIA — індикатора короткострокової вартості гривневих ресурсів.</w:t>
      </w:r>
    </w:p>
    <w:p w:rsidR="00B621C7" w:rsidRDefault="005D53F5">
      <w:r>
        <w:t>Ефективність грошово-кредитної політики, як з’ясувалося, нерозривна із середовищ</w:t>
      </w:r>
      <w:r>
        <w:t>ем її реалізації. Силу й швидкість монетарної трансмісії задають стан банківської системи, валютний ринок, доларизація, інфляційні очікування, фіскальна політика, міжнародна допомога та зовнішні шоки. У трансформаційній економіці ці чинники грають у обидва</w:t>
      </w:r>
      <w:r>
        <w:t xml:space="preserve"> боки — одні й ті самі обставини здатні і підсилити, і знесилити дію інструментів НБУ.</w:t>
      </w:r>
    </w:p>
    <w:p w:rsidR="00B621C7" w:rsidRDefault="005D53F5">
      <w:r>
        <w:t>Теоретичний доробок першого розділу слугує містком до другого, де практичну реалізацію політики НБУ перевірено емпірично. Подальший аналіз простежує динаміку облікової с</w:t>
      </w:r>
      <w:r>
        <w:t>тавки, інфляції, валютного ринку, банківської ліквідності, кредитної активності та міжнародних резервів — щоб побачити, наскільки реально інструменти НБУ працювали на цінову стабільність у нинішніх умовах.</w:t>
      </w:r>
    </w:p>
    <w:p w:rsidR="00B621C7" w:rsidRDefault="005D53F5">
      <w:pPr>
        <w:ind w:firstLine="0"/>
      </w:pPr>
      <w:r>
        <w:br/>
      </w:r>
      <w:r>
        <w:br w:type="page"/>
      </w:r>
    </w:p>
    <w:p w:rsidR="00B621C7" w:rsidRDefault="005D53F5">
      <w:pPr>
        <w:spacing w:after="240"/>
        <w:ind w:firstLine="0"/>
        <w:jc w:val="center"/>
        <w:rPr>
          <w:b/>
          <w:bCs/>
        </w:rPr>
      </w:pPr>
      <w:r>
        <w:rPr>
          <w:b/>
          <w:bCs/>
        </w:rPr>
        <w:lastRenderedPageBreak/>
        <w:t>РОЗДІЛ 2. ОЦІНКА ВПЛИВУ ГРОШОВО-КРЕДИТНОЇ ПОЛІТИКИ НБУ НА БАНКІВСЬКУ СИСТЕМУ ТА АТ «ОЩАДБАНК»</w:t>
      </w:r>
    </w:p>
    <w:p w:rsidR="00B621C7" w:rsidRDefault="00B621C7">
      <w:pPr>
        <w:spacing w:after="240"/>
        <w:ind w:firstLine="0"/>
        <w:jc w:val="center"/>
      </w:pPr>
    </w:p>
    <w:p w:rsidR="00B621C7" w:rsidRDefault="005D53F5">
      <w:pPr>
        <w:keepNext/>
        <w:spacing w:before="240" w:after="120"/>
      </w:pPr>
      <w:r>
        <w:t>2.1. Макроекономічні та інституційні умови реалізації грошово-кредитної політики НБУ у 2022–2025 роках</w:t>
      </w:r>
    </w:p>
    <w:p w:rsidR="00B621C7" w:rsidRDefault="00B621C7"/>
    <w:p w:rsidR="00B621C7" w:rsidRDefault="005D53F5">
      <w:r>
        <w:t>Грошово-кредитна політика НБУ у 2022–2025 роках реалізову</w:t>
      </w:r>
      <w:r>
        <w:t xml:space="preserve">валася в умовах воєнного шоку, зміни валютного режиму, різкої інфляційної </w:t>
      </w:r>
      <w:proofErr w:type="spellStart"/>
      <w:r>
        <w:t>волатильності</w:t>
      </w:r>
      <w:proofErr w:type="spellEnd"/>
      <w:r>
        <w:t>, структурного надлишку ліквідності в банківській системі та значної ролі бюджетного фінансування. За таких обставин передача рішень центрального банку до банківського с</w:t>
      </w:r>
      <w:r>
        <w:t>ектору набувала опосередкованого й нерівномірного характеру. Вплив монетарних рішень складався через поєднання процентного каналу, обмежень валютно-курсового режиму, очікувань економічних агентів, ліквідної позиції банків та кредитного ризику.</w:t>
      </w:r>
    </w:p>
    <w:p w:rsidR="00B621C7" w:rsidRDefault="005D53F5">
      <w:r>
        <w:t>Початок повн</w:t>
      </w:r>
      <w:r>
        <w:t xml:space="preserve">омасштабного вторгнення кардинально змінив умови монетарної політики. НБУ опинився перед необхідністю поєднати завдання цінової стабільності з підтриманням фінансової стійкості, безперервності платіжної системи та керованості валютного ринку. У цей період </w:t>
      </w:r>
      <w:r>
        <w:t>ринкові трансмісійні механізми були частково заблоковані, адже поведінку домогосподарств, бізнесу та банків визначали не лише процентні сигнали, а й безпекові ризики, девальваційні очікування, валютні обмеження та нагальна потреба зберігати ліквідність.</w:t>
      </w:r>
    </w:p>
    <w:p w:rsidR="00B621C7" w:rsidRDefault="005D53F5">
      <w:r>
        <w:t xml:space="preserve">У </w:t>
      </w:r>
      <w:r>
        <w:t xml:space="preserve">2022 році НБУ поєднував жорстку процентну позицію з валютними обмеженнями та фіксацією офіційного курсу [24]. Ця комбінація інструментів стала реакцією на інфляційний тиск, погіршення очікувань і необхідність стабілізувати валютний ринок. Водночас значний </w:t>
      </w:r>
      <w:r>
        <w:t>профіцит ліквідності в банківській системі стримував повноту передачі облікової ставки до депозитних і кредитних ставок. Маючи достатній обсяг високоліквідних ресурсів, банки не відчували потреби різко підвищувати депозитні ставки.</w:t>
      </w:r>
    </w:p>
    <w:p w:rsidR="00B621C7" w:rsidRDefault="005D53F5">
      <w:r>
        <w:lastRenderedPageBreak/>
        <w:t>У 2023 році монетарне се</w:t>
      </w:r>
      <w:r>
        <w:t>редовище поступово змінювалось. Ослаблення інфляційного тиску, стабілізація валютного ринку, надходження міжнародної фінансової допомоги та поступова адаптація банківської системи створили передумови для переходу до гнучкішої операційної конфігурації. Післ</w:t>
      </w:r>
      <w:r>
        <w:t>я зміни операційного дизайну НБУ у жовтні 2023 р. короткострокові ставки грошового ринку стали тісніше прив’язаними до облікової ставки. Це посилило операційну керованість процентного каналу, однак структурні обмеження депозитної та кредитної трансмісії зб</w:t>
      </w:r>
      <w:r>
        <w:t>ереглись.</w:t>
      </w:r>
    </w:p>
    <w:p w:rsidR="00B621C7" w:rsidRDefault="005D53F5">
      <w:r>
        <w:t>У 2024 році грошово-кредитна політика реалізовувалась в умовах відновлення інфляційного тиску при збереженні високої ліквідності банків. Незважаючи на поступову нормалізацію роботи фінансового ринку, банки дотримувалися обережної кредитної поведі</w:t>
      </w:r>
      <w:r>
        <w:t>нки через воєнні ризики, невизначеність щодо платоспроможності позичальників і зміну структури кредитного попиту. За таких умов процентна трансмісія залишалася нерівномірною: короткострокові ставки грошового ринку краще відгукувалися на сигнали НБУ, тоді я</w:t>
      </w:r>
      <w:r>
        <w:t>к депозитні та кредитні ставки реагували повільніше і визначалися балансовою позицією банків.</w:t>
      </w:r>
    </w:p>
    <w:p w:rsidR="00B621C7" w:rsidRDefault="005D53F5">
      <w:r>
        <w:t>У 2025 році монетарна політика зберегла стримувальний вектор, однак діяла в середовищі, де цінова динаміка формувалась не лише під впливом попиту, а й немонетарни</w:t>
      </w:r>
      <w:r>
        <w:t>х чинників. Серед них - наслідки воєнних руйнувань, енергетичні обмеження, логістичні витрати, бюджетні видатки та очікування суб’єктів господарювання. Відтак навіть посилення операційного контролю над короткостроковими ставками не забезпечувало прямого кі</w:t>
      </w:r>
      <w:r>
        <w:t>нцевого впливу грошово-кредитної політики на інфляцію та банківську діяльність.</w:t>
      </w:r>
    </w:p>
    <w:p w:rsidR="00B621C7" w:rsidRDefault="005D53F5">
      <w:r>
        <w:t>Для банківської системи зазначене середовище характеризувалось високим рівнем ліквідності [25], помітною роллю процентних інструментів НБУ, привабливістю вкладень у державні ці</w:t>
      </w:r>
      <w:r>
        <w:t xml:space="preserve">нні папери та збереженням обережності в кредитуванні. Банки мали можливість розміщувати надлишкові ресурси в </w:t>
      </w:r>
      <w:proofErr w:type="spellStart"/>
      <w:r>
        <w:t>низькоризикові</w:t>
      </w:r>
      <w:proofErr w:type="spellEnd"/>
      <w:r>
        <w:t xml:space="preserve"> інструменти, тоді як кредитування реального сектору стримувалось ризиками, структурою попиту і жорсткістю вимог до якості </w:t>
      </w:r>
      <w:r>
        <w:lastRenderedPageBreak/>
        <w:t>позичальни</w:t>
      </w:r>
      <w:r>
        <w:t>ків. Це призвело до того, що монетарна політика впливала на банки не лише через зміну вартості ресурсів, а й через трансформацію структури активів і джерел процентного доходу.</w:t>
      </w:r>
    </w:p>
    <w:p w:rsidR="00B621C7" w:rsidRDefault="005D53F5">
      <w:r>
        <w:t>Ця логіка зумовлює підхід до подальшого аналізу АТ «Ощадбанк». Як державний унів</w:t>
      </w:r>
      <w:r>
        <w:t xml:space="preserve">ерсальний банк зі значною клієнтською базою, кредитним портфелем і портфелем фінансових інструментів, банк реагує на монетарне середовище через структуру ресурсів, динаміку кредитування, якість активів, обсяг ліквідних інструментів і процентний результат. </w:t>
      </w:r>
      <w:r>
        <w:t>Оцінка впливу грошово-кредитної політики НБУ на діяльність Ощадбанку ґрунтується на аналізі процентного та інфляційного каналів трансмісії у 2022–2025 роках.</w:t>
      </w:r>
    </w:p>
    <w:p w:rsidR="00B621C7" w:rsidRDefault="005D53F5">
      <w:r>
        <w:t xml:space="preserve">Результативність грошово-кредитної політики НБУ визначається не лише рівнем облікової ставки, а й </w:t>
      </w:r>
      <w:r>
        <w:t>швидкістю та повнотою передачі її змін до ставок грошового ринку [28], депозитних і кредитних ставок, інфляційних показників та поведінки банків. У 2022–2025 роках цей процес мав виражено нерівномірний характер. Операційна керованість короткострокових став</w:t>
      </w:r>
      <w:r>
        <w:t>ок поступово зміцнювалась, але трансляція монетарних умов до депозитного та кредитного сегментів залишалась неповною.</w:t>
      </w:r>
    </w:p>
    <w:p w:rsidR="00B621C7" w:rsidRDefault="00B621C7"/>
    <w:p w:rsidR="00B621C7" w:rsidRDefault="00B621C7"/>
    <w:p w:rsidR="00B621C7" w:rsidRDefault="005D53F5">
      <w:pPr>
        <w:keepNext/>
        <w:jc w:val="left"/>
      </w:pPr>
      <w:r>
        <w:t>2.2. Процентний канал грошово-кредитної політики НБУ</w:t>
      </w:r>
    </w:p>
    <w:p w:rsidR="00B621C7" w:rsidRDefault="00B621C7"/>
    <w:p w:rsidR="00B621C7" w:rsidRDefault="00B621C7"/>
    <w:p w:rsidR="00B621C7" w:rsidRDefault="005D53F5">
      <w:r>
        <w:t>Через процентний канал сигнал облікової ставки проходить ланцюжком: від ключового орієнтиру НБУ - до ставок грошового ринку, далі до вартості банківських депозитів і кредитів, і врешті - до фінансової поведінки домогосподарств і підприємств. У 2022–2025 ро</w:t>
      </w:r>
      <w:r>
        <w:t>ках цей ланцюжок зазнавав деформацій: структурний надлишок ліквідності послаблював передачу на ринковому рівні, воєнна невизначеність підвищувала кредитний ризик і ускладнювала стандартні розрахунки, а особливості воєнної економіки вносили асиметрію між на</w:t>
      </w:r>
      <w:r>
        <w:t>прямами змін ставок.</w:t>
      </w:r>
    </w:p>
    <w:p w:rsidR="00B621C7" w:rsidRDefault="005D53F5">
      <w:pPr>
        <w:keepNext/>
        <w:spacing w:before="120"/>
        <w:ind w:firstLine="0"/>
        <w:jc w:val="right"/>
      </w:pPr>
      <w:r>
        <w:lastRenderedPageBreak/>
        <w:t>Таблиця 2.1</w:t>
      </w:r>
    </w:p>
    <w:p w:rsidR="00B621C7" w:rsidRDefault="005D53F5">
      <w:r>
        <w:t xml:space="preserve"> Динаміка процентних індикаторів трансмісії НБУ у 2022–2025 роках</w:t>
      </w:r>
    </w:p>
    <w:tbl>
      <w:tblPr>
        <w:tblStyle w:val="ad"/>
        <w:tblW w:w="9354" w:type="dxa"/>
        <w:jc w:val="center"/>
        <w:tblInd w:w="0" w:type="dxa"/>
        <w:tblLayout w:type="fixed"/>
        <w:tblLook w:val="0400" w:firstRow="0" w:lastRow="0" w:firstColumn="0" w:lastColumn="0" w:noHBand="0" w:noVBand="1"/>
      </w:tblPr>
      <w:tblGrid>
        <w:gridCol w:w="1870"/>
        <w:gridCol w:w="1871"/>
        <w:gridCol w:w="1871"/>
        <w:gridCol w:w="1871"/>
        <w:gridCol w:w="1871"/>
      </w:tblGrid>
      <w:tr w:rsidR="00B621C7">
        <w:trPr>
          <w:tblHeade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0"/>
                <w:szCs w:val="20"/>
              </w:rPr>
              <w:t>Показник</w:t>
            </w:r>
          </w:p>
        </w:tc>
        <w:tc>
          <w:tcPr>
            <w:tcW w:w="1871"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0"/>
                <w:szCs w:val="20"/>
              </w:rPr>
              <w:t>2022</w:t>
            </w:r>
          </w:p>
        </w:tc>
        <w:tc>
          <w:tcPr>
            <w:tcW w:w="1871"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0"/>
                <w:szCs w:val="20"/>
              </w:rPr>
              <w:t>2023</w:t>
            </w:r>
          </w:p>
        </w:tc>
        <w:tc>
          <w:tcPr>
            <w:tcW w:w="1871"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0"/>
                <w:szCs w:val="20"/>
              </w:rPr>
              <w:t>2024</w:t>
            </w:r>
          </w:p>
        </w:tc>
        <w:tc>
          <w:tcPr>
            <w:tcW w:w="1871"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0"/>
                <w:szCs w:val="20"/>
              </w:rPr>
              <w:t>2025</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Середньорічна облікова ставка НБУ, %</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18,66</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22,35</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13,67</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15,26</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Середньорічне значення UONIA, %</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11,42</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17,74</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13,49</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14,70</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proofErr w:type="spellStart"/>
            <w:r>
              <w:rPr>
                <w:sz w:val="20"/>
                <w:szCs w:val="20"/>
              </w:rPr>
              <w:t>Спред</w:t>
            </w:r>
            <w:proofErr w:type="spellEnd"/>
            <w:r>
              <w:rPr>
                <w:sz w:val="20"/>
                <w:szCs w:val="20"/>
              </w:rPr>
              <w:t xml:space="preserve"> UONIA до облікової ставки, </w:t>
            </w:r>
            <w:proofErr w:type="spellStart"/>
            <w:r>
              <w:rPr>
                <w:sz w:val="20"/>
                <w:szCs w:val="20"/>
              </w:rPr>
              <w:t>в.п</w:t>
            </w:r>
            <w:proofErr w:type="spellEnd"/>
            <w:r>
              <w:rPr>
                <w:sz w:val="20"/>
                <w:szCs w:val="20"/>
              </w:rPr>
              <w:t>.</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7,24</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4,61</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0,18</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0,56</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 xml:space="preserve">Абсолютне відхилення UONIA від облікової ставки, </w:t>
            </w:r>
            <w:proofErr w:type="spellStart"/>
            <w:r>
              <w:rPr>
                <w:sz w:val="20"/>
                <w:szCs w:val="20"/>
              </w:rPr>
              <w:t>в.п</w:t>
            </w:r>
            <w:proofErr w:type="spellEnd"/>
            <w:r>
              <w:rPr>
                <w:sz w:val="20"/>
                <w:szCs w:val="20"/>
              </w:rPr>
              <w:t>.</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7,24</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4,61</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0,18</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0,56</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Середньорічна ставка за депозитами домогосподарств у гривні, %</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8,15</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11,76</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10,46</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10,48</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proofErr w:type="spellStart"/>
            <w:r>
              <w:rPr>
                <w:sz w:val="20"/>
                <w:szCs w:val="20"/>
              </w:rPr>
              <w:t>Спред</w:t>
            </w:r>
            <w:proofErr w:type="spellEnd"/>
            <w:r>
              <w:rPr>
                <w:sz w:val="20"/>
                <w:szCs w:val="20"/>
              </w:rPr>
              <w:t xml:space="preserve"> депозитної ставки до облікової ставки, </w:t>
            </w:r>
            <w:proofErr w:type="spellStart"/>
            <w:r>
              <w:rPr>
                <w:sz w:val="20"/>
                <w:szCs w:val="20"/>
              </w:rPr>
              <w:t>в.п</w:t>
            </w:r>
            <w:proofErr w:type="spellEnd"/>
            <w:r>
              <w:rPr>
                <w:sz w:val="20"/>
                <w:szCs w:val="20"/>
              </w:rPr>
              <w:t>.</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10,50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10,59</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3,21</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4,78</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Середньорічна ставка за кредитами нефінансовим корпораціям у гривні, %</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16,49</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19,38</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16,07</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15,</w:t>
            </w:r>
            <w:r>
              <w:rPr>
                <w:sz w:val="20"/>
                <w:szCs w:val="20"/>
              </w:rPr>
              <w:t>90</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proofErr w:type="spellStart"/>
            <w:r>
              <w:rPr>
                <w:sz w:val="20"/>
                <w:szCs w:val="20"/>
              </w:rPr>
              <w:t>Спред</w:t>
            </w:r>
            <w:proofErr w:type="spellEnd"/>
            <w:r>
              <w:rPr>
                <w:sz w:val="20"/>
                <w:szCs w:val="20"/>
              </w:rPr>
              <w:t xml:space="preserve"> кредитної ставки до облікової ставки, </w:t>
            </w:r>
            <w:proofErr w:type="spellStart"/>
            <w:r>
              <w:rPr>
                <w:sz w:val="20"/>
                <w:szCs w:val="20"/>
              </w:rPr>
              <w:t>в.п</w:t>
            </w:r>
            <w:proofErr w:type="spellEnd"/>
            <w:r>
              <w:rPr>
                <w:sz w:val="20"/>
                <w:szCs w:val="20"/>
              </w:rPr>
              <w:t>.</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2,17</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2,97</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2,40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0,64</w:t>
            </w:r>
          </w:p>
        </w:tc>
      </w:tr>
    </w:tbl>
    <w:p w:rsidR="00B621C7" w:rsidRDefault="005D53F5">
      <w:pPr>
        <w:ind w:firstLine="0"/>
        <w:jc w:val="left"/>
      </w:pPr>
      <w:r>
        <w:rPr>
          <w:i/>
          <w:iCs/>
          <w:sz w:val="24"/>
          <w:szCs w:val="24"/>
        </w:rPr>
        <w:t>Джерело: складено автором за даними Національного банку України та авторськими розрахунками.</w:t>
      </w:r>
    </w:p>
    <w:p w:rsidR="00B621C7" w:rsidRDefault="005D53F5">
      <w:sdt>
        <w:sdtPr>
          <w:tag w:val="goog_rdk_0"/>
          <w:id w:val="-1606045074"/>
        </w:sdtPr>
        <w:sdtEndPr/>
        <w:sdtContent>
          <w:r>
            <w:rPr>
              <w:rFonts w:ascii="Gungsuh" w:eastAsia="Gungsuh" w:hAnsi="Gungsuh" w:cs="Gungsuh"/>
            </w:rPr>
            <w:t xml:space="preserve">Дані таблиці 2.1 засвідчують, що у 2022–2023 роках короткостроковий ринок лише частково відображав рівень облікової ставки. </w:t>
          </w:r>
          <w:proofErr w:type="spellStart"/>
          <w:r>
            <w:rPr>
              <w:rFonts w:ascii="Gungsuh" w:eastAsia="Gungsuh" w:hAnsi="Gungsuh" w:cs="Gungsuh"/>
            </w:rPr>
            <w:t>Спред</w:t>
          </w:r>
          <w:proofErr w:type="spellEnd"/>
          <w:r>
            <w:rPr>
              <w:rFonts w:ascii="Gungsuh" w:eastAsia="Gungsuh" w:hAnsi="Gungsuh" w:cs="Gungsuh"/>
            </w:rPr>
            <w:t xml:space="preserve"> UONIA до облікової ставки станови</w:t>
          </w:r>
          <w:r>
            <w:rPr>
              <w:rFonts w:ascii="Gungsuh" w:eastAsia="Gungsuh" w:hAnsi="Gungsuh" w:cs="Gungsuh"/>
            </w:rPr>
            <w:t xml:space="preserve">в −7,24 </w:t>
          </w:r>
          <w:proofErr w:type="spellStart"/>
          <w:r>
            <w:rPr>
              <w:rFonts w:ascii="Gungsuh" w:eastAsia="Gungsuh" w:hAnsi="Gungsuh" w:cs="Gungsuh"/>
            </w:rPr>
            <w:t>в.п</w:t>
          </w:r>
          <w:proofErr w:type="spellEnd"/>
          <w:r>
            <w:rPr>
              <w:rFonts w:ascii="Gungsuh" w:eastAsia="Gungsuh" w:hAnsi="Gungsuh" w:cs="Gungsuh"/>
            </w:rPr>
            <w:t xml:space="preserve">. у 2022 році та −4,61 </w:t>
          </w:r>
          <w:proofErr w:type="spellStart"/>
          <w:r>
            <w:rPr>
              <w:rFonts w:ascii="Gungsuh" w:eastAsia="Gungsuh" w:hAnsi="Gungsuh" w:cs="Gungsuh"/>
            </w:rPr>
            <w:t>в.п</w:t>
          </w:r>
          <w:proofErr w:type="spellEnd"/>
          <w:r>
            <w:rPr>
              <w:rFonts w:ascii="Gungsuh" w:eastAsia="Gungsuh" w:hAnsi="Gungsuh" w:cs="Gungsuh"/>
            </w:rPr>
            <w:t xml:space="preserve">. у 2023 році. В умовах воєнного шоку й структурного профіциту ліквідності облікова ставка виконувала стримувальну функцію, однак операційна передача до сегменту </w:t>
          </w:r>
          <w:proofErr w:type="spellStart"/>
          <w:r>
            <w:rPr>
              <w:rFonts w:ascii="Gungsuh" w:eastAsia="Gungsuh" w:hAnsi="Gungsuh" w:cs="Gungsuh"/>
            </w:rPr>
            <w:t>овернайт</w:t>
          </w:r>
          <w:proofErr w:type="spellEnd"/>
          <w:r>
            <w:rPr>
              <w:rFonts w:ascii="Gungsuh" w:eastAsia="Gungsuh" w:hAnsi="Gungsuh" w:cs="Gungsuh"/>
            </w:rPr>
            <w:t xml:space="preserve"> залишалась неповною.</w:t>
          </w:r>
        </w:sdtContent>
      </w:sdt>
    </w:p>
    <w:p w:rsidR="00B621C7" w:rsidRDefault="005D53F5">
      <w:r>
        <w:lastRenderedPageBreak/>
        <w:t>У 2024–2025 роках зв’язок</w:t>
      </w:r>
      <w:r>
        <w:t xml:space="preserve"> між обліковою ставкою та UONIA суттєво зміцнів. Абсолютне відхилення UONIA від облікової ставки скоротилось до 0,18 </w:t>
      </w:r>
      <w:proofErr w:type="spellStart"/>
      <w:r>
        <w:t>в.п</w:t>
      </w:r>
      <w:proofErr w:type="spellEnd"/>
      <w:r>
        <w:t xml:space="preserve">. у 2024 році та 0,56 </w:t>
      </w:r>
      <w:proofErr w:type="spellStart"/>
      <w:r>
        <w:t>в.п</w:t>
      </w:r>
      <w:proofErr w:type="spellEnd"/>
      <w:r>
        <w:t>. у 2025 році. Ця динаміка відображає ефект зміни операційного дизайну монетарної політики та посилення контрол</w:t>
      </w:r>
      <w:r>
        <w:t>ю НБУ над короткостроковими ставками [19]. На цьому рівні процентний канал функціонував значно стабільніше, ніж у 2022–2023 роках.</w:t>
      </w:r>
    </w:p>
    <w:p w:rsidR="00B621C7" w:rsidRDefault="005D53F5">
      <w:sdt>
        <w:sdtPr>
          <w:tag w:val="goog_rdk_1"/>
          <w:id w:val="1324262073"/>
        </w:sdtPr>
        <w:sdtEndPr/>
        <w:sdtContent>
          <w:r>
            <w:rPr>
              <w:rFonts w:ascii="Gungsuh" w:eastAsia="Gungsuh" w:hAnsi="Gungsuh" w:cs="Gungsuh"/>
            </w:rPr>
            <w:t>У депозитному сегменті трансмісія процентного сигналу набувала іншого характеру. Ставки за депозитами домогосподарств у гривн</w:t>
          </w:r>
          <w:r>
            <w:rPr>
              <w:rFonts w:ascii="Gungsuh" w:eastAsia="Gungsuh" w:hAnsi="Gungsuh" w:cs="Gungsuh"/>
            </w:rPr>
            <w:t xml:space="preserve">і протягом усього аналізованого періоду залишалися суттєво нижчими за облікову ставку. </w:t>
          </w:r>
          <w:proofErr w:type="spellStart"/>
          <w:r>
            <w:rPr>
              <w:rFonts w:ascii="Gungsuh" w:eastAsia="Gungsuh" w:hAnsi="Gungsuh" w:cs="Gungsuh"/>
            </w:rPr>
            <w:t>Спред</w:t>
          </w:r>
          <w:proofErr w:type="spellEnd"/>
          <w:r>
            <w:rPr>
              <w:rFonts w:ascii="Gungsuh" w:eastAsia="Gungsuh" w:hAnsi="Gungsuh" w:cs="Gungsuh"/>
            </w:rPr>
            <w:t xml:space="preserve"> депозитної ставки до облікової становив −10,50 </w:t>
          </w:r>
          <w:proofErr w:type="spellStart"/>
          <w:r>
            <w:rPr>
              <w:rFonts w:ascii="Gungsuh" w:eastAsia="Gungsuh" w:hAnsi="Gungsuh" w:cs="Gungsuh"/>
            </w:rPr>
            <w:t>в.п</w:t>
          </w:r>
          <w:proofErr w:type="spellEnd"/>
          <w:r>
            <w:rPr>
              <w:rFonts w:ascii="Gungsuh" w:eastAsia="Gungsuh" w:hAnsi="Gungsuh" w:cs="Gungsuh"/>
            </w:rPr>
            <w:t xml:space="preserve">. у 2022 р., −10,59 </w:t>
          </w:r>
          <w:proofErr w:type="spellStart"/>
          <w:r>
            <w:rPr>
              <w:rFonts w:ascii="Gungsuh" w:eastAsia="Gungsuh" w:hAnsi="Gungsuh" w:cs="Gungsuh"/>
            </w:rPr>
            <w:t>в.п</w:t>
          </w:r>
          <w:proofErr w:type="spellEnd"/>
          <w:r>
            <w:rPr>
              <w:rFonts w:ascii="Gungsuh" w:eastAsia="Gungsuh" w:hAnsi="Gungsuh" w:cs="Gungsuh"/>
            </w:rPr>
            <w:t xml:space="preserve">. у 2023 р., −3,21 </w:t>
          </w:r>
          <w:proofErr w:type="spellStart"/>
          <w:r>
            <w:rPr>
              <w:rFonts w:ascii="Gungsuh" w:eastAsia="Gungsuh" w:hAnsi="Gungsuh" w:cs="Gungsuh"/>
            </w:rPr>
            <w:t>в.п</w:t>
          </w:r>
          <w:proofErr w:type="spellEnd"/>
          <w:r>
            <w:rPr>
              <w:rFonts w:ascii="Gungsuh" w:eastAsia="Gungsuh" w:hAnsi="Gungsuh" w:cs="Gungsuh"/>
            </w:rPr>
            <w:t xml:space="preserve">. у 2024 р. та −4,78 </w:t>
          </w:r>
          <w:proofErr w:type="spellStart"/>
          <w:r>
            <w:rPr>
              <w:rFonts w:ascii="Gungsuh" w:eastAsia="Gungsuh" w:hAnsi="Gungsuh" w:cs="Gungsuh"/>
            </w:rPr>
            <w:t>в.п</w:t>
          </w:r>
          <w:proofErr w:type="spellEnd"/>
          <w:r>
            <w:rPr>
              <w:rFonts w:ascii="Gungsuh" w:eastAsia="Gungsuh" w:hAnsi="Gungsuh" w:cs="Gungsuh"/>
            </w:rPr>
            <w:t>. у 2025 р. Звуження розриву фіксує певний п</w:t>
          </w:r>
          <w:r>
            <w:rPr>
              <w:rFonts w:ascii="Gungsuh" w:eastAsia="Gungsuh" w:hAnsi="Gungsuh" w:cs="Gungsuh"/>
            </w:rPr>
            <w:t>рогрес у передачі процентного сигналу, проте депозитний канал і надалі функціонував лише частково. Банки не мали достатніх стимулів агресивно підвищувати депозитні ставки через структурний надлишок ліквідності, а поведінка вкладників визначалась не лише рі</w:t>
          </w:r>
          <w:r>
            <w:rPr>
              <w:rFonts w:ascii="Gungsuh" w:eastAsia="Gungsuh" w:hAnsi="Gungsuh" w:cs="Gungsuh"/>
            </w:rPr>
            <w:t>внем процентного доходу, а й безпековими та інфляційними очікуваннями.</w:t>
          </w:r>
        </w:sdtContent>
      </w:sdt>
    </w:p>
    <w:p w:rsidR="00B621C7" w:rsidRDefault="005D53F5">
      <w:r>
        <w:t>Кредитні ставки так само не відтворювали динаміку облікової ставки механічно. У 2022–2023 роках середньорічні ставки за кредитами нефінансовим корпораціям залишалися нижчими за обліко</w:t>
      </w:r>
      <w:r>
        <w:t>ву ставку, а у 2024–2025 роках перевищили її. Утім, ця зміна не дає підстав вважати кредитну трансмісію повністю нормалізованою. Вартість кредитів залежала від ризик-профілю позичальників, строковості, структури кредитного попиту, державних програм підтрим</w:t>
      </w:r>
      <w:r>
        <w:t>ки й кредитної політики банків. Звідси - асиметрія кредитного каналу: зміна облікової ставки передавалась до кредитних ставок нерівномірно і неповно.</w:t>
      </w:r>
    </w:p>
    <w:p w:rsidR="00B621C7" w:rsidRDefault="005D53F5">
      <w:r>
        <w:lastRenderedPageBreak/>
        <w:t>Процентний канал у 2022–2025 роках характеризувався неоднаковою силою на різних рівнях передачі. На операц</w:t>
      </w:r>
      <w:r>
        <w:t>ійному рівні після 2023 р. НБУ суттєво посилив контроль над короткостроковими ставками. На рівні депозитів трансмісія залишалась частковою внаслідок структурного профіциту ліквідності. На рівні кредитів дієвість процентного сигналу обмежувалась кредитним р</w:t>
      </w:r>
      <w:r>
        <w:t>изиком, воєнною невизначеністю та впливом державних програм.</w:t>
      </w:r>
    </w:p>
    <w:p w:rsidR="00B621C7" w:rsidRDefault="005D53F5">
      <w:r>
        <w:t>Інфляційний результат грошово-кредитної політики формується через поєднання номінальних процентних ставок, інфляційних очікувань, курсової динаміки, бюджетного попиту та немонетарних шоків. У 202</w:t>
      </w:r>
      <w:r>
        <w:t>2–2025 роках інфляція в Україні не мала виключно монетарного походження. Її динаміку визначали наслідки воєнних дій, трансформація виробничих і логістичних ланцюгів, енергетичні обмеження, бюджетні видатки та очікування щодо курсу.</w:t>
      </w:r>
    </w:p>
    <w:p w:rsidR="00B621C7" w:rsidRDefault="005D53F5">
      <w:pPr>
        <w:keepNext/>
        <w:spacing w:before="120"/>
        <w:ind w:firstLine="0"/>
        <w:jc w:val="right"/>
      </w:pPr>
      <w:r>
        <w:t>Таблиця 2.2</w:t>
      </w:r>
    </w:p>
    <w:p w:rsidR="00B621C7" w:rsidRDefault="005D53F5">
      <w:r>
        <w:t xml:space="preserve"> Інфляційні </w:t>
      </w:r>
      <w:r>
        <w:t>показники та реальні процентні ставки у 2022–2025 роках</w:t>
      </w:r>
    </w:p>
    <w:tbl>
      <w:tblPr>
        <w:tblStyle w:val="ae"/>
        <w:tblW w:w="9354" w:type="dxa"/>
        <w:jc w:val="center"/>
        <w:tblInd w:w="0" w:type="dxa"/>
        <w:tblLayout w:type="fixed"/>
        <w:tblLook w:val="0400" w:firstRow="0" w:lastRow="0" w:firstColumn="0" w:lastColumn="0" w:noHBand="0" w:noVBand="1"/>
      </w:tblPr>
      <w:tblGrid>
        <w:gridCol w:w="1870"/>
        <w:gridCol w:w="1871"/>
        <w:gridCol w:w="1871"/>
        <w:gridCol w:w="1871"/>
        <w:gridCol w:w="1871"/>
      </w:tblGrid>
      <w:tr w:rsidR="00B621C7">
        <w:trPr>
          <w:tblHeade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0"/>
                <w:szCs w:val="20"/>
              </w:rPr>
              <w:t>Показник</w:t>
            </w:r>
          </w:p>
        </w:tc>
        <w:tc>
          <w:tcPr>
            <w:tcW w:w="1871"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0"/>
                <w:szCs w:val="20"/>
              </w:rPr>
              <w:t>2022</w:t>
            </w:r>
          </w:p>
        </w:tc>
        <w:tc>
          <w:tcPr>
            <w:tcW w:w="1871"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0"/>
                <w:szCs w:val="20"/>
              </w:rPr>
              <w:t>2023</w:t>
            </w:r>
          </w:p>
        </w:tc>
        <w:tc>
          <w:tcPr>
            <w:tcW w:w="1871"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0"/>
                <w:szCs w:val="20"/>
              </w:rPr>
              <w:t>2024</w:t>
            </w:r>
          </w:p>
        </w:tc>
        <w:tc>
          <w:tcPr>
            <w:tcW w:w="1871"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0"/>
                <w:szCs w:val="20"/>
              </w:rPr>
              <w:t>2025</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Індекс споживчих цін, грудень до грудня, %</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26,60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5,10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12,00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8,00</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Базова інфляція, грудень до грудня, %</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22,60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4,90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10,70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8,00</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Ціль НБУ з інфляції, %</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5,00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5,00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5,00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5,00</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 xml:space="preserve">Відхилення інфляції від цілі, </w:t>
            </w:r>
            <w:proofErr w:type="spellStart"/>
            <w:r>
              <w:rPr>
                <w:sz w:val="20"/>
                <w:szCs w:val="20"/>
              </w:rPr>
              <w:t>в.п</w:t>
            </w:r>
            <w:proofErr w:type="spellEnd"/>
            <w:r>
              <w:rPr>
                <w:sz w:val="20"/>
                <w:szCs w:val="20"/>
              </w:rPr>
              <w:t>.</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21,60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0,10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7,00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3,00</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 xml:space="preserve">Відхилення базової інфляції від цілі, </w:t>
            </w:r>
            <w:proofErr w:type="spellStart"/>
            <w:r>
              <w:rPr>
                <w:sz w:val="20"/>
                <w:szCs w:val="20"/>
              </w:rPr>
              <w:t>в.п</w:t>
            </w:r>
            <w:proofErr w:type="spellEnd"/>
            <w:r>
              <w:rPr>
                <w:sz w:val="20"/>
                <w:szCs w:val="20"/>
              </w:rPr>
              <w:t>.</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17,60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0,10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5,70</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3,00</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 xml:space="preserve">Реальна облікова ставка </w:t>
            </w:r>
            <w:proofErr w:type="spellStart"/>
            <w:r>
              <w:rPr>
                <w:sz w:val="20"/>
                <w:szCs w:val="20"/>
              </w:rPr>
              <w:t>ex</w:t>
            </w:r>
            <w:proofErr w:type="spellEnd"/>
            <w:r>
              <w:rPr>
                <w:sz w:val="20"/>
                <w:szCs w:val="20"/>
              </w:rPr>
              <w:t xml:space="preserve"> </w:t>
            </w:r>
            <w:proofErr w:type="spellStart"/>
            <w:r>
              <w:rPr>
                <w:sz w:val="20"/>
                <w:szCs w:val="20"/>
              </w:rPr>
              <w:t>post</w:t>
            </w:r>
            <w:proofErr w:type="spellEnd"/>
            <w:r>
              <w:rPr>
                <w:sz w:val="20"/>
                <w:szCs w:val="20"/>
              </w:rPr>
              <w:t>, %</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7,94</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17,25</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1,67</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7,26</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Реальна ставка за депозитами домогосподарств у гривні, %</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18,45</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6,66</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1,54</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2,48</w:t>
            </w:r>
          </w:p>
        </w:tc>
      </w:tr>
      <w:tr w:rsidR="00B621C7">
        <w:trPr>
          <w:jc w:val="center"/>
        </w:trPr>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Реальна ставка за кредитами нефінансовим корпораціям у гривні, %</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rFonts w:ascii="Gungsuh" w:eastAsia="Gungsuh" w:hAnsi="Gungsuh" w:cs="Gungsuh"/>
                <w:sz w:val="20"/>
                <w:szCs w:val="20"/>
              </w:rPr>
              <w:t>−</w:t>
            </w:r>
            <w:r>
              <w:rPr>
                <w:rFonts w:ascii="Gungsuh" w:eastAsia="Gungsuh" w:hAnsi="Gungsuh" w:cs="Gungsuh"/>
                <w:sz w:val="20"/>
                <w:szCs w:val="20"/>
              </w:rPr>
              <w:t>10,11</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14,28</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4,07</w:t>
            </w:r>
          </w:p>
        </w:tc>
        <w:tc>
          <w:tcPr>
            <w:tcW w:w="1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0"/>
                <w:szCs w:val="20"/>
              </w:rPr>
              <w:t>7,90</w:t>
            </w:r>
          </w:p>
        </w:tc>
      </w:tr>
    </w:tbl>
    <w:p w:rsidR="00B621C7" w:rsidRDefault="005D53F5">
      <w:pPr>
        <w:ind w:firstLine="0"/>
        <w:jc w:val="left"/>
      </w:pPr>
      <w:r>
        <w:rPr>
          <w:i/>
          <w:iCs/>
          <w:sz w:val="24"/>
          <w:szCs w:val="24"/>
        </w:rPr>
        <w:lastRenderedPageBreak/>
        <w:t>Джерело: складено автором за даними Національного банку України, Державної служби статистики України та авторськими розрахунками.</w:t>
      </w:r>
    </w:p>
    <w:p w:rsidR="00B621C7" w:rsidRDefault="005D53F5">
      <w:r>
        <w:t xml:space="preserve">У 2022 році інфляція значно перевищила ціль НБУ. Відхилення ІСЦ від цільового орієнтиру склало 21,60 </w:t>
      </w:r>
      <w:proofErr w:type="spellStart"/>
      <w:r>
        <w:t>в.п</w:t>
      </w:r>
      <w:proofErr w:type="spellEnd"/>
      <w:r>
        <w:t>., базової інфляції -</w:t>
      </w:r>
      <w:r>
        <w:rPr>
          <w:rFonts w:ascii="Gungsuh" w:eastAsia="Gungsuh" w:hAnsi="Gungsuh" w:cs="Gungsuh"/>
        </w:rPr>
        <w:t xml:space="preserve"> </w:t>
      </w:r>
      <w:sdt>
        <w:sdtPr>
          <w:tag w:val="goog_rdk_2"/>
          <w:id w:val="656286055"/>
        </w:sdtPr>
        <w:sdtEndPr/>
        <w:sdtContent>
          <w:r>
            <w:rPr>
              <w:rFonts w:ascii="Gungsuh" w:eastAsia="Gungsuh" w:hAnsi="Gungsuh" w:cs="Gungsuh"/>
            </w:rPr>
            <w:t xml:space="preserve">17,60 </w:t>
          </w:r>
          <w:proofErr w:type="spellStart"/>
          <w:r>
            <w:rPr>
              <w:rFonts w:ascii="Gungsuh" w:eastAsia="Gungsuh" w:hAnsi="Gungsuh" w:cs="Gungsuh"/>
            </w:rPr>
            <w:t>в.п</w:t>
          </w:r>
          <w:proofErr w:type="spellEnd"/>
          <w:r>
            <w:rPr>
              <w:rFonts w:ascii="Gungsuh" w:eastAsia="Gungsuh" w:hAnsi="Gungsuh" w:cs="Gungsuh"/>
            </w:rPr>
            <w:t xml:space="preserve">. Незважаючи на високий рівень номінальної облікової ставки, реальна облікова ставка </w:t>
          </w:r>
          <w:proofErr w:type="spellStart"/>
          <w:r>
            <w:rPr>
              <w:rFonts w:ascii="Gungsuh" w:eastAsia="Gungsuh" w:hAnsi="Gungsuh" w:cs="Gungsuh"/>
            </w:rPr>
            <w:t>ex</w:t>
          </w:r>
          <w:proofErr w:type="spellEnd"/>
          <w:r>
            <w:rPr>
              <w:rFonts w:ascii="Gungsuh" w:eastAsia="Gungsuh" w:hAnsi="Gungsuh" w:cs="Gungsuh"/>
            </w:rPr>
            <w:t xml:space="preserve"> </w:t>
          </w:r>
          <w:proofErr w:type="spellStart"/>
          <w:r>
            <w:rPr>
              <w:rFonts w:ascii="Gungsuh" w:eastAsia="Gungsuh" w:hAnsi="Gungsuh" w:cs="Gungsuh"/>
            </w:rPr>
            <w:t>post</w:t>
          </w:r>
          <w:proofErr w:type="spellEnd"/>
          <w:r>
            <w:rPr>
              <w:rFonts w:ascii="Gungsuh" w:eastAsia="Gungsuh" w:hAnsi="Gungsuh" w:cs="Gungsuh"/>
            </w:rPr>
            <w:t xml:space="preserve"> залишалась від’ємною і становила −7,94 %. Реальні депозитні та кредитні ставки також перебували в від’ємній зоні. Інфляційний шок перекривав стримувальний</w:t>
          </w:r>
          <w:r>
            <w:rPr>
              <w:rFonts w:ascii="Gungsuh" w:eastAsia="Gungsuh" w:hAnsi="Gungsuh" w:cs="Gungsuh"/>
            </w:rPr>
            <w:t xml:space="preserve"> ефект номінальних ставок, а монетарна політика діяла в умовах, за яких ціни реагували не лише на попит, а й на воєнні та </w:t>
          </w:r>
          <w:proofErr w:type="spellStart"/>
          <w:r>
            <w:rPr>
              <w:rFonts w:ascii="Gungsuh" w:eastAsia="Gungsuh" w:hAnsi="Gungsuh" w:cs="Gungsuh"/>
            </w:rPr>
            <w:t>пропозиційні</w:t>
          </w:r>
          <w:proofErr w:type="spellEnd"/>
          <w:r>
            <w:rPr>
              <w:rFonts w:ascii="Gungsuh" w:eastAsia="Gungsuh" w:hAnsi="Gungsuh" w:cs="Gungsuh"/>
            </w:rPr>
            <w:t xml:space="preserve"> чинники.</w:t>
          </w:r>
        </w:sdtContent>
      </w:sdt>
    </w:p>
    <w:p w:rsidR="00B621C7" w:rsidRDefault="005D53F5">
      <w:r>
        <w:t>У 2023 році ситуація принципово змінилась. ІСЦ наблизився до цілі НБУ, а реальна облікова ставка стала додатно</w:t>
      </w:r>
      <w:r>
        <w:t>ю - 17,25 %. Реальні депозитні та кредитні ставки також перейшли в позитивну зону. Ця динаміка відображає посилення стримувального характеру монетарних умов [21]. Разом з тим зниження інфляції не можна пояснити виключно процентною політикою: на неї вплинул</w:t>
      </w:r>
      <w:r>
        <w:t>и курсова стабілізація, ефект бази порівняння, адаптація бізнесу, міжнародна фінансова підтримка та поступове відновлення окремих логістичних ланцюгів.</w:t>
      </w:r>
    </w:p>
    <w:p w:rsidR="00B621C7" w:rsidRDefault="005D53F5">
      <w:sdt>
        <w:sdtPr>
          <w:tag w:val="goog_rdk_3"/>
          <w:id w:val="908819732"/>
        </w:sdtPr>
        <w:sdtEndPr/>
        <w:sdtContent>
          <w:r>
            <w:rPr>
              <w:rFonts w:ascii="Gungsuh" w:eastAsia="Gungsuh" w:hAnsi="Gungsuh" w:cs="Gungsuh"/>
            </w:rPr>
            <w:t xml:space="preserve">У 2024 році інфляційний тиск знову загострився. Відхилення ІСЦ від цілі НБУ становило 7,00 </w:t>
          </w:r>
          <w:proofErr w:type="spellStart"/>
          <w:r>
            <w:rPr>
              <w:rFonts w:ascii="Gungsuh" w:eastAsia="Gungsuh" w:hAnsi="Gungsuh" w:cs="Gungsuh"/>
            </w:rPr>
            <w:t>в.п</w:t>
          </w:r>
          <w:proofErr w:type="spellEnd"/>
          <w:r>
            <w:rPr>
              <w:rFonts w:ascii="Gungsuh" w:eastAsia="Gungsuh" w:hAnsi="Gungsuh" w:cs="Gungsuh"/>
            </w:rPr>
            <w:t>., базової</w:t>
          </w:r>
          <w:r>
            <w:rPr>
              <w:rFonts w:ascii="Gungsuh" w:eastAsia="Gungsuh" w:hAnsi="Gungsuh" w:cs="Gungsuh"/>
            </w:rPr>
            <w:t xml:space="preserve"> інфляції - 5,70 </w:t>
          </w:r>
          <w:proofErr w:type="spellStart"/>
          <w:r>
            <w:rPr>
              <w:rFonts w:ascii="Gungsuh" w:eastAsia="Gungsuh" w:hAnsi="Gungsuh" w:cs="Gungsuh"/>
            </w:rPr>
            <w:t>в.п</w:t>
          </w:r>
          <w:proofErr w:type="spellEnd"/>
          <w:r>
            <w:rPr>
              <w:rFonts w:ascii="Gungsuh" w:eastAsia="Gungsuh" w:hAnsi="Gungsuh" w:cs="Gungsuh"/>
            </w:rPr>
            <w:t xml:space="preserve">. Реальна облікова ставка </w:t>
          </w:r>
          <w:proofErr w:type="spellStart"/>
          <w:r>
            <w:rPr>
              <w:rFonts w:ascii="Gungsuh" w:eastAsia="Gungsuh" w:hAnsi="Gungsuh" w:cs="Gungsuh"/>
            </w:rPr>
            <w:t>збереглась</w:t>
          </w:r>
          <w:proofErr w:type="spellEnd"/>
          <w:r>
            <w:rPr>
              <w:rFonts w:ascii="Gungsuh" w:eastAsia="Gungsuh" w:hAnsi="Gungsuh" w:cs="Gungsuh"/>
            </w:rPr>
            <w:t xml:space="preserve"> у додатній зоні, проте знизилась до 1,67 %. Реальна депозитна ставка перейшла в від’ємну зону - −1,54 %. За таких умов привабливість гривневих заощаджень для домогосподарств знижувалась, а дієвість д</w:t>
          </w:r>
          <w:r>
            <w:rPr>
              <w:rFonts w:ascii="Gungsuh" w:eastAsia="Gungsuh" w:hAnsi="Gungsuh" w:cs="Gungsuh"/>
            </w:rPr>
            <w:t xml:space="preserve">епозитного каналу залишалась обмеженою. Реальна кредитна ставка залишалась додатною, </w:t>
          </w:r>
          <w:r>
            <w:rPr>
              <w:rFonts w:ascii="Gungsuh" w:eastAsia="Gungsuh" w:hAnsi="Gungsuh" w:cs="Gungsuh"/>
            </w:rPr>
            <w:lastRenderedPageBreak/>
            <w:t>що підтримувало стримувальний вплив на кредитний попит, але не нівелювало ролі кредитного ризику та державних програм.</w:t>
          </w:r>
        </w:sdtContent>
      </w:sdt>
    </w:p>
    <w:p w:rsidR="00B621C7" w:rsidRDefault="005D53F5">
      <w:r>
        <w:t>У 2025 році інфляція залишилась вищою за ціль НБУ,</w:t>
      </w:r>
      <w:r>
        <w:t xml:space="preserve"> однак її відхилення виявилось меншим, ніж у 2022 і 2024 роках. Реальна облікова ставка становила 7,26 %, реальна депозитна - 2,48 %, реальна кредитна - 7,90 %. Ці значення характеризують монетарні умови як стримувальні. Проте вплив на інфляцію залишався о</w:t>
      </w:r>
      <w:r>
        <w:t>бмеженим через дію немонетарних чинників: енергетичних ризиків, воєнних витрат, логістичних обмежень і фіскального попиту.</w:t>
      </w:r>
    </w:p>
    <w:p w:rsidR="00B621C7" w:rsidRDefault="005D53F5">
      <w:r>
        <w:t>Зіставлення процентних та інфляційних показників засвідчує, що у 2022–2025 роках НБУ поступово відновив операційний контроль над коро</w:t>
      </w:r>
      <w:r>
        <w:t>ткостроковими ставками, тимчасом як кінцевий вплив на інфляцію залишався неповним [10]. Процентний канал виявився сильнішим на рівні грошового ринку, слабшим у депозитному сегменті та асиметричним у кредитуванні. Інфляційний результат залежав від більш шир</w:t>
      </w:r>
      <w:r>
        <w:t>окого набору чинників, тому вплив грошово-кредитної політики на банківську систему потребує оцінки не лише через призму облікової ставки, а й через ліквідність, структуру ресурсів, кредитний ризик і процентний результат банків.</w:t>
      </w:r>
    </w:p>
    <w:p w:rsidR="00B621C7" w:rsidRDefault="00B621C7"/>
    <w:p w:rsidR="00B621C7" w:rsidRDefault="00B621C7"/>
    <w:p w:rsidR="00B621C7" w:rsidRDefault="005D53F5">
      <w:pPr>
        <w:keepNext/>
      </w:pPr>
      <w:r>
        <w:t>2.3. Вплив грошово-кредитн</w:t>
      </w:r>
      <w:r>
        <w:t>ої політики НБУ на діяльність АТ «Ощадбанк» у 2023–2025 роках</w:t>
      </w:r>
    </w:p>
    <w:p w:rsidR="00B621C7" w:rsidRDefault="00B621C7"/>
    <w:p w:rsidR="00B621C7" w:rsidRDefault="005D53F5">
      <w:r>
        <w:t>Аналіз трансмісійних каналів засвідчив, що вплив грошово-кредитної політики НБУ на банківський сектор у 2022–2025 роках був опосередкованим і нерівномірним. На рівні короткострокових ставок операційна керованість зміцнилась, проте депозитна й кредитна пере</w:t>
      </w:r>
      <w:r>
        <w:t>дача залишалися частковими. Для АТ «Ощадбанк» ці умови виявились у зміні структури ресурсної бази, динаміці кредитного портфеля, збереженні значної ролі інвестиційних активів і трансформації процентного результату.</w:t>
      </w:r>
    </w:p>
    <w:p w:rsidR="00B621C7" w:rsidRDefault="005D53F5">
      <w:r>
        <w:lastRenderedPageBreak/>
        <w:t>АТ «Ощадбанк» є державним універсальним б</w:t>
      </w:r>
      <w:r>
        <w:t>анком, чия діяльність поєднує ринкову банківську логіку з виконанням функцій системно важливої фінансової установи. За такого подвійного мандату реакція банку на монетарне середовище не може бути оцінена лише через зміну ставок. Вплив НБУ на банк матеріалі</w:t>
      </w:r>
      <w:r>
        <w:t xml:space="preserve">зується через умови </w:t>
      </w:r>
      <w:proofErr w:type="spellStart"/>
      <w:r>
        <w:t>фондування</w:t>
      </w:r>
      <w:proofErr w:type="spellEnd"/>
      <w:r>
        <w:t>, кредитний попит, рівень кредитного ризику, дохідність фінансових інструментів, обсяг ліквідності та інфляційні очікування клієнтів.</w:t>
      </w:r>
    </w:p>
    <w:p w:rsidR="00B621C7" w:rsidRDefault="005D53F5">
      <w:r>
        <w:t xml:space="preserve">Структура ресурсної бази є одним із каналів, через який монетарне середовище виявляється на </w:t>
      </w:r>
      <w:r>
        <w:t>рівні банку. За повноцінного функціонування депозитного каналу підвищення ставок мало б стимулювати зростання строкових заощаджень. Однак у 2023–2025 роках в Ощадбанку збільшення коштів клієнтів супроводжувалось посиленням ролі коштів до запитання.</w:t>
      </w:r>
    </w:p>
    <w:p w:rsidR="00B621C7" w:rsidRDefault="005D53F5">
      <w:pPr>
        <w:keepNext/>
        <w:spacing w:before="120"/>
        <w:ind w:firstLine="0"/>
        <w:jc w:val="right"/>
      </w:pPr>
      <w:r>
        <w:t>Таблиця</w:t>
      </w:r>
      <w:r>
        <w:t xml:space="preserve"> 2.3</w:t>
      </w:r>
    </w:p>
    <w:p w:rsidR="00B621C7" w:rsidRDefault="005D53F5">
      <w:pPr>
        <w:jc w:val="center"/>
      </w:pPr>
      <w:r>
        <w:t>Динаміка ресурсної бази АТ «Ощадбанк» у 2023–2025 роках</w:t>
      </w:r>
    </w:p>
    <w:tbl>
      <w:tblPr>
        <w:tblStyle w:val="af"/>
        <w:tblW w:w="9356" w:type="dxa"/>
        <w:jc w:val="center"/>
        <w:tblInd w:w="0" w:type="dxa"/>
        <w:tblLayout w:type="fixed"/>
        <w:tblLook w:val="0400" w:firstRow="0" w:lastRow="0" w:firstColumn="0" w:lastColumn="0" w:noHBand="0" w:noVBand="1"/>
      </w:tblPr>
      <w:tblGrid>
        <w:gridCol w:w="2339"/>
        <w:gridCol w:w="2339"/>
        <w:gridCol w:w="2339"/>
        <w:gridCol w:w="2339"/>
      </w:tblGrid>
      <w:tr w:rsidR="00B621C7">
        <w:trPr>
          <w:tblHeade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Показник</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2023</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2024</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2025</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Кошти клієнтів,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302 944,0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377 148,6</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445 999,9</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Строкові депозити,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101 936,0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116 081,5</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126 230,0</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Частка строкових депозитів у коштах клієнтів,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33,6</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30,8</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28,3</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Кошти до запитання,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201 008,0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261 067,2</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319 769,9</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Частка коштів до запитання у коштах клієнтів,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66,4</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69,2</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71,7</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Кошти фізичних осіб,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188 852,2</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211 378,0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230 523,2</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Частка коштів фізичних осіб у коштах клієнтів,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62,3</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56,0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51,7</w:t>
            </w:r>
          </w:p>
        </w:tc>
      </w:tr>
    </w:tbl>
    <w:p w:rsidR="00B621C7" w:rsidRDefault="005D53F5">
      <w:pPr>
        <w:ind w:firstLine="0"/>
        <w:jc w:val="left"/>
      </w:pPr>
      <w:r>
        <w:rPr>
          <w:i/>
          <w:iCs/>
          <w:sz w:val="24"/>
          <w:szCs w:val="24"/>
        </w:rPr>
        <w:t>Джерело: складено автором за даними консолідованої фінансової звітності АТ «Ощадбанк» за 2023–2025 рр.</w:t>
      </w:r>
    </w:p>
    <w:p w:rsidR="00B621C7" w:rsidRDefault="005D53F5">
      <w:r>
        <w:t>Дані таблиці 2.3 свідчать, що кошти клієнтів Ощадбанку зросли з 302 944,0 млн грн у 2023</w:t>
      </w:r>
      <w:r>
        <w:t xml:space="preserve"> р. до 445 999,9 млн грн у 2025 р. [5]. При цьому частка строкових </w:t>
      </w:r>
      <w:r>
        <w:lastRenderedPageBreak/>
        <w:t>депозитів скоротилась з 33,6 % до 28,3 %, тоді як частка коштів до запитання зросла з 66,4 % до 71,7 %. Ця тенденція узгоджується з висновком про неповну депозитну трансмісію. Нарощування р</w:t>
      </w:r>
      <w:r>
        <w:t xml:space="preserve">есурсної бази не призвело до автоматичного посилення строкового </w:t>
      </w:r>
      <w:proofErr w:type="spellStart"/>
      <w:r>
        <w:t>фондування</w:t>
      </w:r>
      <w:proofErr w:type="spellEnd"/>
      <w:r>
        <w:t>, оскільки клієнти зберігали тяжіння до ліквідних форм розміщення коштів.</w:t>
      </w:r>
    </w:p>
    <w:p w:rsidR="00B621C7" w:rsidRDefault="005D53F5">
      <w:r>
        <w:t>Для банку така структура пасивів породжує двосторонній ефект. З одного боку, переважання коштів до запитання</w:t>
      </w:r>
      <w:r>
        <w:t xml:space="preserve"> здешевлює ресурсну базу і підтримує процентну маржу. З іншого - підвищує чутливість пасивів до клієнтської поведінки та знижує прогнозованість </w:t>
      </w:r>
      <w:proofErr w:type="spellStart"/>
      <w:r>
        <w:t>фондування</w:t>
      </w:r>
      <w:proofErr w:type="spellEnd"/>
      <w:r>
        <w:t>. З погляду впливу грошово-кредитної політики ця динаміка вказує: навіть за високих ставок НБУ повного</w:t>
      </w:r>
      <w:r>
        <w:t xml:space="preserve"> переходу клієнтських коштів у строкові депозити не відбулось.</w:t>
      </w:r>
    </w:p>
    <w:p w:rsidR="00B621C7" w:rsidRDefault="005D53F5">
      <w:pPr>
        <w:rPr>
          <w:b/>
          <w:bCs/>
          <w:color w:val="FF0000"/>
        </w:rPr>
      </w:pPr>
      <w:r>
        <w:t>Кредитна діяльність банку відображає інший вимір монетарної трансмісії. За стандартною логікою підвищення ставок має стримувати кредитний попит, зниження - підтримувати його. Проте в умовах вій</w:t>
      </w:r>
      <w:r>
        <w:t>ни кредитний канал залежав не лише від процентної політики, а й від рівня кредитного ризику, наявності державних програм підтримки, структури позичальників і ролі банку в обслуговуванні пріоритетних секторів економіки. Узагальнені показники кредитного порт</w:t>
      </w:r>
      <w:r>
        <w:t xml:space="preserve">феля та кредитного ризику АТ «Ощадбанк» наведено в таблиці 2.4. </w:t>
      </w:r>
    </w:p>
    <w:p w:rsidR="00B621C7" w:rsidRDefault="005D53F5">
      <w:pPr>
        <w:keepNext/>
        <w:spacing w:before="120"/>
        <w:ind w:firstLine="0"/>
        <w:jc w:val="right"/>
      </w:pPr>
      <w:r>
        <w:t>Таблиця 2.4</w:t>
      </w:r>
    </w:p>
    <w:p w:rsidR="00B621C7" w:rsidRDefault="005D53F5">
      <w:pPr>
        <w:jc w:val="center"/>
      </w:pPr>
      <w:r>
        <w:t>Кредитний портфель і показники кредитного ризику АТ «Ощадбанк» у 2023–2025 роках</w:t>
      </w:r>
    </w:p>
    <w:tbl>
      <w:tblPr>
        <w:tblStyle w:val="af0"/>
        <w:tblW w:w="9356" w:type="dxa"/>
        <w:jc w:val="center"/>
        <w:tblInd w:w="0" w:type="dxa"/>
        <w:tblLayout w:type="fixed"/>
        <w:tblLook w:val="0400" w:firstRow="0" w:lastRow="0" w:firstColumn="0" w:lastColumn="0" w:noHBand="0" w:noVBand="1"/>
      </w:tblPr>
      <w:tblGrid>
        <w:gridCol w:w="2339"/>
        <w:gridCol w:w="2339"/>
        <w:gridCol w:w="2339"/>
        <w:gridCol w:w="2339"/>
      </w:tblGrid>
      <w:tr w:rsidR="00B621C7">
        <w:trPr>
          <w:tblHeade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Показник</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2023</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2024</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2025</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Чистий кредитний портфель,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89 109,0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111 100,0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128 196,5</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Частка корпоративного бізнесу у кредитному портфелі,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59,0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58,0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55,0</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Частка мікро-, малого та середнього бізнесу у кредитному портфелі,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24,0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23,0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24,0</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lastRenderedPageBreak/>
              <w:t>Частка роздрібного бізнесу у кредитному портфелі,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17,0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19,0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21,0</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Обсяг NPL понад 90 днів,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24 376,9</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18 146,8</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13 039,1</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Частка NPL у валовому кредитному портфелі,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21,0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13,0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9,0</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Резерви під очікувані кредитні збитки,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24 694,1</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23 422,1</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19 952,1</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Покриття NPL резервами,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101,0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129,0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153,0</w:t>
            </w:r>
          </w:p>
        </w:tc>
      </w:tr>
    </w:tbl>
    <w:p w:rsidR="00B621C7" w:rsidRDefault="005D53F5">
      <w:pPr>
        <w:ind w:firstLine="0"/>
        <w:jc w:val="left"/>
      </w:pPr>
      <w:r>
        <w:rPr>
          <w:i/>
          <w:iCs/>
          <w:sz w:val="24"/>
          <w:szCs w:val="24"/>
        </w:rPr>
        <w:t>Джерело: складено автором за даними консолідованої фінансової звітності та річних звітів АТ «Ощадбанк» за 2023–2025 рр.</w:t>
      </w:r>
    </w:p>
    <w:p w:rsidR="00B621C7" w:rsidRDefault="005D53F5">
      <w:r>
        <w:t>Дані таблиці 2.4</w:t>
      </w:r>
      <w:r>
        <w:t xml:space="preserve"> засвідчують, що чистий кредитний портфель Ощадбанку збільшився з 89 109,0 млн грн у 2023 р. до 128 196,5 млн грн у 2025 р. Зростання портфеля підтверджує розширення кредитної активності, однак не спростовує асиметрії кредитного каналу. Кредитування держав</w:t>
      </w:r>
      <w:r>
        <w:t>ного банку залежало від обслуговування стратегічних клієнтів, державних програм підтримки, якості позичальників і підходів до управління ризиком.</w:t>
      </w:r>
    </w:p>
    <w:p w:rsidR="00B621C7" w:rsidRDefault="005D53F5">
      <w:r>
        <w:t>Структура портфеля поступово трансформувалась. Частка корпоративного бізнесу скоротилась з 59,0 % до 55,0 %, тоді як частка роздрібного бізнесу збільшилась з 17,0 % до 21,0 %. Питома вага мікро-, малого та середнього бізнесу залишалась відносно стабільною.</w:t>
      </w:r>
      <w:r>
        <w:t xml:space="preserve"> Ця структура відображає неоднорідність кредитної діяльності банку: різні сегменти реагували на монетарне середовище по-різному.</w:t>
      </w:r>
    </w:p>
    <w:p w:rsidR="00B621C7" w:rsidRDefault="005D53F5">
      <w:r>
        <w:t xml:space="preserve">Показники кредитного ризику також є важливим виміром кредитної трансмісії. Частка NPL у валовому кредитному портфелі знизилась </w:t>
      </w:r>
      <w:r>
        <w:t>з 21,0 % у 2023 р. до 9,0 % у 2025 р., а покриття NPL резервами зросло зі 101,0 % до 153,0 %. Ці дані відображають поєднання розширення кредитного портфеля з активною роботою над якістю активів. В умовах високих ставок і воєнних ризиків кредитний канал дія</w:t>
      </w:r>
      <w:r>
        <w:t xml:space="preserve">в не як автоматична реакція на зміну облікової </w:t>
      </w:r>
      <w:r>
        <w:lastRenderedPageBreak/>
        <w:t>ставки, а як рівнодійна процентних умов, кредитного ризику та державної підтримки.</w:t>
      </w:r>
    </w:p>
    <w:p w:rsidR="00B621C7" w:rsidRDefault="005D53F5">
      <w:r>
        <w:t>Структура активів доповнює картину впливу грошово-кредитної політики на діяльність Ощадбанку. В умовах високих ставок і структ</w:t>
      </w:r>
      <w:r>
        <w:t xml:space="preserve">урного профіциту ліквідності банки отримують стимул спрямовувати частину ресурсів у державні цінні папери та інші </w:t>
      </w:r>
      <w:proofErr w:type="spellStart"/>
      <w:r>
        <w:t>низькоризикові</w:t>
      </w:r>
      <w:proofErr w:type="spellEnd"/>
      <w:r>
        <w:t xml:space="preserve"> інструменти. Для Ощадбанку це набуло особливого значення: інвестиційний портфель займав значну частку активів протягом усього а</w:t>
      </w:r>
      <w:r>
        <w:t>налізованого періоду.</w:t>
      </w:r>
    </w:p>
    <w:p w:rsidR="00B621C7" w:rsidRDefault="005D53F5">
      <w:pPr>
        <w:keepNext/>
        <w:spacing w:before="120"/>
        <w:ind w:firstLine="0"/>
        <w:jc w:val="right"/>
      </w:pPr>
      <w:r>
        <w:t>Таблиця 2.5</w:t>
      </w:r>
    </w:p>
    <w:p w:rsidR="00B621C7" w:rsidRDefault="005D53F5">
      <w:pPr>
        <w:jc w:val="center"/>
      </w:pPr>
      <w:r>
        <w:t>Структура активів АТ «Ощадбанк» у 2023–2025 роках</w:t>
      </w:r>
    </w:p>
    <w:tbl>
      <w:tblPr>
        <w:tblStyle w:val="af1"/>
        <w:tblW w:w="9356" w:type="dxa"/>
        <w:jc w:val="center"/>
        <w:tblInd w:w="0" w:type="dxa"/>
        <w:tblLayout w:type="fixed"/>
        <w:tblLook w:val="0400" w:firstRow="0" w:lastRow="0" w:firstColumn="0" w:lastColumn="0" w:noHBand="0" w:noVBand="1"/>
      </w:tblPr>
      <w:tblGrid>
        <w:gridCol w:w="2339"/>
        <w:gridCol w:w="2339"/>
        <w:gridCol w:w="2339"/>
        <w:gridCol w:w="2339"/>
      </w:tblGrid>
      <w:tr w:rsidR="00B621C7">
        <w:trPr>
          <w:tblHeade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Показник</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2023</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2024</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2025</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Активи всього, млрд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346,5</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428,6</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512,3</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Грошові кошти та їх еквіваленти, млрд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65,9</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68,3</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83,1</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Частка грошових коштів та їх еквівалентів в активах,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19,0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16,0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16,0</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Кредити клієнтам, млрд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89,1</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111,1</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128,2</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Частка кредитів клієнтам в активах,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26,0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26,0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25,0</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Цінні папери, млрд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173,4</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227,7</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270,2</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Частка цінних паперів в активах,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50,0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53,0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53,0</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Основні засоби та нематеріальні активи, млрд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12,7</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14,5</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20,7</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Частка основних засобів і нематеріальних активів в активах, %</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4,0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3,0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4,0</w:t>
            </w:r>
          </w:p>
        </w:tc>
      </w:tr>
    </w:tbl>
    <w:p w:rsidR="00B621C7" w:rsidRDefault="005D53F5">
      <w:pPr>
        <w:ind w:firstLine="0"/>
        <w:jc w:val="left"/>
      </w:pPr>
      <w:r>
        <w:rPr>
          <w:i/>
          <w:iCs/>
          <w:sz w:val="24"/>
          <w:szCs w:val="24"/>
        </w:rPr>
        <w:t>Джерело: складено автором за даними консолідованої фінансової звітності АТ «Ощадбанк» за 2023–2025 рр.</w:t>
      </w:r>
    </w:p>
    <w:p w:rsidR="00B621C7" w:rsidRDefault="005D53F5">
      <w:r>
        <w:t>Дані таблиці 2.5 показують, що активи Ощадбанку зросли з 346,5 млрд грн у 2023 р. до 512,3 млрд грн у 2025 р. Домінуючу частку в активах займали цінні па</w:t>
      </w:r>
      <w:r>
        <w:t xml:space="preserve">пери: 50,0 % у 2023 р. та 53,0 % у 2024–2025 рр. Частка кредитів клієнтам </w:t>
      </w:r>
      <w:r>
        <w:lastRenderedPageBreak/>
        <w:t>стабільно становила близько чверті активів. Така структура відображає не лише кредитну функцію банку, а й значущу роль інвестиційних інструментів у розміщенні ресурсів.</w:t>
      </w:r>
    </w:p>
    <w:p w:rsidR="00B621C7" w:rsidRDefault="005D53F5">
      <w:r>
        <w:t>У контексті ц</w:t>
      </w:r>
      <w:r>
        <w:t>ього дослідження дана структура активів уточнює природу впливу монетарного середовища на банк. В умовах високих ставок і підвищеного кредитного ризику Ощадбанк міг підтримувати прийнятний рівень дохідності не лише через кредитування, а й за рахунок портфел</w:t>
      </w:r>
      <w:r>
        <w:t>я цінних паперів. Відтак вплив грошово-кредитної політики реалізовувався не лише через зміну вартості кредитів і депозитів, а й через структуру активів, де значна частка ресурсів спрямовувалась у менш ризикові інструменти з передбачуваною дохідністю.</w:t>
      </w:r>
    </w:p>
    <w:p w:rsidR="00B621C7" w:rsidRDefault="005D53F5">
      <w:r>
        <w:t>Проце</w:t>
      </w:r>
      <w:r>
        <w:t>нтний результат узагальнює фінансовий прояв трансформації монетарного середовища на рівні банку. Зміна процентного середовища позначається на процентних доходах, витратах та чистому процентному доході. Для Ощадбанку цей вплив реалізувався через поєднання к</w:t>
      </w:r>
      <w:r>
        <w:t xml:space="preserve">редитного портфеля, інвестиційних активів і структури </w:t>
      </w:r>
      <w:proofErr w:type="spellStart"/>
      <w:r>
        <w:t>фондування</w:t>
      </w:r>
      <w:proofErr w:type="spellEnd"/>
      <w:r>
        <w:t>.</w:t>
      </w:r>
    </w:p>
    <w:p w:rsidR="00B621C7" w:rsidRDefault="005D53F5">
      <w:pPr>
        <w:keepNext/>
        <w:spacing w:before="120"/>
        <w:ind w:firstLine="0"/>
        <w:jc w:val="right"/>
      </w:pPr>
      <w:r>
        <w:t>Таблиця 2.6</w:t>
      </w:r>
    </w:p>
    <w:p w:rsidR="00B621C7" w:rsidRDefault="005D53F5">
      <w:pPr>
        <w:jc w:val="center"/>
      </w:pPr>
      <w:r>
        <w:t>Процентні доходи, процентні витрати та чистий процентний дохід АТ «Ощадбанк» у 2023–2025 роках</w:t>
      </w:r>
    </w:p>
    <w:tbl>
      <w:tblPr>
        <w:tblStyle w:val="af2"/>
        <w:tblW w:w="9356" w:type="dxa"/>
        <w:jc w:val="center"/>
        <w:tblInd w:w="0" w:type="dxa"/>
        <w:tblLayout w:type="fixed"/>
        <w:tblLook w:val="0400" w:firstRow="0" w:lastRow="0" w:firstColumn="0" w:lastColumn="0" w:noHBand="0" w:noVBand="1"/>
      </w:tblPr>
      <w:tblGrid>
        <w:gridCol w:w="2339"/>
        <w:gridCol w:w="2339"/>
        <w:gridCol w:w="2339"/>
        <w:gridCol w:w="2339"/>
      </w:tblGrid>
      <w:tr w:rsidR="00B621C7">
        <w:trPr>
          <w:tblHeade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Показник</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2023</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2024</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2025</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Процентні доходи,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32 597,0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43 957,4</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53 872,1</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Процентні доходи за кредитами,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13 912,6</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16 275,2</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19 940,3</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Процентні доходи за цінними паперами,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17 795,5</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26 401,1</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32 965,4</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Процентні витрати,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13 867,5</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19 639,4</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22 772,1</w:t>
            </w:r>
          </w:p>
        </w:tc>
      </w:tr>
      <w:tr w:rsidR="00B621C7">
        <w:trP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Чистий процентний дохід,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18 729,5</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24 318,0</w:t>
            </w:r>
          </w:p>
        </w:tc>
        <w:tc>
          <w:tcPr>
            <w:tcW w:w="23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rPr>
                <w:sz w:val="18"/>
                <w:szCs w:val="18"/>
              </w:rPr>
            </w:pPr>
            <w:r>
              <w:rPr>
                <w:sz w:val="22"/>
                <w:szCs w:val="22"/>
              </w:rPr>
              <w:t>31 100,0</w:t>
            </w:r>
          </w:p>
        </w:tc>
      </w:tr>
    </w:tbl>
    <w:p w:rsidR="00B621C7" w:rsidRDefault="005D53F5">
      <w:pPr>
        <w:ind w:firstLine="0"/>
        <w:jc w:val="left"/>
      </w:pPr>
      <w:r>
        <w:rPr>
          <w:i/>
          <w:iCs/>
          <w:sz w:val="24"/>
          <w:szCs w:val="24"/>
        </w:rPr>
        <w:t>Джерело: складено автором за даними консолідованої фінансової звітності АТ «Ощадбанк» за 2023–2025 рр.</w:t>
      </w:r>
    </w:p>
    <w:p w:rsidR="00B621C7" w:rsidRDefault="005D53F5">
      <w:r>
        <w:t>Дані таблиці 2.6 показують, що процентні доходи Ощадбанку зросли з 32 597,0 млн грн у 2023 р</w:t>
      </w:r>
      <w:r>
        <w:t xml:space="preserve">. до 53 872,1 млн грн у 2025 р. Упродовж усього </w:t>
      </w:r>
      <w:r>
        <w:lastRenderedPageBreak/>
        <w:t>аналізованого періоду процентні доходи за цінними паперами перевищували процентні доходи за кредитами. Ця тенденція узгоджується зі структурою активів банку, де значну роль відігравав портфель фінансових інст</w:t>
      </w:r>
      <w:r>
        <w:t>рументів.</w:t>
      </w:r>
    </w:p>
    <w:p w:rsidR="00B621C7" w:rsidRDefault="005D53F5">
      <w:r>
        <w:t xml:space="preserve">Процентні витрати також демонстрували зростання: з 13 867,5 млн грн у 2023 р. до 22 772,1 млн грн у 2025 р. Це відображає підвищення вартості </w:t>
      </w:r>
      <w:proofErr w:type="spellStart"/>
      <w:r>
        <w:t>фондування</w:t>
      </w:r>
      <w:proofErr w:type="spellEnd"/>
      <w:r>
        <w:t xml:space="preserve"> в </w:t>
      </w:r>
      <w:proofErr w:type="spellStart"/>
      <w:r>
        <w:t>умовахвисоких</w:t>
      </w:r>
      <w:proofErr w:type="spellEnd"/>
      <w:r>
        <w:t xml:space="preserve"> ставок і конкуренції за клієнтські ресурси. Разом із тим чистий процентний до</w:t>
      </w:r>
      <w:r>
        <w:t>хід збільшився з 18 729,5 млн грн до 31 100,0 млн грн. Процентне середовище одночасно підтримувало дохідну базу банку й підвищувало вимоги до управління вартістю залучених коштів.</w:t>
      </w:r>
    </w:p>
    <w:p w:rsidR="00B621C7" w:rsidRDefault="005D53F5">
      <w:r>
        <w:t>Зростання чистого процентного доходу не можна пояснити виключно рівнем облік</w:t>
      </w:r>
      <w:r>
        <w:t xml:space="preserve">ової ставки НБУ. Воно стало наслідком взаємодії структури активів, вагомої частки цінних паперів у портфелі, динаміки кредитної діяльності, вартості клієнтських коштів і характеристик </w:t>
      </w:r>
      <w:proofErr w:type="spellStart"/>
      <w:r>
        <w:t>фондування</w:t>
      </w:r>
      <w:proofErr w:type="spellEnd"/>
      <w:r>
        <w:t xml:space="preserve">. Монетарна політика формувала середовище, в межах якого банк </w:t>
      </w:r>
      <w:r>
        <w:t xml:space="preserve">ухвалював рішення щодо розміщення ресурсів і управління процентною </w:t>
      </w:r>
      <w:proofErr w:type="spellStart"/>
      <w:r>
        <w:t>маржею</w:t>
      </w:r>
      <w:proofErr w:type="spellEnd"/>
      <w:r>
        <w:t>.</w:t>
      </w:r>
    </w:p>
    <w:p w:rsidR="00B621C7" w:rsidRDefault="005D53F5">
      <w:pPr>
        <w:pStyle w:val="2"/>
        <w:ind w:firstLine="709"/>
      </w:pPr>
      <w:r>
        <w:t>Висновки до Розділу 2</w:t>
      </w:r>
    </w:p>
    <w:p w:rsidR="00B621C7" w:rsidRDefault="005D53F5">
      <w:r>
        <w:t>У 2023–2025 роках грошово-кредитна політика НБУ впливала на АТ «Ощадбанк» опосередковано, через кілька каналів водночас. Депозитний канал давався взнаки зростанням ресурсної бази, у якій дедалі більше важили кошти до запитання. Кредитний канал поєднав розш</w:t>
      </w:r>
      <w:r>
        <w:t>ирення портфеля з обмеженнями від кредитного ризику та державної підтримки. Ліквідність і процентне середовище вивели на передній план цінні папери й підняли процентні доходи. Інфляційні умови, своєю чергою, перекроїли реальні ставки та поведінку вкладникі</w:t>
      </w:r>
      <w:r>
        <w:t>в і позичальників.</w:t>
      </w:r>
    </w:p>
    <w:p w:rsidR="00B621C7" w:rsidRDefault="005D53F5">
      <w:r>
        <w:t xml:space="preserve">Поведінка Ощадбанку в ці роки була не механічною реакцією на рішення НБУ, а радше пристосуванням державного банку до монетарного середовища. Здобуті результати й стали відправною точкою для напрямів, що вдосконалюють ресурсну, кредитну, </w:t>
      </w:r>
      <w:r>
        <w:t>інвестиційну та процентну політику банку за умов нерівномірної монетарної трансмісії.</w:t>
      </w:r>
    </w:p>
    <w:p w:rsidR="00B621C7" w:rsidRDefault="005D53F5">
      <w:pPr>
        <w:ind w:firstLine="0"/>
      </w:pPr>
      <w:r>
        <w:lastRenderedPageBreak/>
        <w:br/>
      </w:r>
      <w:r>
        <w:br w:type="page"/>
      </w:r>
    </w:p>
    <w:p w:rsidR="00B621C7" w:rsidRDefault="005D53F5">
      <w:pPr>
        <w:ind w:firstLine="0"/>
        <w:jc w:val="center"/>
        <w:rPr>
          <w:b/>
          <w:bCs/>
        </w:rPr>
      </w:pPr>
      <w:r>
        <w:rPr>
          <w:b/>
          <w:bCs/>
        </w:rPr>
        <w:lastRenderedPageBreak/>
        <w:t xml:space="preserve">РОЗДІЛ 3.РОЗВИТОК ІНСТРУМЕНТІВ ГРОШОВО-КРЕДИТНОЇ ПОЛІТИКИ В УМОВАХ РИНКОВОЇ ТРАНСФОРМАЦІЇ УКРАЇНИ  </w:t>
      </w:r>
    </w:p>
    <w:p w:rsidR="00B621C7" w:rsidRDefault="00B621C7">
      <w:pPr>
        <w:ind w:firstLine="0"/>
        <w:jc w:val="center"/>
      </w:pPr>
    </w:p>
    <w:p w:rsidR="00B621C7" w:rsidRDefault="005D53F5">
      <w:pPr>
        <w:jc w:val="left"/>
      </w:pPr>
      <w:r>
        <w:t xml:space="preserve">3.1. Еволюція операційного дизайну грошово-кредитної політики НБУ </w:t>
      </w:r>
      <w:r>
        <w:t>у 2023–2026 роках та оцінка її ефективності</w:t>
      </w:r>
    </w:p>
    <w:p w:rsidR="00B621C7" w:rsidRDefault="00B621C7">
      <w:pPr>
        <w:jc w:val="left"/>
        <w:rPr>
          <w:b/>
          <w:bCs/>
        </w:rPr>
      </w:pPr>
    </w:p>
    <w:p w:rsidR="00B621C7" w:rsidRDefault="00B621C7">
      <w:pPr>
        <w:jc w:val="left"/>
      </w:pPr>
    </w:p>
    <w:p w:rsidR="00B621C7" w:rsidRDefault="005D53F5">
      <w:r>
        <w:t>Аналіз трансмісійних каналів і впливу монетарного середовища на діяльність АТ «Ощадбанк», проведений у другому розділі, виявив стійку асиметрію між операційним і кінцевим рівнями передачі монетарних рішень. Опе</w:t>
      </w:r>
      <w:r>
        <w:t>раційний дизайн грошово-кредитної політики - це практична конфігурація інструментів, через яку Національний банк України забезпечує зв'язок між обліковою ставкою, короткостроковими ставками грошового ринку, рівнем ліквідності банківської системи та очікува</w:t>
      </w:r>
      <w:r>
        <w:t>ннями її учасників. Від того, наскільки ця конфігурація є операційно узгодженою, залежить точність, з якою ключовий процентний сигнал доходить до ринкових ставок і, далі, до фінансових рішень банків, домогосподарств і підприємств. У цьому підрозділі 2026 р</w:t>
      </w:r>
      <w:r>
        <w:t>ік розглядається як період актуалізації оцінки за наявними даними І кварталу 2026 року, без формування окремого річного висновку, оскільки повний звітний період ще не завершено.</w:t>
      </w:r>
    </w:p>
    <w:p w:rsidR="00B621C7" w:rsidRDefault="005D53F5">
      <w:r>
        <w:t>Передумови зміни операційного дизайну сформувалися ще до її запровадження. Піс</w:t>
      </w:r>
      <w:r>
        <w:t>ля повномасштабного вторгнення операційна передача облікової ставки значно послабилася. Банківська система накопичила структурний надлишок ліквідності, основними джерелами якого були бюджетні видатки, зовнішня фінансова допомога та скорочення кредитної акт</w:t>
      </w:r>
      <w:r>
        <w:t>ивності в умовах невизначеності. Надлишок ліквідності означав, що банки не мали потреби залучати ресурси на міжбанківському ринку за ставками, близькими до облікової, тому UONIA систематично відхилялася вниз: у 2022 році абсолютне відхилення UONIA від облі</w:t>
      </w:r>
      <w:r>
        <w:t>кової ставки становило 7,24 відсоткових пунктів, у 2023 році - 4,61 відсоткових пунктів.</w:t>
      </w:r>
    </w:p>
    <w:p w:rsidR="00B621C7" w:rsidRDefault="005D53F5">
      <w:r>
        <w:lastRenderedPageBreak/>
        <w:t>У такому середовищі підвищення облікової ставки впливало на очікування та комунікаційний канал, але не забезпечувало рівного операційного ефекту на рівні грошового рин</w:t>
      </w:r>
      <w:r>
        <w:t xml:space="preserve">ку. Депозитні ставки залишалися істотно нижчими за облікову: у 2022 та 2023 роках депозитний </w:t>
      </w:r>
      <w:proofErr w:type="spellStart"/>
      <w:r>
        <w:t>спред</w:t>
      </w:r>
      <w:proofErr w:type="spellEnd"/>
      <w:r>
        <w:t xml:space="preserve"> перевищував 10 відсоткових пунктів. Кредитний канал, своєю чергою, стримувався не стільки рівнем ставок, скільки кредитним ризиком і структурною обережністю </w:t>
      </w:r>
      <w:r>
        <w:t>банків в умовах воєнних ризиків і зниженої платоспроможності позичальників. У сукупності це означало, що без зміни операційної конфігурації сигнал облікової ставки послаблювався на окремих етапах трансмісії.</w:t>
      </w:r>
    </w:p>
    <w:p w:rsidR="00B621C7" w:rsidRDefault="005D53F5">
      <w:r>
        <w:t>Відповіддю на ці структурні обмеження стала змін</w:t>
      </w:r>
      <w:r>
        <w:t xml:space="preserve">а операційного дизайну у 2023 році. У жовтні 2023 року Національний банк України запровадив модифіковану операційну конфігурацію, у якій ставки за депозитними сертифікатами виконують роль нижньої межі для короткострокових ставок: ринкові ставки мають бути </w:t>
      </w:r>
      <w:r>
        <w:t>близькими до облікової ставки, але не нижчими за неї. Це замінило попередню ситуацію, за якої ринкові ставки могли вільно опускатися значно нижче за ключову ставку, не формуючи реального стримувального монетарного сигналу.</w:t>
      </w:r>
    </w:p>
    <w:p w:rsidR="00B621C7" w:rsidRDefault="005D53F5">
      <w:r>
        <w:t xml:space="preserve">UONIA стала основним операційним </w:t>
      </w:r>
      <w:r>
        <w:t>індикатором. Її стабілізація навколо рівня облікової ставки є критерієм того, наскільки точно Національний банк України забезпечує передачу свого процентного сигналу до короткострокового сегменту грошового ринку. Депозитні сертифікати при цьому виконують п</w:t>
      </w:r>
      <w:r>
        <w:t>одвійну функцію: абсорбують надлишкову ліквідність і формують нижню межу для короткострокових ставок. Завдяки цьому банки мають альтернативу розміщення ресурсів з мінімальним кредитним ризиком за ставкою, яка не може опускатися нижче орієнтиру Національног</w:t>
      </w:r>
      <w:r>
        <w:t>о банку України.</w:t>
      </w:r>
    </w:p>
    <w:p w:rsidR="00B621C7" w:rsidRDefault="005D53F5">
      <w:r>
        <w:t>Найвиразніше нова конфігурація позначилася на процентному каналі. Результат зміни операційного дизайну на рівні короткострокового ринку зафіксований у даних Розділу 2. Абсолютне відхилення UONIA від облікової ставки скоротилося до 0,18 від</w:t>
      </w:r>
      <w:r>
        <w:t xml:space="preserve">соткових пунктів у 2024 році та 0,56 відсоткових пунктів у 2025 році. Це означає, що операційний рівень процентного каналу </w:t>
      </w:r>
      <w:r>
        <w:lastRenderedPageBreak/>
        <w:t>суттєво зміцнів: рішення Національного банку України щодо облікової ставки стали передаватися до короткострокового сегменту грошового</w:t>
      </w:r>
      <w:r>
        <w:t xml:space="preserve"> ринку значно точніше.</w:t>
      </w:r>
    </w:p>
    <w:p w:rsidR="00B621C7" w:rsidRDefault="005D53F5">
      <w:sdt>
        <w:sdtPr>
          <w:tag w:val="goog_rdk_4"/>
          <w:id w:val="237260942"/>
        </w:sdtPr>
        <w:sdtEndPr/>
        <w:sdtContent>
          <w:r>
            <w:rPr>
              <w:rFonts w:ascii="Gungsuh" w:eastAsia="Gungsuh" w:hAnsi="Gungsuh" w:cs="Gungsuh"/>
            </w:rPr>
            <w:t xml:space="preserve">Зміцнення операційного контролю не усунуло, однак, структурних обмежень у депозитному та кредитному сегментах. Депозитна ставка для домогосподарств залишалася нижчою за облікову ставку протягом усього аналізованого періоду, а </w:t>
          </w:r>
          <w:proofErr w:type="spellStart"/>
          <w:r>
            <w:rPr>
              <w:rFonts w:ascii="Gungsuh" w:eastAsia="Gungsuh" w:hAnsi="Gungsuh" w:cs="Gungsuh"/>
            </w:rPr>
            <w:t>спред</w:t>
          </w:r>
          <w:proofErr w:type="spellEnd"/>
          <w:r>
            <w:rPr>
              <w:rFonts w:ascii="Gungsuh" w:eastAsia="Gungsuh" w:hAnsi="Gungsuh" w:cs="Gungsuh"/>
            </w:rPr>
            <w:t xml:space="preserve">, </w:t>
          </w:r>
          <w:r>
            <w:rPr>
              <w:rFonts w:ascii="Gungsuh" w:eastAsia="Gungsuh" w:hAnsi="Gungsuh" w:cs="Gungsuh"/>
            </w:rPr>
            <w:t>хоч і звузився, залишався значним: у 2025 році він становив −4,78 відсоткових пунктів. Кредитні ставки реагували на зміни облікової ставки асиметрично - їх динаміка визначалася не лише ціновим сигналом Національного банку України, а й оцінкою ризику позича</w:t>
          </w:r>
          <w:r>
            <w:rPr>
              <w:rFonts w:ascii="Gungsuh" w:eastAsia="Gungsuh" w:hAnsi="Gungsuh" w:cs="Gungsuh"/>
            </w:rPr>
            <w:t>льників, участю державних програм і структурою попиту на кредити.</w:t>
          </w:r>
        </w:sdtContent>
      </w:sdt>
    </w:p>
    <w:p w:rsidR="00B621C7" w:rsidRDefault="005D53F5">
      <w:r>
        <w:t>Поряд із процентним каналом реформа вплинула й на ліквідність банківської системи. Зміна операційного дизайну не усунула структурного профіциту ліквідності, але надала Національному банку України більш точний інструмент його абсорбції. Депозитні сертифікат</w:t>
      </w:r>
      <w:r>
        <w:t>и стали основним каналом стерилізації: банки розміщували надлишкові ресурси в ці інструменти, отримуючи визначену дохідність і приймаючи на себе мінімальний кредитний ризик. Це, з одного боку, підтримувало контроль над короткостроковими ставками і знижувал</w:t>
      </w:r>
      <w:r>
        <w:t>о ймовірність того, що надлишкова ліквідність посилюватиме інфляційний тиск через споживчий або курсовий канал. З іншого боку, збереження значних обсягів ресурсів в інструментах з мінімальним кредитним ризиком обмежувало фінансові стимули до активнішого кр</w:t>
      </w:r>
      <w:r>
        <w:t>едитування.</w:t>
      </w:r>
    </w:p>
    <w:p w:rsidR="00B621C7" w:rsidRDefault="005D53F5">
      <w:r>
        <w:t xml:space="preserve">В операційній реальності АТ «Ощадбанк» цей інституційний контекст позначався безпосередньо. Портфель цінних паперів займав 50 % активів у 2023 році та 53 % у 2024–2025 роках. Процентні доходи за цінними паперами </w:t>
      </w:r>
      <w:r>
        <w:lastRenderedPageBreak/>
        <w:t>перевищували процентні доходи за</w:t>
      </w:r>
      <w:r>
        <w:t xml:space="preserve"> кредитами протягом усього аналізованого періоду. Ця структура відображає не лише пасивну реакцію банку на монетарне середовище, а й раціональну відповідь на систему стимулів, яку створив операційний дизайн Національного банку України: за умов доступності </w:t>
      </w:r>
      <w:r>
        <w:t>інструментів з мінімальним кредитним ризиком із визначеною дохідністю кредитна експансія за збережених воєнних ризиків і кредитних обмежень не мала однозначного фінансового обґрунтування.</w:t>
      </w:r>
    </w:p>
    <w:p w:rsidR="00B621C7" w:rsidRDefault="005D53F5">
      <w:r>
        <w:t>Паралельно значна роль цінних паперів у структурі активів банку озна</w:t>
      </w:r>
      <w:r>
        <w:t xml:space="preserve">чала, що його процентний результат був чутливим не лише до кредитного попиту, а й до дохідності ринку державних паперів, яка, своєю чергою, залежала від рівня облікової ставки. Зростання чистого процентного доходу АТ «Ощадбанк» - з 18 729,5 млн грн у 2023 </w:t>
      </w:r>
      <w:r>
        <w:t>році до 31 100,0 млн грн у 2025 році - відображало цей зв'язок. Монетарне середовище формувало умови, за яких банк підтримував дохідну базу значною мірою через інвестиційну компоненту активів.</w:t>
      </w:r>
    </w:p>
    <w:p w:rsidR="00B621C7" w:rsidRDefault="005D53F5">
      <w:r>
        <w:t xml:space="preserve">Вплив реформи не обмежувався процентним та </w:t>
      </w:r>
      <w:proofErr w:type="spellStart"/>
      <w:r>
        <w:t>ліквіднісним</w:t>
      </w:r>
      <w:proofErr w:type="spellEnd"/>
      <w:r>
        <w:t xml:space="preserve"> вимірам</w:t>
      </w:r>
      <w:r>
        <w:t>и, а поширювався також на інфляційний і валютний канали. Операційний дизайн не діяв ізольовано від інших елементів монетарної системи. Досягнення інфляційних результатів визначалося поєднанням процентного сигналу, валютно-курсової політики, управління очік</w:t>
      </w:r>
      <w:r>
        <w:t>уваннями та зовнішнього фінансування. Запровадження керованої гнучкості обмінного курсу посилило вплив курсового каналу: стабілізація гривні знижувала девальваційні очікування і обмежувала імпортований складник інфляції. Міжнародні резерви виступали ресурс</w:t>
      </w:r>
      <w:r>
        <w:t>ною базою для підтримання курсової стабільності, а тому їх рівень безпосередньо впливав на спроможність Національного банку України реалізовувати обрану конфігурацію.</w:t>
      </w:r>
    </w:p>
    <w:p w:rsidR="00B621C7" w:rsidRDefault="005D53F5">
      <w:r>
        <w:t>Зниження інфляції у 2023 році до 5,1 % не можна пояснювати лише операційним дизайном проц</w:t>
      </w:r>
      <w:r>
        <w:t>ентного каналу [20]. На це вплинули курсова стабілізація, висока база порівняння 2022 року, надходження зовнішньої допомоги та адаптація логістичних і виробничих ланцюгів. Відновлення інфляційного тиску у 2024 році до 12,0 % за збереженої реальної ставки у</w:t>
      </w:r>
      <w:r>
        <w:t xml:space="preserve"> </w:t>
      </w:r>
      <w:r>
        <w:lastRenderedPageBreak/>
        <w:t>додатній зоні підтверджує: операційна реформа посилила технічну керованість процентного каналу, але не усунула інфляційний вплив немонетарних чинників. Енергетичні обмеження, воєнні витрати, бюджетний дефіцит і фіскальний попит формували інфляційний тиск,</w:t>
      </w:r>
      <w:r>
        <w:t xml:space="preserve"> що не піддавався зниженню виключно через зміну процентного сигналу.</w:t>
      </w:r>
    </w:p>
    <w:p w:rsidR="00B621C7" w:rsidRDefault="005D53F5">
      <w:r>
        <w:t>Попри відчутні позитивні зрушення, операційний дизайн зберіг низку структурних обмежень. Перше з них — неповна депозитна трансмісія: ставка за депозитами домогосподарств не встигала за об</w:t>
      </w:r>
      <w:r>
        <w:t xml:space="preserve">ліковою, і це підточувало стимули до строкового заощадження. Дані АТ «Ощадбанк» це підтверджують — частка строкових депозитів у коштах клієнтів </w:t>
      </w:r>
      <w:proofErr w:type="spellStart"/>
      <w:r>
        <w:t>просіла</w:t>
      </w:r>
      <w:proofErr w:type="spellEnd"/>
      <w:r>
        <w:t xml:space="preserve"> з 33,6 % у 2023 році до 28,3 % у 2025 році, тоді як кошти до запитання піднялися до 71,7 %. Друге обмеже</w:t>
      </w:r>
      <w:r>
        <w:t>ння — асиметрія кредитного каналу: вартість кредитів диктувала не сама облікова ставка, а ще й оцінка ризику, галузева структура позичальників та участь банків у державних програмах. Третє — прив’язаність валютної стабільності до регулярності й обсягу зовн</w:t>
      </w:r>
      <w:r>
        <w:t>ішньої фінансової допомоги, що робить курсовий канал вразливим до зовнішніх змін. Четверте стосується природи державних банків, зокрема Ощадбанку: їхня реакція на монетарне середовище визначається не лише ринковими стимулами, а й мандатом системно важливої</w:t>
      </w:r>
      <w:r>
        <w:t xml:space="preserve"> установи, участю в державних кредитних програмах та обслуговуванням пріоритетних клієнтів поза суто ринковою логікою. Це не знижує аналітичної цінності їхньої поведінки, але вимагає обережності, коли її прямо порівнюють із приватними банками.</w:t>
      </w:r>
    </w:p>
    <w:p w:rsidR="00B621C7" w:rsidRDefault="005D53F5">
      <w:pPr>
        <w:sectPr w:rsidR="00B621C7">
          <w:headerReference w:type="default" r:id="rId14"/>
          <w:footerReference w:type="default" r:id="rId15"/>
          <w:headerReference w:type="first" r:id="rId16"/>
          <w:footerReference w:type="first" r:id="rId17"/>
          <w:pgSz w:w="11906" w:h="16838"/>
          <w:pgMar w:top="1134" w:right="567" w:bottom="1134" w:left="1701" w:header="567" w:footer="567" w:gutter="0"/>
          <w:pgNumType w:start="7"/>
          <w:cols w:space="720"/>
          <w:titlePg/>
        </w:sectPr>
      </w:pPr>
      <w:r>
        <w:t>Узагальнення ключових елементів еволюції операційного дизайну грошово-кредитної політики НБУ та їхнього прояву в банківському секторі наведено в таблиці 3.1, а зведені монетарні показники та показники діяльності банку — у додатках А і Б.</w:t>
      </w:r>
    </w:p>
    <w:p w:rsidR="00B621C7" w:rsidRDefault="005D53F5">
      <w:pPr>
        <w:spacing w:before="120"/>
        <w:ind w:firstLine="0"/>
        <w:jc w:val="right"/>
      </w:pPr>
      <w:r>
        <w:lastRenderedPageBreak/>
        <w:t>Таблиця 3.1</w:t>
      </w:r>
    </w:p>
    <w:p w:rsidR="00B621C7" w:rsidRDefault="005D53F5">
      <w:r>
        <w:t>Еволюц</w:t>
      </w:r>
      <w:r>
        <w:t>ія операційного дизайну грошово-кредитної політики Національного банку України у 2023–2026 роках та її вплив на банківський сектор</w:t>
      </w:r>
    </w:p>
    <w:tbl>
      <w:tblPr>
        <w:tblStyle w:val="af3"/>
        <w:tblW w:w="14568" w:type="dxa"/>
        <w:jc w:val="center"/>
        <w:tblInd w:w="0" w:type="dxa"/>
        <w:tblLayout w:type="fixed"/>
        <w:tblLook w:val="0400" w:firstRow="0" w:lastRow="0" w:firstColumn="0" w:lastColumn="0" w:noHBand="0" w:noVBand="1"/>
      </w:tblPr>
      <w:tblGrid>
        <w:gridCol w:w="2428"/>
        <w:gridCol w:w="2426"/>
        <w:gridCol w:w="2427"/>
        <w:gridCol w:w="2427"/>
        <w:gridCol w:w="2427"/>
        <w:gridCol w:w="2433"/>
      </w:tblGrid>
      <w:tr w:rsidR="00B621C7">
        <w:trPr>
          <w:tblHeade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Елемент операційного дизайну</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Зміст змін у 2023–2026 роках</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Очікуваний монетарний ефект</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Фактичний прояв у банківському секторі</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Обмеження ефективності</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Значення для подальшого вдосконалення</w:t>
            </w:r>
          </w:p>
        </w:tc>
      </w:tr>
      <w:tr w:rsidR="00B621C7">
        <w:trP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Система нижньої межі на основі депозитних сертифікатів</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 жовтня 2023 року Національний банк України перейшов до операційної моделі, у якій ставки за депозитними сертифікатами виконують роль нижн</w:t>
            </w:r>
            <w:r>
              <w:rPr>
                <w:sz w:val="20"/>
                <w:szCs w:val="20"/>
              </w:rPr>
              <w:t>ьої межі для короткострокових ставок; ринкові ставки мають бути близькими до облікової ставки, але не нижчими за неї</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Посилення зв'язку між обліковою ставкою та ринковими короткостроковими ставками; керованість операційного сигналу</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Скорочення абсолютного ві</w:t>
            </w:r>
            <w:r>
              <w:rPr>
                <w:sz w:val="20"/>
                <w:szCs w:val="20"/>
              </w:rPr>
              <w:t>дхилення UONIA від облікової ставки до 0,18 відсоткових пунктів у 2024 році та 0,56 відсоткових пунктів у 2025 році порівняно з 7,24 відсоткових пунктів у 2022 році</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Банки зберігали надлишкову ліквідність; кошти розміщувалися переважно в депозитних сертифік</w:t>
            </w:r>
            <w:r>
              <w:rPr>
                <w:sz w:val="20"/>
                <w:szCs w:val="20"/>
              </w:rPr>
              <w:t>атах, а не в кредитах</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Підтримання операційної керованості при поступовому зменшенні структурного профіциту ліквідності</w:t>
            </w:r>
          </w:p>
        </w:tc>
      </w:tr>
      <w:tr w:rsidR="00B621C7">
        <w:trP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Управління структурним профіцитом ліквідності</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Абсорбція надлишкової ліквідності через депозитні сертифікати Національного банку України як основного інструменту стерилізації</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Зниження інфляційного тиску від надлишкової ліквідності; утримання короткострокових ставок у коридорі</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 xml:space="preserve">У банківській системі </w:t>
            </w:r>
            <w:proofErr w:type="spellStart"/>
            <w:r>
              <w:rPr>
                <w:sz w:val="20"/>
                <w:szCs w:val="20"/>
              </w:rPr>
              <w:t>збер</w:t>
            </w:r>
            <w:r>
              <w:rPr>
                <w:sz w:val="20"/>
                <w:szCs w:val="20"/>
              </w:rPr>
              <w:t>еглася</w:t>
            </w:r>
            <w:proofErr w:type="spellEnd"/>
            <w:r>
              <w:rPr>
                <w:sz w:val="20"/>
                <w:szCs w:val="20"/>
              </w:rPr>
              <w:t xml:space="preserve"> висока частка вкладень у державні цінні папери та депозитні сертифікати; у структурі активів АТ «Ощадбанк» цінні папери займали від 50 до 53 відсотків активів</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Привабливість інструментів з мінімальним кредитним ризиком стримувала активніше кредитуван</w:t>
            </w:r>
            <w:r>
              <w:rPr>
                <w:sz w:val="20"/>
                <w:szCs w:val="20"/>
              </w:rPr>
              <w:t>ня реального сектору</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Потреба в узгодженні інструментів абсорбції ліквідності з цілями поступового відновлення кредитування</w:t>
            </w:r>
          </w:p>
        </w:tc>
      </w:tr>
    </w:tbl>
    <w:p w:rsidR="00B621C7" w:rsidRDefault="005D53F5">
      <w:r>
        <w:br w:type="page"/>
      </w:r>
      <w:r>
        <w:lastRenderedPageBreak/>
        <w:t>Продовження табл. 3.1</w:t>
      </w:r>
    </w:p>
    <w:tbl>
      <w:tblPr>
        <w:tblStyle w:val="af4"/>
        <w:tblW w:w="14568" w:type="dxa"/>
        <w:jc w:val="center"/>
        <w:tblInd w:w="0" w:type="dxa"/>
        <w:tblLayout w:type="fixed"/>
        <w:tblLook w:val="0400" w:firstRow="0" w:lastRow="0" w:firstColumn="0" w:lastColumn="0" w:noHBand="0" w:noVBand="1"/>
      </w:tblPr>
      <w:tblGrid>
        <w:gridCol w:w="2428"/>
        <w:gridCol w:w="2426"/>
        <w:gridCol w:w="2427"/>
        <w:gridCol w:w="2427"/>
        <w:gridCol w:w="2427"/>
        <w:gridCol w:w="2433"/>
      </w:tblGrid>
      <w:tr w:rsidR="00B621C7">
        <w:trPr>
          <w:tblHeade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Елемент операційного дизайну</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Зміст змін у 2023–2026 роках</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Очікуваний монетарний ефект</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Фактичний прояв у банківському секторі</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Обмеження ефективності</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Значення для подальшого вдосконалення</w:t>
            </w:r>
          </w:p>
        </w:tc>
      </w:tr>
      <w:tr w:rsidR="00B621C7">
        <w:trP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Керована гнучкість обмінного курсу та валютні інтервенції</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 2023 року Національний банк України запровадив режим керованої гнучкості, поступово послабляючи жорстку фіксацію курсу при збереженні можливості інтервенцій</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Стабілізація девальваційних очікувань, підтримка довіри до гривні, підтримка міжнародних резервів</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 xml:space="preserve">Зниження девальваційного тиску, підтримання довіри до гривневих інструментів за умов </w:t>
            </w:r>
            <w:proofErr w:type="spellStart"/>
            <w:r>
              <w:rPr>
                <w:sz w:val="20"/>
                <w:szCs w:val="20"/>
              </w:rPr>
              <w:t>контрольованішої</w:t>
            </w:r>
            <w:proofErr w:type="spellEnd"/>
            <w:r>
              <w:rPr>
                <w:sz w:val="20"/>
                <w:szCs w:val="20"/>
              </w:rPr>
              <w:t xml:space="preserve"> курсової динаміки; зменшення стимулу до доларизації ресурсної бази банків</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Валютна стабільність залежала від регулярності надходження міжнародної фінансов</w:t>
            </w:r>
            <w:r>
              <w:rPr>
                <w:sz w:val="20"/>
                <w:szCs w:val="20"/>
              </w:rPr>
              <w:t>ої допомоги</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Формування достатнього буферу резервів для підтримання гнучкості курсової політики в умовах невизначеності</w:t>
            </w:r>
          </w:p>
        </w:tc>
      </w:tr>
      <w:tr w:rsidR="00B621C7">
        <w:trP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Комунікація та управління інфляційними очікуваннями</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Уточнення горизонту досягнення інфляційної цілі, публікація прогнозних траєкторій ставки, регулярний інфляційний звіт Національного банку України</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 xml:space="preserve">Закріплення очікувань навколо інфляційної цілі; зниження </w:t>
            </w:r>
            <w:proofErr w:type="spellStart"/>
            <w:r>
              <w:rPr>
                <w:sz w:val="20"/>
                <w:szCs w:val="20"/>
              </w:rPr>
              <w:t>волатильності</w:t>
            </w:r>
            <w:proofErr w:type="spellEnd"/>
            <w:r>
              <w:rPr>
                <w:sz w:val="20"/>
                <w:szCs w:val="20"/>
              </w:rPr>
              <w:t xml:space="preserve"> ринкових ставок</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Часткове зниження базов</w:t>
            </w:r>
            <w:r>
              <w:rPr>
                <w:sz w:val="20"/>
                <w:szCs w:val="20"/>
              </w:rPr>
              <w:t>ої інфляції з 22,6 відсотка у 2022 році до 4,9 відсотка у 2023 році з наступним зростанням у 2024–2025 роках</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Немонетарні чинники - воєнні, енергетичні, фіскальні - обмежували вплив комунікаційного каналу</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Підвищення регулярності й конкретності комунікації п</w:t>
            </w:r>
            <w:r>
              <w:rPr>
                <w:sz w:val="20"/>
                <w:szCs w:val="20"/>
              </w:rPr>
              <w:t>ро горизонт нормалізації монетарної політики</w:t>
            </w:r>
          </w:p>
        </w:tc>
      </w:tr>
    </w:tbl>
    <w:p w:rsidR="00B621C7" w:rsidRDefault="005D53F5">
      <w:r>
        <w:br w:type="page"/>
      </w:r>
      <w:r>
        <w:lastRenderedPageBreak/>
        <w:t>Продовження табл. 3.1</w:t>
      </w:r>
    </w:p>
    <w:tbl>
      <w:tblPr>
        <w:tblStyle w:val="af5"/>
        <w:tblW w:w="14568" w:type="dxa"/>
        <w:jc w:val="center"/>
        <w:tblInd w:w="0" w:type="dxa"/>
        <w:tblLayout w:type="fixed"/>
        <w:tblLook w:val="0400" w:firstRow="0" w:lastRow="0" w:firstColumn="0" w:lastColumn="0" w:noHBand="0" w:noVBand="1"/>
      </w:tblPr>
      <w:tblGrid>
        <w:gridCol w:w="2428"/>
        <w:gridCol w:w="2426"/>
        <w:gridCol w:w="2427"/>
        <w:gridCol w:w="2427"/>
        <w:gridCol w:w="2427"/>
        <w:gridCol w:w="2433"/>
      </w:tblGrid>
      <w:tr w:rsidR="00B621C7">
        <w:trPr>
          <w:tblHeade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Елемент операційного дизайну</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Зміст змін у 2023–2026 роках</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Очікуваний монетарний ефект</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Фактичний прояв у банківському секторі</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Обмеження ефективності</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Значення для подальшого вдосконалення</w:t>
            </w:r>
          </w:p>
        </w:tc>
      </w:tr>
      <w:tr w:rsidR="00B621C7">
        <w:trP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Облікова ставка як операційний орієнтир</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Облікова ставка залишалася ключовим процентним орієнтиром, але її передача до банківських ставок залежала від ліквідності, кредитного ризику та поведінки банків</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Стримування кред</w:t>
            </w:r>
            <w:r>
              <w:rPr>
                <w:sz w:val="20"/>
                <w:szCs w:val="20"/>
              </w:rPr>
              <w:t>итного попиту; управління реальними ставками; вплив на строковість депозитів</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 xml:space="preserve">Реальна облікова ставка набула додатного значення починаючи з 2023 року; стримувальний ефект підтримувався, але депозитний </w:t>
            </w:r>
            <w:proofErr w:type="spellStart"/>
            <w:r>
              <w:rPr>
                <w:sz w:val="20"/>
                <w:szCs w:val="20"/>
              </w:rPr>
              <w:t>спред</w:t>
            </w:r>
            <w:proofErr w:type="spellEnd"/>
            <w:r>
              <w:rPr>
                <w:sz w:val="20"/>
                <w:szCs w:val="20"/>
              </w:rPr>
              <w:t xml:space="preserve"> залишався значним</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Неповна передача до депозитних і</w:t>
            </w:r>
            <w:r>
              <w:rPr>
                <w:sz w:val="20"/>
                <w:szCs w:val="20"/>
              </w:rPr>
              <w:t xml:space="preserve"> кредитних ставок; асиметрична реакція банків через різну ліквідну позицію</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Обґрунтування траєкторії ставки з урахуванням балансу між стримувальним сигналом і потребами кредитного відновлення</w:t>
            </w:r>
          </w:p>
        </w:tc>
      </w:tr>
    </w:tbl>
    <w:p w:rsidR="00B621C7" w:rsidRDefault="005D53F5">
      <w:pPr>
        <w:ind w:firstLine="0"/>
        <w:jc w:val="left"/>
        <w:sectPr w:rsidR="00B621C7">
          <w:headerReference w:type="default" r:id="rId18"/>
          <w:footerReference w:type="default" r:id="rId19"/>
          <w:headerReference w:type="first" r:id="rId20"/>
          <w:footerReference w:type="first" r:id="rId21"/>
          <w:pgSz w:w="16838" w:h="11906" w:orient="landscape"/>
          <w:pgMar w:top="1134" w:right="567" w:bottom="1134" w:left="1701" w:header="567" w:footer="567" w:gutter="0"/>
          <w:cols w:space="720"/>
        </w:sectPr>
      </w:pPr>
      <w:r>
        <w:rPr>
          <w:i/>
          <w:iCs/>
          <w:sz w:val="24"/>
          <w:szCs w:val="24"/>
        </w:rPr>
        <w:t>Джерело: складено автором за результатами аналізу розділу 2 та офіційних матеріалів Національного банку України.</w:t>
      </w:r>
    </w:p>
    <w:p w:rsidR="00B621C7" w:rsidRDefault="005D53F5">
      <w:r>
        <w:lastRenderedPageBreak/>
        <w:t xml:space="preserve">Еволюція операційного дизайну грошово-кредитної політики Національного банку України у 2023–2026 роках дала змогу суттєво посилити керованість </w:t>
      </w:r>
      <w:r>
        <w:t>короткострокових ставок і точніше транслювати процентний сигнал до короткострокового сегменту грошового ринку. На операційному рівні зміна операційної конфігурації дала вимірюваний ефект: відхилення UONIA від облікової ставки суттєво зменшилося порівняно з</w:t>
      </w:r>
      <w:r>
        <w:t xml:space="preserve"> 2022–2023 роками. На рівні ліквідності депозитні сертифікати стали ефективним інструментом стерилізації надлишкових ресурсів і підтримки нижньої межі короткострокових ставок. Натомість ефективність кінцевої трансмісії - у депозитному та кредитному сегмент</w:t>
      </w:r>
      <w:r>
        <w:t>ах - залишалася частковою. Інфляційний результат залежав від валютної, фіскальної і зовнішньоекономічної складових, а не лише від процентного каналу. На рівні АТ «Ощадбанк» монетарне середовище проявлялося у структурі активів, процентному результаті та хар</w:t>
      </w:r>
      <w:r>
        <w:t xml:space="preserve">актері </w:t>
      </w:r>
      <w:proofErr w:type="spellStart"/>
      <w:r>
        <w:t>фондування</w:t>
      </w:r>
      <w:proofErr w:type="spellEnd"/>
      <w:r>
        <w:t>, що підтверджує опосередковану природу впливу монетарної політики на діяльність державних банків. Виявлені обмеження операційного дизайну формують основу для переходу до підрозділу 3.2, де мають бути визначені напрями вдосконалення інстру</w:t>
      </w:r>
      <w:r>
        <w:t>ментів грошово-кредитної політики з урахуванням структурних особливостей банківської системи та умов воєнного часу.</w:t>
      </w:r>
    </w:p>
    <w:p w:rsidR="00B621C7" w:rsidRDefault="00B621C7"/>
    <w:p w:rsidR="00B621C7" w:rsidRDefault="00B621C7"/>
    <w:p w:rsidR="00B621C7" w:rsidRDefault="005D53F5">
      <w:r>
        <w:t>3.2 Рекомендації щодо вдосконалення інструментів грошово-кредитної політики</w:t>
      </w:r>
    </w:p>
    <w:p w:rsidR="00B621C7" w:rsidRDefault="00B621C7">
      <w:pPr>
        <w:jc w:val="left"/>
      </w:pPr>
    </w:p>
    <w:p w:rsidR="00B621C7" w:rsidRDefault="005D53F5">
      <w:r>
        <w:t>Підрозділ 3.1 виявив п'ять структурних обмежень, які зберігалися протягом 2023–2025 років попри суттєве посилення операційної керованості короткострокових ставок: неповна депозитн</w:t>
      </w:r>
      <w:r>
        <w:t>а трансмісія, асиметричний кредитний канал, структурний профіцит ліквідності як обмежувач кредитування, залежність валютного каналу від зовнішнього фінансування та вплив немонетарних чинників на інфляцію. Кожне з цих обмежень має системний характер і не зн</w:t>
      </w:r>
      <w:r>
        <w:t xml:space="preserve">икає лише внаслідок посилення операційного сигналу. Тому </w:t>
      </w:r>
      <w:r>
        <w:lastRenderedPageBreak/>
        <w:t>напрями, сформульовані у цьому підрозділі, стосуються не зміни монетарного режиму, а налаштування конкретних інструментів грошово-кредитної політики Національного банку України з урахуванням структур</w:t>
      </w:r>
      <w:r>
        <w:t>них особливостей банківської системи та умов воєнного часу.</w:t>
      </w:r>
    </w:p>
    <w:p w:rsidR="00B621C7" w:rsidRDefault="005D53F5">
      <w:r>
        <w:t xml:space="preserve">Першим напрямом є вдосконалення депозитної трансмісії через диференціацію стимулів до строкового </w:t>
      </w:r>
      <w:proofErr w:type="spellStart"/>
      <w:r>
        <w:t>фондування</w:t>
      </w:r>
      <w:proofErr w:type="spellEnd"/>
      <w:r>
        <w:t xml:space="preserve">. Депозитна трансмісія залишалася неповною протягом усього аналізованого періоду. Ставки </w:t>
      </w:r>
      <w:r>
        <w:t>за депозитами домогосподарств у гривні суттєво відставали від облікової ставки, а в АТ «Ощадбанк» частка строкових депозитів у коштах клієнтів знижувалася: з 33,6 % у 2023 році до 28,3 % у 2025 році, тоді як частка коштів до запитання збільшувалася.</w:t>
      </w:r>
    </w:p>
    <w:p w:rsidR="00B621C7" w:rsidRDefault="005D53F5">
      <w:r>
        <w:t>Причин</w:t>
      </w:r>
      <w:r>
        <w:t>а цього явища не лише у поведінці клієнтів, а й у системі стимулів, яку формує операційний дизайн. За умов структурного профіциту ліквідності банки мають можливість розміщувати надлишкові ресурси в інструменти Національного банку України з мінімальним кред</w:t>
      </w:r>
      <w:r>
        <w:t>итним ризиком і визначеною дохідністю, не вдаючись до активного залучення строкових депозитів за конкурентними ставками. Відповідно, стимул до формування стійкої строкової гривневої ресурсної бази залишається обмеженим.</w:t>
      </w:r>
    </w:p>
    <w:p w:rsidR="00B621C7" w:rsidRDefault="005D53F5">
      <w:r>
        <w:t>Напрям удосконалення полягає не в ад</w:t>
      </w:r>
      <w:r>
        <w:t>міністративному встановленні мінімальних депозитних ставок, а в поступовій диференціації параметрів інструментів Національного банку України залежно від строковості ресурсів. Зокрема, доцільно розглянути диференційований підхід до умов доступу банків до ок</w:t>
      </w:r>
      <w:r>
        <w:t>ремих монетарних інструментів з урахуванням того, яку частку строкових гривневих зобов'язань перед клієнтами вони підтримують. Такий підхід не порушує ринкових принципів: він не зобов'язує банки встановлювати конкретні ставки, але формує м'яку інституційну</w:t>
      </w:r>
      <w:r>
        <w:t xml:space="preserve"> перевагу для тих банків, які активніше залучають строкові ресурси.</w:t>
      </w:r>
    </w:p>
    <w:p w:rsidR="00B621C7" w:rsidRDefault="005D53F5">
      <w:r>
        <w:t xml:space="preserve">У структурі </w:t>
      </w:r>
      <w:proofErr w:type="spellStart"/>
      <w:r>
        <w:t>фондування</w:t>
      </w:r>
      <w:proofErr w:type="spellEnd"/>
      <w:r>
        <w:t xml:space="preserve"> АТ «Ощадбанк» це набуває особливого значення: значна частка коштів до запитання підвищує чутливість пасивів до поведінки клієнтів і знижує передбачуваність ресурсної бази. Посилення ролі строкових </w:t>
      </w:r>
      <w:r>
        <w:lastRenderedPageBreak/>
        <w:t xml:space="preserve">депозитів підвищило б стійкість </w:t>
      </w:r>
      <w:proofErr w:type="spellStart"/>
      <w:r>
        <w:t>фонд</w:t>
      </w:r>
      <w:r>
        <w:t>ування</w:t>
      </w:r>
      <w:proofErr w:type="spellEnd"/>
      <w:r>
        <w:t xml:space="preserve"> та сприяло б більш прогнозованому управлінню процентною </w:t>
      </w:r>
      <w:proofErr w:type="spellStart"/>
      <w:r>
        <w:t>маржею</w:t>
      </w:r>
      <w:proofErr w:type="spellEnd"/>
      <w:r>
        <w:t xml:space="preserve"> в умовах нормалізації монетарних умов.</w:t>
      </w:r>
    </w:p>
    <w:p w:rsidR="00B621C7" w:rsidRDefault="005D53F5">
      <w:r>
        <w:t xml:space="preserve">Обмеження реалізації: поведінка вкладників визначається не лише ставковими стимулами. В умовах збереженої воєнної невизначеності та девальваційних </w:t>
      </w:r>
      <w:r>
        <w:t xml:space="preserve">ризиків домогосподарства можуть надавати перевагу ліквідним формам розміщення коштів незалежно від диференціації депозитних ставок. Тому ефект від удосконалення депозитного каналу може проявитися повніше лише за умови загальної стабілізації безпекового та </w:t>
      </w:r>
      <w:r>
        <w:t>інфляційного середовища.</w:t>
      </w:r>
    </w:p>
    <w:p w:rsidR="00B621C7" w:rsidRDefault="005D53F5">
      <w:r>
        <w:t>Другий напрям стосується поступового налаштування інструментів абсорбції ліквідності з урахуванням стану кредитного ринку. У новому операційному дизайні депозитні сертифікати НБУ набули стрижневого значення: саме вони поглинають на</w:t>
      </w:r>
      <w:r>
        <w:t xml:space="preserve">длишок ліквідності і не дозволяють короткостроковим ставкам опускатися нижче за орієнтир. Разом із тим ця ж висока ефективність у ролі абсорбуючого інструменту породжує небажаний побічний ефект - банки отримують </w:t>
      </w:r>
      <w:proofErr w:type="spellStart"/>
      <w:r>
        <w:t>безризикову</w:t>
      </w:r>
      <w:proofErr w:type="spellEnd"/>
      <w:r>
        <w:t xml:space="preserve"> альтернативу кредитуванню, що ст</w:t>
      </w:r>
      <w:r>
        <w:t>римує їхню активність на кредитному ринку.</w:t>
      </w:r>
    </w:p>
    <w:p w:rsidR="00B621C7" w:rsidRDefault="005D53F5">
      <w:r>
        <w:t xml:space="preserve">Суть проблеми не в самому інструменті, а в тому, що за хронічно великого профіциту ліквідності банки мають структурний стимул розміщувати ресурси в абсорбційних інструментах навіть тоді, коли умови для розширення </w:t>
      </w:r>
      <w:r>
        <w:t>кредитування поступово нормалізуються. Адекватною відповіддю на цю ситуацію видається поступова диференціація строковості абсорбційних інструментів: розвиток середньострокових форм поряд із наявними короткостроковими. Це дозволило б банкам планувати розміщ</w:t>
      </w:r>
      <w:r>
        <w:t>ення ліквідності на тривалішому горизонті, не відволікаючи ресурси від потенційного короткострокового кредитування, і водночас дало б Національному банку України ширший діапазон для впливу на криву дохідності.</w:t>
      </w:r>
    </w:p>
    <w:p w:rsidR="00B621C7" w:rsidRDefault="005D53F5">
      <w:r>
        <w:t>Різке скорочення доступу до депозитних сертифі</w:t>
      </w:r>
      <w:r>
        <w:t xml:space="preserve">катів до стабілізації кредитного ринку і зниження кредитного ризику призведе до дестабілізації короткострокових ставок, що є ризиком для операційної керованості, досягнутої у 2023–2025 роках. Налаштування має відбуватися поетапно, відповідаючи </w:t>
      </w:r>
      <w:r>
        <w:lastRenderedPageBreak/>
        <w:t>динаміці реа</w:t>
      </w:r>
      <w:r>
        <w:t>льного відновлення кредитування, а не проводитися як структурна реформа в умовах невизначеності.</w:t>
      </w:r>
    </w:p>
    <w:p w:rsidR="00B621C7" w:rsidRDefault="005D53F5">
      <w:r>
        <w:t>В операційному контексті АТ «Ощадбанк» цей напрям означає поступове зміщення умов, за яких портфель цінних паперів зберігатиме свою роль, але банк отримуватиме</w:t>
      </w:r>
      <w:r>
        <w:t xml:space="preserve"> додаткові стимули до підтримки кредитного зростання в пріоритетних сегментах.</w:t>
      </w:r>
    </w:p>
    <w:p w:rsidR="00B621C7" w:rsidRDefault="005D53F5">
      <w:r>
        <w:t>Третій напрям передбачає посилення кредитного каналу через інструменти умовного рефінансування. Асиметрія кредитного каналу в 2023–2025 роках проявлялася по-різному: кредитні ст</w:t>
      </w:r>
      <w:r>
        <w:t>авки слабо реагували на зміни облікової, а нарощення кредитного портфеля відбувалося переважно не завдяки здешевленню ринкового кредиту, а через державні програми підтримки позичальників. Це не є виключно операційною проблемою - значна частина обмежень пох</w:t>
      </w:r>
      <w:r>
        <w:t>одить із кредитного ризику, воєнної невизначеності та структурної обережності банків щодо позичальників.</w:t>
      </w:r>
    </w:p>
    <w:p w:rsidR="00B621C7" w:rsidRDefault="005D53F5">
      <w:r>
        <w:t xml:space="preserve">Адміністративний тиск на банки з метою розширення кредитування не може бути коректним напрямом рекомендацій, оскільки суперечить ринковій </w:t>
      </w:r>
      <w:proofErr w:type="spellStart"/>
      <w:r>
        <w:t>логіці</w:t>
      </w:r>
      <w:proofErr w:type="spellEnd"/>
      <w:r>
        <w:t xml:space="preserve"> і поте</w:t>
      </w:r>
      <w:r>
        <w:t>нційно погіршує якість кредитного портфеля. Натомість може бути розглянутий розвиток інструментів умовного рефінансування Національного банку України: доступ до частини ліквідності на визначений строк під умовою направлення коштів на кредитування пріоритет</w:t>
      </w:r>
      <w:r>
        <w:t>них секторів - малого та середнього бізнесу, аграрного сектору, відновлення інфраструктури. Поєднання такого рефінансування з гарантійними механізмами Кабінету Міністрів або Фонду розвитку підприємництва дало б змогу частково розподілити кредитний ризик мі</w:t>
      </w:r>
      <w:r>
        <w:t xml:space="preserve">ж банками та спеціалізованими державними інститутами, не порушуючи </w:t>
      </w:r>
      <w:proofErr w:type="spellStart"/>
      <w:r>
        <w:t>пруденційних</w:t>
      </w:r>
      <w:proofErr w:type="spellEnd"/>
      <w:r>
        <w:t xml:space="preserve"> обмежень.</w:t>
      </w:r>
    </w:p>
    <w:p w:rsidR="00B621C7" w:rsidRDefault="005D53F5">
      <w:r>
        <w:t>Такий підхід може застосовуватися лише як прозорий, тимчасовий і забезпечений механізм, який не підміняє бюджетні програми підтримки, не створює прихованого субсидува</w:t>
      </w:r>
      <w:r>
        <w:t>ння та не суперечить пріоритету цінової стабільності.</w:t>
      </w:r>
    </w:p>
    <w:p w:rsidR="00B621C7" w:rsidRDefault="005D53F5">
      <w:r>
        <w:lastRenderedPageBreak/>
        <w:t>АТ «Ощадбанк» має особливий інтерес до цього напряму з огляду на його мандат системно важливої установи. Участь у програмах умовного рефінансування може стати механізмом, через який банк поєднує ринкову</w:t>
      </w:r>
      <w:r>
        <w:t xml:space="preserve"> логіку управління кредитним ризиком із виконанням функції підтримки пріоритетних секторів економіки. Водночас якість відбору позичальників і контроль ризику мають залишатися критеріями, що не підпадають під виняток заради виконання цільових показників кре</w:t>
      </w:r>
      <w:r>
        <w:t>дитування.</w:t>
      </w:r>
    </w:p>
    <w:p w:rsidR="00B621C7" w:rsidRDefault="005D53F5">
      <w:r>
        <w:t xml:space="preserve">Обмеження реалізації: ефективність умовного рефінансування залежить від наявності платоспроможних позичальників і дієвої системи гарантій. В умовах збереженої воєнної невизначеності ці умови є лише частково виконаними, тому масштаб застосування </w:t>
      </w:r>
      <w:r>
        <w:t>цього інструменту в короткостроковій перспективі залишається обмеженим.</w:t>
      </w:r>
    </w:p>
    <w:p w:rsidR="00B621C7" w:rsidRDefault="005D53F5">
      <w:r>
        <w:t>Четвертий напрям спрямований на підвищення стійкості валютного каналу через резервний буфер і передбачуване внутрішнє фінансування. Валютна стабільність у 2023–2025 роках підтримувалас</w:t>
      </w:r>
      <w:r>
        <w:t>я через поєднання керованої гнучкості обмінного курсу та валютних інтервенцій, ресурсною базою яких слугували міжнародні резерви. Водночас рівень резервів значною мірою визначався регулярністю надходження міжнародної фінансової допомоги, що робило валютний</w:t>
      </w:r>
      <w:r>
        <w:t xml:space="preserve"> канал залежним від зовнішнього чинника, який не підлягає операційному управлінню Національним банком України.</w:t>
      </w:r>
    </w:p>
    <w:p w:rsidR="00B621C7" w:rsidRDefault="005D53F5">
      <w:r>
        <w:t>Напрям удосконалення полягає не у відмові від гнучкості курсу чи швидкій лібералізації валютного режиму, а у збереженні і поступовому нарощенні р</w:t>
      </w:r>
      <w:r>
        <w:t>езервного буфера та підвищенні передбачуваності внутрішнього боргового фінансування. Розвиток ліквідності внутрішнього ринку ОВДП і розширення його строковості може опосередковано підтримувати валютну стійкість через зменшення фіскального тиску, підвищення</w:t>
      </w:r>
      <w:r>
        <w:t xml:space="preserve"> передбачуваності внутрішніх запозичень і зниження залежності бюджетного фінансування від короткострокових зовнішніх надходжень. Це не означає прямого впливу ринку ОВДП на формування міжнародних резервів, але сприяє загальній стабілізації умов, у яких валю</w:t>
      </w:r>
      <w:r>
        <w:t>тна політика реалізується.</w:t>
      </w:r>
    </w:p>
    <w:p w:rsidR="00B621C7" w:rsidRDefault="005D53F5">
      <w:r>
        <w:lastRenderedPageBreak/>
        <w:t>Обережна курсова гнучкість, яка вже реалізується Національним банком України, є виправданою конфігурацією в умовах збереженої невизначеності. Вона дозволяє поступово абсорбувати зовнішні шоки без різких курсових стрибків, що дест</w:t>
      </w:r>
      <w:r>
        <w:t>абілізували б очікування. Планування валютних інтервенцій з урахуванням актуального стану резервного буфера зміцнює передбачуваність курсової політики і знижує ризик того, що тимчасова затримка зовнішньої допомоги спричинить непропорційну курсову реакцію.</w:t>
      </w:r>
    </w:p>
    <w:p w:rsidR="00B621C7" w:rsidRDefault="005D53F5">
      <w:r>
        <w:t xml:space="preserve">Для банків, зокрема для АТ «Ощадбанк», підвищення стійкості валютного каналу знижує ризик курсової </w:t>
      </w:r>
      <w:proofErr w:type="spellStart"/>
      <w:r>
        <w:t>волатильності</w:t>
      </w:r>
      <w:proofErr w:type="spellEnd"/>
      <w:r>
        <w:t>, що безпосередньо впливає на управління валютною позицією і дохідністю інвестиційного портфеля.</w:t>
      </w:r>
    </w:p>
    <w:p w:rsidR="00B621C7" w:rsidRDefault="005D53F5">
      <w:r>
        <w:t>П’ятий напрям полягає в посиленні координації м</w:t>
      </w:r>
      <w:r>
        <w:t xml:space="preserve">онетарної та фіскальної політики. Аналіз інфляційних показників у Розділі 2 підтвердив, що частина інфляційного тиску мала немонетарну природу: воєнні руйнування, енергетичні обмеження, логістичні витрати та бюджетні видатки формували цінову динаміку, яка </w:t>
      </w:r>
      <w:r>
        <w:t>не піддавалася нейтралізації виключно через процентний сигнал. Це означає, що ефективність грошово-кредитної політики в досягненні інфляційної цілі залежить не лише від операційного дизайну Національного банку України, а й від того, наскільки фіскальна пол</w:t>
      </w:r>
      <w:r>
        <w:t>ітика узгоджена з монетарними умовами.</w:t>
      </w:r>
    </w:p>
    <w:p w:rsidR="00B621C7" w:rsidRDefault="005D53F5">
      <w:r>
        <w:t>Незалежність Національного банку України при цьому не ставиться під сумнів. Координація не означає підпорядкування монетарних рішень фіскальним цілям. Вона означає інформаційний і методологічний обмін між Національним</w:t>
      </w:r>
      <w:r>
        <w:t xml:space="preserve"> банком України і Міністерством фінансів щодо горизонту прогнозованих видатків, їхнього впливу на ліквідність банківської системи та часткове узгодження часових параметрів внутрішніх запозичень із операційними потребами регулювання ліквідності. Зокрема, си</w:t>
      </w:r>
      <w:r>
        <w:t xml:space="preserve">нхронізація графіків розміщення ОВДП із потребами Національного банку України в абсорбції ліквідності дає змогу уникнути ситуацій, коли бюджетні операції посилюють короткострокову </w:t>
      </w:r>
      <w:proofErr w:type="spellStart"/>
      <w:r>
        <w:t>волатильність</w:t>
      </w:r>
      <w:proofErr w:type="spellEnd"/>
      <w:r>
        <w:t xml:space="preserve"> ставок.</w:t>
      </w:r>
    </w:p>
    <w:p w:rsidR="00B621C7" w:rsidRDefault="005D53F5">
      <w:r>
        <w:lastRenderedPageBreak/>
        <w:t>Додатковим інструментом координації є підвищення конкр</w:t>
      </w:r>
      <w:r>
        <w:t>етності комунікації Національного банку України щодо горизонту повернення інфляції до цілі та очікуваної траєкторії облікової ставки в умовах наявного поєднання монетарних і немонетарних чинників. Чітка комунікаційна рамка допомагає банкам, підприємствам і</w:t>
      </w:r>
      <w:r>
        <w:t xml:space="preserve"> домогосподарствам формувати очікування, узгоджені з монетарною ціллю, навіть якщо поточний рівень інфляції перевищує 5 %.</w:t>
      </w:r>
    </w:p>
    <w:p w:rsidR="00B621C7" w:rsidRDefault="005D53F5">
      <w:r>
        <w:t>Посилення координації позначається на АТ «Ощадбанк» насамперед на передбачуваності процентного середовища: прозоріша траєкторія ставк</w:t>
      </w:r>
      <w:r>
        <w:t>и і стабільніші очікування щодо інфляції полегшують планування процентної маржі та строковість залучення ресурсів.</w:t>
      </w:r>
    </w:p>
    <w:p w:rsidR="00B621C7" w:rsidRDefault="005D53F5">
      <w:pPr>
        <w:sectPr w:rsidR="00B621C7">
          <w:headerReference w:type="default" r:id="rId22"/>
          <w:footerReference w:type="default" r:id="rId23"/>
          <w:headerReference w:type="first" r:id="rId24"/>
          <w:footerReference w:type="first" r:id="rId25"/>
          <w:pgSz w:w="11906" w:h="16838"/>
          <w:pgMar w:top="1134" w:right="567" w:bottom="1134" w:left="1701" w:header="567" w:footer="567" w:gutter="0"/>
          <w:cols w:space="720"/>
        </w:sectPr>
      </w:pPr>
      <w:r>
        <w:t>Узагальнення ключових напрямів удосконалення інструментів грошово-кредитної політики наведено в таблиці 3.2.</w:t>
      </w:r>
    </w:p>
    <w:p w:rsidR="00B621C7" w:rsidRDefault="005D53F5">
      <w:pPr>
        <w:spacing w:before="120"/>
        <w:ind w:firstLine="0"/>
        <w:jc w:val="right"/>
      </w:pPr>
      <w:r>
        <w:lastRenderedPageBreak/>
        <w:t>Таблиця 3.2</w:t>
      </w:r>
    </w:p>
    <w:p w:rsidR="00B621C7" w:rsidRDefault="005D53F5">
      <w:r>
        <w:t>Напрями вдосконалення інструментів грошово-кредитної політики Національного банку України</w:t>
      </w:r>
    </w:p>
    <w:tbl>
      <w:tblPr>
        <w:tblStyle w:val="af6"/>
        <w:tblW w:w="14568" w:type="dxa"/>
        <w:jc w:val="center"/>
        <w:tblInd w:w="0" w:type="dxa"/>
        <w:tblLayout w:type="fixed"/>
        <w:tblLook w:val="0400" w:firstRow="0" w:lastRow="0" w:firstColumn="0" w:lastColumn="0" w:noHBand="0" w:noVBand="1"/>
      </w:tblPr>
      <w:tblGrid>
        <w:gridCol w:w="2428"/>
        <w:gridCol w:w="2426"/>
        <w:gridCol w:w="2427"/>
        <w:gridCol w:w="2427"/>
        <w:gridCol w:w="2427"/>
        <w:gridCol w:w="2433"/>
      </w:tblGrid>
      <w:tr w:rsidR="00B621C7">
        <w:trPr>
          <w:tblHeade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Проблема, визначена у підрозділі 3.1</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Напрям у</w:t>
            </w:r>
            <w:r>
              <w:rPr>
                <w:b/>
                <w:bCs/>
                <w:sz w:val="20"/>
                <w:szCs w:val="20"/>
              </w:rPr>
              <w:t>досконалення</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Інструмент реалізації</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Очікуваний ефект</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Обмеження реалізації</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Значення для банківського сектору та АТ «Ощадбанк»</w:t>
            </w:r>
          </w:p>
        </w:tc>
      </w:tr>
      <w:tr w:rsidR="00B621C7">
        <w:trP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Неповна депозитна трансмісія; зниження частки строкових депозитів</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Диференціація стимулів до формування строкової гривневої ресурсної бази</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Диференційовані умови доступу банків до окремих монетарних інструментів залежно від частки строкових зобов'язань перед клієнтами</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 xml:space="preserve">Посилення строкового </w:t>
            </w:r>
            <w:proofErr w:type="spellStart"/>
            <w:r>
              <w:rPr>
                <w:sz w:val="20"/>
                <w:szCs w:val="20"/>
              </w:rPr>
              <w:t>фондування</w:t>
            </w:r>
            <w:proofErr w:type="spellEnd"/>
            <w:r>
              <w:rPr>
                <w:sz w:val="20"/>
                <w:szCs w:val="20"/>
              </w:rPr>
              <w:t xml:space="preserve"> банків; підвищення пере</w:t>
            </w:r>
            <w:r>
              <w:rPr>
                <w:sz w:val="20"/>
                <w:szCs w:val="20"/>
              </w:rPr>
              <w:t>дачі процентного сигналу до депозитних ставок</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Поведінка вкладників визначається не лише ставками; вплив обмежений в умовах збереженої воєнної невизначеності</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 xml:space="preserve">Підвищення передбачуваності ресурсної бази АТ «Ощадбанк»; зниження частки коштів до запитання у </w:t>
            </w:r>
            <w:proofErr w:type="spellStart"/>
            <w:r>
              <w:rPr>
                <w:sz w:val="20"/>
                <w:szCs w:val="20"/>
              </w:rPr>
              <w:t>фон</w:t>
            </w:r>
            <w:r>
              <w:rPr>
                <w:sz w:val="20"/>
                <w:szCs w:val="20"/>
              </w:rPr>
              <w:t>дуванні</w:t>
            </w:r>
            <w:proofErr w:type="spellEnd"/>
          </w:p>
        </w:tc>
      </w:tr>
      <w:tr w:rsidR="00B621C7">
        <w:trP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Структурний профіцит ліквідності як обмежувач кредитного стимулу</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Поступова диференціація строковості абсорбційних інструментів</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Розвиток середньострокових форм абсорбції ліквідності поряд із наявними короткостроковими депозитними сертифікатами</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Ширший діапазон впливу на криву дохідності; поступове зменшення тиску ліквідності на короткостроковий сегмент</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Ризик дестабілізації короткострокових ставок за передчасного скорочення обсягів короткострокових абсорбційних інструментів</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Поетапне зміщення структури активів банків у напрямі кредитування без різкого викривлення стимулів</w:t>
            </w:r>
          </w:p>
        </w:tc>
      </w:tr>
    </w:tbl>
    <w:p w:rsidR="00B621C7" w:rsidRDefault="005D53F5">
      <w:r>
        <w:br w:type="page"/>
      </w:r>
      <w:r>
        <w:lastRenderedPageBreak/>
        <w:t>Продовження табл. 3.2</w:t>
      </w:r>
    </w:p>
    <w:tbl>
      <w:tblPr>
        <w:tblStyle w:val="af7"/>
        <w:tblW w:w="14568" w:type="dxa"/>
        <w:jc w:val="center"/>
        <w:tblInd w:w="0" w:type="dxa"/>
        <w:tblLayout w:type="fixed"/>
        <w:tblLook w:val="0400" w:firstRow="0" w:lastRow="0" w:firstColumn="0" w:lastColumn="0" w:noHBand="0" w:noVBand="1"/>
      </w:tblPr>
      <w:tblGrid>
        <w:gridCol w:w="2428"/>
        <w:gridCol w:w="2426"/>
        <w:gridCol w:w="2427"/>
        <w:gridCol w:w="2427"/>
        <w:gridCol w:w="2427"/>
        <w:gridCol w:w="2433"/>
      </w:tblGrid>
      <w:tr w:rsidR="00B621C7">
        <w:trPr>
          <w:tblHeade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 xml:space="preserve">Проблема, </w:t>
            </w:r>
            <w:r>
              <w:rPr>
                <w:b/>
                <w:bCs/>
                <w:sz w:val="20"/>
                <w:szCs w:val="20"/>
              </w:rPr>
              <w:t>визначена у підрозділі 3.1</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Напрям удосконалення</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Інструмент реалізації</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Очікуваний ефект</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Обмеження реалізації</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Значення для банківського сектору та АТ «Ощадбанк»</w:t>
            </w:r>
          </w:p>
        </w:tc>
      </w:tr>
      <w:tr w:rsidR="00B621C7">
        <w:trP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Асиметричний кредитний канал; залежність кредитування від державних програм</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Розвиток інструментів умовного рефінансування під кредитування пріоритетних секторів як прозорого і тимчасового механізму</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Цільове рефінансування Національного банку України в поєдн</w:t>
            </w:r>
            <w:r>
              <w:rPr>
                <w:sz w:val="20"/>
                <w:szCs w:val="20"/>
              </w:rPr>
              <w:t>анні з гарантійними механізмами державних інститутів; контроль якості кредитного портфеля</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Розширення кредитування без адміністративного тиску; частковий розподіл кредитного ризику між банками та спеціалізованими державними інститутами без прихованого субси</w:t>
            </w:r>
            <w:r>
              <w:rPr>
                <w:sz w:val="20"/>
                <w:szCs w:val="20"/>
              </w:rPr>
              <w:t>дування</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Обмежена платоспроможність позичальників і нерозвиненість гарантійних механізмів в умовах воєнного стану</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Для АТ «Ощадбанк» - поєднання ринкової логіки кредитного ризику з виконанням мандата системно важливого банку</w:t>
            </w:r>
          </w:p>
        </w:tc>
      </w:tr>
      <w:tr w:rsidR="00B621C7">
        <w:trP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Залежність валютного каналу від зовнішнього фінансування</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Підтримання резервного буфера та підвищення передбачуваності внутрішнього боргового фінансування</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Розвиток ліквідності внутрішнього ринку ОВДП; збереження обережної курсової гнучкості; планування валю</w:t>
            </w:r>
            <w:r>
              <w:rPr>
                <w:sz w:val="20"/>
                <w:szCs w:val="20"/>
              </w:rPr>
              <w:t>тних інтервенцій з урахуванням резервного буфера</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Зменшення тиску на валютний канал через кращу передбачуваність фіскального фінансування та резервної політики</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Залежність від продовження зовнішньої фінансової підтримки у короткостроковій перспективі</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Зниженн</w:t>
            </w:r>
            <w:r>
              <w:rPr>
                <w:sz w:val="20"/>
                <w:szCs w:val="20"/>
              </w:rPr>
              <w:t>я курсового ризику для валютної позиції банків та інвестиційних портфелів</w:t>
            </w:r>
          </w:p>
        </w:tc>
      </w:tr>
    </w:tbl>
    <w:p w:rsidR="00B621C7" w:rsidRDefault="005D53F5">
      <w:r>
        <w:br w:type="page"/>
      </w:r>
      <w:r>
        <w:lastRenderedPageBreak/>
        <w:t>Продовження табл. 3.2</w:t>
      </w:r>
    </w:p>
    <w:tbl>
      <w:tblPr>
        <w:tblStyle w:val="af8"/>
        <w:tblW w:w="14568" w:type="dxa"/>
        <w:jc w:val="center"/>
        <w:tblInd w:w="0" w:type="dxa"/>
        <w:tblLayout w:type="fixed"/>
        <w:tblLook w:val="0400" w:firstRow="0" w:lastRow="0" w:firstColumn="0" w:lastColumn="0" w:noHBand="0" w:noVBand="1"/>
      </w:tblPr>
      <w:tblGrid>
        <w:gridCol w:w="2428"/>
        <w:gridCol w:w="2426"/>
        <w:gridCol w:w="2427"/>
        <w:gridCol w:w="2427"/>
        <w:gridCol w:w="2427"/>
        <w:gridCol w:w="2433"/>
      </w:tblGrid>
      <w:tr w:rsidR="00B621C7">
        <w:trPr>
          <w:tblHeade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Проблема, визначена у підрозділі 3.1</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Напрям удосконалення</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Інструмент реалізації</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Очікуваний ефект</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Обмеження реалізації</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b/>
                <w:bCs/>
                <w:sz w:val="20"/>
                <w:szCs w:val="20"/>
              </w:rPr>
              <w:t>Значення для банківського сектору та АТ «Ощадбанк»</w:t>
            </w:r>
          </w:p>
        </w:tc>
      </w:tr>
      <w:tr w:rsidR="00B621C7">
        <w:trPr>
          <w:jc w:val="center"/>
        </w:trPr>
        <w:tc>
          <w:tcPr>
            <w:tcW w:w="2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Немонетарні чинники інфляції поза зоною впливу операційного дизайну</w:t>
            </w:r>
          </w:p>
        </w:tc>
        <w:tc>
          <w:tcPr>
            <w:tcW w:w="2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Посилення координації між Національним банком України та Міністерством фінансів; підвищення конкретності комунікації</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Синхронізація графі</w:t>
            </w:r>
            <w:r>
              <w:rPr>
                <w:sz w:val="20"/>
                <w:szCs w:val="20"/>
              </w:rPr>
              <w:t xml:space="preserve">ків розміщення ОВДП з операційними потребами регулювання ліквідності; чітке </w:t>
            </w:r>
            <w:proofErr w:type="spellStart"/>
            <w:r>
              <w:rPr>
                <w:sz w:val="20"/>
                <w:szCs w:val="20"/>
              </w:rPr>
              <w:t>комунікування</w:t>
            </w:r>
            <w:proofErr w:type="spellEnd"/>
            <w:r>
              <w:rPr>
                <w:sz w:val="20"/>
                <w:szCs w:val="20"/>
              </w:rPr>
              <w:t xml:space="preserve"> траєкторії облікової ставки</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Зменшення суперечностей між монетарними та фіскальними імпульсами; формування більш стійких інфляційних очікувань</w:t>
            </w:r>
          </w:p>
        </w:tc>
        <w:tc>
          <w:tcPr>
            <w:tcW w:w="24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Координація потребує інс</w:t>
            </w:r>
            <w:r>
              <w:rPr>
                <w:sz w:val="20"/>
                <w:szCs w:val="20"/>
              </w:rPr>
              <w:t>титуційної узгодженості; не підмінює незалежності Національного банку України</w:t>
            </w:r>
          </w:p>
        </w:tc>
        <w:tc>
          <w:tcPr>
            <w:tcW w:w="24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621C7" w:rsidRDefault="005D53F5">
            <w:pPr>
              <w:spacing w:line="240" w:lineRule="auto"/>
              <w:ind w:firstLine="0"/>
              <w:jc w:val="center"/>
            </w:pPr>
            <w:r>
              <w:rPr>
                <w:sz w:val="20"/>
                <w:szCs w:val="20"/>
              </w:rPr>
              <w:t>Підвищення передбачуваності процентного середовища для банків; полегшення планування процентної маржі для АТ «Ощадбанк»</w:t>
            </w:r>
          </w:p>
        </w:tc>
      </w:tr>
    </w:tbl>
    <w:p w:rsidR="00B621C7" w:rsidRDefault="005D53F5">
      <w:pPr>
        <w:ind w:firstLine="0"/>
        <w:jc w:val="left"/>
        <w:sectPr w:rsidR="00B621C7">
          <w:headerReference w:type="default" r:id="rId26"/>
          <w:footerReference w:type="default" r:id="rId27"/>
          <w:headerReference w:type="first" r:id="rId28"/>
          <w:footerReference w:type="first" r:id="rId29"/>
          <w:pgSz w:w="16838" w:h="11906" w:orient="landscape"/>
          <w:pgMar w:top="1134" w:right="567" w:bottom="1134" w:left="1701" w:header="567" w:footer="567" w:gutter="0"/>
          <w:cols w:space="720"/>
        </w:sectPr>
      </w:pPr>
      <w:r>
        <w:rPr>
          <w:i/>
          <w:iCs/>
          <w:sz w:val="24"/>
          <w:szCs w:val="24"/>
        </w:rPr>
        <w:t>Джерело: складено автором за результатами аналізу підрозділу 3.1.</w:t>
      </w:r>
    </w:p>
    <w:p w:rsidR="00B621C7" w:rsidRDefault="005D53F5">
      <w:r>
        <w:lastRenderedPageBreak/>
        <w:t>Запропоновані напрями не передбачають зміни базового монетарного режиму або відмови від досягнутих результатів операційного дизайну. Вони спрямовані на пом'якшення структурних обмежень, що зберігаються всередині чинної конфігурації: неповноти депозитної тр</w:t>
      </w:r>
      <w:r>
        <w:t>ансмісії, обмеженості кредитного стимулу за умов структурного профіциту ліквідності, вразливості валютного каналу та недостатньої координації монетарного і фіскального імпульсів. Реалізація цих напрямів має поступовий характер і залежить від динаміки безпе</w:t>
      </w:r>
      <w:r>
        <w:t>кового, фіскального та макроекономічного середовища. Для банківського сектору загалом і для АТ «Ощадбанк» зокрема вдосконалення операційного налаштування інструментів Національного банку України означає поступовий перехід до монетарного середовища, у якому</w:t>
      </w:r>
      <w:r>
        <w:t xml:space="preserve"> сигнал облікової ставки передається більш повно на всіх рівнях трансмісії - від короткострокового ринку до депозитних і кредитних ставок. Ступінь і темп цього переходу залежатимуть від умов, що визначатимуться не лише монетарними рішеннями, а й загальною </w:t>
      </w:r>
      <w:r>
        <w:t>траєкторією відновлення економіки України.</w:t>
      </w:r>
    </w:p>
    <w:p w:rsidR="00B621C7" w:rsidRDefault="00B621C7"/>
    <w:p w:rsidR="00B621C7" w:rsidRDefault="00B621C7"/>
    <w:p w:rsidR="00B621C7" w:rsidRDefault="005D53F5">
      <w:r>
        <w:t>3.3 Очікувані результати реалізації рекомендацій та їх вплив на банківську систему і діяльність АТ «Ощадбанк»</w:t>
      </w:r>
    </w:p>
    <w:p w:rsidR="00B621C7" w:rsidRDefault="00B621C7">
      <w:pPr>
        <w:jc w:val="left"/>
        <w:rPr>
          <w:b/>
          <w:bCs/>
        </w:rPr>
      </w:pPr>
    </w:p>
    <w:p w:rsidR="00B621C7" w:rsidRDefault="00B621C7">
      <w:pPr>
        <w:jc w:val="left"/>
      </w:pPr>
    </w:p>
    <w:p w:rsidR="00B621C7" w:rsidRDefault="005D53F5">
      <w:r>
        <w:t>Практичне значення рекомендацій, сформульованих у підрозділі 3.2, полягає у визначенні умов, за яких чинна операційна конфігурація грошово-креди</w:t>
      </w:r>
      <w:r>
        <w:t>тної політики може забезпечувати повнішу трансмісію монетарного сигналу до банківської системи. Попередній аналіз виявив: навіть після посилення операційного контролю над короткостроковими ставками структурні обмеження депозитного, кредитного, валютного та</w:t>
      </w:r>
      <w:r>
        <w:t xml:space="preserve"> інфляційного каналів збереглися. Тому оцінка очікуваних результатів має стосуватися не формального впровадження окремих заходів, а їх здатності змінити поведінкові стимули банків, підвищити передбачуваність ресурсної бази, зменшити розрив між </w:t>
      </w:r>
      <w:r>
        <w:lastRenderedPageBreak/>
        <w:t xml:space="preserve">ліквідністю </w:t>
      </w:r>
      <w:r>
        <w:t>банківської системи та кредитною активністю, а також посилити стійкість монетарного середовища в умовах воєнної невизначеності.</w:t>
      </w:r>
    </w:p>
    <w:p w:rsidR="00B621C7" w:rsidRDefault="005D53F5">
      <w:r>
        <w:t>Реалізація рекомендацій щодо удосконалення депозитної трансмісії може дати результат у вигляді поступового посилення ролі строко</w:t>
      </w:r>
      <w:r>
        <w:t xml:space="preserve">вого гривневого </w:t>
      </w:r>
      <w:proofErr w:type="spellStart"/>
      <w:r>
        <w:t>фондування</w:t>
      </w:r>
      <w:proofErr w:type="spellEnd"/>
      <w:r>
        <w:t xml:space="preserve">. Для банківської системи це означає зниження залежності від коротких залишків клієнтів і формування стабільнішої структури пасивів. Такий ефект не пов’язаний з адміністративним встановленням депозитних ставок. Його зміст полягає </w:t>
      </w:r>
      <w:r>
        <w:t>у зміні інституційних стимулів, за яких банки отримують більше підстав конкурувати за строкові ресурси та враховувати їхню роль у власній ліквідній позиції. За таких умов процентні рішення Національного банку України можуть повніше відображатися не лише на</w:t>
      </w:r>
      <w:r>
        <w:t xml:space="preserve"> короткостроковому грошовому ринку, а й у депозитній політиці банків.</w:t>
      </w:r>
    </w:p>
    <w:p w:rsidR="00B621C7" w:rsidRDefault="005D53F5">
      <w:r>
        <w:t xml:space="preserve">Для АТ «Ощадбанк» очікуваний результат цього напряму полягає у підвищенні передбачуваності ресурсної бази. Значна роль коштів до запитання має перевагу з погляду вартості </w:t>
      </w:r>
      <w:proofErr w:type="spellStart"/>
      <w:r>
        <w:t>фондування</w:t>
      </w:r>
      <w:proofErr w:type="spellEnd"/>
      <w:r>
        <w:t>, одн</w:t>
      </w:r>
      <w:r>
        <w:t>ак така структура посилює чутливість пасивів до поведінки клієнтів, інфляційних очікувань і курсових ризиків. Якщо монетарні інструменти створюватимуть додаткові стимули до підтримання строкових гривневих зобов’язань, банк зможе точніше планувати процентні</w:t>
      </w:r>
      <w:r>
        <w:t xml:space="preserve"> витрати, строкову структуру активів і ліквідну позицію. Це не означає швидкої зміни структури </w:t>
      </w:r>
      <w:proofErr w:type="spellStart"/>
      <w:r>
        <w:t>фондування</w:t>
      </w:r>
      <w:proofErr w:type="spellEnd"/>
      <w:r>
        <w:t>, оскільки поведінка вкладників залежить від довіри до гривні, безпекової ситуації та потреби домогосподарств у ліквідності. Проте навіть поступове збі</w:t>
      </w:r>
      <w:r>
        <w:t>льшення ролі строкових ресурсів може підвищити стійкість процентної політики банку.</w:t>
      </w:r>
    </w:p>
    <w:p w:rsidR="00B621C7" w:rsidRDefault="005D53F5">
      <w:r>
        <w:t>Очікуваний вплив удосконалення інструментів абсорбції ліквідності має подвійний характер. З одного боку, банківська система потребує збереження операційної керованості коро</w:t>
      </w:r>
      <w:r>
        <w:t xml:space="preserve">ткострокових ставок, оскільки саме вона забезпечує первинну передачу процентного сигналу. З іншого боку, надмірна привабливість інструментів із мінімальним кредитним ризиком може закріплювати модель, за якої надлишкова ліквідність переважно розміщується у </w:t>
      </w:r>
      <w:r>
        <w:t xml:space="preserve">безпечні активи, а не спрямовується на кредитування. Тому практичний </w:t>
      </w:r>
      <w:r>
        <w:lastRenderedPageBreak/>
        <w:t>результат запропонованого налаштування полягає не у скороченні ролі депозитних сертифікатів як таких, а у поступовому врівноваженні їх функції стерилізації з потребою відновлення кредитно</w:t>
      </w:r>
      <w:r>
        <w:t>ї активності.</w:t>
      </w:r>
    </w:p>
    <w:p w:rsidR="00B621C7" w:rsidRDefault="005D53F5">
      <w:r>
        <w:t xml:space="preserve">Банківська система отримала б від цього поступову переорієнтацію на більш збалансовану структуру активів. Банки зберігатимуть можливість розміщувати ліквідність у </w:t>
      </w:r>
      <w:proofErr w:type="spellStart"/>
      <w:r>
        <w:t>низькоризикові</w:t>
      </w:r>
      <w:proofErr w:type="spellEnd"/>
      <w:r>
        <w:t xml:space="preserve"> інструменти, однак параметри таких інструментів мають поступово </w:t>
      </w:r>
      <w:r>
        <w:t>зменшувати стимул до пасивного утримання надлишкових ресурсів. Висока частка інвестиційного портфеля в активах АТ «Ощадбанк» надає цьому результату особливого значення. Портфель цінних паперів виконує стабілізаційну функцію і підтримує процентний результат</w:t>
      </w:r>
      <w:r>
        <w:t xml:space="preserve">, однак надмірна залежність від такого джерела доходу може обмежувати роль кредитування у формуванні банківського прибутку. За умови поступового </w:t>
      </w:r>
      <w:proofErr w:type="spellStart"/>
      <w:r>
        <w:t>переналаштування</w:t>
      </w:r>
      <w:proofErr w:type="spellEnd"/>
      <w:r>
        <w:t xml:space="preserve"> стимулів банк може зберегти обережну структуру активів і водночас отримати підстави для розшир</w:t>
      </w:r>
      <w:r>
        <w:t>ення кредитування у сегментах, де ризик є прийнятним і може бути належно оцінений.</w:t>
      </w:r>
    </w:p>
    <w:p w:rsidR="00B621C7" w:rsidRDefault="005D53F5">
      <w:r>
        <w:t>Рекомендації щодо посилення кредитного каналу можуть дати результат лише за умови, що вони не підмінятимуть банківську оцінку ризику адміністративним тиском. Кредитний канал</w:t>
      </w:r>
      <w:r>
        <w:t xml:space="preserve"> у воєнній економіці обмежується не лише рівнем процентних ставок, а й платоспроможністю позичальників, якістю забезпечення, галузевими ризиками та очікуваннями бізнесу. Тому практичне значення інструментів умовного рефінансування або гарантійної підтримки</w:t>
      </w:r>
      <w:r>
        <w:t xml:space="preserve"> полягає у зменшенні бар’єрів для кредитування там, де економічний ефект кредиту є обґрунтованим, але ризики залишаються вищими за стандартні ринкові умови.</w:t>
      </w:r>
    </w:p>
    <w:p w:rsidR="00B621C7" w:rsidRDefault="005D53F5">
      <w:r>
        <w:t>Очікуваний результат для банківського сектору - скорочення розриву між наявністю ліквідності та фак</w:t>
      </w:r>
      <w:r>
        <w:t>тичним доступом підприємств до кредитних ресурсів. Умовне рефінансування або пов’язані з ним інструменти можуть працювати як доповнення до чинного монетарного механізму, якщо вони мають прозорі умови, обмежений строк дії, достатнє забезпечення і не створюю</w:t>
      </w:r>
      <w:r>
        <w:t xml:space="preserve">ть прихованого субсидування. За цих умов вони не суперечать пріоритету цінової </w:t>
      </w:r>
      <w:r>
        <w:lastRenderedPageBreak/>
        <w:t xml:space="preserve">стабільності, оскільки не формують неконтрольованої кредитної експансії, а спрямовуються на ті сегменти, де кредитування має зв’язок із відновленням виробництва, інфраструктури </w:t>
      </w:r>
      <w:r>
        <w:t>та платоспроможного попиту.</w:t>
      </w:r>
    </w:p>
    <w:p w:rsidR="00B621C7" w:rsidRDefault="005D53F5">
      <w:r>
        <w:t xml:space="preserve">У випадку АТ «Ощадбанк» вплив таких інструментів може бути помітнішим, ніж для менш залучених до державних програм банків. Банк має статус системно важливої установи та виконує значну роль у фінансуванні пріоритетних клієнтів і </w:t>
      </w:r>
      <w:r>
        <w:t>секторів. Тому інструменти умовного рефінансування або гарантійної підтримки можуть посилити його здатність поєднувати комерційну логіку управління ризиком із функцією участі у відновленні економіки. Очікуваний результат для банку полягає не лише у можливо</w:t>
      </w:r>
      <w:r>
        <w:t>му зростанні кредитного портфеля, а й у формуванні більш збалансованої структури процентних доходів, за якої інвестиційний портфель не залишається домінуючим каналом підтримки процентного результату.</w:t>
      </w:r>
    </w:p>
    <w:p w:rsidR="00B621C7" w:rsidRDefault="005D53F5">
      <w:r>
        <w:t>Реалізація рекомендацій щодо підвищення стійкості валютн</w:t>
      </w:r>
      <w:r>
        <w:t>ого каналу може впливати на банківську систему через очікування вкладників, структуру заощаджень і попит на гривневі інструменти. Валютна стабільність є передумовою того, щоб депозитний канал працював повніше, оскільки домогосподарства і бізнес оцінюють до</w:t>
      </w:r>
      <w:r>
        <w:t xml:space="preserve">хідність гривневих активів не лише через номінальну ставку, а й через очікувану курсову динаміку. За умов </w:t>
      </w:r>
      <w:proofErr w:type="spellStart"/>
      <w:r>
        <w:t>передбачуванішої</w:t>
      </w:r>
      <w:proofErr w:type="spellEnd"/>
      <w:r>
        <w:t xml:space="preserve"> курсової політики банки мають більше можливостей підтримувати гривневе </w:t>
      </w:r>
      <w:proofErr w:type="spellStart"/>
      <w:r>
        <w:t>фондування</w:t>
      </w:r>
      <w:proofErr w:type="spellEnd"/>
      <w:r>
        <w:t>, планувати процентну політику та уникати різких змі</w:t>
      </w:r>
      <w:r>
        <w:t>н у структурі пасивів.</w:t>
      </w:r>
    </w:p>
    <w:p w:rsidR="00B621C7" w:rsidRDefault="005D53F5">
      <w:r>
        <w:t>Очікуваний вплив валютної стійкості на АТ «Ощадбанк» проявляється через управління валютною позицією, ресурсною базою та інвестиційним портфелем. Менша ймовірність різких курсових коливань знижує ризик переорієнтації клієнтів із грив</w:t>
      </w:r>
      <w:r>
        <w:t xml:space="preserve">невих інструментів у валютні активи. Це підтримує стабільність гривневого </w:t>
      </w:r>
      <w:proofErr w:type="spellStart"/>
      <w:r>
        <w:t>фондування</w:t>
      </w:r>
      <w:proofErr w:type="spellEnd"/>
      <w:r>
        <w:t xml:space="preserve"> та зменшує потребу банку швидко переглядати депозитну і кредитну політику у відповідь на короткострокові курсові шоки. Водночас цей ефект залишається залежним від міжнарод</w:t>
      </w:r>
      <w:r>
        <w:t xml:space="preserve">них </w:t>
      </w:r>
      <w:r>
        <w:lastRenderedPageBreak/>
        <w:t>резервів, ритмічності зовнішнього фінансування та узгодженості фіскальних рішень із монетарними умовами.</w:t>
      </w:r>
    </w:p>
    <w:p w:rsidR="00B621C7" w:rsidRDefault="005D53F5">
      <w:r>
        <w:t>Рекомендації щодо координації монетарної та фіскальної політики мають очікуваний результат у вигляді зниження суперечностей між процентним сигналом</w:t>
      </w:r>
      <w:r>
        <w:t xml:space="preserve"> Національного банку України та бюджетними імпульсами. Частина інфляційного тиску формується поза межами безпосереднього впливу облікової ставки. Тому навіть технічно узгоджений операційний дизайн не забезпечує повного контролю над інфляцією, якщо фіскальн</w:t>
      </w:r>
      <w:r>
        <w:t>і операції створюють додатковий тиск на ліквідність, попит або очікування. Координація не означає втрати незалежності центрального банку. Її практичне значення полягає у передбачуваності внутрішніх запозичень, часовому узгодженні бюджетних операцій і кращо</w:t>
      </w:r>
      <w:r>
        <w:t>му інформаційному обміні щодо впливу фіскальних рішень на ліквідність банківської системи.</w:t>
      </w:r>
    </w:p>
    <w:p w:rsidR="00B621C7" w:rsidRDefault="005D53F5">
      <w:r>
        <w:t xml:space="preserve">Для банків результатом такої координації може бути стабільніше процентне середовище і нижча </w:t>
      </w:r>
      <w:proofErr w:type="spellStart"/>
      <w:r>
        <w:t>волатильність</w:t>
      </w:r>
      <w:proofErr w:type="spellEnd"/>
      <w:r>
        <w:t xml:space="preserve"> короткострокових ставок. Окреме значення це має для АТ «Оща</w:t>
      </w:r>
      <w:r>
        <w:t>дбанк» через його активну присутність у сегменті державних цінних паперів і чутливість процентного результату до дохідності таких інструментів. Узгодженість монетарних та фіскальних рішень створює кращі умови для планування структури активів, оцінки вартос</w:t>
      </w:r>
      <w:r>
        <w:t>ті ресурсів і прогнозування процентної маржі. Водночас координація не усуває фіскального тиску як такого, а лише зменшує ризик його непередбачуваного впливу на монетарну трансмісію.</w:t>
      </w:r>
    </w:p>
    <w:p w:rsidR="00B621C7" w:rsidRDefault="005D53F5">
      <w:pPr>
        <w:pStyle w:val="2"/>
        <w:ind w:firstLine="709"/>
      </w:pPr>
      <w:r>
        <w:t>Висновки до Розділу 3</w:t>
      </w:r>
    </w:p>
    <w:p w:rsidR="00B621C7" w:rsidRDefault="005D53F5">
      <w:r>
        <w:t xml:space="preserve">Запропоновані рекомендації не </w:t>
      </w:r>
      <w:proofErr w:type="spellStart"/>
      <w:r>
        <w:t>знімуть</w:t>
      </w:r>
      <w:proofErr w:type="spellEnd"/>
      <w:r>
        <w:t xml:space="preserve"> усіх структурн</w:t>
      </w:r>
      <w:r>
        <w:t>их обмежень. Воєнний ризик, нерівномірність зовнішнього фінансування, обмежена платоспроможність позичальників, висока потреба домогосподарств у ліквідності, енергетичні та логістичні шоки лежать поза межами того, що здатна нейтралізувати монетарна політик</w:t>
      </w:r>
      <w:r>
        <w:t xml:space="preserve">а. Тому й сенс рекомендацій інший — не усунути проблеми трансмісії повністю, а поступово послабити найстійкіші з них. Саме така логіка відповідає ринковій трансформації, де монетарна політика </w:t>
      </w:r>
      <w:r>
        <w:lastRenderedPageBreak/>
        <w:t xml:space="preserve">змушена підлаштовуватися під мінливу інституційну, фінансову та </w:t>
      </w:r>
      <w:r>
        <w:t>безпекову ситуацію.</w:t>
      </w:r>
    </w:p>
    <w:p w:rsidR="00B621C7" w:rsidRDefault="005D53F5">
      <w:r>
        <w:t>Дієвість цих заходів не безумовна — вона тримається на кількох передумовах. Передусім НБУ має зберігати послідовність операційного дизайну, інакше банки втратять здатність прогнозувати правила доступу до ліквідності. Депозитні й абсорбц</w:t>
      </w:r>
      <w:r>
        <w:t>ійні інструменти варто налаштовувати поступово: різкі рухи здатні розхитати керованість короткострокових ставок. Кредитний канал потребує обережності — стимулювати кредитування можна лише з оглядкою на якість позичальників, щоб не погіршити активи. Валютни</w:t>
      </w:r>
      <w:r>
        <w:t>й канал спирається на достатній резервний буфер і передбачуване внутрішнє фінансування. Нарешті, координація з фіскальною політикою повинна доповнювати незалежність центрального банку, а не підміняти її.</w:t>
      </w:r>
    </w:p>
    <w:p w:rsidR="00B621C7" w:rsidRDefault="005D53F5">
      <w:r>
        <w:t>Для банківської системи сукупний ефект цих змін — ру</w:t>
      </w:r>
      <w:r>
        <w:t xml:space="preserve">х до збалансованішої моделі монетарної трансмісії. Короткострокові ставки лишаються керованими; депозитні повніше відображають процентний сигнал; кредитування зростає в межах прийнятного ризику; валютний канал підтримує довіру до гривневих інструментів, а </w:t>
      </w:r>
      <w:r>
        <w:t xml:space="preserve">інфляційні очікування формуються в </w:t>
      </w:r>
      <w:proofErr w:type="spellStart"/>
      <w:r>
        <w:t>узгодженішому</w:t>
      </w:r>
      <w:proofErr w:type="spellEnd"/>
      <w:r>
        <w:t xml:space="preserve"> інформаційному середовищі. Для АТ «Ощадбанк» це означає конкретні можливості: зміцнити ресурсну базу, врівноважити інвестиційну та кредитну частини активів, послабити залежність процентного результату від ок</w:t>
      </w:r>
      <w:r>
        <w:t xml:space="preserve">ремих </w:t>
      </w:r>
      <w:proofErr w:type="spellStart"/>
      <w:r>
        <w:t>низькоризикових</w:t>
      </w:r>
      <w:proofErr w:type="spellEnd"/>
      <w:r>
        <w:t xml:space="preserve"> інструментів і посилити роль кредитування, не втрачаючи контролю над ризиком.</w:t>
      </w:r>
    </w:p>
    <w:p w:rsidR="00B621C7" w:rsidRDefault="005D53F5">
      <w:pPr>
        <w:keepNext/>
        <w:keepLines/>
        <w:ind w:firstLine="0"/>
        <w:jc w:val="right"/>
      </w:pPr>
      <w:r>
        <w:t>Таблиця 3.3</w:t>
      </w:r>
    </w:p>
    <w:p w:rsidR="00B621C7" w:rsidRDefault="005D53F5">
      <w:pPr>
        <w:keepNext/>
        <w:keepLines/>
        <w:ind w:firstLine="0"/>
        <w:jc w:val="center"/>
      </w:pPr>
      <w:r>
        <w:t>Розрахунок кількісного ефекту від зміни строковості ресурсної бази АТ «Ощадбанк» у 2025 році</w:t>
      </w:r>
    </w:p>
    <w:tbl>
      <w:tblPr>
        <w:tblStyle w:val="af9"/>
        <w:tblW w:w="9356" w:type="dxa"/>
        <w:jc w:val="center"/>
        <w:tblInd w:w="0" w:type="dxa"/>
        <w:tblLayout w:type="fixed"/>
        <w:tblLook w:val="0400" w:firstRow="0" w:lastRow="0" w:firstColumn="0" w:lastColumn="0" w:noHBand="0" w:noVBand="1"/>
      </w:tblPr>
      <w:tblGrid>
        <w:gridCol w:w="2339"/>
        <w:gridCol w:w="2339"/>
        <w:gridCol w:w="2339"/>
        <w:gridCol w:w="2339"/>
      </w:tblGrid>
      <w:tr w:rsidR="00B621C7">
        <w:trPr>
          <w:cantSplit/>
          <w:tblHeader/>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Показник</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Базове значення 2025 року</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 xml:space="preserve">Розрахунок ефекту при збільшенні частки строкових депозитів на 1 </w:t>
            </w:r>
            <w:proofErr w:type="spellStart"/>
            <w:r>
              <w:rPr>
                <w:b/>
                <w:bCs/>
                <w:sz w:val="22"/>
                <w:szCs w:val="22"/>
              </w:rPr>
              <w:t>в.п</w:t>
            </w:r>
            <w:proofErr w:type="spellEnd"/>
            <w:r>
              <w:rPr>
                <w:b/>
                <w:bCs/>
                <w:sz w:val="22"/>
                <w:szCs w:val="22"/>
              </w:rPr>
              <w:t>.</w:t>
            </w:r>
          </w:p>
        </w:tc>
        <w:tc>
          <w:tcPr>
            <w:tcW w:w="2339"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18"/>
                <w:szCs w:val="18"/>
              </w:rPr>
            </w:pPr>
            <w:r>
              <w:rPr>
                <w:b/>
                <w:bCs/>
                <w:sz w:val="22"/>
                <w:szCs w:val="22"/>
              </w:rPr>
              <w:t>Результат</w:t>
            </w:r>
          </w:p>
        </w:tc>
      </w:tr>
      <w:tr w:rsidR="00B621C7">
        <w:trPr>
          <w:cantSplit/>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Кошти клієнтів,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445 999,9</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445 999,9 × 1%</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4 460,0</w:t>
            </w:r>
          </w:p>
        </w:tc>
      </w:tr>
      <w:tr w:rsidR="00B621C7">
        <w:trPr>
          <w:cantSplit/>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Строкові депозити,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126 230,0</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126 230,0 + 4 460,0</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130 690,0</w:t>
            </w:r>
          </w:p>
        </w:tc>
      </w:tr>
      <w:tr w:rsidR="00B621C7">
        <w:trPr>
          <w:cantSplit/>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lastRenderedPageBreak/>
              <w:t>Кошти до запитання, млн грн</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319 769,9</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rFonts w:ascii="Gungsuh" w:eastAsia="Gungsuh" w:hAnsi="Gungsuh" w:cs="Gungsuh"/>
                <w:sz w:val="22"/>
                <w:szCs w:val="22"/>
              </w:rPr>
              <w:t>319 769,9 − 4 460,0</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315 309,9</w:t>
            </w:r>
          </w:p>
        </w:tc>
      </w:tr>
      <w:tr w:rsidR="00B621C7">
        <w:trPr>
          <w:cantSplit/>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Частка строкових депозитів, %</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28,3</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 xml:space="preserve">28,3 + 1,0 </w:t>
            </w:r>
            <w:proofErr w:type="spellStart"/>
            <w:r>
              <w:rPr>
                <w:sz w:val="22"/>
                <w:szCs w:val="22"/>
              </w:rPr>
              <w:t>в.п</w:t>
            </w:r>
            <w:proofErr w:type="spellEnd"/>
            <w:r>
              <w:rPr>
                <w:sz w:val="22"/>
                <w:szCs w:val="22"/>
              </w:rPr>
              <w:t>.</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29,3</w:t>
            </w:r>
          </w:p>
        </w:tc>
      </w:tr>
      <w:tr w:rsidR="00B621C7">
        <w:trPr>
          <w:cantSplit/>
          <w:jc w:val="center"/>
        </w:trPr>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Частка коштів до запитання, %</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71,7</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rFonts w:ascii="Gungsuh" w:eastAsia="Gungsuh" w:hAnsi="Gungsuh" w:cs="Gungsuh"/>
                <w:sz w:val="22"/>
                <w:szCs w:val="22"/>
              </w:rPr>
              <w:t xml:space="preserve">71,7 − 1,0 </w:t>
            </w:r>
            <w:proofErr w:type="spellStart"/>
            <w:r>
              <w:rPr>
                <w:rFonts w:ascii="Gungsuh" w:eastAsia="Gungsuh" w:hAnsi="Gungsuh" w:cs="Gungsuh"/>
                <w:sz w:val="22"/>
                <w:szCs w:val="22"/>
              </w:rPr>
              <w:t>в.п</w:t>
            </w:r>
            <w:proofErr w:type="spellEnd"/>
            <w:r>
              <w:rPr>
                <w:rFonts w:ascii="Gungsuh" w:eastAsia="Gungsuh" w:hAnsi="Gungsuh" w:cs="Gungsuh"/>
                <w:sz w:val="22"/>
                <w:szCs w:val="22"/>
              </w:rPr>
              <w:t>.</w:t>
            </w:r>
          </w:p>
        </w:tc>
        <w:tc>
          <w:tcPr>
            <w:tcW w:w="233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18"/>
                <w:szCs w:val="18"/>
              </w:rPr>
            </w:pPr>
            <w:r>
              <w:rPr>
                <w:sz w:val="22"/>
                <w:szCs w:val="22"/>
              </w:rPr>
              <w:t>70,7</w:t>
            </w:r>
          </w:p>
        </w:tc>
      </w:tr>
    </w:tbl>
    <w:p w:rsidR="00B621C7" w:rsidRDefault="005D53F5">
      <w:pPr>
        <w:ind w:firstLine="0"/>
      </w:pPr>
      <w:r>
        <w:rPr>
          <w:i/>
          <w:iCs/>
        </w:rPr>
        <w:t>*Джерело: авторські розрахунки на основі даних консолідованої фінансової звітності АТ «Ощадбанк» за 2025 р. (Таблиця 2.3).</w:t>
      </w:r>
    </w:p>
    <w:p w:rsidR="00B621C7" w:rsidRDefault="005D53F5">
      <w:r>
        <w:t xml:space="preserve">Розрахунок засвідчує: зміщення структури коштів клієнтів на користь строкових депозитів усього на 1 </w:t>
      </w:r>
      <w:proofErr w:type="spellStart"/>
      <w:r>
        <w:t>в.п</w:t>
      </w:r>
      <w:proofErr w:type="spellEnd"/>
      <w:r>
        <w:t>. дає 4 460,0 млн грн ресурсів</w:t>
      </w:r>
      <w:r>
        <w:t xml:space="preserve"> вищої строковості. Вихідні дані та допоміжні показники цього розрахунку вміщено в додатках В і Г. Для банку виграш відчутний — ресурсна база стає </w:t>
      </w:r>
      <w:proofErr w:type="spellStart"/>
      <w:r>
        <w:t>прогнозованішою</w:t>
      </w:r>
      <w:proofErr w:type="spellEnd"/>
      <w:r>
        <w:t>, залежність від коштів до запитання спадає, а простір для планування активних операцій ширшає</w:t>
      </w:r>
      <w:r>
        <w:t xml:space="preserve">. У </w:t>
      </w:r>
      <w:proofErr w:type="spellStart"/>
      <w:r>
        <w:t>логіці</w:t>
      </w:r>
      <w:proofErr w:type="spellEnd"/>
      <w:r>
        <w:t xml:space="preserve"> політики НБУ це й означає посилення депозитної трансмісії: чим більша частка строкових гривневих ресурсів, тим </w:t>
      </w:r>
      <w:proofErr w:type="spellStart"/>
      <w:r>
        <w:t>структурованіше</w:t>
      </w:r>
      <w:proofErr w:type="spellEnd"/>
      <w:r>
        <w:t xml:space="preserve"> банк реагує на процентні стимули.</w:t>
      </w:r>
    </w:p>
    <w:p w:rsidR="00B621C7" w:rsidRDefault="005D53F5">
      <w:r>
        <w:t>Підсумок підрозділу зводиться до одного: у час ринкової трансформації ефективність г</w:t>
      </w:r>
      <w:r>
        <w:t>рошово-кредитної політики вирішує не стільки вдалий вибір окремих інструментів, скільки узгодженість їхнього впливу на поведінку банків. Операційний дизайн може утримувати короткострокові ставки під контролем — але якщо він не породжує стимулів до строково</w:t>
      </w:r>
      <w:r>
        <w:t xml:space="preserve">го </w:t>
      </w:r>
      <w:proofErr w:type="spellStart"/>
      <w:r>
        <w:t>фондування</w:t>
      </w:r>
      <w:proofErr w:type="spellEnd"/>
      <w:r>
        <w:t>, кредитування та сталих очікувань, трансмісія лишається неповною. Звідси й напрям розвитку інструментарію: поступове зближення операційного, банківського та макроекономічного рівнів трансмісії. На цьому й ґрунтується головний результат роботи</w:t>
      </w:r>
      <w:r>
        <w:t xml:space="preserve"> — удосконалювати монетарні інструменти в Україні слід не через радикальну зміну режиму, а через точніше налаштування чинної конфігурації, зважаючи на структурні особливості банківської системи та роль державних банків, зокрема АТ «Ощадбанк».</w:t>
      </w:r>
    </w:p>
    <w:p w:rsidR="00B621C7" w:rsidRDefault="005D53F5">
      <w:pPr>
        <w:ind w:firstLine="0"/>
      </w:pPr>
      <w:r>
        <w:br/>
      </w:r>
      <w:r>
        <w:br w:type="page"/>
      </w:r>
    </w:p>
    <w:p w:rsidR="00B621C7" w:rsidRDefault="005D53F5">
      <w:pPr>
        <w:pStyle w:val="1"/>
        <w:jc w:val="center"/>
        <w:rPr>
          <w:highlight w:val="white"/>
        </w:rPr>
      </w:pPr>
      <w:r>
        <w:rPr>
          <w:highlight w:val="white"/>
        </w:rPr>
        <w:lastRenderedPageBreak/>
        <w:t>ВИСНОВКИ</w:t>
      </w:r>
    </w:p>
    <w:p w:rsidR="00B621C7" w:rsidRDefault="00B621C7"/>
    <w:p w:rsidR="00B621C7" w:rsidRDefault="005D53F5">
      <w:r>
        <w:t xml:space="preserve">Дипломну роботу присвячено грошово-кредитній політиці Національного банку України та розвитку інструментів її реалізації в умовах ринкової трансформації. Сучасна монетарна політика постає як система процентних, </w:t>
      </w:r>
      <w:proofErr w:type="spellStart"/>
      <w:r>
        <w:t>ліквіднісних</w:t>
      </w:r>
      <w:proofErr w:type="spellEnd"/>
      <w:r>
        <w:t>, валютних, резервних і комунікац</w:t>
      </w:r>
      <w:r>
        <w:t>ійних інструментів. За їх допомогою центральний банк впливає на вартість гривневих ресурсів, поведінку банків, інфляційні очікування, динаміку валютного ринку та фінансові умови в економіці.</w:t>
      </w:r>
    </w:p>
    <w:p w:rsidR="00B621C7" w:rsidRDefault="005D53F5">
      <w:r>
        <w:t>Теоретичний аналіз показав, що грошово-кредитна політика НБУ підп</w:t>
      </w:r>
      <w:r>
        <w:t xml:space="preserve">орядкована ієрархії цілей із пріоритетом цінової стабільності. Логіку монетарних рішень на середньострокову перспективу задає інфляційне </w:t>
      </w:r>
      <w:proofErr w:type="spellStart"/>
      <w:r>
        <w:t>таргетування</w:t>
      </w:r>
      <w:proofErr w:type="spellEnd"/>
      <w:r>
        <w:t>. Однак в українських умовах воно працює лише в поєднанні кількох складових — процентного каналу, регулюван</w:t>
      </w:r>
      <w:r>
        <w:t>ня ліквідності, валютних інтервенцій, управління очікуваннями, а також з огляду на структурні особливості банківської системи. На цьому теоретичному підґрунті й вибудовувалася подальша оцінка того, як рішення НБУ доходять до банківського сектору та окремог</w:t>
      </w:r>
      <w:r>
        <w:t>о системно важливого банку.</w:t>
      </w:r>
    </w:p>
    <w:p w:rsidR="00B621C7" w:rsidRDefault="005D53F5">
      <w:r>
        <w:t>Емпіричний аналіз 2022–2025 років виявив нерівномірність трансмісії монетарної політики НБУ до банківської системи. Зміна операційного дизайну у 2023 р. зміцнила зв’язок облікової ставки з короткостроковими ставками грошового ри</w:t>
      </w:r>
      <w:r>
        <w:t>нку — операційний контроль помітно покращився. Та зміцнення цієї першої ланки ще не означало, що весь трансмісійний ланцюг прийшов до норми. Депозитний, кредитний, валютний та інфляційний канали лишалися заручниками структурного профіциту ліквідності, кред</w:t>
      </w:r>
      <w:r>
        <w:t>итного ризику, курсових очікувань, воєнної невизначеності та немонетарних чинників інфляції.</w:t>
      </w:r>
    </w:p>
    <w:p w:rsidR="00B621C7" w:rsidRDefault="005D53F5">
      <w:r>
        <w:t>Депозитна трансмісія весь цей час лишалася неповною. Процентний сигнал НБУ доходив до поведінки банків і вкладників лише частково: надлишок ліквідності гасив у бан</w:t>
      </w:r>
      <w:r>
        <w:t xml:space="preserve">ків бажання змагатися за строкові ресурси, а клієнти трималися ліквідних форм розміщення коштів. Свою асиметрію мав і кредитний </w:t>
      </w:r>
      <w:r>
        <w:lastRenderedPageBreak/>
        <w:t>канал — вартість та обсяги кредитів формували не самі монетарні умови, а ще й якість позичальників, державні програми підтримки,</w:t>
      </w:r>
      <w:r>
        <w:t xml:space="preserve"> структура попиту й підходи банків до ризику. Обмеженим лишався й інфляційний канал, адже ціни рухали передусім воєнні, енергетичні, логістичні та фіскальні чинники, що лежать поза монетарним регулюванням.</w:t>
      </w:r>
    </w:p>
    <w:p w:rsidR="00B621C7" w:rsidRDefault="005D53F5">
      <w:r>
        <w:t>Приклад АТ «Ощадбанк» наочно показав, як монетарне</w:t>
      </w:r>
      <w:r>
        <w:t xml:space="preserve"> середовище діє на державний системно важливий банк — через структуру ресурсної бази, співвідношення строкових і поточних коштів, динаміку кредитного портфеля, роль цінних паперів в активах та характер формування процентних доходів. Ресурсна база банку зро</w:t>
      </w:r>
      <w:r>
        <w:t xml:space="preserve">стала, але строкове </w:t>
      </w:r>
      <w:proofErr w:type="spellStart"/>
      <w:r>
        <w:t>фондування</w:t>
      </w:r>
      <w:proofErr w:type="spellEnd"/>
      <w:r>
        <w:t xml:space="preserve"> не посилювалося </w:t>
      </w:r>
      <w:proofErr w:type="spellStart"/>
      <w:r>
        <w:t>пропорційно</w:t>
      </w:r>
      <w:proofErr w:type="spellEnd"/>
      <w:r>
        <w:t>, що узгоджується з висновком про неповну депозитну трансмісію. Переважання інвестиційних активів у балансі підтверджує: операційний дизайн монетарної політики позначався не лише на вартості ресурсі</w:t>
      </w:r>
      <w:r>
        <w:t>в, а й на структурі активів та джерелах процентного доходу. Кредитну активність банку визначали участь у державних програмах, якість позичальників і потреба тримати фінансову стійкість.</w:t>
      </w:r>
    </w:p>
    <w:p w:rsidR="00B621C7" w:rsidRDefault="005D53F5">
      <w:r>
        <w:t>Напрями вдосконалення інструментів грошово-кредитної політики, що скла</w:t>
      </w:r>
      <w:r>
        <w:t xml:space="preserve">ли третій розділ, виростають безпосередньо з виявлених обмежень трансмісії. Їхня логіка свідомо стримана: жодної радикальної зміни монетарного режиму чи відмови від інфляційного </w:t>
      </w:r>
      <w:proofErr w:type="spellStart"/>
      <w:r>
        <w:t>таргетування</w:t>
      </w:r>
      <w:proofErr w:type="spellEnd"/>
      <w:r>
        <w:t>. Ідеться про точніше налаштування чинної конфігурації — підсилити</w:t>
      </w:r>
      <w:r>
        <w:t xml:space="preserve"> стимули до строкового гривневого </w:t>
      </w:r>
      <w:proofErr w:type="spellStart"/>
      <w:r>
        <w:t>фондування</w:t>
      </w:r>
      <w:proofErr w:type="spellEnd"/>
      <w:r>
        <w:t>, поетапно скоригувати інструменти абсорбції ліквідності, обережно пожвавити кредитний канал без адміністративного тиску на банки, зміцнити валютний канал і поліпшити координацію монетарної та фіскальної політики</w:t>
      </w:r>
      <w:r>
        <w:t>. Такий підхід пом’якшує структурні обмеження, проте не підмінює ринкову оцінку ризику й не зрушує пріоритет цінової стабільності.</w:t>
      </w:r>
    </w:p>
    <w:p w:rsidR="00B621C7" w:rsidRDefault="005D53F5">
      <w:r>
        <w:t>Підсумковий ефект цих напрямів — поступове наростання повноти монетарної трансмісії. Для банківської системи він здатен оберн</w:t>
      </w:r>
      <w:r>
        <w:t xml:space="preserve">утися стабільнішою ресурсною базою, збалансованішою структурою активів, повнішим переданням процентного сигналу до депозитних і кредитних ставок, </w:t>
      </w:r>
      <w:r>
        <w:lastRenderedPageBreak/>
        <w:t xml:space="preserve">меншою чутливістю до коротких валютних коливань і </w:t>
      </w:r>
      <w:proofErr w:type="spellStart"/>
      <w:r>
        <w:t>передбачуванішим</w:t>
      </w:r>
      <w:proofErr w:type="spellEnd"/>
      <w:r>
        <w:t xml:space="preserve"> процентним середовищем. Спрацюють ці напрям</w:t>
      </w:r>
      <w:r>
        <w:t xml:space="preserve">и, втім, лише за певних умов — збереження макрофінансової стабільності, достатніх міжнародних резервів, прозорості монетарних правил і поступового спаду безпекових ризиків. За таких обставин вони </w:t>
      </w:r>
      <w:proofErr w:type="spellStart"/>
      <w:r>
        <w:t>зміцнять</w:t>
      </w:r>
      <w:proofErr w:type="spellEnd"/>
      <w:r>
        <w:t xml:space="preserve"> зв’язок між рішеннями НБУ та поведінкою банків.</w:t>
      </w:r>
    </w:p>
    <w:p w:rsidR="00B621C7" w:rsidRDefault="005D53F5">
      <w:r>
        <w:t>Для</w:t>
      </w:r>
      <w:r>
        <w:t xml:space="preserve"> АТ «Ощадбанк» практична цінність запропонованого — у змозі зміцнити стійкість </w:t>
      </w:r>
      <w:proofErr w:type="spellStart"/>
      <w:r>
        <w:t>фондування</w:t>
      </w:r>
      <w:proofErr w:type="spellEnd"/>
      <w:r>
        <w:t xml:space="preserve">, краще збалансувати строковість пасивів і активів, утримати кредитний ризик під контролем і поступово вирівняти кредитну та інвестиційну складові процентних доходів. </w:t>
      </w:r>
      <w:r>
        <w:t xml:space="preserve">Наскільки повно це реалізується, </w:t>
      </w:r>
      <w:proofErr w:type="spellStart"/>
      <w:r>
        <w:t>залежатиме</w:t>
      </w:r>
      <w:proofErr w:type="spellEnd"/>
      <w:r>
        <w:t xml:space="preserve"> від поведінки вкладників, якості позичальників, динаміки воєнних ризиків, стану валютного ринку та узгодженості макроекономічної політики. Отже, запропоновані напрями не скасовують обмежень трансмісії — вони адре</w:t>
      </w:r>
      <w:r>
        <w:t>сно послаблюють структурні бар’єри в межах наявної монетарної конфігурації.</w:t>
      </w:r>
    </w:p>
    <w:p w:rsidR="00B621C7" w:rsidRDefault="005D53F5">
      <w:r>
        <w:t xml:space="preserve">Головний науково-практичний результат роботи такий: розвиток інструментів грошово-кредитної політики України в умовах ринкової трансформації має спиратися на поєднання операційної </w:t>
      </w:r>
      <w:r>
        <w:t>керованості, гнучкості інструментів і врахування поведінки банківської системи. Дослідження показало подвійну картину — НБУ посилив контроль над короткостроковими ставками, однак повнота трансмісії до депозитного, кредитного, валютного та інфляційного кана</w:t>
      </w:r>
      <w:r>
        <w:t>лів усе ще впирається у структурні умови банківського сектору. Подальший поступ монетарного інструментарію бачиться у зближенні операційного, банківського та макроекономічного рівнів трансмісії — саме воно здатне зміцнити банківську систему й тісніше узгод</w:t>
      </w:r>
      <w:r>
        <w:t>ити грошово-кредитну політику з потребами економічного відновлення України.</w:t>
      </w:r>
    </w:p>
    <w:p w:rsidR="00B621C7" w:rsidRDefault="005D53F5">
      <w:r>
        <w:t>Низка питань лишається відкритою для подальших розвідок — це кількісне вимірювання впливу окремих інструментів НБУ на строковість депозитної бази банків, оцінювання ефективності ди</w:t>
      </w:r>
      <w:r>
        <w:t>ференційованих резервних вимог, а також довгостроковий вплив керованої гнучкості обмінного курсу на процентну маржу системно важливих банків.</w:t>
      </w:r>
    </w:p>
    <w:p w:rsidR="00B621C7" w:rsidRDefault="005D53F5">
      <w:pPr>
        <w:pStyle w:val="1"/>
        <w:spacing w:after="240"/>
        <w:jc w:val="center"/>
      </w:pPr>
      <w:r>
        <w:lastRenderedPageBreak/>
        <w:t>СПИСОК ВИКОРИСТАНИХ ДЖЕРЕЛ</w:t>
      </w:r>
    </w:p>
    <w:p w:rsidR="00B621C7" w:rsidRDefault="005D53F5">
      <w:pPr>
        <w:pBdr>
          <w:top w:val="nil"/>
          <w:left w:val="nil"/>
          <w:bottom w:val="nil"/>
          <w:right w:val="nil"/>
          <w:between w:val="nil"/>
        </w:pBdr>
        <w:rPr>
          <w:rFonts w:ascii="Calibri" w:eastAsia="Calibri" w:hAnsi="Calibri" w:cs="Calibri"/>
          <w:color w:val="000000"/>
        </w:rPr>
      </w:pPr>
      <w:r>
        <w:t>1. Закон України «Про Національний банк України» від 20.05.1999 р. № 679-XIV. URL: http</w:t>
      </w:r>
      <w:r>
        <w:t>s://zakon.rada.gov.ua/go/679-14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2. Закон України «Про банки і банківську діяльність» від 07.12.2000 р. № 2121-III. URL: https://zakon.rada.gov.ua/laws/show/2121-14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3. Основні засади грошово-кредит</w:t>
      </w:r>
      <w:r>
        <w:t>ної політики на 2022 рік та на середньострокову перспективу : Рішення Ради Національного банку України від 21.01.2022 № 2. URL: https://bank.gov.ua/ua/monetary/about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4. Постанова Правління НБУ «Про внесення змін до нормативно-</w:t>
      </w:r>
      <w:r>
        <w:t>правових актів Національного банку України щодо операцій на відкритому ринку» від 12.10.2023 № 153. URL: https://bank.gov.ua/ua/legislation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5. АТ «Ощадбанк». Фінансова звітність та річні звіти. URL: https://www.oschadbank.ua/f</w:t>
      </w:r>
      <w:r>
        <w:t>inansova-zvitnist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 xml:space="preserve">6. </w:t>
      </w:r>
      <w:proofErr w:type="spellStart"/>
      <w:r>
        <w:t>Береславська</w:t>
      </w:r>
      <w:proofErr w:type="spellEnd"/>
      <w:r>
        <w:t xml:space="preserve"> О. І. Валютна політика в системі стабілізації економіки України. Вісник НБУ. 2019. № 1. С. 26–37.</w:t>
      </w:r>
    </w:p>
    <w:p w:rsidR="00B621C7" w:rsidRDefault="005D53F5">
      <w:pPr>
        <w:pBdr>
          <w:top w:val="nil"/>
          <w:left w:val="nil"/>
          <w:bottom w:val="nil"/>
          <w:right w:val="nil"/>
          <w:between w:val="nil"/>
        </w:pBdr>
        <w:rPr>
          <w:rFonts w:ascii="Calibri" w:eastAsia="Calibri" w:hAnsi="Calibri" w:cs="Calibri"/>
          <w:color w:val="000000"/>
        </w:rPr>
      </w:pPr>
      <w:r>
        <w:t xml:space="preserve">7. </w:t>
      </w:r>
      <w:proofErr w:type="spellStart"/>
      <w:r>
        <w:t>Берлач</w:t>
      </w:r>
      <w:proofErr w:type="spellEnd"/>
      <w:r>
        <w:t xml:space="preserve"> А. І., Дмитренко М. Г. Монетарна трансмісія: теорія та практика. Фінанси України. 2020. № 3. С. 45–59.</w:t>
      </w:r>
    </w:p>
    <w:p w:rsidR="00B621C7" w:rsidRDefault="005D53F5">
      <w:pPr>
        <w:pBdr>
          <w:top w:val="nil"/>
          <w:left w:val="nil"/>
          <w:bottom w:val="nil"/>
          <w:right w:val="nil"/>
          <w:between w:val="nil"/>
        </w:pBdr>
        <w:rPr>
          <w:rFonts w:ascii="Calibri" w:eastAsia="Calibri" w:hAnsi="Calibri" w:cs="Calibri"/>
          <w:color w:val="000000"/>
        </w:rPr>
      </w:pPr>
      <w:r>
        <w:t xml:space="preserve">8. </w:t>
      </w:r>
      <w:proofErr w:type="spellStart"/>
      <w:r>
        <w:t>Гальчинський</w:t>
      </w:r>
      <w:proofErr w:type="spellEnd"/>
      <w:r>
        <w:t xml:space="preserve"> А. С. Теорія </w:t>
      </w:r>
      <w:r>
        <w:t>грошей і грошово-кредитна політика. 4-те вид. Київ : Основи, 2001. 411 с.</w:t>
      </w:r>
    </w:p>
    <w:p w:rsidR="00B621C7" w:rsidRDefault="005D53F5">
      <w:pPr>
        <w:pBdr>
          <w:top w:val="nil"/>
          <w:left w:val="nil"/>
          <w:bottom w:val="nil"/>
          <w:right w:val="nil"/>
          <w:between w:val="nil"/>
        </w:pBdr>
        <w:rPr>
          <w:rFonts w:ascii="Calibri" w:eastAsia="Calibri" w:hAnsi="Calibri" w:cs="Calibri"/>
          <w:color w:val="000000"/>
        </w:rPr>
      </w:pPr>
      <w:r>
        <w:t xml:space="preserve">9. </w:t>
      </w:r>
      <w:proofErr w:type="spellStart"/>
      <w:r>
        <w:t>Гребеник</w:t>
      </w:r>
      <w:proofErr w:type="spellEnd"/>
      <w:r>
        <w:t xml:space="preserve"> Н. Основні віхи у формуванні та проведенні грошово-кредитної політики в Україні. Вісник НБУ. 2007. № 5. С. 12–22.</w:t>
      </w:r>
    </w:p>
    <w:p w:rsidR="00B621C7" w:rsidRDefault="005D53F5">
      <w:pPr>
        <w:pBdr>
          <w:top w:val="nil"/>
          <w:left w:val="nil"/>
          <w:bottom w:val="nil"/>
          <w:right w:val="nil"/>
          <w:between w:val="nil"/>
        </w:pBdr>
        <w:rPr>
          <w:rFonts w:ascii="Calibri" w:eastAsia="Calibri" w:hAnsi="Calibri" w:cs="Calibri"/>
          <w:color w:val="000000"/>
        </w:rPr>
      </w:pPr>
      <w:r>
        <w:t>10. Державна служба статистики України. Ціни. URL: https</w:t>
      </w:r>
      <w:r>
        <w:t>://stat.gov.ua/uk/topics/tsiny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 xml:space="preserve">11. </w:t>
      </w:r>
      <w:proofErr w:type="spellStart"/>
      <w:r>
        <w:t>Дзюблюк</w:t>
      </w:r>
      <w:proofErr w:type="spellEnd"/>
      <w:r>
        <w:t xml:space="preserve"> О. В. Валютно-курсові аспекти антикризової економічної політики. Банківська справа. 2017. № 4. С. 14–33.</w:t>
      </w:r>
    </w:p>
    <w:p w:rsidR="00B621C7" w:rsidRDefault="005D53F5">
      <w:pPr>
        <w:pBdr>
          <w:top w:val="nil"/>
          <w:left w:val="nil"/>
          <w:bottom w:val="nil"/>
          <w:right w:val="nil"/>
          <w:between w:val="nil"/>
        </w:pBdr>
        <w:rPr>
          <w:rFonts w:ascii="Calibri" w:eastAsia="Calibri" w:hAnsi="Calibri" w:cs="Calibri"/>
          <w:color w:val="000000"/>
        </w:rPr>
      </w:pPr>
      <w:r>
        <w:t xml:space="preserve">12. </w:t>
      </w:r>
      <w:proofErr w:type="spellStart"/>
      <w:r>
        <w:t>Дзюблюк</w:t>
      </w:r>
      <w:proofErr w:type="spellEnd"/>
      <w:r>
        <w:t xml:space="preserve"> О. В. Грошово-кредитна політика : </w:t>
      </w:r>
      <w:proofErr w:type="spellStart"/>
      <w:r>
        <w:t>навч</w:t>
      </w:r>
      <w:proofErr w:type="spellEnd"/>
      <w:r>
        <w:t xml:space="preserve">. </w:t>
      </w:r>
      <w:proofErr w:type="spellStart"/>
      <w:r>
        <w:t>посіб</w:t>
      </w:r>
      <w:proofErr w:type="spellEnd"/>
      <w:r>
        <w:t>. Тернопіль : ТНЕУ, 2</w:t>
      </w:r>
      <w:r>
        <w:t>014. 498 с.</w:t>
      </w:r>
    </w:p>
    <w:p w:rsidR="00B621C7" w:rsidRDefault="005D53F5">
      <w:pPr>
        <w:pBdr>
          <w:top w:val="nil"/>
          <w:left w:val="nil"/>
          <w:bottom w:val="nil"/>
          <w:right w:val="nil"/>
          <w:between w:val="nil"/>
        </w:pBdr>
        <w:rPr>
          <w:rFonts w:ascii="Calibri" w:eastAsia="Calibri" w:hAnsi="Calibri" w:cs="Calibri"/>
          <w:color w:val="000000"/>
        </w:rPr>
      </w:pPr>
      <w:r>
        <w:lastRenderedPageBreak/>
        <w:t xml:space="preserve">13. </w:t>
      </w:r>
      <w:proofErr w:type="spellStart"/>
      <w:r>
        <w:t>Дзюблюк</w:t>
      </w:r>
      <w:proofErr w:type="spellEnd"/>
      <w:r>
        <w:t xml:space="preserve"> О. В., </w:t>
      </w:r>
      <w:proofErr w:type="spellStart"/>
      <w:r>
        <w:t>Рудан</w:t>
      </w:r>
      <w:proofErr w:type="spellEnd"/>
      <w:r>
        <w:t xml:space="preserve"> В. Я. Окремі критичні аспекти оцінювання основних засад грошово-кредитної політики Національного банку України. Економічний аналіз. 2017. Т. 27, № 3. С. 120–133.</w:t>
      </w:r>
    </w:p>
    <w:p w:rsidR="00B621C7" w:rsidRDefault="005D53F5">
      <w:pPr>
        <w:pBdr>
          <w:top w:val="nil"/>
          <w:left w:val="nil"/>
          <w:bottom w:val="nil"/>
          <w:right w:val="nil"/>
          <w:between w:val="nil"/>
        </w:pBdr>
        <w:rPr>
          <w:rFonts w:ascii="Calibri" w:eastAsia="Calibri" w:hAnsi="Calibri" w:cs="Calibri"/>
          <w:color w:val="000000"/>
        </w:rPr>
      </w:pPr>
      <w:r>
        <w:t xml:space="preserve">14. </w:t>
      </w:r>
      <w:proofErr w:type="spellStart"/>
      <w:r>
        <w:t>Калетнік</w:t>
      </w:r>
      <w:proofErr w:type="spellEnd"/>
      <w:r>
        <w:t xml:space="preserve"> Г. М., Мазур А. Г., </w:t>
      </w:r>
      <w:proofErr w:type="spellStart"/>
      <w:r>
        <w:t>Кубай</w:t>
      </w:r>
      <w:proofErr w:type="spellEnd"/>
      <w:r>
        <w:t xml:space="preserve"> О. Г. Державне регулювання економіки : </w:t>
      </w:r>
      <w:proofErr w:type="spellStart"/>
      <w:r>
        <w:t>навч</w:t>
      </w:r>
      <w:proofErr w:type="spellEnd"/>
      <w:r>
        <w:t xml:space="preserve">. </w:t>
      </w:r>
      <w:proofErr w:type="spellStart"/>
      <w:r>
        <w:t>посіб</w:t>
      </w:r>
      <w:proofErr w:type="spellEnd"/>
      <w:r>
        <w:t>. Київ : Хай-Тек Прес, 2011. 427 с.</w:t>
      </w:r>
    </w:p>
    <w:p w:rsidR="00B621C7" w:rsidRDefault="005D53F5">
      <w:pPr>
        <w:pBdr>
          <w:top w:val="nil"/>
          <w:left w:val="nil"/>
          <w:bottom w:val="nil"/>
          <w:right w:val="nil"/>
          <w:between w:val="nil"/>
        </w:pBdr>
        <w:rPr>
          <w:rFonts w:ascii="Calibri" w:eastAsia="Calibri" w:hAnsi="Calibri" w:cs="Calibri"/>
          <w:color w:val="000000"/>
        </w:rPr>
      </w:pPr>
      <w:r>
        <w:t xml:space="preserve">15. </w:t>
      </w:r>
      <w:proofErr w:type="spellStart"/>
      <w:r>
        <w:t>Козюк</w:t>
      </w:r>
      <w:proofErr w:type="spellEnd"/>
      <w:r>
        <w:t xml:space="preserve"> В. В. Монетарні засади глобальної фінансової стабільності. Тернопіль : </w:t>
      </w:r>
      <w:proofErr w:type="spellStart"/>
      <w:r>
        <w:t>Астон</w:t>
      </w:r>
      <w:proofErr w:type="spellEnd"/>
      <w:r>
        <w:t>, 2009. 544 с.</w:t>
      </w:r>
    </w:p>
    <w:p w:rsidR="00B621C7" w:rsidRDefault="005D53F5">
      <w:pPr>
        <w:pBdr>
          <w:top w:val="nil"/>
          <w:left w:val="nil"/>
          <w:bottom w:val="nil"/>
          <w:right w:val="nil"/>
          <w:between w:val="nil"/>
        </w:pBdr>
        <w:rPr>
          <w:rFonts w:ascii="Calibri" w:eastAsia="Calibri" w:hAnsi="Calibri" w:cs="Calibri"/>
          <w:color w:val="000000"/>
        </w:rPr>
      </w:pPr>
      <w:r>
        <w:t xml:space="preserve">16. </w:t>
      </w:r>
      <w:proofErr w:type="spellStart"/>
      <w:r>
        <w:t>Лагутін</w:t>
      </w:r>
      <w:proofErr w:type="spellEnd"/>
      <w:r>
        <w:t xml:space="preserve"> В. Д. Гроші та гро</w:t>
      </w:r>
      <w:r>
        <w:t xml:space="preserve">шовий обіг : </w:t>
      </w:r>
      <w:proofErr w:type="spellStart"/>
      <w:r>
        <w:t>навч</w:t>
      </w:r>
      <w:proofErr w:type="spellEnd"/>
      <w:r>
        <w:t xml:space="preserve">. </w:t>
      </w:r>
      <w:proofErr w:type="spellStart"/>
      <w:r>
        <w:t>посіб</w:t>
      </w:r>
      <w:proofErr w:type="spellEnd"/>
      <w:r>
        <w:t>. 6-те вид. Київ : Знання, 2008. 199 с.</w:t>
      </w:r>
    </w:p>
    <w:p w:rsidR="00B621C7" w:rsidRDefault="005D53F5">
      <w:pPr>
        <w:pBdr>
          <w:top w:val="nil"/>
          <w:left w:val="nil"/>
          <w:bottom w:val="nil"/>
          <w:right w:val="nil"/>
          <w:between w:val="nil"/>
        </w:pBdr>
        <w:rPr>
          <w:rFonts w:ascii="Calibri" w:eastAsia="Calibri" w:hAnsi="Calibri" w:cs="Calibri"/>
          <w:color w:val="000000"/>
        </w:rPr>
      </w:pPr>
      <w:r>
        <w:t>17. Національний банк України. Звіт про фінансову стабільність, грудень 2024 року. URL: https://bank.gov.ua/ua/stability/report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18. Національний банк України. Інс</w:t>
      </w:r>
      <w:r>
        <w:t>трументи монетарної політики. URL: https://bank.gov.ua/ua/monetary/tools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19. Національний банк України. Інфляційний звіт, квітень 2024 року. URL: https://bank.gov.ua/ua/monetary/report/2024/inflation-report-april-2024 (дата зв</w:t>
      </w:r>
      <w:r>
        <w:t>ернення: 17.06.2026).</w:t>
      </w:r>
    </w:p>
    <w:p w:rsidR="00B621C7" w:rsidRDefault="005D53F5">
      <w:pPr>
        <w:pBdr>
          <w:top w:val="nil"/>
          <w:left w:val="nil"/>
          <w:bottom w:val="nil"/>
          <w:right w:val="nil"/>
          <w:between w:val="nil"/>
        </w:pBdr>
        <w:rPr>
          <w:rFonts w:ascii="Calibri" w:eastAsia="Calibri" w:hAnsi="Calibri" w:cs="Calibri"/>
          <w:color w:val="000000"/>
        </w:rPr>
      </w:pPr>
      <w:r>
        <w:t>20. Національний банк України. Інфляційний звіт, квітень 2025 року. URL: https://bank.gov.ua/ua/monetary/report/2025/inflation-report-april-2025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21. Національний банк України. Макроекономічні показники. U</w:t>
      </w:r>
      <w:r>
        <w:t>RL: https://bank.gov.ua/ua/statistic/macro-indicators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22. Національний банк України. Міжнародні резерви. URL: https://bank.gov.ua/ua/markets/international-reserves-allinfo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23. Національний банк Ук</w:t>
      </w:r>
      <w:r>
        <w:t xml:space="preserve">раїни. НБУ впроваджує керовану гнучкість обмінного курсу, що посилить стійкість валютного ринку та економіки. URL: https://bank.gov.ua/ua/news/all/nbu-vprovadjuye-kerovanu-gnuchkist-obminnogo-kursu-scho-posilit-stiykist-valyutnogo-rinku-ta-ekonomiki (дата </w:t>
      </w:r>
      <w:r>
        <w:t>звернення: 17.06.2026).</w:t>
      </w:r>
    </w:p>
    <w:p w:rsidR="00B621C7" w:rsidRDefault="005D53F5">
      <w:pPr>
        <w:pBdr>
          <w:top w:val="nil"/>
          <w:left w:val="nil"/>
          <w:bottom w:val="nil"/>
          <w:right w:val="nil"/>
          <w:between w:val="nil"/>
        </w:pBdr>
        <w:rPr>
          <w:rFonts w:ascii="Calibri" w:eastAsia="Calibri" w:hAnsi="Calibri" w:cs="Calibri"/>
          <w:color w:val="000000"/>
        </w:rPr>
      </w:pPr>
      <w:r>
        <w:lastRenderedPageBreak/>
        <w:t>24. Національний банк України. Облікова ставка Національного банку. Архів рішень з монетарної політики. URL: https://bank.gov.ua/ua/monetary/archive-rish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25. Національний банк України. Огляд банківськог</w:t>
      </w:r>
      <w:r>
        <w:t>о сектору. URL: https://bank.gov.ua/ua/news/all?tags=Banking_Sector_Review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26. Національний банк України. Про монетарну політику. URL: https://bank.gov.ua/ua/monetary/about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27. Національний банк У</w:t>
      </w:r>
      <w:r>
        <w:t>країни. Ринок грошей: динаміка UONIA. URL: https://bank.gov.ua/ua/markets/uonia-chart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28. Національний банк України. Статистика фінансового сектору. URL: https://bank.gov.ua/ua/statistic/sector-financial (дата звернення: 17.06</w:t>
      </w:r>
      <w:r>
        <w:t>.2026).</w:t>
      </w:r>
    </w:p>
    <w:p w:rsidR="00B621C7" w:rsidRDefault="005D53F5">
      <w:pPr>
        <w:pBdr>
          <w:top w:val="nil"/>
          <w:left w:val="nil"/>
          <w:bottom w:val="nil"/>
          <w:right w:val="nil"/>
          <w:between w:val="nil"/>
        </w:pBdr>
        <w:rPr>
          <w:rFonts w:ascii="Calibri" w:eastAsia="Calibri" w:hAnsi="Calibri" w:cs="Calibri"/>
          <w:color w:val="000000"/>
        </w:rPr>
      </w:pPr>
      <w:r>
        <w:t>29. Національний банк України. Як Національний банк може впливати на інфляцію за допомогою облікової ставки. URL: https://bank.gov.ua/ua/monetary/about/keyrate-inflat (дата звернення: 17.06.2026).</w:t>
      </w:r>
    </w:p>
    <w:p w:rsidR="00B621C7" w:rsidRDefault="005D53F5">
      <w:pPr>
        <w:pBdr>
          <w:top w:val="nil"/>
          <w:left w:val="nil"/>
          <w:bottom w:val="nil"/>
          <w:right w:val="nil"/>
          <w:between w:val="nil"/>
        </w:pBdr>
        <w:rPr>
          <w:rFonts w:ascii="Calibri" w:eastAsia="Calibri" w:hAnsi="Calibri" w:cs="Calibri"/>
          <w:color w:val="000000"/>
        </w:rPr>
      </w:pPr>
      <w:r>
        <w:t xml:space="preserve">30. </w:t>
      </w:r>
      <w:proofErr w:type="spellStart"/>
      <w:r>
        <w:t>Савлук</w:t>
      </w:r>
      <w:proofErr w:type="spellEnd"/>
      <w:r>
        <w:t xml:space="preserve"> М. І. та ін. Гроші та кредит : підручник / за наук. ред. М. І. </w:t>
      </w:r>
      <w:proofErr w:type="spellStart"/>
      <w:r>
        <w:t>Савлука</w:t>
      </w:r>
      <w:proofErr w:type="spellEnd"/>
      <w:r>
        <w:t>. 6-те вид. Київ : КНЕУ, 2011. 590 с.</w:t>
      </w:r>
    </w:p>
    <w:p w:rsidR="00B621C7" w:rsidRDefault="005D53F5">
      <w:pPr>
        <w:pBdr>
          <w:top w:val="nil"/>
          <w:left w:val="nil"/>
          <w:bottom w:val="nil"/>
          <w:right w:val="nil"/>
          <w:between w:val="nil"/>
        </w:pBdr>
        <w:rPr>
          <w:rFonts w:ascii="Calibri" w:eastAsia="Calibri" w:hAnsi="Calibri" w:cs="Calibri"/>
          <w:color w:val="000000"/>
        </w:rPr>
      </w:pPr>
      <w:r>
        <w:t xml:space="preserve">31. </w:t>
      </w:r>
      <w:proofErr w:type="spellStart"/>
      <w:r>
        <w:t>Шамова</w:t>
      </w:r>
      <w:proofErr w:type="spellEnd"/>
      <w:r>
        <w:t xml:space="preserve"> І. В. Грошово-кредитні системи зарубіжних країн. Київ : КНЕУ, 2011. 193 с.</w:t>
      </w:r>
    </w:p>
    <w:p w:rsidR="00B621C7" w:rsidRDefault="00B621C7">
      <w:pPr>
        <w:pBdr>
          <w:top w:val="nil"/>
          <w:left w:val="nil"/>
          <w:bottom w:val="nil"/>
          <w:right w:val="nil"/>
          <w:between w:val="nil"/>
        </w:pBdr>
        <w:ind w:firstLine="0"/>
        <w:rPr>
          <w:color w:val="000000"/>
        </w:rPr>
      </w:pPr>
    </w:p>
    <w:p w:rsidR="00B621C7" w:rsidRDefault="005D53F5">
      <w:pPr>
        <w:ind w:firstLine="0"/>
        <w:jc w:val="center"/>
      </w:pPr>
      <w:r>
        <w:br w:type="page"/>
      </w:r>
    </w:p>
    <w:p w:rsidR="00B621C7" w:rsidRDefault="00B621C7">
      <w:pPr>
        <w:ind w:firstLine="0"/>
        <w:jc w:val="center"/>
      </w:pPr>
    </w:p>
    <w:p w:rsidR="00B621C7" w:rsidRDefault="00B621C7">
      <w:pPr>
        <w:ind w:firstLine="0"/>
        <w:jc w:val="center"/>
      </w:pPr>
    </w:p>
    <w:p w:rsidR="00B621C7" w:rsidRDefault="00B621C7">
      <w:pPr>
        <w:ind w:firstLine="0"/>
        <w:jc w:val="center"/>
      </w:pPr>
    </w:p>
    <w:p w:rsidR="00B621C7" w:rsidRDefault="00B621C7">
      <w:pPr>
        <w:ind w:firstLine="0"/>
        <w:jc w:val="center"/>
      </w:pPr>
    </w:p>
    <w:p w:rsidR="00B621C7" w:rsidRDefault="00B621C7">
      <w:pPr>
        <w:ind w:firstLine="0"/>
        <w:jc w:val="center"/>
      </w:pPr>
    </w:p>
    <w:p w:rsidR="00B621C7" w:rsidRDefault="00B621C7">
      <w:pPr>
        <w:ind w:firstLine="0"/>
        <w:jc w:val="center"/>
      </w:pPr>
    </w:p>
    <w:p w:rsidR="00B621C7" w:rsidRDefault="00B621C7">
      <w:pPr>
        <w:ind w:firstLine="0"/>
        <w:jc w:val="center"/>
      </w:pPr>
    </w:p>
    <w:p w:rsidR="00B621C7" w:rsidRDefault="00B621C7">
      <w:pPr>
        <w:ind w:firstLine="0"/>
        <w:jc w:val="center"/>
      </w:pPr>
    </w:p>
    <w:p w:rsidR="00B621C7" w:rsidRDefault="00B621C7">
      <w:pPr>
        <w:ind w:firstLine="0"/>
        <w:jc w:val="center"/>
      </w:pPr>
    </w:p>
    <w:p w:rsidR="00B621C7" w:rsidRDefault="00B621C7">
      <w:pPr>
        <w:ind w:firstLine="0"/>
        <w:jc w:val="center"/>
      </w:pPr>
    </w:p>
    <w:p w:rsidR="00B621C7" w:rsidRDefault="00B621C7">
      <w:pPr>
        <w:ind w:firstLine="0"/>
        <w:jc w:val="center"/>
      </w:pPr>
    </w:p>
    <w:p w:rsidR="00B621C7" w:rsidRDefault="00B621C7">
      <w:pPr>
        <w:ind w:firstLine="0"/>
        <w:jc w:val="center"/>
      </w:pPr>
    </w:p>
    <w:p w:rsidR="00B621C7" w:rsidRDefault="00B621C7">
      <w:pPr>
        <w:ind w:firstLine="0"/>
        <w:jc w:val="center"/>
      </w:pPr>
    </w:p>
    <w:p w:rsidR="00B621C7" w:rsidRDefault="005D53F5">
      <w:pPr>
        <w:ind w:firstLine="0"/>
        <w:jc w:val="center"/>
      </w:pPr>
      <w:r>
        <w:rPr>
          <w:b/>
          <w:bCs/>
        </w:rPr>
        <w:t>ДОДАТКИ</w:t>
      </w:r>
    </w:p>
    <w:p w:rsidR="00B621C7" w:rsidRDefault="005D53F5">
      <w:pPr>
        <w:ind w:firstLine="0"/>
        <w:jc w:val="right"/>
      </w:pPr>
      <w:r>
        <w:br w:type="page"/>
      </w:r>
      <w:r>
        <w:rPr>
          <w:b/>
          <w:bCs/>
        </w:rPr>
        <w:lastRenderedPageBreak/>
        <w:t>Додаток  А</w:t>
      </w:r>
    </w:p>
    <w:p w:rsidR="00B621C7" w:rsidRDefault="005D53F5">
      <w:pPr>
        <w:ind w:firstLine="0"/>
        <w:jc w:val="center"/>
      </w:pPr>
      <w:r>
        <w:rPr>
          <w:b/>
          <w:bCs/>
        </w:rPr>
        <w:t>Зведені показники грошово-кредитної політики Національного банку України у 2022–2025 роках</w:t>
      </w:r>
    </w:p>
    <w:tbl>
      <w:tblPr>
        <w:tblStyle w:val="afa"/>
        <w:tblW w:w="9360" w:type="dxa"/>
        <w:jc w:val="center"/>
        <w:tblInd w:w="0" w:type="dxa"/>
        <w:tblLayout w:type="fixed"/>
        <w:tblLook w:val="0400" w:firstRow="0" w:lastRow="0" w:firstColumn="0" w:lastColumn="0" w:noHBand="0" w:noVBand="1"/>
      </w:tblPr>
      <w:tblGrid>
        <w:gridCol w:w="4400"/>
        <w:gridCol w:w="1240"/>
        <w:gridCol w:w="1240"/>
        <w:gridCol w:w="1240"/>
        <w:gridCol w:w="1240"/>
      </w:tblGrid>
      <w:tr w:rsidR="00B621C7">
        <w:trPr>
          <w:cantSplit/>
          <w:tblHeader/>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left"/>
              <w:rPr>
                <w:sz w:val="24"/>
                <w:szCs w:val="24"/>
              </w:rPr>
            </w:pPr>
            <w:r>
              <w:rPr>
                <w:b/>
                <w:bCs/>
                <w:sz w:val="24"/>
                <w:szCs w:val="24"/>
              </w:rPr>
              <w:t>Показник</w:t>
            </w:r>
          </w:p>
        </w:tc>
        <w:tc>
          <w:tcPr>
            <w:tcW w:w="124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4"/>
                <w:szCs w:val="24"/>
              </w:rPr>
              <w:t>2022</w:t>
            </w:r>
          </w:p>
        </w:tc>
        <w:tc>
          <w:tcPr>
            <w:tcW w:w="124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4"/>
                <w:szCs w:val="24"/>
              </w:rPr>
              <w:t>2023</w:t>
            </w:r>
          </w:p>
        </w:tc>
        <w:tc>
          <w:tcPr>
            <w:tcW w:w="124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4"/>
                <w:szCs w:val="24"/>
              </w:rPr>
              <w:t>2024</w:t>
            </w:r>
          </w:p>
        </w:tc>
        <w:tc>
          <w:tcPr>
            <w:tcW w:w="124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4"/>
                <w:szCs w:val="24"/>
              </w:rPr>
              <w:t>2025</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Облікова ставка НБУ (середньорічна), %</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18,66</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22,35</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13,67</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15,26</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UONIA (середньорічне значення), %</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11,42</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17,74</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13,49</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14,70</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proofErr w:type="spellStart"/>
            <w:r>
              <w:rPr>
                <w:sz w:val="24"/>
                <w:szCs w:val="24"/>
              </w:rPr>
              <w:t>Спред</w:t>
            </w:r>
            <w:proofErr w:type="spellEnd"/>
            <w:r>
              <w:rPr>
                <w:sz w:val="24"/>
                <w:szCs w:val="24"/>
              </w:rPr>
              <w:t xml:space="preserve"> UONIA до облікової ставки, </w:t>
            </w:r>
            <w:proofErr w:type="spellStart"/>
            <w:r>
              <w:rPr>
                <w:sz w:val="24"/>
                <w:szCs w:val="24"/>
              </w:rPr>
              <w:t>в.п</w:t>
            </w:r>
            <w:proofErr w:type="spellEnd"/>
            <w:r>
              <w:rPr>
                <w:sz w:val="24"/>
                <w:szCs w:val="24"/>
              </w:rPr>
              <w:t>.</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7,24</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4,61</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0,18</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0,56</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Ставка за депозитами домогосподарств у гривні, %</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8,15</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11,76</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10,46</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10,48</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proofErr w:type="spellStart"/>
            <w:r>
              <w:rPr>
                <w:sz w:val="24"/>
                <w:szCs w:val="24"/>
              </w:rPr>
              <w:t>Спред</w:t>
            </w:r>
            <w:proofErr w:type="spellEnd"/>
            <w:r>
              <w:rPr>
                <w:sz w:val="24"/>
                <w:szCs w:val="24"/>
              </w:rPr>
              <w:t xml:space="preserve"> депозитної ставки до облікової, </w:t>
            </w:r>
            <w:proofErr w:type="spellStart"/>
            <w:r>
              <w:rPr>
                <w:sz w:val="24"/>
                <w:szCs w:val="24"/>
              </w:rPr>
              <w:t>в.п</w:t>
            </w:r>
            <w:proofErr w:type="spellEnd"/>
            <w:r>
              <w:rPr>
                <w:sz w:val="24"/>
                <w:szCs w:val="24"/>
              </w:rPr>
              <w:t>.</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10,50</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10,59</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3,21</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4,78</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Ставка за кредитами нефінансовим корпораціям, %</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16,49</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19,38</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16,07</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15,90</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proofErr w:type="spellStart"/>
            <w:r>
              <w:rPr>
                <w:sz w:val="24"/>
                <w:szCs w:val="24"/>
              </w:rPr>
              <w:t>Спред</w:t>
            </w:r>
            <w:proofErr w:type="spellEnd"/>
            <w:r>
              <w:rPr>
                <w:sz w:val="24"/>
                <w:szCs w:val="24"/>
              </w:rPr>
              <w:t xml:space="preserve"> кредитної ставки до облікової, </w:t>
            </w:r>
            <w:proofErr w:type="spellStart"/>
            <w:r>
              <w:rPr>
                <w:sz w:val="24"/>
                <w:szCs w:val="24"/>
              </w:rPr>
              <w:t>в.п</w:t>
            </w:r>
            <w:proofErr w:type="spellEnd"/>
            <w:r>
              <w:rPr>
                <w:sz w:val="24"/>
                <w:szCs w:val="24"/>
              </w:rPr>
              <w:t>.</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2,17</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2,97</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2,40</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0,64</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Індекс споживчих цін (грудень до грудня), %</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26,60</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5,10</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12,00</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8,00</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Базова інфляція (грудень до грудня), %</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22,60</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4,90</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10,70</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8,00</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 xml:space="preserve">Реальна облікова ставка </w:t>
            </w:r>
            <w:proofErr w:type="spellStart"/>
            <w:r>
              <w:rPr>
                <w:sz w:val="24"/>
                <w:szCs w:val="24"/>
              </w:rPr>
              <w:t>ex</w:t>
            </w:r>
            <w:proofErr w:type="spellEnd"/>
            <w:r>
              <w:rPr>
                <w:sz w:val="24"/>
                <w:szCs w:val="24"/>
              </w:rPr>
              <w:t xml:space="preserve"> </w:t>
            </w:r>
            <w:proofErr w:type="spellStart"/>
            <w:r>
              <w:rPr>
                <w:sz w:val="24"/>
                <w:szCs w:val="24"/>
              </w:rPr>
              <w:t>post</w:t>
            </w:r>
            <w:proofErr w:type="spellEnd"/>
            <w:r>
              <w:rPr>
                <w:sz w:val="24"/>
                <w:szCs w:val="24"/>
              </w:rPr>
              <w:t>, %</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7,94</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17,25</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1,67</w:t>
            </w:r>
          </w:p>
        </w:tc>
        <w:tc>
          <w:tcPr>
            <w:tcW w:w="1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7,26</w:t>
            </w:r>
          </w:p>
        </w:tc>
      </w:tr>
    </w:tbl>
    <w:p w:rsidR="00B621C7" w:rsidRDefault="005D53F5">
      <w:pPr>
        <w:ind w:firstLine="0"/>
      </w:pPr>
      <w:r>
        <w:rPr>
          <w:i/>
          <w:iCs/>
        </w:rPr>
        <w:t>Джерело: складено автором на основі таблиць 2.1 та 2.2 розділу 2.</w:t>
      </w:r>
    </w:p>
    <w:p w:rsidR="00B621C7" w:rsidRDefault="005D53F5">
      <w:pPr>
        <w:ind w:firstLine="0"/>
        <w:jc w:val="right"/>
      </w:pPr>
      <w:r>
        <w:br w:type="page"/>
      </w:r>
      <w:r>
        <w:rPr>
          <w:b/>
          <w:bCs/>
        </w:rPr>
        <w:lastRenderedPageBreak/>
        <w:t>Додаток Б</w:t>
      </w:r>
    </w:p>
    <w:p w:rsidR="00B621C7" w:rsidRDefault="005D53F5">
      <w:pPr>
        <w:ind w:firstLine="0"/>
        <w:jc w:val="center"/>
      </w:pPr>
      <w:r>
        <w:rPr>
          <w:b/>
          <w:bCs/>
        </w:rPr>
        <w:t>Додаткові показники діяльності АТ «Ощадбанк» у 2023–2025 роках</w:t>
      </w:r>
    </w:p>
    <w:tbl>
      <w:tblPr>
        <w:tblStyle w:val="afb"/>
        <w:tblW w:w="9350" w:type="dxa"/>
        <w:jc w:val="center"/>
        <w:tblInd w:w="0" w:type="dxa"/>
        <w:tblLayout w:type="fixed"/>
        <w:tblLook w:val="0400" w:firstRow="0" w:lastRow="0" w:firstColumn="0" w:lastColumn="0" w:noHBand="0" w:noVBand="1"/>
      </w:tblPr>
      <w:tblGrid>
        <w:gridCol w:w="5000"/>
        <w:gridCol w:w="1450"/>
        <w:gridCol w:w="1450"/>
        <w:gridCol w:w="1450"/>
      </w:tblGrid>
      <w:tr w:rsidR="00B621C7">
        <w:trPr>
          <w:cantSplit/>
          <w:tblHeader/>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left"/>
              <w:rPr>
                <w:sz w:val="24"/>
                <w:szCs w:val="24"/>
              </w:rPr>
            </w:pPr>
            <w:r>
              <w:rPr>
                <w:b/>
                <w:bCs/>
                <w:sz w:val="24"/>
                <w:szCs w:val="24"/>
              </w:rPr>
              <w:t>Показник</w:t>
            </w:r>
          </w:p>
        </w:tc>
        <w:tc>
          <w:tcPr>
            <w:tcW w:w="145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4"/>
                <w:szCs w:val="24"/>
              </w:rPr>
              <w:t>2023</w:t>
            </w:r>
          </w:p>
        </w:tc>
        <w:tc>
          <w:tcPr>
            <w:tcW w:w="145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4"/>
                <w:szCs w:val="24"/>
              </w:rPr>
              <w:t>2024</w:t>
            </w:r>
          </w:p>
        </w:tc>
        <w:tc>
          <w:tcPr>
            <w:tcW w:w="145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4"/>
                <w:szCs w:val="24"/>
              </w:rPr>
              <w:t>2025</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Кошти клієнтів, млн грн</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302 944,0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377 148,6</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445 999,9</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Строкові депозити, млн грн</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101 936,0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116 081,5</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126 230,0</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Частка строкових депозитів, %</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33,6</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30,8</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28,3</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Кошти до запитання, млн грн</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201 008,0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261 067,2</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319 769,9</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Частка коштів до запитання, %</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66,4</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69,2</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71,7</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Чистий кредитний портфель, млн грн</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89 109,0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111 100,0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128 196,5</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Частка NPL у валовому портфелі, %</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21,0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13,0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9,0</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Покриття NPL резервами, %</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101,0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129,0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153,0</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Активи всього, млрд грн</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346,5</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428,6</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512,3</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Частка цінних паперів в активах, %</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50,0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53,0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53,0</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Процентні доходи, млн грн</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32 597,0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43 957,4</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53 872,1</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Процентні витрати, млн грн</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13 867,5</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19 639,4</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22 772,1</w:t>
            </w:r>
          </w:p>
        </w:tc>
      </w:tr>
      <w:tr w:rsidR="00B621C7">
        <w:trPr>
          <w:cantSplit/>
          <w:jc w:val="center"/>
        </w:trPr>
        <w:tc>
          <w:tcPr>
            <w:tcW w:w="5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Чистий процентний дохід, млн грн</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18 729,5</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24 318,0</w:t>
            </w:r>
          </w:p>
        </w:tc>
        <w:tc>
          <w:tcPr>
            <w:tcW w:w="14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31 100,0</w:t>
            </w:r>
          </w:p>
        </w:tc>
      </w:tr>
    </w:tbl>
    <w:p w:rsidR="00B621C7" w:rsidRDefault="005D53F5">
      <w:pPr>
        <w:ind w:firstLine="0"/>
      </w:pPr>
      <w:r>
        <w:rPr>
          <w:i/>
          <w:iCs/>
        </w:rPr>
        <w:t>Джерело: складено автором на основі таблиць 2.3–2.6 розділу 2.</w:t>
      </w:r>
    </w:p>
    <w:p w:rsidR="00B621C7" w:rsidRDefault="005D53F5">
      <w:pPr>
        <w:ind w:firstLine="0"/>
        <w:jc w:val="right"/>
      </w:pPr>
      <w:r>
        <w:br w:type="page"/>
      </w:r>
      <w:r>
        <w:rPr>
          <w:b/>
          <w:bCs/>
        </w:rPr>
        <w:lastRenderedPageBreak/>
        <w:t>Додаток В</w:t>
      </w:r>
    </w:p>
    <w:p w:rsidR="00B621C7" w:rsidRDefault="005D53F5">
      <w:pPr>
        <w:ind w:firstLine="0"/>
        <w:jc w:val="center"/>
      </w:pPr>
      <w:r>
        <w:rPr>
          <w:b/>
          <w:bCs/>
        </w:rPr>
        <w:t>Вихідні дані для розрахунків розділу 3</w:t>
      </w:r>
    </w:p>
    <w:tbl>
      <w:tblPr>
        <w:tblStyle w:val="afc"/>
        <w:tblW w:w="9200" w:type="dxa"/>
        <w:jc w:val="center"/>
        <w:tblInd w:w="0" w:type="dxa"/>
        <w:tblLayout w:type="fixed"/>
        <w:tblLook w:val="0400" w:firstRow="0" w:lastRow="0" w:firstColumn="0" w:lastColumn="0" w:noHBand="0" w:noVBand="1"/>
      </w:tblPr>
      <w:tblGrid>
        <w:gridCol w:w="4900"/>
        <w:gridCol w:w="1900"/>
        <w:gridCol w:w="2400"/>
      </w:tblGrid>
      <w:tr w:rsidR="00B621C7">
        <w:trPr>
          <w:cantSplit/>
          <w:tblHeader/>
          <w:jc w:val="center"/>
        </w:trPr>
        <w:tc>
          <w:tcPr>
            <w:tcW w:w="490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left"/>
              <w:rPr>
                <w:sz w:val="24"/>
                <w:szCs w:val="24"/>
              </w:rPr>
            </w:pPr>
            <w:r>
              <w:rPr>
                <w:b/>
                <w:bCs/>
                <w:sz w:val="24"/>
                <w:szCs w:val="24"/>
              </w:rPr>
              <w:t>Вихідний показник</w:t>
            </w:r>
          </w:p>
        </w:tc>
        <w:tc>
          <w:tcPr>
            <w:tcW w:w="190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4"/>
                <w:szCs w:val="24"/>
              </w:rPr>
              <w:t>Значення</w:t>
            </w:r>
          </w:p>
        </w:tc>
        <w:tc>
          <w:tcPr>
            <w:tcW w:w="240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4"/>
                <w:szCs w:val="24"/>
              </w:rPr>
              <w:t>Джерело у роботі</w:t>
            </w:r>
          </w:p>
        </w:tc>
      </w:tr>
      <w:tr w:rsidR="00B621C7">
        <w:trPr>
          <w:cantSplit/>
          <w:jc w:val="center"/>
        </w:trPr>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Кошти клієнтів АТ «Ощадбанк» у 2025 році, млн грн</w:t>
            </w:r>
          </w:p>
        </w:tc>
        <w:tc>
          <w:tcPr>
            <w:tcW w:w="1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445 999,9</w:t>
            </w:r>
          </w:p>
        </w:tc>
        <w:tc>
          <w:tcPr>
            <w:tcW w:w="2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Таблиця 2.3</w:t>
            </w:r>
          </w:p>
        </w:tc>
      </w:tr>
      <w:tr w:rsidR="00B621C7">
        <w:trPr>
          <w:cantSplit/>
          <w:jc w:val="center"/>
        </w:trPr>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Строкові депозити у 2025 році, млн грн</w:t>
            </w:r>
          </w:p>
        </w:tc>
        <w:tc>
          <w:tcPr>
            <w:tcW w:w="1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126 230,0</w:t>
            </w:r>
          </w:p>
        </w:tc>
        <w:tc>
          <w:tcPr>
            <w:tcW w:w="2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Таблиця 2.3</w:t>
            </w:r>
          </w:p>
        </w:tc>
      </w:tr>
      <w:tr w:rsidR="00B621C7">
        <w:trPr>
          <w:cantSplit/>
          <w:jc w:val="center"/>
        </w:trPr>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Кошти до запитання у 2025 році, млн грн</w:t>
            </w:r>
          </w:p>
        </w:tc>
        <w:tc>
          <w:tcPr>
            <w:tcW w:w="1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319 769,9</w:t>
            </w:r>
          </w:p>
        </w:tc>
        <w:tc>
          <w:tcPr>
            <w:tcW w:w="2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Таблиця 2.3</w:t>
            </w:r>
          </w:p>
        </w:tc>
      </w:tr>
      <w:tr w:rsidR="00B621C7">
        <w:trPr>
          <w:cantSplit/>
          <w:jc w:val="center"/>
        </w:trPr>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Частка строкових депозитів у 2025 році, %</w:t>
            </w:r>
          </w:p>
        </w:tc>
        <w:tc>
          <w:tcPr>
            <w:tcW w:w="1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28,3</w:t>
            </w:r>
          </w:p>
        </w:tc>
        <w:tc>
          <w:tcPr>
            <w:tcW w:w="2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Таблиця 2.3</w:t>
            </w:r>
          </w:p>
        </w:tc>
      </w:tr>
      <w:tr w:rsidR="00B621C7">
        <w:trPr>
          <w:cantSplit/>
          <w:jc w:val="center"/>
        </w:trPr>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Частка коштів до запитання у 2025 році, %</w:t>
            </w:r>
          </w:p>
        </w:tc>
        <w:tc>
          <w:tcPr>
            <w:tcW w:w="1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71,7</w:t>
            </w:r>
          </w:p>
        </w:tc>
        <w:tc>
          <w:tcPr>
            <w:tcW w:w="2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Таблиця 2.3</w:t>
            </w:r>
          </w:p>
        </w:tc>
      </w:tr>
      <w:tr w:rsidR="00B621C7">
        <w:trPr>
          <w:cantSplit/>
          <w:jc w:val="center"/>
        </w:trPr>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 xml:space="preserve">Крок зміни структури для розрахунку, </w:t>
            </w:r>
            <w:proofErr w:type="spellStart"/>
            <w:r>
              <w:rPr>
                <w:sz w:val="24"/>
                <w:szCs w:val="24"/>
              </w:rPr>
              <w:t>в.п</w:t>
            </w:r>
            <w:proofErr w:type="spellEnd"/>
            <w:r>
              <w:rPr>
                <w:sz w:val="24"/>
                <w:szCs w:val="24"/>
              </w:rPr>
              <w:t>.</w:t>
            </w:r>
          </w:p>
        </w:tc>
        <w:tc>
          <w:tcPr>
            <w:tcW w:w="1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1,0</w:t>
            </w:r>
          </w:p>
        </w:tc>
        <w:tc>
          <w:tcPr>
            <w:tcW w:w="2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Розрахунок підрозділу 3.3</w:t>
            </w:r>
          </w:p>
        </w:tc>
      </w:tr>
      <w:tr w:rsidR="00B621C7">
        <w:trPr>
          <w:cantSplit/>
          <w:jc w:val="center"/>
        </w:trPr>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 xml:space="preserve">Розрахункова величина зміщення (1 </w:t>
            </w:r>
            <w:proofErr w:type="spellStart"/>
            <w:r>
              <w:rPr>
                <w:sz w:val="24"/>
                <w:szCs w:val="24"/>
              </w:rPr>
              <w:t>в.п</w:t>
            </w:r>
            <w:proofErr w:type="spellEnd"/>
            <w:r>
              <w:rPr>
                <w:sz w:val="24"/>
                <w:szCs w:val="24"/>
              </w:rPr>
              <w:t>.), млн грн</w:t>
            </w:r>
          </w:p>
        </w:tc>
        <w:tc>
          <w:tcPr>
            <w:tcW w:w="19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4 460,0</w:t>
            </w:r>
          </w:p>
        </w:tc>
        <w:tc>
          <w:tcPr>
            <w:tcW w:w="2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Таблиця 3.3</w:t>
            </w:r>
          </w:p>
        </w:tc>
      </w:tr>
    </w:tbl>
    <w:p w:rsidR="00B621C7" w:rsidRDefault="005D53F5">
      <w:pPr>
        <w:ind w:firstLine="0"/>
      </w:pPr>
      <w:r>
        <w:rPr>
          <w:i/>
          <w:iCs/>
        </w:rPr>
        <w:t>Джерело: складено автором на основі таблиць 2.3 і 3.3 та розрахунків підрозділу 3.3.</w:t>
      </w:r>
    </w:p>
    <w:p w:rsidR="00B621C7" w:rsidRDefault="005D53F5">
      <w:pPr>
        <w:ind w:firstLine="0"/>
        <w:jc w:val="right"/>
      </w:pPr>
      <w:r>
        <w:br w:type="page"/>
      </w:r>
      <w:r>
        <w:rPr>
          <w:b/>
          <w:bCs/>
        </w:rPr>
        <w:lastRenderedPageBreak/>
        <w:t>Додаток Г</w:t>
      </w:r>
    </w:p>
    <w:p w:rsidR="00B621C7" w:rsidRDefault="005D53F5">
      <w:pPr>
        <w:ind w:firstLine="0"/>
        <w:jc w:val="center"/>
      </w:pPr>
      <w:r>
        <w:rPr>
          <w:b/>
          <w:bCs/>
        </w:rPr>
        <w:t>Динаміка ключових</w:t>
      </w:r>
      <w:r>
        <w:rPr>
          <w:b/>
          <w:bCs/>
        </w:rPr>
        <w:t xml:space="preserve"> показників АТ «Ощадбанк» за 2023–2025 роки</w:t>
      </w:r>
    </w:p>
    <w:tbl>
      <w:tblPr>
        <w:tblStyle w:val="afd"/>
        <w:tblW w:w="9680" w:type="dxa"/>
        <w:jc w:val="center"/>
        <w:tblInd w:w="0" w:type="dxa"/>
        <w:tblLayout w:type="fixed"/>
        <w:tblLook w:val="0400" w:firstRow="0" w:lastRow="0" w:firstColumn="0" w:lastColumn="0" w:noHBand="0" w:noVBand="1"/>
      </w:tblPr>
      <w:tblGrid>
        <w:gridCol w:w="4400"/>
        <w:gridCol w:w="1640"/>
        <w:gridCol w:w="1640"/>
        <w:gridCol w:w="2000"/>
      </w:tblGrid>
      <w:tr w:rsidR="00B621C7">
        <w:trPr>
          <w:cantSplit/>
          <w:tblHeader/>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left"/>
              <w:rPr>
                <w:sz w:val="24"/>
                <w:szCs w:val="24"/>
              </w:rPr>
            </w:pPr>
            <w:r>
              <w:rPr>
                <w:b/>
                <w:bCs/>
                <w:sz w:val="24"/>
                <w:szCs w:val="24"/>
              </w:rPr>
              <w:t>Показник</w:t>
            </w:r>
          </w:p>
        </w:tc>
        <w:tc>
          <w:tcPr>
            <w:tcW w:w="164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4"/>
                <w:szCs w:val="24"/>
              </w:rPr>
              <w:t>2023</w:t>
            </w:r>
          </w:p>
        </w:tc>
        <w:tc>
          <w:tcPr>
            <w:tcW w:w="164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b/>
                <w:bCs/>
                <w:sz w:val="24"/>
                <w:szCs w:val="24"/>
              </w:rPr>
              <w:t>2025</w:t>
            </w:r>
          </w:p>
        </w:tc>
        <w:tc>
          <w:tcPr>
            <w:tcW w:w="2000" w:type="dxa"/>
            <w:tcBorders>
              <w:top w:val="single" w:sz="6" w:space="0" w:color="000000"/>
              <w:left w:val="single" w:sz="6" w:space="0" w:color="000000"/>
              <w:bottom w:val="single" w:sz="6" w:space="0" w:color="000000"/>
              <w:right w:val="single" w:sz="6" w:space="0" w:color="000000"/>
            </w:tcBorders>
            <w:shd w:val="clear" w:color="auto" w:fill="D9EAF7"/>
            <w:vAlign w:val="center"/>
          </w:tcPr>
          <w:p w:rsidR="00B621C7" w:rsidRDefault="005D53F5">
            <w:pPr>
              <w:spacing w:line="240" w:lineRule="auto"/>
              <w:ind w:firstLine="0"/>
              <w:jc w:val="center"/>
              <w:rPr>
                <w:sz w:val="24"/>
                <w:szCs w:val="24"/>
              </w:rPr>
            </w:pPr>
            <w:r>
              <w:rPr>
                <w:rFonts w:ascii="Gungsuh" w:eastAsia="Gungsuh" w:hAnsi="Gungsuh" w:cs="Gungsuh"/>
                <w:b/>
                <w:bCs/>
                <w:sz w:val="24"/>
                <w:szCs w:val="24"/>
              </w:rPr>
              <w:t>Зміна 2023→2025</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Кошти клієнтів, млн грн</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302 944,0</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445 999,9</w:t>
            </w:r>
          </w:p>
        </w:tc>
        <w:tc>
          <w:tcPr>
            <w:tcW w:w="2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+143 055,9</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Чистий кредитний портфель, млн грн</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89 109,0</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128 196,5</w:t>
            </w:r>
          </w:p>
        </w:tc>
        <w:tc>
          <w:tcPr>
            <w:tcW w:w="2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+39 087,5</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Активи всього, млрд грн</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346,5</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512,3</w:t>
            </w:r>
          </w:p>
        </w:tc>
        <w:tc>
          <w:tcPr>
            <w:tcW w:w="2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+165,8</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Цінні папери, млрд грн</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173,4</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270,2</w:t>
            </w:r>
          </w:p>
        </w:tc>
        <w:tc>
          <w:tcPr>
            <w:tcW w:w="2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+96,8</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Чистий процентний дохід, млн грн</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18 729,5</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31 100,0</w:t>
            </w:r>
          </w:p>
        </w:tc>
        <w:tc>
          <w:tcPr>
            <w:tcW w:w="2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+12 370,5</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 xml:space="preserve">Частка строкових депозитів, </w:t>
            </w:r>
            <w:proofErr w:type="spellStart"/>
            <w:r>
              <w:rPr>
                <w:sz w:val="24"/>
                <w:szCs w:val="24"/>
              </w:rPr>
              <w:t>в.п</w:t>
            </w:r>
            <w:proofErr w:type="spellEnd"/>
            <w:r>
              <w:rPr>
                <w:sz w:val="24"/>
                <w:szCs w:val="24"/>
              </w:rPr>
              <w:t>.</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33,6</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28,3</w:t>
            </w:r>
          </w:p>
        </w:tc>
        <w:tc>
          <w:tcPr>
            <w:tcW w:w="2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5,3</w:t>
            </w:r>
          </w:p>
        </w:tc>
      </w:tr>
      <w:tr w:rsidR="00B621C7">
        <w:trPr>
          <w:cantSplit/>
          <w:jc w:val="center"/>
        </w:trPr>
        <w:tc>
          <w:tcPr>
            <w:tcW w:w="4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left"/>
              <w:rPr>
                <w:sz w:val="24"/>
                <w:szCs w:val="24"/>
              </w:rPr>
            </w:pPr>
            <w:r>
              <w:rPr>
                <w:sz w:val="24"/>
                <w:szCs w:val="24"/>
              </w:rPr>
              <w:t xml:space="preserve">Частка NPL у портфелі, </w:t>
            </w:r>
            <w:proofErr w:type="spellStart"/>
            <w:r>
              <w:rPr>
                <w:sz w:val="24"/>
                <w:szCs w:val="24"/>
              </w:rPr>
              <w:t>в.п</w:t>
            </w:r>
            <w:proofErr w:type="spellEnd"/>
            <w:r>
              <w:rPr>
                <w:sz w:val="24"/>
                <w:szCs w:val="24"/>
              </w:rPr>
              <w:t>.</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21,0</w:t>
            </w:r>
          </w:p>
        </w:tc>
        <w:tc>
          <w:tcPr>
            <w:tcW w:w="16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sz w:val="24"/>
                <w:szCs w:val="24"/>
              </w:rPr>
              <w:t>9,0</w:t>
            </w:r>
          </w:p>
        </w:tc>
        <w:tc>
          <w:tcPr>
            <w:tcW w:w="2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621C7" w:rsidRDefault="005D53F5">
            <w:pPr>
              <w:spacing w:line="240" w:lineRule="auto"/>
              <w:ind w:firstLine="0"/>
              <w:jc w:val="center"/>
              <w:rPr>
                <w:sz w:val="24"/>
                <w:szCs w:val="24"/>
              </w:rPr>
            </w:pPr>
            <w:r>
              <w:rPr>
                <w:rFonts w:ascii="Gungsuh" w:eastAsia="Gungsuh" w:hAnsi="Gungsuh" w:cs="Gungsuh"/>
                <w:sz w:val="24"/>
                <w:szCs w:val="24"/>
              </w:rPr>
              <w:t>−</w:t>
            </w:r>
            <w:r>
              <w:rPr>
                <w:rFonts w:ascii="Gungsuh" w:eastAsia="Gungsuh" w:hAnsi="Gungsuh" w:cs="Gungsuh"/>
                <w:sz w:val="24"/>
                <w:szCs w:val="24"/>
              </w:rPr>
              <w:t>12,0</w:t>
            </w:r>
          </w:p>
        </w:tc>
      </w:tr>
    </w:tbl>
    <w:p w:rsidR="00B621C7" w:rsidRDefault="005D53F5">
      <w:pPr>
        <w:ind w:firstLine="0"/>
      </w:pPr>
      <w:r>
        <w:rPr>
          <w:i/>
          <w:iCs/>
        </w:rPr>
        <w:t>Джерело: розраховано автором на основі таблиць 2.3–2.6 розділу 2.</w:t>
      </w:r>
    </w:p>
    <w:sectPr w:rsidR="00B621C7">
      <w:headerReference w:type="default" r:id="rId30"/>
      <w:footerReference w:type="default" r:id="rId31"/>
      <w:headerReference w:type="first" r:id="rId32"/>
      <w:footerReference w:type="first" r:id="rId33"/>
      <w:pgSz w:w="11906" w:h="16838"/>
      <w:pgMar w:top="1134" w:right="567"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D53F5" w:rsidRDefault="005D53F5">
      <w:pPr>
        <w:spacing w:line="240" w:lineRule="auto"/>
      </w:pPr>
      <w:r>
        <w:separator/>
      </w:r>
    </w:p>
  </w:endnote>
  <w:endnote w:type="continuationSeparator" w:id="0">
    <w:p w:rsidR="005D53F5" w:rsidRDefault="005D53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59F6B339-4723-4C8C-A6C0-FD16D44696D9}"/>
    <w:embedItalic r:id="rId2" w:fontKey="{661F05AF-0138-4367-97BD-AB4489EBD602}"/>
    <w:embedBoldItalic r:id="rId3" w:fontKey="{69B8015F-9923-4AA8-86F8-78FA3988A90B}"/>
  </w:font>
  <w:font w:name="Gungsuh">
    <w:charset w:val="81"/>
    <w:family w:val="roman"/>
    <w:pitch w:val="variable"/>
    <w:sig w:usb0="B00002AF" w:usb1="69D77CFB" w:usb2="00000030" w:usb3="00000000" w:csb0="0008009F" w:csb1="00000000"/>
    <w:embedRegular r:id="rId4" w:subsetted="1" w:fontKey="{F74BCE65-6D88-41CE-A88D-5B676B552780}"/>
    <w:embedBold r:id="rId5" w:subsetted="1" w:fontKey="{B8EB2FC5-11EE-442C-8767-B6A312ABBD3D}"/>
  </w:font>
  <w:font w:name="Cambria">
    <w:panose1 w:val="02040503050406030204"/>
    <w:charset w:val="CC"/>
    <w:family w:val="roman"/>
    <w:pitch w:val="variable"/>
    <w:sig w:usb0="E00006FF" w:usb1="420024FF" w:usb2="02000000" w:usb3="00000000" w:csb0="0000019F" w:csb1="00000000"/>
    <w:embedRegular r:id="rId6" w:fontKey="{6F43597F-353A-45B0-B6A6-6CAD9D4054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pPr>
      <w:pBdr>
        <w:top w:val="nil"/>
        <w:left w:val="nil"/>
        <w:bottom w:val="nil"/>
        <w:right w:val="nil"/>
        <w:between w:val="nil"/>
      </w:pBdr>
      <w:jc w:val="center"/>
      <w:rPr>
        <w:rFonts w:ascii="Calibri" w:eastAsia="Calibri" w:hAnsi="Calibri" w:cs="Calibri"/>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pPr>
      <w:pBdr>
        <w:top w:val="nil"/>
        <w:left w:val="nil"/>
        <w:bottom w:val="nil"/>
        <w:right w:val="nil"/>
        <w:between w:val="nil"/>
      </w:pBdr>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pPr>
      <w:pBdr>
        <w:top w:val="nil"/>
        <w:left w:val="nil"/>
        <w:bottom w:val="nil"/>
        <w:right w:val="nil"/>
        <w:between w:val="nil"/>
      </w:pBdr>
      <w:rPr>
        <w:rFonts w:ascii="Calibri" w:eastAsia="Calibri" w:hAnsi="Calibri" w:cs="Calibri"/>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pPr>
      <w:pBdr>
        <w:top w:val="nil"/>
        <w:left w:val="nil"/>
        <w:bottom w:val="nil"/>
        <w:right w:val="nil"/>
        <w:between w:val="nil"/>
      </w:pBdr>
      <w:rPr>
        <w:rFonts w:ascii="Calibri" w:eastAsia="Calibri" w:hAnsi="Calibri" w:cs="Calibri"/>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pPr>
      <w:pBdr>
        <w:top w:val="nil"/>
        <w:left w:val="nil"/>
        <w:bottom w:val="nil"/>
        <w:right w:val="nil"/>
        <w:between w:val="nil"/>
      </w:pBdr>
      <w:rPr>
        <w:rFonts w:ascii="Calibri" w:eastAsia="Calibri" w:hAnsi="Calibri" w:cs="Calibri"/>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pPr>
      <w:pBdr>
        <w:top w:val="nil"/>
        <w:left w:val="nil"/>
        <w:bottom w:val="nil"/>
        <w:right w:val="nil"/>
        <w:between w:val="nil"/>
      </w:pBdr>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D53F5" w:rsidRDefault="005D53F5">
      <w:pPr>
        <w:spacing w:line="240" w:lineRule="auto"/>
      </w:pPr>
      <w:r>
        <w:separator/>
      </w:r>
    </w:p>
  </w:footnote>
  <w:footnote w:type="continuationSeparator" w:id="0">
    <w:p w:rsidR="005D53F5" w:rsidRDefault="005D53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5D53F5">
    <w:pPr>
      <w:spacing w:line="240" w:lineRule="auto"/>
      <w:jc w:val="right"/>
    </w:pPr>
    <w:r>
      <w:fldChar w:fldCharType="begin"/>
    </w:r>
    <w:r>
      <w:instrText>PAGE</w:instrText>
    </w:r>
    <w:r w:rsidR="00877392">
      <w:fldChar w:fldCharType="separate"/>
    </w:r>
    <w:r w:rsidR="00877392">
      <w:rPr>
        <w:noProof/>
      </w:rPr>
      <w:t>8</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5D53F5">
    <w:pPr>
      <w:spacing w:line="240" w:lineRule="auto"/>
      <w:jc w:val="right"/>
    </w:pPr>
    <w:r>
      <w:fldChar w:fldCharType="begin"/>
    </w:r>
    <w:r>
      <w:instrText>PAGE</w:instrText>
    </w:r>
    <w:r w:rsidR="00877392">
      <w:fldChar w:fldCharType="separate"/>
    </w:r>
    <w:r w:rsidR="00877392">
      <w:rPr>
        <w:noProof/>
      </w:rPr>
      <w:t>59</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5D53F5">
    <w:pPr>
      <w:spacing w:line="240" w:lineRule="auto"/>
      <w:jc w:val="right"/>
    </w:pPr>
    <w:r>
      <w:fldChar w:fldCharType="begin"/>
    </w:r>
    <w:r>
      <w:instrText>PAGE</w:instrText>
    </w:r>
    <w:r w:rsidR="00877392">
      <w:fldChar w:fldCharType="separate"/>
    </w:r>
    <w:r w:rsidR="00877392">
      <w:rPr>
        <w:noProof/>
      </w:rPr>
      <w:t>62</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5D53F5">
    <w:pPr>
      <w:spacing w:line="240" w:lineRule="auto"/>
      <w:jc w:val="right"/>
    </w:pPr>
    <w:r>
      <w:fldChar w:fldCharType="begin"/>
    </w:r>
    <w:r>
      <w:instrText>PAGE</w:instrText>
    </w:r>
    <w:r w:rsidR="00877392">
      <w:fldChar w:fldCharType="separate"/>
    </w:r>
    <w:r w:rsidR="00877392">
      <w:rPr>
        <w:noProof/>
      </w:rPr>
      <w:t>69</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B621C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1C7" w:rsidRDefault="005D53F5">
    <w:pPr>
      <w:spacing w:line="240" w:lineRule="auto"/>
      <w:jc w:val="right"/>
    </w:pPr>
    <w:r>
      <w:fldChar w:fldCharType="begin"/>
    </w:r>
    <w:r>
      <w:instrText>PAGE</w:instrText>
    </w:r>
    <w:r w:rsidR="00877392">
      <w:fldChar w:fldCharType="separate"/>
    </w:r>
    <w:r w:rsidR="00877392">
      <w:rPr>
        <w:noProof/>
      </w:rPr>
      <w:t>72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1C7"/>
    <w:rsid w:val="005D53F5"/>
    <w:rsid w:val="00877392"/>
    <w:rsid w:val="00B62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F05946-DA2B-4B4E-90B0-D51FAA82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8"/>
        <w:szCs w:val="28"/>
        <w:lang w:val="uk" w:eastAsia="ru-RU"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ind w:firstLine="0"/>
      <w:outlineLvl w:val="0"/>
    </w:pPr>
    <w:rPr>
      <w:b/>
      <w:bCs/>
      <w:color w:val="000000"/>
    </w:rPr>
  </w:style>
  <w:style w:type="paragraph" w:styleId="2">
    <w:name w:val="heading 2"/>
    <w:basedOn w:val="a"/>
    <w:next w:val="a"/>
    <w:uiPriority w:val="9"/>
    <w:unhideWhenUsed/>
    <w:qFormat/>
    <w:pPr>
      <w:keepNext/>
      <w:keepLines/>
      <w:ind w:firstLine="0"/>
      <w:outlineLvl w:val="1"/>
    </w:pPr>
    <w:rPr>
      <w:b/>
      <w:bCs/>
      <w:color w:val="000000"/>
    </w:rPr>
  </w:style>
  <w:style w:type="paragraph" w:styleId="3">
    <w:name w:val="heading 3"/>
    <w:basedOn w:val="a"/>
    <w:next w:val="a"/>
    <w:uiPriority w:val="9"/>
    <w:semiHidden/>
    <w:unhideWhenUsed/>
    <w:qFormat/>
    <w:pPr>
      <w:keepNext/>
      <w:keepLines/>
      <w:ind w:firstLine="0"/>
      <w:outlineLvl w:val="2"/>
    </w:pPr>
    <w:rPr>
      <w:b/>
      <w:bCs/>
      <w:color w:val="4F81BD"/>
    </w:rPr>
  </w:style>
  <w:style w:type="paragraph" w:styleId="4">
    <w:name w:val="heading 4"/>
    <w:basedOn w:val="a"/>
    <w:next w:val="a"/>
    <w:uiPriority w:val="9"/>
    <w:semiHidden/>
    <w:unhideWhenUsed/>
    <w:qFormat/>
    <w:pPr>
      <w:keepNext/>
      <w:keepLines/>
      <w:spacing w:before="200" w:line="240" w:lineRule="auto"/>
      <w:outlineLvl w:val="3"/>
    </w:pPr>
    <w:rPr>
      <w:rFonts w:ascii="Calibri" w:eastAsia="Calibri" w:hAnsi="Calibri" w:cs="Calibri"/>
      <w:b/>
      <w:bCs/>
      <w:i/>
      <w:iCs/>
      <w:color w:val="4F81BD"/>
    </w:rPr>
  </w:style>
  <w:style w:type="paragraph" w:styleId="5">
    <w:name w:val="heading 5"/>
    <w:basedOn w:val="a"/>
    <w:next w:val="a"/>
    <w:uiPriority w:val="9"/>
    <w:semiHidden/>
    <w:unhideWhenUsed/>
    <w:qFormat/>
    <w:pPr>
      <w:keepNext/>
      <w:keepLines/>
      <w:spacing w:before="200" w:line="240" w:lineRule="auto"/>
      <w:outlineLvl w:val="4"/>
    </w:pPr>
    <w:rPr>
      <w:rFonts w:ascii="Calibri" w:eastAsia="Calibri" w:hAnsi="Calibri" w:cs="Calibri"/>
      <w:color w:val="243F61"/>
    </w:rPr>
  </w:style>
  <w:style w:type="paragraph" w:styleId="6">
    <w:name w:val="heading 6"/>
    <w:basedOn w:val="a"/>
    <w:next w:val="a"/>
    <w:uiPriority w:val="9"/>
    <w:semiHidden/>
    <w:unhideWhenUsed/>
    <w:qFormat/>
    <w:pPr>
      <w:keepNext/>
      <w:keepLines/>
      <w:spacing w:before="200" w:line="240" w:lineRule="auto"/>
      <w:outlineLvl w:val="5"/>
    </w:pPr>
    <w:rPr>
      <w:rFonts w:ascii="Calibri" w:eastAsia="Calibri" w:hAnsi="Calibri" w:cs="Calibri"/>
      <w:i/>
      <w:iCs/>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bottom w:val="single" w:sz="8" w:space="4" w:color="4F81BD"/>
      </w:pBdr>
      <w:spacing w:after="300" w:line="240" w:lineRule="auto"/>
    </w:pPr>
    <w:rPr>
      <w:b/>
      <w:bCs/>
      <w:color w:val="000000"/>
    </w:rPr>
  </w:style>
  <w:style w:type="paragraph" w:styleId="a4">
    <w:name w:val="Subtitle"/>
    <w:basedOn w:val="a"/>
    <w:next w:val="a"/>
    <w:uiPriority w:val="11"/>
    <w:qFormat/>
    <w:rPr>
      <w:rFonts w:ascii="Calibri" w:eastAsia="Calibri" w:hAnsi="Calibri" w:cs="Calibri"/>
      <w:i/>
      <w:iCs/>
      <w:color w:val="4F81BD"/>
      <w:sz w:val="24"/>
      <w:szCs w:val="24"/>
    </w:rPr>
  </w:style>
  <w:style w:type="table" w:customStyle="1" w:styleId="a5">
    <w:basedOn w:val="TableNormal"/>
    <w:tblPr>
      <w:tblStyleRowBandSize w:val="1"/>
      <w:tblStyleColBandSize w:val="1"/>
      <w:tblCellMar>
        <w:top w:w="60" w:type="dxa"/>
        <w:left w:w="108" w:type="dxa"/>
        <w:bottom w:w="60" w:type="dxa"/>
        <w:right w:w="108" w:type="dxa"/>
      </w:tblCellMar>
    </w:tblPr>
  </w:style>
  <w:style w:type="table" w:customStyle="1" w:styleId="a6">
    <w:basedOn w:val="TableNormal"/>
    <w:tblPr>
      <w:tblStyleRowBandSize w:val="1"/>
      <w:tblStyleColBandSize w:val="1"/>
      <w:tblCellMar>
        <w:top w:w="60" w:type="dxa"/>
        <w:left w:w="108" w:type="dxa"/>
        <w:bottom w:w="60" w:type="dxa"/>
        <w:right w:w="108" w:type="dxa"/>
      </w:tblCellMar>
    </w:tblPr>
  </w:style>
  <w:style w:type="table" w:customStyle="1" w:styleId="a7">
    <w:basedOn w:val="TableNormal"/>
    <w:tblPr>
      <w:tblStyleRowBandSize w:val="1"/>
      <w:tblStyleColBandSize w:val="1"/>
      <w:tblCellMar>
        <w:top w:w="60" w:type="dxa"/>
        <w:left w:w="108" w:type="dxa"/>
        <w:bottom w:w="60" w:type="dxa"/>
        <w:right w:w="108" w:type="dxa"/>
      </w:tblCellMar>
    </w:tblPr>
  </w:style>
  <w:style w:type="table" w:customStyle="1" w:styleId="a8">
    <w:basedOn w:val="TableNormal"/>
    <w:tblPr>
      <w:tblStyleRowBandSize w:val="1"/>
      <w:tblStyleColBandSize w:val="1"/>
      <w:tblCellMar>
        <w:top w:w="60" w:type="dxa"/>
        <w:left w:w="108" w:type="dxa"/>
        <w:bottom w:w="60" w:type="dxa"/>
        <w:right w:w="108" w:type="dxa"/>
      </w:tblCellMar>
    </w:tblPr>
  </w:style>
  <w:style w:type="table" w:customStyle="1" w:styleId="a9">
    <w:basedOn w:val="TableNormal"/>
    <w:tblPr>
      <w:tblStyleRowBandSize w:val="1"/>
      <w:tblStyleColBandSize w:val="1"/>
      <w:tblCellMar>
        <w:top w:w="60" w:type="dxa"/>
        <w:left w:w="108" w:type="dxa"/>
        <w:bottom w:w="60" w:type="dxa"/>
        <w:right w:w="108" w:type="dxa"/>
      </w:tblCellMar>
    </w:tblPr>
  </w:style>
  <w:style w:type="table" w:customStyle="1" w:styleId="aa">
    <w:basedOn w:val="TableNormal"/>
    <w:tblPr>
      <w:tblStyleRowBandSize w:val="1"/>
      <w:tblStyleColBandSize w:val="1"/>
      <w:tblCellMar>
        <w:top w:w="60" w:type="dxa"/>
        <w:left w:w="108" w:type="dxa"/>
        <w:bottom w:w="60" w:type="dxa"/>
        <w:right w:w="108" w:type="dxa"/>
      </w:tblCellMar>
    </w:tblPr>
  </w:style>
  <w:style w:type="table" w:customStyle="1" w:styleId="ab">
    <w:basedOn w:val="TableNormal"/>
    <w:tblPr>
      <w:tblStyleRowBandSize w:val="1"/>
      <w:tblStyleColBandSize w:val="1"/>
      <w:tblCellMar>
        <w:top w:w="60" w:type="dxa"/>
        <w:left w:w="108" w:type="dxa"/>
        <w:bottom w:w="60" w:type="dxa"/>
        <w:right w:w="108" w:type="dxa"/>
      </w:tblCellMar>
    </w:tblPr>
  </w:style>
  <w:style w:type="table" w:customStyle="1" w:styleId="ac">
    <w:basedOn w:val="TableNormal"/>
    <w:tblPr>
      <w:tblStyleRowBandSize w:val="1"/>
      <w:tblStyleColBandSize w:val="1"/>
      <w:tblCellMar>
        <w:top w:w="60" w:type="dxa"/>
        <w:left w:w="108" w:type="dxa"/>
        <w:bottom w:w="60" w:type="dxa"/>
        <w:right w:w="108" w:type="dxa"/>
      </w:tblCellMar>
    </w:tblPr>
  </w:style>
  <w:style w:type="table" w:customStyle="1" w:styleId="ad">
    <w:basedOn w:val="TableNormal"/>
    <w:tblPr>
      <w:tblStyleRowBandSize w:val="1"/>
      <w:tblStyleColBandSize w:val="1"/>
      <w:tblCellMar>
        <w:top w:w="60" w:type="dxa"/>
        <w:left w:w="80" w:type="dxa"/>
        <w:bottom w:w="60" w:type="dxa"/>
        <w:right w:w="80" w:type="dxa"/>
      </w:tblCellMar>
    </w:tblPr>
  </w:style>
  <w:style w:type="table" w:customStyle="1" w:styleId="ae">
    <w:basedOn w:val="TableNormal"/>
    <w:tblPr>
      <w:tblStyleRowBandSize w:val="1"/>
      <w:tblStyleColBandSize w:val="1"/>
      <w:tblCellMar>
        <w:top w:w="60" w:type="dxa"/>
        <w:left w:w="80" w:type="dxa"/>
        <w:bottom w:w="60" w:type="dxa"/>
        <w:right w:w="80" w:type="dxa"/>
      </w:tblCellMar>
    </w:tblPr>
  </w:style>
  <w:style w:type="table" w:customStyle="1" w:styleId="af">
    <w:basedOn w:val="TableNormal"/>
    <w:tblPr>
      <w:tblStyleRowBandSize w:val="1"/>
      <w:tblStyleColBandSize w:val="1"/>
      <w:tblCellMar>
        <w:top w:w="60" w:type="dxa"/>
        <w:left w:w="80" w:type="dxa"/>
        <w:bottom w:w="60" w:type="dxa"/>
        <w:right w:w="80" w:type="dxa"/>
      </w:tblCellMar>
    </w:tblPr>
  </w:style>
  <w:style w:type="table" w:customStyle="1" w:styleId="af0">
    <w:basedOn w:val="TableNormal"/>
    <w:tblPr>
      <w:tblStyleRowBandSize w:val="1"/>
      <w:tblStyleColBandSize w:val="1"/>
      <w:tblCellMar>
        <w:top w:w="60" w:type="dxa"/>
        <w:left w:w="80" w:type="dxa"/>
        <w:bottom w:w="60" w:type="dxa"/>
        <w:right w:w="80" w:type="dxa"/>
      </w:tblCellMar>
    </w:tblPr>
  </w:style>
  <w:style w:type="table" w:customStyle="1" w:styleId="af1">
    <w:basedOn w:val="TableNormal"/>
    <w:tblPr>
      <w:tblStyleRowBandSize w:val="1"/>
      <w:tblStyleColBandSize w:val="1"/>
      <w:tblCellMar>
        <w:top w:w="60" w:type="dxa"/>
        <w:left w:w="80" w:type="dxa"/>
        <w:bottom w:w="60" w:type="dxa"/>
        <w:right w:w="80" w:type="dxa"/>
      </w:tblCellMar>
    </w:tblPr>
  </w:style>
  <w:style w:type="table" w:customStyle="1" w:styleId="af2">
    <w:basedOn w:val="TableNormal"/>
    <w:tblPr>
      <w:tblStyleRowBandSize w:val="1"/>
      <w:tblStyleColBandSize w:val="1"/>
      <w:tblCellMar>
        <w:top w:w="60" w:type="dxa"/>
        <w:left w:w="80" w:type="dxa"/>
        <w:bottom w:w="60" w:type="dxa"/>
        <w:right w:w="80" w:type="dxa"/>
      </w:tblCellMar>
    </w:tblPr>
  </w:style>
  <w:style w:type="table" w:customStyle="1" w:styleId="af3">
    <w:basedOn w:val="TableNormal"/>
    <w:tblPr>
      <w:tblStyleRowBandSize w:val="1"/>
      <w:tblStyleColBandSize w:val="1"/>
      <w:tblCellMar>
        <w:top w:w="60" w:type="dxa"/>
        <w:left w:w="36" w:type="dxa"/>
        <w:bottom w:w="60" w:type="dxa"/>
        <w:right w:w="36" w:type="dxa"/>
      </w:tblCellMar>
    </w:tblPr>
  </w:style>
  <w:style w:type="table" w:customStyle="1" w:styleId="af4">
    <w:basedOn w:val="TableNormal"/>
    <w:tblPr>
      <w:tblStyleRowBandSize w:val="1"/>
      <w:tblStyleColBandSize w:val="1"/>
      <w:tblCellMar>
        <w:top w:w="60" w:type="dxa"/>
        <w:left w:w="36" w:type="dxa"/>
        <w:bottom w:w="60" w:type="dxa"/>
        <w:right w:w="36" w:type="dxa"/>
      </w:tblCellMar>
    </w:tblPr>
  </w:style>
  <w:style w:type="table" w:customStyle="1" w:styleId="af5">
    <w:basedOn w:val="TableNormal"/>
    <w:tblPr>
      <w:tblStyleRowBandSize w:val="1"/>
      <w:tblStyleColBandSize w:val="1"/>
      <w:tblCellMar>
        <w:top w:w="60" w:type="dxa"/>
        <w:left w:w="36" w:type="dxa"/>
        <w:bottom w:w="60" w:type="dxa"/>
        <w:right w:w="36" w:type="dxa"/>
      </w:tblCellMar>
    </w:tblPr>
  </w:style>
  <w:style w:type="table" w:customStyle="1" w:styleId="af6">
    <w:basedOn w:val="TableNormal"/>
    <w:tblPr>
      <w:tblStyleRowBandSize w:val="1"/>
      <w:tblStyleColBandSize w:val="1"/>
      <w:tblCellMar>
        <w:top w:w="60" w:type="dxa"/>
        <w:left w:w="36" w:type="dxa"/>
        <w:bottom w:w="60" w:type="dxa"/>
        <w:right w:w="36" w:type="dxa"/>
      </w:tblCellMar>
    </w:tblPr>
  </w:style>
  <w:style w:type="table" w:customStyle="1" w:styleId="af7">
    <w:basedOn w:val="TableNormal"/>
    <w:tblPr>
      <w:tblStyleRowBandSize w:val="1"/>
      <w:tblStyleColBandSize w:val="1"/>
      <w:tblCellMar>
        <w:top w:w="60" w:type="dxa"/>
        <w:left w:w="36" w:type="dxa"/>
        <w:bottom w:w="60" w:type="dxa"/>
        <w:right w:w="36" w:type="dxa"/>
      </w:tblCellMar>
    </w:tblPr>
  </w:style>
  <w:style w:type="table" w:customStyle="1" w:styleId="af8">
    <w:basedOn w:val="TableNormal"/>
    <w:tblPr>
      <w:tblStyleRowBandSize w:val="1"/>
      <w:tblStyleColBandSize w:val="1"/>
      <w:tblCellMar>
        <w:top w:w="60" w:type="dxa"/>
        <w:left w:w="36" w:type="dxa"/>
        <w:bottom w:w="60" w:type="dxa"/>
        <w:right w:w="36" w:type="dxa"/>
      </w:tblCellMar>
    </w:tblPr>
  </w:style>
  <w:style w:type="table" w:customStyle="1" w:styleId="af9">
    <w:basedOn w:val="TableNormal"/>
    <w:tblPr>
      <w:tblStyleRowBandSize w:val="1"/>
      <w:tblStyleColBandSize w:val="1"/>
      <w:tblCellMar>
        <w:top w:w="60" w:type="dxa"/>
        <w:left w:w="80" w:type="dxa"/>
        <w:bottom w:w="60" w:type="dxa"/>
        <w:right w:w="80" w:type="dxa"/>
      </w:tblCellMar>
    </w:tblPr>
  </w:style>
  <w:style w:type="table" w:customStyle="1" w:styleId="afa">
    <w:basedOn w:val="TableNormal"/>
    <w:tblPr>
      <w:tblStyleRowBandSize w:val="1"/>
      <w:tblStyleColBandSize w:val="1"/>
      <w:tblCellMar>
        <w:top w:w="60" w:type="dxa"/>
        <w:left w:w="80" w:type="dxa"/>
        <w:bottom w:w="60" w:type="dxa"/>
        <w:right w:w="80" w:type="dxa"/>
      </w:tblCellMar>
    </w:tblPr>
  </w:style>
  <w:style w:type="table" w:customStyle="1" w:styleId="afb">
    <w:basedOn w:val="TableNormal"/>
    <w:tblPr>
      <w:tblStyleRowBandSize w:val="1"/>
      <w:tblStyleColBandSize w:val="1"/>
      <w:tblCellMar>
        <w:top w:w="60" w:type="dxa"/>
        <w:left w:w="80" w:type="dxa"/>
        <w:bottom w:w="60" w:type="dxa"/>
        <w:right w:w="80" w:type="dxa"/>
      </w:tblCellMar>
    </w:tblPr>
  </w:style>
  <w:style w:type="table" w:customStyle="1" w:styleId="afc">
    <w:basedOn w:val="TableNormal"/>
    <w:tblPr>
      <w:tblStyleRowBandSize w:val="1"/>
      <w:tblStyleColBandSize w:val="1"/>
      <w:tblCellMar>
        <w:top w:w="60" w:type="dxa"/>
        <w:left w:w="80" w:type="dxa"/>
        <w:bottom w:w="60" w:type="dxa"/>
        <w:right w:w="80" w:type="dxa"/>
      </w:tblCellMar>
    </w:tblPr>
  </w:style>
  <w:style w:type="table" w:customStyle="1" w:styleId="afd">
    <w:basedOn w:val="TableNormal"/>
    <w:tblPr>
      <w:tblStyleRowBandSize w:val="1"/>
      <w:tblStyleColBandSize w:val="1"/>
      <w:tblCellMar>
        <w:top w:w="60" w:type="dxa"/>
        <w:left w:w="80" w:type="dxa"/>
        <w:bottom w:w="60" w:type="dxa"/>
        <w:right w:w="8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6.xml"/><Relationship Id="rId32"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8.xml"/><Relationship Id="rId10" Type="http://schemas.openxmlformats.org/officeDocument/2006/relationships/image" Target="media/image4.png"/><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1LPODcJHBOF5m7fz4X4TA3yZiA==">CgMxLjAaFAoBMBIPCg0IB0IJEgdHdW5nc3VoGhQKATESDwoNCAdCCRIHR3VuZ3N1aBoUCgEyEg8KDQgHQgkSB0d1bmdzdWgaFAoBMxIPCg0IB0IJEgdHdW5nc3VoGhQKATQSDwoNCAdCCRIHR3VuZ3N1aDgAciExbjFLYnhwOGRvOFVuQVRhcy03aTVQQjdRenVycHVSZnQ=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19683</Words>
  <Characters>112199</Characters>
  <Application>Microsoft Office Word</Application>
  <DocSecurity>0</DocSecurity>
  <Lines>934</Lines>
  <Paragraphs>263</Paragraphs>
  <ScaleCrop>false</ScaleCrop>
  <Company/>
  <LinksUpToDate>false</LinksUpToDate>
  <CharactersWithSpaces>131619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Valentinych</dc:creator>
  <cp:lastModifiedBy>Тищенко Володимир Валентинович</cp:lastModifiedBy>
  <cp:revision>2</cp:revision>
  <dcterms:created xsi:type="dcterms:W3CDTF">2026-06-19T17:05:00Z</dcterms:created>
  <dcterms:modified xsi:type="dcterms:W3CDTF">2026-06-19T17:05:00Z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7673279f-2f9e-492a-bb51-a5643b61aa6f</vt:lpwstr>
  </property>
</Properties>
</file>