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AC5B" w14:textId="55812248" w:rsidR="00335F4A" w:rsidRPr="00832A68" w:rsidRDefault="00832A68" w:rsidP="00832A68">
      <w:pPr>
        <w:spacing w:after="0" w:line="360" w:lineRule="auto"/>
        <w:ind w:firstLine="709"/>
        <w:jc w:val="center"/>
        <w:rPr>
          <w:rFonts w:ascii="Times New Roman" w:hAnsi="Times New Roman"/>
          <w:b/>
          <w:bCs/>
          <w:sz w:val="28"/>
          <w:szCs w:val="28"/>
          <w:lang w:val="uk-UA"/>
        </w:rPr>
      </w:pPr>
      <w:bookmarkStart w:id="0" w:name="_Hlk169558854"/>
      <w:r w:rsidRPr="00832A68">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832A68">
        <w:rPr>
          <w:rFonts w:ascii="Times New Roman" w:hAnsi="Times New Roman" w:cs="Times New Roman"/>
          <w:b/>
          <w:bCs/>
          <w:caps/>
          <w:color w:val="000000"/>
          <w:sz w:val="28"/>
          <w:szCs w:val="28"/>
          <w:lang w:val="uk-UA"/>
        </w:rPr>
        <w:t xml:space="preserve"> </w:t>
      </w:r>
      <w:r w:rsidRPr="00832A68">
        <w:rPr>
          <w:rFonts w:ascii="Times New Roman" w:eastAsia="Times New Roman" w:hAnsi="Times New Roman" w:cs="Times New Roman"/>
          <w:b/>
          <w:bCs/>
          <w:caps/>
          <w:sz w:val="28"/>
          <w:szCs w:val="28"/>
          <w:lang w:val="uk-UA" w:eastAsia="ru-RU"/>
        </w:rPr>
        <w:t>соціального потенціалу населення в системі регуляції соціальних взаємодій</w:t>
      </w:r>
    </w:p>
    <w:p w14:paraId="11C8ABD6" w14:textId="77777777" w:rsidR="00335F4A" w:rsidRPr="00832A68" w:rsidRDefault="00335F4A" w:rsidP="00832A68">
      <w:pPr>
        <w:spacing w:after="0" w:line="360" w:lineRule="auto"/>
        <w:ind w:firstLine="709"/>
        <w:jc w:val="both"/>
        <w:rPr>
          <w:rFonts w:ascii="Times New Roman" w:hAnsi="Times New Roman" w:cs="Times New Roman"/>
          <w:sz w:val="28"/>
          <w:szCs w:val="28"/>
          <w:lang w:val="uk-UA"/>
        </w:rPr>
      </w:pPr>
    </w:p>
    <w:p w14:paraId="1E228C2A" w14:textId="51B23E53" w:rsidR="00832A68" w:rsidRPr="00832A68" w:rsidRDefault="00832A68" w:rsidP="00832A68">
      <w:pPr>
        <w:spacing w:after="0" w:line="360" w:lineRule="auto"/>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1.1. </w:t>
      </w:r>
      <w:r w:rsidRPr="00832A68">
        <w:rPr>
          <w:rFonts w:ascii="Times New Roman" w:hAnsi="Times New Roman" w:cs="Times New Roman"/>
          <w:b/>
          <w:bCs/>
          <w:sz w:val="28"/>
          <w:szCs w:val="28"/>
          <w:lang w:val="uk-UA"/>
        </w:rPr>
        <w:t xml:space="preserve">Економічні </w:t>
      </w:r>
      <w:r>
        <w:rPr>
          <w:rFonts w:ascii="Times New Roman" w:hAnsi="Times New Roman" w:cs="Times New Roman"/>
          <w:b/>
          <w:bCs/>
          <w:sz w:val="28"/>
          <w:szCs w:val="28"/>
          <w:lang w:val="uk-UA"/>
        </w:rPr>
        <w:t xml:space="preserve">та соціальні </w:t>
      </w:r>
      <w:r w:rsidRPr="00832A68">
        <w:rPr>
          <w:rFonts w:ascii="Times New Roman" w:hAnsi="Times New Roman" w:cs="Times New Roman"/>
          <w:b/>
          <w:bCs/>
          <w:sz w:val="28"/>
          <w:szCs w:val="28"/>
          <w:lang w:val="uk-UA"/>
        </w:rPr>
        <w:t>передумови вікового поділу</w:t>
      </w:r>
    </w:p>
    <w:p w14:paraId="2E67E154" w14:textId="77777777" w:rsidR="00832A68" w:rsidRPr="00832A68" w:rsidRDefault="00832A68" w:rsidP="00832A68">
      <w:pPr>
        <w:spacing w:after="0" w:line="360" w:lineRule="auto"/>
        <w:ind w:left="2138"/>
        <w:contextualSpacing/>
        <w:jc w:val="both"/>
        <w:rPr>
          <w:rFonts w:ascii="Times New Roman" w:hAnsi="Times New Roman" w:cs="Times New Roman"/>
          <w:b/>
          <w:bCs/>
          <w:sz w:val="28"/>
          <w:szCs w:val="28"/>
          <w:lang w:val="uk-UA"/>
        </w:rPr>
      </w:pPr>
    </w:p>
    <w:p w14:paraId="38547CDD" w14:textId="7A8D996D" w:rsidR="00832A68" w:rsidRPr="00832A68" w:rsidRDefault="00832A68" w:rsidP="00832A68">
      <w:pPr>
        <w:tabs>
          <w:tab w:val="left" w:pos="-567"/>
        </w:tabs>
        <w:suppressAutoHyphens/>
        <w:spacing w:after="0" w:line="360" w:lineRule="auto"/>
        <w:ind w:firstLine="709"/>
        <w:contextualSpacing/>
        <w:jc w:val="both"/>
        <w:rPr>
          <w:rFonts w:ascii="Times New Roman" w:hAnsi="Times New Roman" w:cs="Times New Roman"/>
          <w:noProof/>
          <w:sz w:val="28"/>
          <w:szCs w:val="28"/>
          <w:lang w:val="uk-UA"/>
        </w:rPr>
      </w:pPr>
      <w:r w:rsidRPr="00832A68">
        <w:rPr>
          <w:rFonts w:ascii="Times New Roman" w:hAnsi="Times New Roman" w:cs="Times New Roman"/>
          <w:noProof/>
          <w:sz w:val="28"/>
          <w:szCs w:val="28"/>
          <w:lang w:val="uk-UA"/>
        </w:rPr>
        <w:t>До кінця ХІХ ст. люди працювали близько 60 годин на тиждень і робили це до часу, поки уже фізично були не здатні продовжувати. Після цього турбота про них лягала на плечі сім’ї. Власне, поширений вислів про «принести склянку холодної води в старості»</w:t>
      </w:r>
      <w:r w:rsidRPr="00832A68">
        <w:rPr>
          <w:rFonts w:ascii="Times New Roman" w:hAnsi="Times New Roman" w:cs="Times New Roman"/>
          <w:sz w:val="28"/>
          <w:szCs w:val="28"/>
          <w:lang w:val="uk-UA"/>
        </w:rPr>
        <w:t xml:space="preserve"> </w:t>
      </w:r>
      <w:r w:rsidR="002A71B9">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w:t>
      </w:r>
      <w:r w:rsidRPr="00832A68">
        <w:rPr>
          <w:rFonts w:ascii="Times New Roman" w:hAnsi="Times New Roman" w:cs="Times New Roman"/>
          <w:noProof/>
          <w:sz w:val="28"/>
          <w:szCs w:val="28"/>
          <w:lang w:val="uk-UA"/>
        </w:rPr>
        <w:t>має саме таке підґрунтя. Тривалий час однією з головних функцій інституту сім’ї була функція турботи про немічних старих. Німеччина стала першою країною, яка запровадила програму соціального страхування, котра покликана була звільнити від бідності й економічної залежності від сім’ї людей похилого віку. На прохання канцлера Німеччини Отто фон Бісмарка, німецький імператор написав до німецького парламенту: «Ті, хто є інвалідами по роботі та за віком, мають гарантію про турботу від держави</w:t>
      </w:r>
      <w:r>
        <w:rPr>
          <w:rFonts w:ascii="Times New Roman" w:hAnsi="Times New Roman" w:cs="Times New Roman"/>
          <w:noProof/>
          <w:sz w:val="28"/>
          <w:szCs w:val="28"/>
          <w:lang w:val="uk-UA"/>
        </w:rPr>
        <w:t>».</w:t>
      </w:r>
      <w:r w:rsidRPr="00832A68">
        <w:rPr>
          <w:rFonts w:ascii="Times New Roman" w:hAnsi="Times New Roman" w:cs="Times New Roman"/>
          <w:noProof/>
          <w:sz w:val="28"/>
          <w:szCs w:val="28"/>
          <w:lang w:val="uk-UA"/>
        </w:rPr>
        <w:t xml:space="preserve"> Спочатку пенсійний вік встановлювався з моменту досягнення 70 років, згодом у різних країнах він був знижений, подекуди до 60-55 років. Проте у зв’язку з постарінням населення та підвищенням економічного навантаження на молодь, цей вік знову поступово збільшується</w:t>
      </w:r>
      <w:r>
        <w:rPr>
          <w:rFonts w:ascii="Times New Roman" w:hAnsi="Times New Roman" w:cs="Times New Roman"/>
          <w:noProof/>
          <w:sz w:val="28"/>
          <w:szCs w:val="28"/>
          <w:lang w:val="uk-UA"/>
        </w:rPr>
        <w:t>.</w:t>
      </w:r>
    </w:p>
    <w:p w14:paraId="1C46F31E" w14:textId="462A7A3C" w:rsidR="00832A68" w:rsidRPr="00832A68" w:rsidRDefault="00832A68" w:rsidP="00832A68">
      <w:pPr>
        <w:shd w:val="clear" w:color="auto" w:fill="FFFFFF"/>
        <w:spacing w:after="0" w:line="360" w:lineRule="auto"/>
        <w:ind w:firstLine="709"/>
        <w:contextualSpacing/>
        <w:jc w:val="both"/>
        <w:textAlignment w:val="baseline"/>
        <w:rPr>
          <w:rFonts w:ascii="Times New Roman" w:hAnsi="Times New Roman" w:cs="Times New Roman"/>
          <w:sz w:val="28"/>
          <w:szCs w:val="28"/>
          <w:bdr w:val="none" w:sz="0" w:space="0" w:color="auto" w:frame="1"/>
          <w:lang w:val="uk-UA"/>
        </w:rPr>
      </w:pPr>
      <w:r w:rsidRPr="00832A68">
        <w:rPr>
          <w:rFonts w:ascii="Times New Roman" w:hAnsi="Times New Roman" w:cs="Times New Roman"/>
          <w:sz w:val="28"/>
          <w:szCs w:val="28"/>
          <w:bdr w:val="none" w:sz="0" w:space="0" w:color="auto" w:frame="1"/>
          <w:lang w:val="uk-UA"/>
        </w:rPr>
        <w:t xml:space="preserve">Щодо України, то грошові пенсії в Російській імперії, до якої входила більша частина територій сучасної України, вперше введено указом Петра І «Про пенсіон колишнім військовим». До 1917 р. в Україні найбільш поширеними були так звані емеритальні каси, що сплачували професійні пенсії відповідно до розміру заробітної плати їх вкладника, на розподільних засадах. </w:t>
      </w:r>
    </w:p>
    <w:p w14:paraId="412CC06B" w14:textId="77777777" w:rsidR="00832A68" w:rsidRDefault="00832A68" w:rsidP="00832A68">
      <w:pPr>
        <w:shd w:val="clear" w:color="auto" w:fill="FFFFFF"/>
        <w:spacing w:after="0" w:line="360" w:lineRule="auto"/>
        <w:ind w:firstLine="709"/>
        <w:contextualSpacing/>
        <w:jc w:val="both"/>
        <w:textAlignment w:val="baseline"/>
        <w:rPr>
          <w:rFonts w:ascii="Times New Roman" w:hAnsi="Times New Roman" w:cs="Times New Roman"/>
          <w:sz w:val="28"/>
          <w:szCs w:val="28"/>
          <w:bdr w:val="none" w:sz="0" w:space="0" w:color="auto" w:frame="1"/>
          <w:lang w:val="uk-UA"/>
        </w:rPr>
      </w:pPr>
      <w:r w:rsidRPr="00832A68">
        <w:rPr>
          <w:rFonts w:ascii="Times New Roman" w:hAnsi="Times New Roman" w:cs="Times New Roman"/>
          <w:sz w:val="28"/>
          <w:szCs w:val="28"/>
          <w:bdr w:val="none" w:sz="0" w:space="0" w:color="auto" w:frame="1"/>
          <w:lang w:val="uk-UA"/>
        </w:rPr>
        <w:t>Прийнятий уже після проголошення незалежності Закон України «Про пенсійне забезпечення» від 5 листопада 1991 р. майже повністю відтворював норми свого попередника, і до 2003 р. порядок та формула обрахунку трудових пенсій загалом залишалися без змін</w:t>
      </w:r>
      <w:r>
        <w:rPr>
          <w:rFonts w:ascii="Times New Roman" w:hAnsi="Times New Roman" w:cs="Times New Roman"/>
          <w:sz w:val="28"/>
          <w:szCs w:val="28"/>
          <w:bdr w:val="none" w:sz="0" w:space="0" w:color="auto" w:frame="1"/>
          <w:lang w:val="uk-UA"/>
        </w:rPr>
        <w:t>.</w:t>
      </w:r>
    </w:p>
    <w:p w14:paraId="631284D1" w14:textId="315D5116" w:rsidR="00832A68" w:rsidRPr="00832A68" w:rsidRDefault="00832A68" w:rsidP="00832A68">
      <w:pPr>
        <w:shd w:val="clear" w:color="auto" w:fill="FFFFFF"/>
        <w:spacing w:after="0" w:line="360" w:lineRule="auto"/>
        <w:ind w:firstLine="709"/>
        <w:contextualSpacing/>
        <w:jc w:val="both"/>
        <w:textAlignment w:val="baseline"/>
        <w:rPr>
          <w:rFonts w:ascii="Times New Roman" w:hAnsi="Times New Roman" w:cs="Times New Roman"/>
          <w:sz w:val="28"/>
          <w:szCs w:val="28"/>
          <w:lang w:val="uk-UA"/>
        </w:rPr>
      </w:pPr>
      <w:r w:rsidRPr="00832A68">
        <w:rPr>
          <w:rFonts w:ascii="Times New Roman" w:hAnsi="Times New Roman" w:cs="Times New Roman"/>
          <w:sz w:val="28"/>
          <w:szCs w:val="28"/>
          <w:shd w:val="clear" w:color="auto" w:fill="FFFFFF"/>
          <w:lang w:val="uk-UA"/>
        </w:rPr>
        <w:lastRenderedPageBreak/>
        <w:t>Система пенсійного страхування, встановлення залежності розміру пенсії від трудового внеску та страхового стажу, запровадження недержавного пенсійного забезпечення, переведення державного пільгового пенсійного забезпечення на професійно-галузевий рівень</w:t>
      </w:r>
      <w:r w:rsidRPr="00832A68">
        <w:rPr>
          <w:rFonts w:ascii="Times New Roman" w:hAnsi="Times New Roman" w:cs="Times New Roman"/>
          <w:b/>
          <w:iCs/>
          <w:sz w:val="28"/>
          <w:szCs w:val="28"/>
          <w:bdr w:val="none" w:sz="0" w:space="0" w:color="auto" w:frame="1"/>
          <w:lang w:val="uk-UA"/>
        </w:rPr>
        <w:t xml:space="preserve"> </w:t>
      </w:r>
      <w:r w:rsidRPr="00832A68">
        <w:rPr>
          <w:rFonts w:ascii="Times New Roman" w:hAnsi="Times New Roman" w:cs="Times New Roman"/>
          <w:iCs/>
          <w:sz w:val="28"/>
          <w:szCs w:val="28"/>
          <w:bdr w:val="none" w:sz="0" w:space="0" w:color="auto" w:frame="1"/>
          <w:lang w:val="uk-UA"/>
        </w:rPr>
        <w:t>оформилися у низку нових законопроектів, що започаткували старт пенсійної реформи в Україні</w:t>
      </w:r>
      <w:r>
        <w:rPr>
          <w:rFonts w:ascii="Times New Roman" w:hAnsi="Times New Roman" w:cs="Times New Roman"/>
          <w:b/>
          <w:iCs/>
          <w:sz w:val="28"/>
          <w:szCs w:val="28"/>
          <w:bdr w:val="none" w:sz="0" w:space="0" w:color="auto" w:frame="1"/>
          <w:lang w:val="uk-UA"/>
        </w:rPr>
        <w:t>.</w:t>
      </w:r>
    </w:p>
    <w:p w14:paraId="03FF0038" w14:textId="77777777" w:rsid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По суті, коли ставиться питання економічного підґрунтя вікового поділу, йдеться радше про політико-економічне підґрунтя, адже специфіка економіки пов’язана з формою державного устрою та діяльністю політичних сил. Тому, пояснюючи вікову нерівність, політичні економісти зосереджуються на взаємозв’язках між економікою, політикою та ідеологемами, відповідно до яких побудовані та реконструюються ці системи панування</w:t>
      </w:r>
      <w:r>
        <w:rPr>
          <w:rFonts w:ascii="Times New Roman" w:hAnsi="Times New Roman" w:cs="Times New Roman"/>
          <w:sz w:val="28"/>
          <w:szCs w:val="28"/>
          <w:lang w:val="uk-UA"/>
        </w:rPr>
        <w:t>.</w:t>
      </w:r>
    </w:p>
    <w:p w14:paraId="587E3232" w14:textId="2821387B"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 Дослідження цих питань зосереджують увагу переважно на тому, що старість значною мірою є соціальним конструктом. В цих межах здійснюється порівняльний аналіз зв’язків між старістю й соціальними інститутами; вивчаються впливи соціальних уявлень на конструкт старіння; легітимація соціальних втручань щодо людей похилого віку; вплив держави, капіталу і трудових відносин на старіння та старість; наслідки соціальної політики для людей похилого віку</w:t>
      </w:r>
      <w:r>
        <w:rPr>
          <w:rFonts w:ascii="Times New Roman" w:hAnsi="Times New Roman" w:cs="Times New Roman"/>
          <w:sz w:val="28"/>
          <w:szCs w:val="28"/>
          <w:lang w:val="uk-UA"/>
        </w:rPr>
        <w:t>.</w:t>
      </w:r>
    </w:p>
    <w:p w14:paraId="083B6F67" w14:textId="77777777" w:rsid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Незважаючи на те, що держава включає в себе безліч інституцій (освіта, кримінальне правосуддя, охорона здоров’я), дослідники з політичної економії з погляду старіння взагалі ототожнюють державу з керівними органами, відповідальними за політику соціального забезпечення. Хоча поняття соціального добробуту в дослідженнях старіння найчастіше стосується прерогатив соціального забезпечення та здоров’я, проте значущість розгляду специфіки державного устрою в таких дослідженнях випливає з тієї влади, яку в кожному конкретному випадку держава має над розподілом ресурсів у контексті її відношення до капіталу, праці та її відповідальності за виживання економічної системи. З позиції політичної економії вважається, що держава відбиває інтереси найвпливовіших членів суспільства, тож існуючий громадський порядок вважається результатом боротьби за владу, в якій бере участь політикум</w:t>
      </w:r>
      <w:r>
        <w:rPr>
          <w:rFonts w:ascii="Times New Roman" w:hAnsi="Times New Roman" w:cs="Times New Roman"/>
          <w:sz w:val="28"/>
          <w:szCs w:val="28"/>
          <w:lang w:val="uk-UA"/>
        </w:rPr>
        <w:t>.</w:t>
      </w:r>
    </w:p>
    <w:p w14:paraId="7C58940F" w14:textId="6B2D6602"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lastRenderedPageBreak/>
        <w:t>Наприклад, Дж. Майлз показує, що нерівність доходів у старшому віці залежить як від загального рівня нерівності в певному суспільстві, так і від того, як пенсійні системи змінюють або відтворюють цю нерівність. Він відстоює погляд, що, незважаючи на те, що нерівність у попередніх періодах зберігається після виходу на пенсію, розуміння нерівності доходів серед людей похилого віку та між старшими і молодшими потребує додаткового аналізу державної пенсійної системи.</w:t>
      </w:r>
    </w:p>
    <w:p w14:paraId="715B2B35" w14:textId="6F192999" w:rsid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Дослідники, які вивчають вік суто з погляду економіки, схильні розглядати його в якості додаткового стратифікаційного підгрунтя. З цієї позиції сучасні суспільства організовані на основі того, до якого </w:t>
      </w:r>
      <w:r>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старого, середнього чи молодого віку належить людина</w:t>
      </w:r>
      <w:r>
        <w:rPr>
          <w:rFonts w:ascii="Times New Roman" w:hAnsi="Times New Roman" w:cs="Times New Roman"/>
          <w:sz w:val="28"/>
          <w:szCs w:val="28"/>
          <w:lang w:val="uk-UA"/>
        </w:rPr>
        <w:t>.</w:t>
      </w:r>
    </w:p>
    <w:p w14:paraId="6D34F2DD" w14:textId="5F07A24B"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Проте існує й критика такого підходу. Ставлячи під сумнів, що хронологічний вік може бути статусним маркером і що держава та економіка спеціально визначають та конструюють старість як проблему (а потім шляхом розробки спеціальних рішень шукають шляхи розв’язання цієї штучно створеної проблеми), деякі теоретики вважають, що перетворення старості на соціальний конструкт не ґрунтується суто на хронологічному віці, а стає можливим завдяки встановленню системи вікових пенсій, якими керує держава, тож відлік старості починається саме з моменту виходу на пенсію</w:t>
      </w:r>
      <w:r>
        <w:rPr>
          <w:rFonts w:ascii="Times New Roman" w:hAnsi="Times New Roman" w:cs="Times New Roman"/>
          <w:sz w:val="28"/>
          <w:szCs w:val="28"/>
          <w:lang w:val="uk-UA"/>
        </w:rPr>
        <w:t>.</w:t>
      </w:r>
    </w:p>
    <w:p w14:paraId="23560C63" w14:textId="77A9AC6D"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Сутність проблеми визначення вікових меж старості з погляду економіки (політичної економії) полягає в тому, що зі зростанням частки людей старшого віку збільшуватиметься фінансовий тиск на економічно активну частину, що, наче Атлант на плечах, має нести економічне навантаження за малозахищені прошарки. Проте ще в 1980-х роках наводилися аргументи з приводу того, що хоча структура державних витрат, власності та контролю разом зі збільшенням кількості людей похилого віку зміниться, малоймовірно, що старіння населення буде чинником банкрутства нації</w:t>
      </w:r>
      <w:r>
        <w:rPr>
          <w:rFonts w:ascii="Times New Roman" w:hAnsi="Times New Roman" w:cs="Times New Roman"/>
          <w:sz w:val="28"/>
          <w:szCs w:val="28"/>
          <w:lang w:val="uk-UA"/>
        </w:rPr>
        <w:t xml:space="preserve">. </w:t>
      </w:r>
      <w:r w:rsidRPr="00832A68">
        <w:rPr>
          <w:rFonts w:ascii="Times New Roman" w:hAnsi="Times New Roman" w:cs="Times New Roman"/>
          <w:sz w:val="28"/>
          <w:szCs w:val="28"/>
          <w:lang w:val="uk-UA"/>
        </w:rPr>
        <w:t>Так чи інакше, але концептуалізація віку у цій галузі знання залишається доволі проблемною, побудованою на релятивістській основі політичних рішень про час виходу на пенсію.</w:t>
      </w:r>
    </w:p>
    <w:p w14:paraId="53ADB777" w14:textId="77777777"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lastRenderedPageBreak/>
        <w:t>Аналіз засвідчує, що теоретична і практична база соціологічних досліджень щодо визначення меж старості уже значна, проте її формування не завершено. Виділився ряд теоретичних підходів до вивчення проблем старості і старіння, на основі яких уже деякий час організовуються прикладні дослідження. Поряд з тим через відносну «молодість» проблематики старіння залишаються як «незвідані території» специфіки старіння в умовах сучасності, так і цілі пласти даних, що потребують аналізу й переосмислення. Але про це по порядку.</w:t>
      </w:r>
    </w:p>
    <w:p w14:paraId="4A6432C3" w14:textId="2D25A054"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Старіння є неоднозначним процесом, що залежить від ряду зовнішніх та внутрішніх чинників. Серед головних зовнішніх (вторинних) виступають соціокультурні умови. Тобто місце проживання як соціальне поле діяльності індивіда накладає на нього свої обмеження. Найбільш помітними є відмінності між представниками різних культур, а також жителями міст та сіл; наступні </w:t>
      </w:r>
      <w:r w:rsidR="002A71B9">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ґендерні відмінності, що проявляються, по суті, на всіх рівнях </w:t>
      </w:r>
      <w:r w:rsidR="002A71B9">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біологічному, соціальному, економічному тощо; далі </w:t>
      </w:r>
      <w:r w:rsidR="002A71B9">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економічні, передусім матеріальне забезпечення; освітні </w:t>
      </w:r>
      <w:r w:rsidR="002A71B9">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рівень освіти зумовлює специфіку способу життя і турботи про здоров’я, а також відмінність між статями. Ці відмінності мають як біологічну, так і соціокультурну природу, тож їх не варто ігнорувати. Важливим чинником постає сам факт тривалості життя, що навіть у найрозвиненіших країнах між чоловіками і жінками на користь останніх відрізняється (як уже було сказано, іноді на десяток років). З іншого боку, вік настання старості для жінок дещо нижчий, ніж для чоловіків, тобто жінки вступають у нього і живуть «старими» довше, що відбивається на пропорціях населення і впливає на політику по створенню відповідних програм підтримки для старших.</w:t>
      </w:r>
    </w:p>
    <w:p w14:paraId="00FC3737" w14:textId="36B18F65"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Вік, так само як раса, класова приналежність і стать, значною мірою соціально конструйований, тож пов’язаний зі статусами </w:t>
      </w:r>
      <w:r>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соціальною ієрархією, в якій деякі категорії цінуються вище, аніж інші. Наприклад, багато дітей з нетерпінням чекають настання незалежності по досягненню повноліття, але зауважимо, що ці вікові обмеження стосуються молодості, а старість розглядається в доволі негативному світлі відлякуючих вікових стигм. Соціальний критерій </w:t>
      </w:r>
      <w:r w:rsidRPr="00832A68">
        <w:rPr>
          <w:rFonts w:ascii="Times New Roman" w:hAnsi="Times New Roman" w:cs="Times New Roman"/>
          <w:sz w:val="28"/>
          <w:szCs w:val="28"/>
          <w:lang w:val="uk-UA"/>
        </w:rPr>
        <w:lastRenderedPageBreak/>
        <w:t>переходу до старості часто пов’язують з офіційним віком виходу на пенсію і відповідними статусно-рольовими трансформаціями</w:t>
      </w:r>
      <w:r>
        <w:rPr>
          <w:rFonts w:ascii="Times New Roman" w:hAnsi="Times New Roman" w:cs="Times New Roman"/>
          <w:sz w:val="28"/>
          <w:szCs w:val="28"/>
          <w:lang w:val="uk-UA"/>
        </w:rPr>
        <w:t xml:space="preserve">. </w:t>
      </w:r>
      <w:r w:rsidRPr="00832A68">
        <w:rPr>
          <w:rFonts w:ascii="Times New Roman" w:hAnsi="Times New Roman" w:cs="Times New Roman"/>
          <w:sz w:val="28"/>
          <w:szCs w:val="28"/>
          <w:lang w:val="uk-UA"/>
        </w:rPr>
        <w:t>Проте, як ми вже бачили, у різних країнах, для різних професійних груп, для чоловіків і жінок пенсійний вік та уявлення про настання старості неоднакові (люфт навіть у розвинених країнах суттєво відрізняється  від 55 до 70 років).</w:t>
      </w:r>
    </w:p>
    <w:p w14:paraId="66DEDA52" w14:textId="23707FF3"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Справді, соціальні показники «порогу», переходу до старшого віку — це зміна основного джерела доходу, зміна соціального статусу, зазвичай пов’язана з поступовою втратою соціального капіталу і звуженням кола соціальних ролей. Однак це далеко не вичерпні за своїм змістом маркери старіння. Доволі істотним є розрізнення так званої молодої старості («третього» віку) і «старої старості» (або «четвертого» віку). Розрізнення ґрунтується на застосуванні функціонального критерію  можливості для старої людини жити активно і незалежно, або набуття потреби в сторонньому догляді</w:t>
      </w:r>
      <w:r>
        <w:rPr>
          <w:rFonts w:ascii="Times New Roman" w:hAnsi="Times New Roman" w:cs="Times New Roman"/>
          <w:sz w:val="28"/>
          <w:szCs w:val="28"/>
          <w:lang w:val="uk-UA"/>
        </w:rPr>
        <w:t>.</w:t>
      </w:r>
    </w:p>
    <w:p w14:paraId="0E6A757A" w14:textId="6BDE35D2"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Соціологія наголошує не лише на соціальних, соціально-економічних, соціокультурних, а й на релятивістських залежностях вікових меж старості від стану суспільного розвитку. Ще на початку минулого століття усталеною соціальною нормою було, що життя вважалося практично завершеним у 40 років. Звертаючись до художньої літератури, з якої (як з образотворчого мистецтва до епохи фото- та відеозйомок беруться відомості про специфіку і спосіб життя) можна почерпнути «типові» характерологічні образи особистостей та специфічні риси стереотипів, сприйняття людей різних епох</w:t>
      </w:r>
      <w:r>
        <w:rPr>
          <w:rFonts w:ascii="Times New Roman" w:hAnsi="Times New Roman" w:cs="Times New Roman"/>
          <w:sz w:val="28"/>
          <w:szCs w:val="28"/>
          <w:lang w:val="uk-UA"/>
        </w:rPr>
        <w:t>.</w:t>
      </w:r>
    </w:p>
    <w:p w14:paraId="252987AA" w14:textId="5C82162C" w:rsidR="00832A68" w:rsidRPr="00832A68" w:rsidRDefault="00832A68" w:rsidP="00832A68">
      <w:pPr>
        <w:spacing w:after="0" w:line="360" w:lineRule="auto"/>
        <w:ind w:firstLine="709"/>
        <w:contextualSpacing/>
        <w:jc w:val="both"/>
        <w:rPr>
          <w:rFonts w:ascii="Times New Roman" w:eastAsia="Calibri" w:hAnsi="Times New Roman" w:cs="Times New Roman"/>
          <w:sz w:val="28"/>
          <w:szCs w:val="28"/>
          <w:lang w:val="uk-UA"/>
        </w:rPr>
      </w:pPr>
      <w:r w:rsidRPr="00832A68">
        <w:rPr>
          <w:rFonts w:ascii="Times New Roman" w:eastAsia="Calibri" w:hAnsi="Times New Roman" w:cs="Times New Roman"/>
          <w:sz w:val="28"/>
          <w:szCs w:val="28"/>
          <w:lang w:val="uk-UA"/>
        </w:rPr>
        <w:t xml:space="preserve">Незважаючи на доволі значні відмінності у розумінні початку старості, робилися спроби хоча б визначити межі різних вікових періодів. </w:t>
      </w:r>
      <w:r w:rsidRPr="00832A68">
        <w:rPr>
          <w:rFonts w:ascii="Times New Roman" w:hAnsi="Times New Roman" w:cs="Times New Roman"/>
          <w:sz w:val="28"/>
          <w:szCs w:val="28"/>
          <w:lang w:val="uk-UA"/>
        </w:rPr>
        <w:t xml:space="preserve">У кожному суспільстві формується певний атитюд </w:t>
      </w:r>
      <w:r>
        <w:rPr>
          <w:rFonts w:ascii="Times New Roman" w:hAnsi="Times New Roman" w:cs="Times New Roman"/>
          <w:sz w:val="28"/>
          <w:szCs w:val="28"/>
          <w:lang w:val="uk-UA"/>
        </w:rPr>
        <w:t>−</w:t>
      </w:r>
      <w:r w:rsidRPr="00832A68">
        <w:rPr>
          <w:rFonts w:ascii="Times New Roman" w:hAnsi="Times New Roman" w:cs="Times New Roman"/>
          <w:sz w:val="28"/>
          <w:szCs w:val="28"/>
          <w:lang w:val="uk-UA"/>
        </w:rPr>
        <w:t xml:space="preserve"> ставлення до початку старіння людини і соціально типових зразків і патернів його перебігу. Закріплене часом у негативному, стигматизованому, вигляді таке ставлення тією чи іншою мірою визначає поведінку людини, яка перетинає вікову межу, що її вважають початком старості. </w:t>
      </w:r>
    </w:p>
    <w:p w14:paraId="45463D07" w14:textId="61539613"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lastRenderedPageBreak/>
        <w:t xml:space="preserve">Підтвердженням того, що в соціально-культурному тренді наявні стереотипні оцінки-визначення, якою має бути людина у різному віці, можуть слугувати результати Європейського соціального дослідження (European Social Survey). До програми </w:t>
      </w:r>
      <w:r w:rsidRPr="00832A68">
        <w:rPr>
          <w:rFonts w:ascii="Times New Roman" w:hAnsi="Times New Roman" w:cs="Times New Roman"/>
          <w:sz w:val="28"/>
          <w:szCs w:val="28"/>
        </w:rPr>
        <w:t>четверто</w:t>
      </w:r>
      <w:r w:rsidRPr="00832A68">
        <w:rPr>
          <w:rFonts w:ascii="Times New Roman" w:hAnsi="Times New Roman" w:cs="Times New Roman"/>
          <w:sz w:val="28"/>
          <w:szCs w:val="28"/>
          <w:lang w:val="uk-UA"/>
        </w:rPr>
        <w:t>ї хвилі цього міжнародного проекту було включено модуль, спрямований на глибше розуміння поширених серед європейців поглядів на організацію життєвого циклу і стратегій планування особистого життя. В одному з блоків запитань респондентам запропоновано висловити власну думку щодо віку, коли людина досягає старості</w:t>
      </w:r>
      <w:r>
        <w:rPr>
          <w:rFonts w:ascii="Times New Roman" w:hAnsi="Times New Roman" w:cs="Times New Roman"/>
          <w:sz w:val="28"/>
          <w:szCs w:val="28"/>
          <w:lang w:val="uk-UA"/>
        </w:rPr>
        <w:t xml:space="preserve">. </w:t>
      </w:r>
      <w:r w:rsidRPr="00832A68">
        <w:rPr>
          <w:rFonts w:ascii="Times New Roman" w:hAnsi="Times New Roman" w:cs="Times New Roman"/>
          <w:sz w:val="28"/>
          <w:szCs w:val="28"/>
          <w:lang w:val="uk-UA"/>
        </w:rPr>
        <w:t>Близько 6,0% з загальної сукупності респондентів відповіли, що такий вік «залежить від конкретних обставин», ще 3,6% не змогли назвати конкретний вік. Отже, дев’ятеро з десяти мали доволі чіткі уявлення щодо «віку старості». Спостерігається значна варіація відповідей респондентів з різних країн</w:t>
      </w:r>
      <w:r>
        <w:rPr>
          <w:rFonts w:ascii="Times New Roman" w:hAnsi="Times New Roman" w:cs="Times New Roman"/>
          <w:sz w:val="28"/>
          <w:szCs w:val="28"/>
          <w:lang w:val="uk-UA"/>
        </w:rPr>
        <w:t>.</w:t>
      </w:r>
    </w:p>
    <w:p w14:paraId="32A01F31" w14:textId="2603731D"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А от згідно з проведеним крос-культурним соціологічним дослідженням кожен четвертий європеєць упевнений, що в середньому старість настає в 64 роки, майже кожен п’ятий  </w:t>
      </w:r>
      <w:r>
        <w:rPr>
          <w:rFonts w:ascii="Times New Roman" w:hAnsi="Times New Roman" w:cs="Times New Roman"/>
          <w:sz w:val="28"/>
          <w:szCs w:val="28"/>
          <w:lang w:val="uk-UA"/>
        </w:rPr>
        <w:t xml:space="preserve">− </w:t>
      </w:r>
      <w:r w:rsidRPr="00832A68">
        <w:rPr>
          <w:rFonts w:ascii="Times New Roman" w:hAnsi="Times New Roman" w:cs="Times New Roman"/>
          <w:sz w:val="28"/>
          <w:szCs w:val="28"/>
          <w:lang w:val="uk-UA"/>
        </w:rPr>
        <w:t xml:space="preserve">в 74 роки. Соціологічні опитування проводилися в 31 країні, було опитано понад 40 тисяч осіб, результати узагальнено групою дослідників на чолі з професором Д. Абрамсом. Примітно, що жінки відчувають початок старіння ще пізніше. Крім того, змінилися вікові межі позиціонування і кризи середнього віку </w:t>
      </w:r>
      <w:r>
        <w:rPr>
          <w:rFonts w:ascii="Times New Roman" w:eastAsia="Calibri" w:hAnsi="Times New Roman" w:cs="Times New Roman"/>
          <w:sz w:val="28"/>
          <w:szCs w:val="28"/>
          <w:lang w:val="uk-UA"/>
        </w:rPr>
        <w:t>−</w:t>
      </w:r>
      <w:r w:rsidRPr="00832A68">
        <w:rPr>
          <w:rFonts w:ascii="Times New Roman" w:hAnsi="Times New Roman" w:cs="Times New Roman"/>
          <w:sz w:val="28"/>
          <w:szCs w:val="28"/>
          <w:lang w:val="uk-UA"/>
        </w:rPr>
        <w:t xml:space="preserve"> ще півсотні років тому вона фіксувалася в середньому в 36 років, нині у 55 років</w:t>
      </w:r>
      <w:r>
        <w:rPr>
          <w:rFonts w:ascii="Times New Roman" w:hAnsi="Times New Roman" w:cs="Times New Roman"/>
          <w:sz w:val="28"/>
          <w:szCs w:val="28"/>
          <w:lang w:val="uk-UA"/>
        </w:rPr>
        <w:t>.</w:t>
      </w:r>
    </w:p>
    <w:p w14:paraId="7D9B0599" w14:textId="01D3D101"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Цілковитої одностайності у поглядах на вікові межі старості серед соціологів немає, але доволі наполегливо йдеться про виділення окремого вікового періоду між дорослістю і старістю. На сьогодні термін «старіння», запропонований Всесвітньою організацією охорони здоров’я (ВООЗ), вказує на поступовість і безперервність цього процесу. Відповідно до класифікації Європейського регіонального бюро ВООЗ старіння (похилий вік) триває у чоловіків з 61 до 74 років, у жінок  з 55 до 74 років. З 75 років настає старість (похилий вік). Період старше 90 років  довгожительство (старечість). Загалом, сучасна вікова класифікація ВООЗ має такий вигляд:</w:t>
      </w:r>
    </w:p>
    <w:p w14:paraId="3F32C7B4" w14:textId="4F1C58D9" w:rsidR="00832A68" w:rsidRPr="00832A68" w:rsidRDefault="00832A68" w:rsidP="00832A68">
      <w:pPr>
        <w:tabs>
          <w:tab w:val="left" w:pos="1134"/>
        </w:tabs>
        <w:spacing w:after="0" w:line="360" w:lineRule="auto"/>
        <w:ind w:left="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lastRenderedPageBreak/>
        <w:t xml:space="preserve">25-44 </w:t>
      </w:r>
      <w:r w:rsidR="002A71B9">
        <w:rPr>
          <w:rFonts w:ascii="Times New Roman" w:eastAsia="Calibri" w:hAnsi="Times New Roman" w:cs="Times New Roman"/>
          <w:sz w:val="28"/>
          <w:szCs w:val="28"/>
          <w:lang w:val="uk-UA"/>
        </w:rPr>
        <w:t>−</w:t>
      </w:r>
      <w:r w:rsidRPr="00832A68">
        <w:rPr>
          <w:rFonts w:ascii="Times New Roman" w:eastAsia="Calibri" w:hAnsi="Times New Roman" w:cs="Times New Roman"/>
          <w:sz w:val="28"/>
          <w:szCs w:val="28"/>
          <w:lang w:val="uk-UA"/>
        </w:rPr>
        <w:t xml:space="preserve"> </w:t>
      </w:r>
      <w:r w:rsidRPr="00832A68">
        <w:rPr>
          <w:rFonts w:ascii="Times New Roman" w:hAnsi="Times New Roman" w:cs="Times New Roman"/>
          <w:sz w:val="28"/>
          <w:szCs w:val="28"/>
          <w:lang w:val="uk-UA"/>
        </w:rPr>
        <w:t>молодий вік;</w:t>
      </w:r>
    </w:p>
    <w:p w14:paraId="1A240774" w14:textId="6A69E3A9" w:rsidR="00832A68" w:rsidRPr="00832A68" w:rsidRDefault="00832A68" w:rsidP="00832A68">
      <w:pPr>
        <w:tabs>
          <w:tab w:val="left" w:pos="1134"/>
        </w:tabs>
        <w:spacing w:after="0" w:line="360" w:lineRule="auto"/>
        <w:ind w:left="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44-60 </w:t>
      </w:r>
      <w:r w:rsidR="002A71B9">
        <w:rPr>
          <w:rFonts w:ascii="Times New Roman" w:eastAsia="Calibri" w:hAnsi="Times New Roman" w:cs="Times New Roman"/>
          <w:sz w:val="28"/>
          <w:szCs w:val="28"/>
          <w:lang w:val="uk-UA"/>
        </w:rPr>
        <w:t>−</w:t>
      </w:r>
      <w:r w:rsidRPr="00832A68">
        <w:rPr>
          <w:rFonts w:ascii="Times New Roman" w:hAnsi="Times New Roman" w:cs="Times New Roman"/>
          <w:sz w:val="28"/>
          <w:szCs w:val="28"/>
          <w:lang w:val="uk-UA"/>
        </w:rPr>
        <w:t xml:space="preserve"> середній вік;</w:t>
      </w:r>
    </w:p>
    <w:p w14:paraId="733EB66B" w14:textId="6EAB92F5" w:rsidR="00832A68" w:rsidRPr="00832A68" w:rsidRDefault="00832A68" w:rsidP="00832A68">
      <w:pPr>
        <w:tabs>
          <w:tab w:val="left" w:pos="1134"/>
        </w:tabs>
        <w:spacing w:after="0" w:line="360" w:lineRule="auto"/>
        <w:ind w:left="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60-75 </w:t>
      </w:r>
      <w:r w:rsidR="002A71B9">
        <w:rPr>
          <w:rFonts w:ascii="Times New Roman" w:eastAsia="Calibri" w:hAnsi="Times New Roman" w:cs="Times New Roman"/>
          <w:sz w:val="28"/>
          <w:szCs w:val="28"/>
          <w:lang w:val="uk-UA"/>
        </w:rPr>
        <w:t xml:space="preserve">− </w:t>
      </w:r>
      <w:r w:rsidRPr="00832A68">
        <w:rPr>
          <w:rFonts w:ascii="Times New Roman" w:hAnsi="Times New Roman" w:cs="Times New Roman"/>
          <w:sz w:val="28"/>
          <w:szCs w:val="28"/>
          <w:lang w:val="uk-UA"/>
        </w:rPr>
        <w:t>похилий вік;</w:t>
      </w:r>
    </w:p>
    <w:p w14:paraId="47E91970" w14:textId="5AE1FF2B" w:rsidR="00832A68" w:rsidRPr="00832A68" w:rsidRDefault="00832A68" w:rsidP="00832A68">
      <w:pPr>
        <w:tabs>
          <w:tab w:val="left" w:pos="1134"/>
        </w:tabs>
        <w:spacing w:after="0" w:line="360" w:lineRule="auto"/>
        <w:ind w:left="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75-90 </w:t>
      </w:r>
      <w:r w:rsidR="002A71B9">
        <w:rPr>
          <w:rFonts w:ascii="Times New Roman" w:eastAsia="Calibri" w:hAnsi="Times New Roman" w:cs="Times New Roman"/>
          <w:sz w:val="28"/>
          <w:szCs w:val="28"/>
          <w:lang w:val="uk-UA"/>
        </w:rPr>
        <w:t>−</w:t>
      </w:r>
      <w:r w:rsidRPr="00832A68">
        <w:rPr>
          <w:rFonts w:ascii="Times New Roman" w:hAnsi="Times New Roman" w:cs="Times New Roman"/>
          <w:sz w:val="28"/>
          <w:szCs w:val="28"/>
          <w:lang w:val="uk-UA"/>
        </w:rPr>
        <w:t xml:space="preserve"> старечий вік;</w:t>
      </w:r>
    </w:p>
    <w:p w14:paraId="5481AD2F" w14:textId="47696ED6" w:rsidR="00832A68" w:rsidRPr="00832A68" w:rsidRDefault="00832A68" w:rsidP="00832A68">
      <w:pPr>
        <w:tabs>
          <w:tab w:val="left" w:pos="1134"/>
        </w:tabs>
        <w:spacing w:after="0" w:line="360" w:lineRule="auto"/>
        <w:ind w:left="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 xml:space="preserve">після 90 </w:t>
      </w:r>
      <w:r w:rsidR="002A71B9">
        <w:rPr>
          <w:rFonts w:ascii="Times New Roman" w:eastAsia="Calibri" w:hAnsi="Times New Roman" w:cs="Times New Roman"/>
          <w:sz w:val="28"/>
          <w:szCs w:val="28"/>
          <w:lang w:val="uk-UA"/>
        </w:rPr>
        <w:t>−</w:t>
      </w:r>
      <w:r w:rsidRPr="00832A68">
        <w:rPr>
          <w:rFonts w:ascii="Times New Roman" w:eastAsia="Calibri" w:hAnsi="Times New Roman" w:cs="Times New Roman"/>
          <w:sz w:val="28"/>
          <w:szCs w:val="28"/>
          <w:lang w:val="uk-UA"/>
        </w:rPr>
        <w:t xml:space="preserve"> </w:t>
      </w:r>
      <w:r w:rsidRPr="00832A68">
        <w:rPr>
          <w:rFonts w:ascii="Times New Roman" w:hAnsi="Times New Roman" w:cs="Times New Roman"/>
          <w:sz w:val="28"/>
          <w:szCs w:val="28"/>
          <w:lang w:val="uk-UA"/>
        </w:rPr>
        <w:t>довгожителі</w:t>
      </w:r>
      <w:r w:rsidRPr="00832A68">
        <w:rPr>
          <w:rFonts w:ascii="Times New Roman" w:hAnsi="Times New Roman" w:cs="Times New Roman"/>
          <w:sz w:val="28"/>
          <w:szCs w:val="28"/>
          <w:lang w:val="en-US"/>
        </w:rPr>
        <w:t xml:space="preserve"> [WHO]</w:t>
      </w:r>
      <w:r w:rsidRPr="00832A68">
        <w:rPr>
          <w:rFonts w:ascii="Times New Roman" w:hAnsi="Times New Roman" w:cs="Times New Roman"/>
          <w:sz w:val="28"/>
          <w:szCs w:val="28"/>
          <w:lang w:val="uk-UA"/>
        </w:rPr>
        <w:t>.</w:t>
      </w:r>
    </w:p>
    <w:p w14:paraId="0DDDD991" w14:textId="77777777"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sz w:val="28"/>
          <w:szCs w:val="28"/>
          <w:lang w:val="uk-UA"/>
        </w:rPr>
        <w:t>Соціальний критерій переходу до старості часто пов’язують з офіційним віком виходу на пенсію. Проте, по-перше, у різних країнах для різних професійних груп, для чоловіків і жінок, як ми бачили, пенсійний вік неоднаковий (переважно від 55 до 70 років); по-друге, дедалі наполегливіше соціологи говорять про «третій вік», проміжний між середнім і старечим віком як за ціннісними орієнтаціями, так і за способом життя, ототожнюючи його з хронологічним діапазоном 60-75 років.</w:t>
      </w:r>
    </w:p>
    <w:p w14:paraId="12F03BF6" w14:textId="43B0FFC5" w:rsidR="00832A68" w:rsidRPr="00832A68" w:rsidRDefault="00832A68" w:rsidP="00832A68">
      <w:pPr>
        <w:spacing w:after="0" w:line="360" w:lineRule="auto"/>
        <w:ind w:firstLine="709"/>
        <w:contextualSpacing/>
        <w:jc w:val="both"/>
        <w:rPr>
          <w:rFonts w:ascii="Times New Roman" w:eastAsia="Calibri" w:hAnsi="Times New Roman" w:cs="Times New Roman"/>
          <w:sz w:val="28"/>
          <w:szCs w:val="28"/>
          <w:lang w:val="uk-UA"/>
        </w:rPr>
      </w:pPr>
      <w:r w:rsidRPr="00832A68">
        <w:rPr>
          <w:rFonts w:ascii="Times New Roman" w:eastAsia="Calibri" w:hAnsi="Times New Roman" w:cs="Times New Roman"/>
          <w:sz w:val="28"/>
          <w:szCs w:val="28"/>
          <w:lang w:val="uk-UA"/>
        </w:rPr>
        <w:t xml:space="preserve">Альтернативою віку виходу на пенсію як відлікової точки початку старості використовуються показники частки населення віком 65 років і старше (запропоновано Райдером) та частки населення з майбутньою тривалістю життя 10 років і старше, що дає можливість під іншим кутом зору поглянути на зміни в доживанні та пов’язані з ними зміни в життєвому циклі, переглянути уявлення щодо меж старіння. </w:t>
      </w:r>
    </w:p>
    <w:p w14:paraId="25390D42" w14:textId="1B857BAE" w:rsidR="00832A68" w:rsidRPr="00832A68" w:rsidRDefault="00832A68" w:rsidP="00832A68">
      <w:pPr>
        <w:spacing w:after="0" w:line="360" w:lineRule="auto"/>
        <w:ind w:firstLine="709"/>
        <w:contextualSpacing/>
        <w:jc w:val="both"/>
        <w:rPr>
          <w:rFonts w:ascii="Times New Roman" w:eastAsia="Calibri" w:hAnsi="Times New Roman" w:cs="Times New Roman"/>
          <w:sz w:val="28"/>
          <w:szCs w:val="28"/>
          <w:lang w:val="uk-UA"/>
        </w:rPr>
      </w:pPr>
      <w:r w:rsidRPr="00832A68">
        <w:rPr>
          <w:rFonts w:ascii="Times New Roman" w:eastAsia="Calibri" w:hAnsi="Times New Roman" w:cs="Times New Roman"/>
          <w:sz w:val="28"/>
          <w:szCs w:val="28"/>
          <w:lang w:val="uk-UA"/>
        </w:rPr>
        <w:t xml:space="preserve">Вважаємо доцільним визначати межі старості з погляду соціальної норми </w:t>
      </w:r>
      <w:r w:rsidRPr="00832A68">
        <w:rPr>
          <w:rFonts w:ascii="Times New Roman" w:hAnsi="Times New Roman" w:cs="Times New Roman"/>
          <w:sz w:val="28"/>
          <w:szCs w:val="28"/>
          <w:lang w:val="uk-UA"/>
        </w:rPr>
        <w:t xml:space="preserve">— </w:t>
      </w:r>
      <w:r w:rsidRPr="00832A68">
        <w:rPr>
          <w:rFonts w:ascii="Times New Roman" w:eastAsia="Calibri" w:hAnsi="Times New Roman" w:cs="Times New Roman"/>
          <w:sz w:val="28"/>
          <w:szCs w:val="28"/>
          <w:lang w:val="uk-UA"/>
        </w:rPr>
        <w:t xml:space="preserve">тієї вікової межі, яка відділяє в суспільній свідомості, закріплюючись в індивідуальній самосвідомості, активний (чи принаймні, потенційно активний) період життя від пасивного. Мова не йде про якусь фіксовану цифру, це перехідний період стагнації численних функцій, темпи, інтенсивність і тривалість згортання чи видозміни яких не може відбуватися за однаковим сценарієм. Ці межі справді залежать не лише від великої кількості зовнішніх і внутрішніх чинників, а й від їх конфігурації. Вочевидь, йдеться не тільки про нижню вікову межу старості, а й про верхню </w:t>
      </w:r>
      <w:r>
        <w:rPr>
          <w:rFonts w:ascii="Times New Roman" w:eastAsia="Calibri" w:hAnsi="Times New Roman" w:cs="Times New Roman"/>
          <w:sz w:val="28"/>
          <w:szCs w:val="28"/>
          <w:lang w:val="uk-UA"/>
        </w:rPr>
        <w:t>−</w:t>
      </w:r>
      <w:r w:rsidRPr="00832A68">
        <w:rPr>
          <w:rFonts w:ascii="Times New Roman" w:eastAsia="Calibri" w:hAnsi="Times New Roman" w:cs="Times New Roman"/>
          <w:sz w:val="28"/>
          <w:szCs w:val="28"/>
          <w:lang w:val="uk-UA"/>
        </w:rPr>
        <w:t xml:space="preserve"> про яку тривалість життя можна було б сказати, що він/вона достатньо пожив/пожила (прикладом може слугувати хоча б випадок з 104-літнім австралійським ученим Д. Гудоллом про період переходу до старості, його свідомий вибір евтаназії, як завершення життєвого шляху)</w:t>
      </w:r>
      <w:r>
        <w:rPr>
          <w:rFonts w:ascii="Times New Roman" w:eastAsia="Calibri" w:hAnsi="Times New Roman" w:cs="Times New Roman"/>
          <w:sz w:val="28"/>
          <w:szCs w:val="28"/>
          <w:lang w:val="uk-UA"/>
        </w:rPr>
        <w:t>.</w:t>
      </w:r>
    </w:p>
    <w:p w14:paraId="18BE5BFE" w14:textId="3D45C7EE" w:rsidR="00832A68" w:rsidRPr="00E210FF" w:rsidRDefault="00832A68" w:rsidP="00832A68">
      <w:pPr>
        <w:spacing w:after="0" w:line="360" w:lineRule="auto"/>
        <w:ind w:firstLine="709"/>
        <w:contextualSpacing/>
        <w:jc w:val="both"/>
        <w:rPr>
          <w:rFonts w:ascii="Times New Roman" w:eastAsia="Calibri" w:hAnsi="Times New Roman" w:cs="Times New Roman"/>
          <w:sz w:val="28"/>
          <w:szCs w:val="28"/>
          <w:lang w:val="uk-UA"/>
        </w:rPr>
      </w:pPr>
      <w:r w:rsidRPr="00832A68">
        <w:rPr>
          <w:rFonts w:ascii="Times New Roman" w:eastAsia="Calibri" w:hAnsi="Times New Roman" w:cs="Times New Roman"/>
          <w:sz w:val="28"/>
          <w:szCs w:val="28"/>
          <w:lang w:val="uk-UA"/>
        </w:rPr>
        <w:lastRenderedPageBreak/>
        <w:t>Такі вікові межі потребують ще додаткового вивчення, зокрема крос-культурного; відкритим залишається і питання про способи вимірювання та подальшу інтегративну інтерпретацію отриманих даних. Поки що з огляду на проведені дослідження щодо ціннісних орієнтацій (які є важливою, однак не вичерпною ознакою вікової ідентифікації) людей старшого віку можна вести мову про перехідний період від дорослості до старості як віковий коридор у межах від 55-60 до 70-75, а щодо ряду функцій і до 80 років. Для України, щоправда, верхня межа є дещо нижчою і проходить по віковому кордону 65-70 років</w:t>
      </w:r>
      <w:r w:rsidR="00E210FF">
        <w:rPr>
          <w:rFonts w:ascii="Times New Roman" w:eastAsia="Calibri" w:hAnsi="Times New Roman" w:cs="Times New Roman"/>
          <w:sz w:val="28"/>
          <w:szCs w:val="28"/>
          <w:lang w:val="uk-UA"/>
        </w:rPr>
        <w:t>.</w:t>
      </w:r>
    </w:p>
    <w:p w14:paraId="59DBEFE5" w14:textId="4A1296FA" w:rsidR="00832A68" w:rsidRPr="00E210FF" w:rsidRDefault="00832A68" w:rsidP="00832A68">
      <w:pPr>
        <w:spacing w:after="0" w:line="360" w:lineRule="auto"/>
        <w:ind w:firstLine="709"/>
        <w:contextualSpacing/>
        <w:jc w:val="both"/>
        <w:rPr>
          <w:rFonts w:ascii="Times New Roman" w:eastAsia="Calibri" w:hAnsi="Times New Roman" w:cs="Times New Roman"/>
          <w:sz w:val="28"/>
          <w:szCs w:val="28"/>
          <w:lang w:val="uk-UA"/>
        </w:rPr>
      </w:pPr>
      <w:r w:rsidRPr="00832A68">
        <w:rPr>
          <w:rFonts w:ascii="Times New Roman" w:eastAsia="Calibri" w:hAnsi="Times New Roman" w:cs="Times New Roman"/>
          <w:sz w:val="28"/>
          <w:szCs w:val="28"/>
          <w:lang w:val="uk-UA"/>
        </w:rPr>
        <w:t>Орієнтація на соціально прийняту, а відтак і суб’єктивно прийнятну тривалість життя виступає точкою відліку в побудові життєвих планів та життєвої активності. Прийнятна тривалість життя може виражатися термінами «достатньо пожив», тобто час, протягом якого людина має «відбутися у житті» і до якого слід встигнути здійснити те, що планувала; а наближення життєвого шляху до такої межі ставатиме стимулом для підбиття підсумків життя. Однак передчасно стверджувати, що якийсь з підходів, у тому числі й авторський, може претендувати на статус аксіоми</w:t>
      </w:r>
      <w:r w:rsidR="00E210FF">
        <w:rPr>
          <w:rFonts w:ascii="Times New Roman" w:eastAsia="Calibri" w:hAnsi="Times New Roman" w:cs="Times New Roman"/>
          <w:sz w:val="28"/>
          <w:szCs w:val="28"/>
          <w:lang w:val="uk-UA"/>
        </w:rPr>
        <w:t>.</w:t>
      </w:r>
    </w:p>
    <w:p w14:paraId="658F0F1D" w14:textId="77777777" w:rsidR="00832A68" w:rsidRPr="00832A68" w:rsidRDefault="00832A68" w:rsidP="00832A68">
      <w:pPr>
        <w:spacing w:after="0" w:line="360" w:lineRule="auto"/>
        <w:ind w:firstLine="709"/>
        <w:contextualSpacing/>
        <w:jc w:val="both"/>
        <w:rPr>
          <w:rFonts w:ascii="Times New Roman" w:hAnsi="Times New Roman" w:cs="Times New Roman"/>
          <w:sz w:val="28"/>
          <w:szCs w:val="28"/>
          <w:lang w:val="uk-UA"/>
        </w:rPr>
      </w:pPr>
      <w:r w:rsidRPr="00832A68">
        <w:rPr>
          <w:rFonts w:ascii="Times New Roman" w:hAnsi="Times New Roman" w:cs="Times New Roman"/>
          <w:bCs/>
          <w:sz w:val="28"/>
          <w:szCs w:val="28"/>
          <w:lang w:val="uk-UA"/>
        </w:rPr>
        <w:t xml:space="preserve">Можна констатувати, що, </w:t>
      </w:r>
      <w:r w:rsidRPr="00832A68">
        <w:rPr>
          <w:rFonts w:ascii="Times New Roman" w:hAnsi="Times New Roman" w:cs="Times New Roman"/>
          <w:sz w:val="28"/>
          <w:szCs w:val="28"/>
          <w:lang w:val="uk-UA"/>
        </w:rPr>
        <w:t>попри вагому кількість досліджень, поняття про межі старіння в науковому дискурсі залишаються доволі умовними. Причому навіть у межах однієї галузі одностайності щодо поділу немає. Цьому є ряд причин: це і зміна середньої тривалості життя з відповідною зміною фізичних і соціальних можливостей людей, це і розрив між психологічним і біологічним розвитком (коли в різних суспільствах люди одного віку можуть бути віднесеними до різних соціальних груп з відповідним статусно-рольовим навантаженням тощо). Це і урізноманітненість великої кількості суспільних чинників та їх конфігурацій. Розвиток явища старіння відбувається в різних сферах, згідно зі своїми закономірностями, пізнання яких потребує системності й комплексності розгляду.</w:t>
      </w:r>
    </w:p>
    <w:p w14:paraId="3C43AD18" w14:textId="77777777" w:rsidR="00832A68" w:rsidRDefault="00832A68" w:rsidP="00832A68">
      <w:pPr>
        <w:spacing w:line="360" w:lineRule="auto"/>
        <w:ind w:firstLine="709"/>
        <w:contextualSpacing/>
        <w:rPr>
          <w:sz w:val="28"/>
          <w:szCs w:val="28"/>
          <w:lang w:val="uk-UA"/>
        </w:rPr>
      </w:pPr>
    </w:p>
    <w:p w14:paraId="1F624228" w14:textId="77777777" w:rsidR="002A71B9" w:rsidRPr="00BD628E" w:rsidRDefault="002A71B9" w:rsidP="00832A68">
      <w:pPr>
        <w:spacing w:line="360" w:lineRule="auto"/>
        <w:ind w:firstLine="709"/>
        <w:contextualSpacing/>
        <w:rPr>
          <w:sz w:val="28"/>
          <w:szCs w:val="28"/>
          <w:lang w:val="uk-UA"/>
        </w:rPr>
      </w:pPr>
    </w:p>
    <w:p w14:paraId="7B2598A4" w14:textId="6524FB8E" w:rsidR="00DA73E7" w:rsidRPr="00DA73E7" w:rsidRDefault="00DA73E7" w:rsidP="00DA73E7">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1.2.</w:t>
      </w:r>
      <w:r w:rsidRPr="00DA73E7">
        <w:rPr>
          <w:rFonts w:ascii="Times New Roman" w:hAnsi="Times New Roman" w:cs="Times New Roman"/>
          <w:b/>
          <w:sz w:val="28"/>
          <w:szCs w:val="28"/>
          <w:lang w:val="uk-UA"/>
        </w:rPr>
        <w:t xml:space="preserve"> Поняття і структура соціального потенціалу та чинники його актуалізації</w:t>
      </w:r>
    </w:p>
    <w:p w14:paraId="6C5DC496" w14:textId="77777777" w:rsidR="00DA73E7" w:rsidRPr="00DA73E7" w:rsidRDefault="00DA73E7" w:rsidP="00DA73E7">
      <w:pPr>
        <w:spacing w:line="360" w:lineRule="auto"/>
        <w:ind w:firstLine="709"/>
        <w:contextualSpacing/>
        <w:jc w:val="both"/>
        <w:rPr>
          <w:rFonts w:ascii="Times New Roman" w:hAnsi="Times New Roman" w:cs="Times New Roman"/>
          <w:b/>
          <w:sz w:val="28"/>
          <w:szCs w:val="28"/>
          <w:lang w:val="uk-UA"/>
        </w:rPr>
      </w:pPr>
    </w:p>
    <w:p w14:paraId="301F37F1"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Поняття «потенціал» використовується в ряді природничих так гуманітарних галузей. Етимологічно воно запозичено з фізики, де ним позначається кількість енергії, накопиченої системою і такої, що може бути реалізованою в роботі. Наприклад, в академічному тлумачному словнику потенціал розуміється як «сукупність усіх наявних засобів, можливостей, продуктивних сил та ін., що можуть бути використані в якій-небудь галузі, ділянці, сфері». Часто під потенціалом розуміються запаси чого-небудь, приховані здатності, що можуть діяти за певних умов. У гуманітарних науках під потенціалом розуміється сукупність засобів і можливостей особи, групи, суспільства або навіть усього людства, що можуть бути використаними для вирішення конкретного завдання або комплексу завдань</w:t>
      </w:r>
      <w:r>
        <w:rPr>
          <w:rFonts w:ascii="Times New Roman" w:hAnsi="Times New Roman" w:cs="Times New Roman"/>
          <w:sz w:val="28"/>
          <w:szCs w:val="28"/>
          <w:lang w:val="uk-UA"/>
        </w:rPr>
        <w:t>.</w:t>
      </w:r>
    </w:p>
    <w:p w14:paraId="42BF5F59" w14:textId="49E0E34A" w:rsidR="00DA73E7" w:rsidRPr="00DA73E7" w:rsidRDefault="00DA73E7" w:rsidP="00DA73E7">
      <w:pPr>
        <w:spacing w:line="360" w:lineRule="auto"/>
        <w:ind w:firstLine="709"/>
        <w:contextualSpacing/>
        <w:jc w:val="both"/>
        <w:rPr>
          <w:rFonts w:ascii="Times New Roman" w:hAnsi="Times New Roman" w:cs="Times New Roman"/>
          <w:b/>
          <w:bCs/>
          <w:sz w:val="28"/>
          <w:szCs w:val="28"/>
          <w:lang w:val="uk-UA"/>
        </w:rPr>
      </w:pPr>
      <w:r w:rsidRPr="00DA73E7">
        <w:rPr>
          <w:rFonts w:ascii="Times New Roman" w:hAnsi="Times New Roman" w:cs="Times New Roman"/>
          <w:sz w:val="28"/>
          <w:szCs w:val="28"/>
          <w:lang w:val="uk-UA"/>
        </w:rPr>
        <w:t xml:space="preserve">Таким чином, соціальний потенціал тісно пов’язаний з цілепокладанням, плануванням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з одного боку, і шляхами, стратегічними способами досягнення цілей </w:t>
      </w:r>
      <w:r>
        <w:rPr>
          <w:rFonts w:ascii="Times New Roman" w:eastAsia="Calibri" w:hAnsi="Times New Roman" w:cs="Times New Roman"/>
          <w:sz w:val="28"/>
          <w:szCs w:val="28"/>
          <w:lang w:val="uk-UA"/>
        </w:rPr>
        <w:t xml:space="preserve">− </w:t>
      </w:r>
      <w:r w:rsidRPr="00DA73E7">
        <w:rPr>
          <w:rFonts w:ascii="Times New Roman" w:hAnsi="Times New Roman" w:cs="Times New Roman"/>
          <w:sz w:val="28"/>
          <w:szCs w:val="28"/>
          <w:lang w:val="uk-UA"/>
        </w:rPr>
        <w:t xml:space="preserve">з другого. </w:t>
      </w:r>
      <w:r w:rsidRPr="00DA73E7">
        <w:rPr>
          <w:rFonts w:ascii="Times New Roman" w:hAnsi="Times New Roman" w:cs="Times New Roman"/>
          <w:bCs/>
          <w:sz w:val="28"/>
          <w:szCs w:val="28"/>
          <w:lang w:val="uk-UA"/>
        </w:rPr>
        <w:t xml:space="preserve">Суб’єктом соціального потенціалу можуть виступати актори різного рівня </w:t>
      </w:r>
      <w:r>
        <w:rPr>
          <w:rFonts w:ascii="Times New Roman" w:eastAsia="Calibri" w:hAnsi="Times New Roman" w:cs="Times New Roman"/>
          <w:sz w:val="28"/>
          <w:szCs w:val="28"/>
          <w:lang w:val="uk-UA"/>
        </w:rPr>
        <w:t>−</w:t>
      </w:r>
      <w:r w:rsidRPr="00DA73E7">
        <w:rPr>
          <w:rFonts w:ascii="Times New Roman" w:hAnsi="Times New Roman" w:cs="Times New Roman"/>
          <w:bCs/>
          <w:sz w:val="28"/>
          <w:szCs w:val="28"/>
          <w:lang w:val="uk-UA"/>
        </w:rPr>
        <w:t xml:space="preserve"> від суспільства в цілому до окремого індивіда. Використання поняття соціального потенціалу стосовно особистості набуло поширення останнім часом</w:t>
      </w:r>
      <w:r>
        <w:rPr>
          <w:rFonts w:ascii="Times New Roman" w:hAnsi="Times New Roman" w:cs="Times New Roman"/>
          <w:bCs/>
          <w:sz w:val="28"/>
          <w:szCs w:val="28"/>
          <w:lang w:val="uk-UA"/>
        </w:rPr>
        <w:t>.</w:t>
      </w:r>
    </w:p>
    <w:p w14:paraId="42B9ACCD" w14:textId="5065B626"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У дописах потенціал описується за допомогою цілого ряду термінів: неактуалізовані можливості, задатки, здібності, потреби, ціннісні орієнтації, якості особистості, нахили, приховані структуровані ресурси, резерви, творчі імпульси, внутрішня енергія, продуктивні сили, потреби пізнання самого себе та інших. Крім цього, потенціал особистості пов’язується з процесами актуалізації, реалізації, розгортання, відтворення, розкриття, втілення, сходження до самого себе, прагнення «вийти за власні межі», самотворення, самовираження, самоствердження, самореалізації, розвитку (інтерактивного, рольового, соціокультурного), інтеріоризації</w:t>
      </w:r>
      <w:r>
        <w:rPr>
          <w:rFonts w:ascii="Times New Roman" w:hAnsi="Times New Roman" w:cs="Times New Roman"/>
          <w:sz w:val="28"/>
          <w:szCs w:val="28"/>
          <w:lang w:val="uk-UA"/>
        </w:rPr>
        <w:t>.</w:t>
      </w:r>
    </w:p>
    <w:p w14:paraId="67B95D90"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lastRenderedPageBreak/>
        <w:t>Поняття соціального потенціалу також тісно пов’язане з рядом суміжних понять. Деякі вчені вважають, що слід розводити поняття «соціальний потенціал» та «соціальний капітал». Інші</w:t>
      </w:r>
      <w:r w:rsidRPr="00DA73E7">
        <w:rPr>
          <w:rFonts w:ascii="Times New Roman" w:hAnsi="Times New Roman" w:cs="Times New Roman"/>
          <w:sz w:val="28"/>
          <w:szCs w:val="28"/>
        </w:rPr>
        <w:t xml:space="preserve">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що розмежування повинні стосуватися понять «людський потенціал» та «соціальний потенціал»</w:t>
      </w:r>
      <w:r>
        <w:rPr>
          <w:rFonts w:ascii="Times New Roman" w:hAnsi="Times New Roman" w:cs="Times New Roman"/>
          <w:sz w:val="28"/>
          <w:szCs w:val="28"/>
          <w:lang w:val="uk-UA"/>
        </w:rPr>
        <w:t>.</w:t>
      </w:r>
    </w:p>
    <w:p w14:paraId="68271BA6" w14:textId="3EF84544" w:rsidR="00DA73E7" w:rsidRPr="00DA73E7" w:rsidRDefault="00DA73E7" w:rsidP="00DA73E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І</w:t>
      </w:r>
      <w:r w:rsidRPr="00DA73E7">
        <w:rPr>
          <w:rFonts w:ascii="Times New Roman" w:hAnsi="Times New Roman" w:cs="Times New Roman"/>
          <w:sz w:val="28"/>
          <w:szCs w:val="28"/>
          <w:lang w:val="uk-UA"/>
        </w:rPr>
        <w:t xml:space="preserve">нші певні, що слід розмежовувати три основних поняття: «потенціал», «ресурс» та «капітал». На думку останніх, саме ці поняття є взаємопов’язаними: потенціал </w:t>
      </w:r>
      <w:r>
        <w:rPr>
          <w:rFonts w:ascii="Times New Roman" w:hAnsi="Times New Roman" w:cs="Times New Roman"/>
          <w:sz w:val="28"/>
          <w:szCs w:val="28"/>
          <w:lang w:val="uk-UA"/>
        </w:rPr>
        <w:t xml:space="preserve">− </w:t>
      </w:r>
      <w:r w:rsidRPr="00DA73E7">
        <w:rPr>
          <w:rFonts w:ascii="Times New Roman" w:hAnsi="Times New Roman" w:cs="Times New Roman"/>
          <w:sz w:val="28"/>
          <w:szCs w:val="28"/>
          <w:lang w:val="uk-UA"/>
        </w:rPr>
        <w:t xml:space="preserve"> можливість застосування наявних ресурсів, якими володіє соціальний актор, а капітал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затребувані в повсякденних практиках ресурси, що використовуються акторами для досягнення цілей і результатів соціальних практик. Відповідно до цього концептуального підходу ресурси можуть бути матеріальними (фінансовими, технічними), особистісними (рисами характеру, особистими якостями, рівнем освіти), соціальними (соціальними мережами, сімейним становищем), організаційними (належність до організацій), символічними (звання, авторитет, кредит довіри).</w:t>
      </w:r>
    </w:p>
    <w:p w14:paraId="3F5C8DB7" w14:textId="734E96B1"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З цього приводу частина дослідників вважає, що вищезазначені поняття мають багато схожого, проте їх розмежування теж вважає імовірним. Так, усі вони позначають «засіб» чи «можливість», якими можна скористатися. Проте мають місце й відмінності: капітал повинен бути відтворюваним та приносити певний прибуток, ресурс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може бути використаним чи залишеним «у запасі»</w:t>
      </w:r>
      <w:r>
        <w:rPr>
          <w:rFonts w:ascii="Times New Roman" w:hAnsi="Times New Roman" w:cs="Times New Roman"/>
          <w:sz w:val="28"/>
          <w:szCs w:val="28"/>
          <w:lang w:val="uk-UA"/>
        </w:rPr>
        <w:t>.</w:t>
      </w:r>
      <w:r w:rsidRPr="00DA73E7">
        <w:rPr>
          <w:rFonts w:ascii="Times New Roman" w:hAnsi="Times New Roman" w:cs="Times New Roman"/>
          <w:sz w:val="28"/>
          <w:szCs w:val="28"/>
          <w:lang w:val="uk-UA"/>
        </w:rPr>
        <w:t xml:space="preserve"> У цьому сенсі видається важливим звернути увагу на поняття «запас». На нашу думку, воно пов’язане з якісними характеристиками як потенціалу, так і ресурсів. Ресурси, в які може перейти потенціал, мають різне якісне наповнення: за сприятливих суспільних умов ресурси з гіршими якісними показниками можуть бути залишеними «в запасі». Тобто йдеться саме про «соціальний запас». В умовах кризи чи мобілізації для переходу на новий рівень суспільного розвитку виникає необхідність у залученні всіх наявних ресурсів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саме тоді використовується «соціальний запас».</w:t>
      </w:r>
    </w:p>
    <w:p w14:paraId="5CB57A39" w14:textId="4A78740E"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Своєю чергою, під потенціалом слід розуміти присвоєні ресурси, що можуть бути застосованими групою у своїх інтересах і застосовуються, опираючись на </w:t>
      </w:r>
      <w:r w:rsidRPr="00DA73E7">
        <w:rPr>
          <w:rFonts w:ascii="Times New Roman" w:hAnsi="Times New Roman" w:cs="Times New Roman"/>
          <w:sz w:val="28"/>
          <w:szCs w:val="28"/>
          <w:lang w:val="uk-UA"/>
        </w:rPr>
        <w:lastRenderedPageBreak/>
        <w:t>різні суб’єктивні чинники, зокрема, такі як традиції. При цьому потенціал соціальних груп за умов їх протистояння в боротьбі за ресурси, наявні в суспільстві, оцінюється за присвоєним групою ресурсом та можливістю і готовністю оволодіти додатковими ресурсами, використовувати і примножувати їх</w:t>
      </w:r>
      <w:r>
        <w:rPr>
          <w:rFonts w:ascii="Times New Roman" w:hAnsi="Times New Roman" w:cs="Times New Roman"/>
          <w:sz w:val="28"/>
          <w:szCs w:val="28"/>
          <w:lang w:val="uk-UA"/>
        </w:rPr>
        <w:t>.</w:t>
      </w:r>
    </w:p>
    <w:p w14:paraId="0BB1AAE2"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A73E7">
        <w:rPr>
          <w:rFonts w:ascii="Times New Roman" w:hAnsi="Times New Roman" w:cs="Times New Roman"/>
          <w:sz w:val="28"/>
          <w:szCs w:val="28"/>
          <w:lang w:val="uk-UA"/>
        </w:rPr>
        <w:t xml:space="preserve">оціальний потенціал є сукупною здатністю різних соціальних та суспільства в цілому груп створювати, сприймати, впроваджувати та поширювати інновації, що сприяють підвищенню ефективності економічного розвитку, а також організаційно-інституційні можливості здійснення інноваційних практик соціальних суб’єктів економічної діяльності. Розгляд соціального потенціалу проводить по лініях економічного та інноваційного розкитку суспільства. Крім того, вчена вважає, що складовими соціального потенціалу є соціально-політичний, соціально-економічний, соціокультурний, науковий, освітній та інституційний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тобто те, що здатне забезбечити економіко-інноваційний розвиток суспільства, виходячи з попереднього визначення соціального потенціалу</w:t>
      </w:r>
      <w:r>
        <w:rPr>
          <w:rFonts w:ascii="Times New Roman" w:hAnsi="Times New Roman" w:cs="Times New Roman"/>
          <w:sz w:val="28"/>
          <w:szCs w:val="28"/>
          <w:lang w:val="uk-UA"/>
        </w:rPr>
        <w:t>.</w:t>
      </w:r>
    </w:p>
    <w:p w14:paraId="391EC741" w14:textId="60DFFB1E"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Проте зауважимо, що такий розгляд випускає з поля зору рівень задоволеності та якості життя населення. Звернемо увагу, що серед жителів розвинених країн, наприклад, Японії, рівень суїцидів чи не найвищий у світі. Ймовірно, визначених площин розгляду замало.</w:t>
      </w:r>
    </w:p>
    <w:p w14:paraId="4CABBB0F"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В першу чергу слід з’ясувати чи існують відмінності між соціальним потенціалом та людським капіталом. Концепція людського капіталу передбачає, що людину слід розглядати в єдності економічного, соціального та індивідуального аспектів. Тобто людський капітал передбачає уже набуті, розвинені риси, що можуть бути корисними для розвитку соціальних систем. При цьому поняття включає три групи якостей, що характеризують людину в трудовій діяльності: фізичні, інтелектуальні та психологічні</w:t>
      </w:r>
      <w:r>
        <w:rPr>
          <w:rFonts w:ascii="Times New Roman" w:hAnsi="Times New Roman" w:cs="Times New Roman"/>
          <w:sz w:val="28"/>
          <w:szCs w:val="28"/>
          <w:lang w:val="uk-UA"/>
        </w:rPr>
        <w:t>.</w:t>
      </w:r>
    </w:p>
    <w:p w14:paraId="6CCEEDB0" w14:textId="3F9B6FFF"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Використання поняття «капітал» для визначення ролі людини в економічній системі суспільства вказує на необхідність інвестування в людину та її здібності, а також можливість отримання тривалого ефекту від таких вкладень. Наприклад, загальновизнано, що існує пряма залежність між розміром ВВП країни та рівнем </w:t>
      </w:r>
      <w:r w:rsidRPr="00DA73E7">
        <w:rPr>
          <w:rFonts w:ascii="Times New Roman" w:hAnsi="Times New Roman" w:cs="Times New Roman"/>
          <w:sz w:val="28"/>
          <w:szCs w:val="28"/>
          <w:lang w:val="uk-UA"/>
        </w:rPr>
        <w:lastRenderedPageBreak/>
        <w:t xml:space="preserve">освіти населення. У цьому контексті людський капітал передусім залежить від рівня інвестицій у ринок освітніх послуг. Він також дотримувався думки, що найбільш цінним капіталом </w:t>
      </w:r>
      <w:r w:rsidRPr="00DA73E7">
        <w:rPr>
          <w:rFonts w:ascii="Times New Roman" w:eastAsia="Calibri" w:hAnsi="Times New Roman" w:cs="Times New Roman"/>
          <w:sz w:val="28"/>
          <w:szCs w:val="28"/>
          <w:lang w:val="uk-UA"/>
        </w:rPr>
        <w:t>є</w:t>
      </w:r>
      <w:r w:rsidRPr="00DA73E7">
        <w:rPr>
          <w:rFonts w:ascii="Times New Roman" w:hAnsi="Times New Roman" w:cs="Times New Roman"/>
          <w:sz w:val="28"/>
          <w:szCs w:val="28"/>
          <w:lang w:val="uk-UA"/>
        </w:rPr>
        <w:t xml:space="preserve"> той, що вкладений у людські істоти</w:t>
      </w:r>
      <w:r>
        <w:rPr>
          <w:rFonts w:ascii="Times New Roman" w:hAnsi="Times New Roman" w:cs="Times New Roman"/>
          <w:sz w:val="28"/>
          <w:szCs w:val="28"/>
          <w:lang w:val="uk-UA"/>
        </w:rPr>
        <w:t>.</w:t>
      </w:r>
    </w:p>
    <w:p w14:paraId="59817A6A" w14:textId="0B3C59C0"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Схожим є поняття і людського потенціалу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рис, що за певних умов можуть бути «розкритими», розвиненими. Деякі дослідники вважають, що його центральним компонентом є потенціал духовного розвитку людей</w:t>
      </w:r>
      <w:r>
        <w:rPr>
          <w:rFonts w:ascii="Times New Roman" w:hAnsi="Times New Roman" w:cs="Times New Roman"/>
          <w:sz w:val="28"/>
          <w:szCs w:val="28"/>
          <w:lang w:val="uk-UA"/>
        </w:rPr>
        <w:t xml:space="preserve">. </w:t>
      </w:r>
      <w:r w:rsidRPr="00DA73E7">
        <w:rPr>
          <w:rFonts w:ascii="Times New Roman" w:hAnsi="Times New Roman" w:cs="Times New Roman"/>
          <w:sz w:val="28"/>
          <w:szCs w:val="28"/>
          <w:lang w:val="uk-UA"/>
        </w:rPr>
        <w:t>Тобто людський потенціал включає набуті населенням знання, кваліфікацію, здоров’я, енергію і мотивацію, що можуть бути використані для виробництва матеріальних та духовних благ, вільного розвитку та самореалізації самих індивідів. Кількісні і якісні параметри такого потенціалу іманентно «закладені» у розвитку освіти, науки, культури, охорони здоров’я, спорту, житлово-комунальної сфери тощо, однак стають соціальним капіталом, по-перше, у результаті взаємодії акторів різного рівня, по-друге, за конкретних соціальних умов.</w:t>
      </w:r>
    </w:p>
    <w:p w14:paraId="5742098D" w14:textId="5B10EA1D"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А от соціальний потенціал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це вже сукупність можливостей людини і суспільства, яка може бути використана для досягнення індивідуальних та суспільних цілей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як інструментальних, пов’язаних із забезпеченням необхідних умов життєдіяльності, так і мотиваційних, що включають розширення самих потенцій людини та можливостей її самореалізації. Його необхідну передумову становить демографічний потенціал, зумовлений чисельністю і віково-статевим складом населення. Багатовимірність соціального потенціалу зумовлюється якісними характеристиками людей; станом їх соматичного та психічного здоров’я; соціальних спонук; розвитку матеріальних і духовних потреб; можливостей їх задоволення у трудовій та інших видах діяльності; соціокультурної вмотивованості поведінки та ін.</w:t>
      </w:r>
    </w:p>
    <w:p w14:paraId="571A5D06"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На основі теоретичних розвідок він визначив, що не слід зводити «потенціал» до сукупності можливостей </w:t>
      </w:r>
      <w:r>
        <w:rPr>
          <w:rFonts w:ascii="Times New Roman" w:hAnsi="Times New Roman" w:cs="Times New Roman"/>
          <w:sz w:val="28"/>
          <w:szCs w:val="28"/>
          <w:lang w:val="uk-UA"/>
        </w:rPr>
        <w:t>−</w:t>
      </w:r>
      <w:r w:rsidRPr="00DA73E7">
        <w:rPr>
          <w:rFonts w:ascii="Times New Roman" w:hAnsi="Times New Roman" w:cs="Times New Roman"/>
          <w:sz w:val="28"/>
          <w:szCs w:val="28"/>
          <w:lang w:val="uk-UA"/>
        </w:rPr>
        <w:t xml:space="preserve"> адже не всі можливості, що відкрилися перед системою, можуть бути охарактеризованими як потенціал. При цьому соціальний потенціал дослідник відносить до системоутворюючих елементів життєдіяльності суспільства та інтерпретує його як систему відносин, що не обмежуються </w:t>
      </w:r>
      <w:r w:rsidRPr="00DA73E7">
        <w:rPr>
          <w:rFonts w:ascii="Times New Roman" w:hAnsi="Times New Roman" w:cs="Times New Roman"/>
          <w:sz w:val="28"/>
          <w:szCs w:val="28"/>
          <w:lang w:val="uk-UA"/>
        </w:rPr>
        <w:lastRenderedPageBreak/>
        <w:t>економічними, політичними, правовими, психологічними чинниками і забезпечують формування нових стимулів соціального розвитку, забезпечують формування нових видів соціальної взаємодії</w:t>
      </w:r>
      <w:r>
        <w:rPr>
          <w:rFonts w:ascii="Times New Roman" w:hAnsi="Times New Roman" w:cs="Times New Roman"/>
          <w:sz w:val="28"/>
          <w:szCs w:val="28"/>
          <w:lang w:val="uk-UA"/>
        </w:rPr>
        <w:t>.</w:t>
      </w:r>
    </w:p>
    <w:p w14:paraId="149D7298" w14:textId="77777777" w:rsidR="00DA73E7" w:rsidRDefault="00DA73E7" w:rsidP="00DA73E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A73E7">
        <w:rPr>
          <w:rFonts w:ascii="Times New Roman" w:hAnsi="Times New Roman" w:cs="Times New Roman"/>
          <w:sz w:val="28"/>
          <w:szCs w:val="28"/>
          <w:lang w:val="uk-UA"/>
        </w:rPr>
        <w:t>ід соціальним потенціалом розуміє</w:t>
      </w:r>
      <w:r>
        <w:rPr>
          <w:rFonts w:ascii="Times New Roman" w:hAnsi="Times New Roman" w:cs="Times New Roman"/>
          <w:sz w:val="28"/>
          <w:szCs w:val="28"/>
          <w:lang w:val="uk-UA"/>
        </w:rPr>
        <w:t>ться</w:t>
      </w:r>
      <w:r w:rsidRPr="00DA73E7">
        <w:rPr>
          <w:rFonts w:ascii="Times New Roman" w:hAnsi="Times New Roman" w:cs="Times New Roman"/>
          <w:sz w:val="28"/>
          <w:szCs w:val="28"/>
          <w:lang w:val="uk-UA"/>
        </w:rPr>
        <w:t xml:space="preserve"> «наявність у визначеного об’єкта можливостей як наявних, так і прихованих, що формуються в процесі спільної діяльності між окремими індивідами чи групами індивідів та є результатом суспільних відносин, що за конкретних умов виражають ставлення індивідів один до одного, до свого становища в суспільстві, до явищ і процесів суспільного життя, та реалізуються за відповідних умов, а також здатностей діяти у відповідних сферах з метою отримання бажаного результату</w:t>
      </w:r>
      <w:r>
        <w:rPr>
          <w:rFonts w:ascii="Times New Roman" w:hAnsi="Times New Roman" w:cs="Times New Roman"/>
          <w:sz w:val="28"/>
          <w:szCs w:val="28"/>
          <w:lang w:val="uk-UA"/>
        </w:rPr>
        <w:t>.</w:t>
      </w:r>
    </w:p>
    <w:p w14:paraId="1B754649" w14:textId="7741FD58"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 Зауважимо, що такий суто функціональний підхід не дає повного уявлення про структуру соціального потенціалу, закономірності та механізми його реалізації. Активний аспект соціального потенціалу визначається ними як рівень соціального капіталу, що поділяється на:</w:t>
      </w:r>
    </w:p>
    <w:p w14:paraId="7D160CBF" w14:textId="1790BD51"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репродуктивний (позитивна соціальна робота щодо відтворення соціального капіталу);</w:t>
      </w:r>
    </w:p>
    <w:p w14:paraId="51F3FE5C" w14:textId="26BB9C87"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продуктивний (позитивна соціальна робота, що дає приріст соціального потенціалу);</w:t>
      </w:r>
    </w:p>
    <w:p w14:paraId="1871FCBF" w14:textId="0670A131"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деструктивний (негативна соціальна робота, що здійснюється девіативними структурами та окремими індивідами)</w:t>
      </w:r>
      <w:r w:rsidR="00DA73E7">
        <w:rPr>
          <w:rFonts w:ascii="Times New Roman" w:hAnsi="Times New Roman" w:cs="Times New Roman"/>
          <w:sz w:val="28"/>
          <w:szCs w:val="28"/>
          <w:lang w:val="uk-UA"/>
        </w:rPr>
        <w:t>.</w:t>
      </w:r>
    </w:p>
    <w:p w14:paraId="67F9DF63" w14:textId="3B5C7E66"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Можна сказати, що соціальний потенціал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це сукупність характеристик співдіючих суб’єктів, що за певних умов, будучи актуалізованими, можуть стати ресурсом різнобічного, насамперед соціоекономічного, розвитку суспільства. Причому цей ресурс стосується і внутрішнього розвитку, тобто саморозвитку групи-носія потенціалу, і зовнішнього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розвитку за рахунок потенціалу одного суб’єкта інших соціальних груп</w:t>
      </w:r>
      <w:r>
        <w:rPr>
          <w:rFonts w:ascii="Times New Roman" w:hAnsi="Times New Roman" w:cs="Times New Roman"/>
          <w:sz w:val="28"/>
          <w:szCs w:val="28"/>
          <w:lang w:val="uk-UA"/>
        </w:rPr>
        <w:t>.</w:t>
      </w:r>
    </w:p>
    <w:p w14:paraId="77FBB50C" w14:textId="5DAF3DB4"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Рухаючись далі, слід зазначити, що ряд вчених вважає, що існує два якісних стани потенціалу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актуалізований та потенційний. Актуалізований забезпечується наявними ресурсами </w:t>
      </w:r>
      <w:r>
        <w:rPr>
          <w:rFonts w:ascii="Times New Roman" w:eastAsia="Calibri" w:hAnsi="Times New Roman" w:cs="Times New Roman"/>
          <w:sz w:val="28"/>
          <w:szCs w:val="28"/>
          <w:lang w:val="uk-UA"/>
        </w:rPr>
        <w:t>−</w:t>
      </w:r>
      <w:r w:rsidRPr="00DA73E7">
        <w:rPr>
          <w:rFonts w:ascii="Times New Roman" w:eastAsia="Calibri" w:hAnsi="Times New Roman" w:cs="Times New Roman"/>
          <w:sz w:val="28"/>
          <w:szCs w:val="28"/>
          <w:lang w:val="uk-UA"/>
        </w:rPr>
        <w:t xml:space="preserve"> </w:t>
      </w:r>
      <w:r w:rsidRPr="00DA73E7">
        <w:rPr>
          <w:rFonts w:ascii="Times New Roman" w:hAnsi="Times New Roman" w:cs="Times New Roman"/>
          <w:sz w:val="28"/>
          <w:szCs w:val="28"/>
          <w:lang w:val="uk-UA"/>
        </w:rPr>
        <w:t xml:space="preserve">це реалізовані здібності, знання, уміння, навички, набуті в </w:t>
      </w:r>
      <w:r w:rsidRPr="00DA73E7">
        <w:rPr>
          <w:rFonts w:ascii="Times New Roman" w:hAnsi="Times New Roman" w:cs="Times New Roman"/>
          <w:sz w:val="28"/>
          <w:szCs w:val="28"/>
          <w:lang w:val="uk-UA"/>
        </w:rPr>
        <w:lastRenderedPageBreak/>
        <w:t xml:space="preserve">процесі життєдіяльності, пов’язані з життєвим досвідом. Потенційний стан включає в себе потенційні ресурси </w:t>
      </w:r>
      <w:r>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нереалізовані здібності (задатки), сукупність цінностей, продуктів мисленнєвої діяльності, ментальних і поведінкових стратегій, внутрішніх станів, настанов, які можуть бути використані для досягнення певної мети</w:t>
      </w:r>
      <w:r>
        <w:rPr>
          <w:rFonts w:ascii="Times New Roman" w:hAnsi="Times New Roman" w:cs="Times New Roman"/>
          <w:sz w:val="28"/>
          <w:szCs w:val="28"/>
          <w:lang w:val="uk-UA"/>
        </w:rPr>
        <w:t xml:space="preserve">. </w:t>
      </w:r>
      <w:r w:rsidRPr="00DA73E7">
        <w:rPr>
          <w:rFonts w:ascii="Times New Roman" w:hAnsi="Times New Roman" w:cs="Times New Roman"/>
          <w:sz w:val="28"/>
          <w:szCs w:val="28"/>
          <w:lang w:val="uk-UA"/>
        </w:rPr>
        <w:t>Залежно від рівня (масштабу) функціонування виділяють також такі різновиди соціального потенціалу:</w:t>
      </w:r>
    </w:p>
    <w:p w14:paraId="0E5D96A2" w14:textId="29E4867B"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індивідуальний </w:t>
      </w:r>
      <w:r w:rsidR="00DA73E7">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можливості особистості задовольняти власні потреби та досягати цілей;</w:t>
      </w:r>
    </w:p>
    <w:p w14:paraId="37686F56" w14:textId="3F07E092"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груповий </w:t>
      </w:r>
      <w:r w:rsidR="00DA73E7">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можливості групи діяти і досягати спільної мети, задовольняти індивідуальні та колективні потреби;</w:t>
      </w:r>
    </w:p>
    <w:p w14:paraId="3C840FB5" w14:textId="0978D820" w:rsidR="00DA73E7" w:rsidRPr="00DA73E7" w:rsidRDefault="002A71B9" w:rsidP="002A71B9">
      <w:pPr>
        <w:tabs>
          <w:tab w:val="left" w:pos="1134"/>
        </w:tabs>
        <w:spacing w:after="0" w:line="360" w:lineRule="auto"/>
        <w:ind w:left="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A73E7" w:rsidRPr="00DA73E7">
        <w:rPr>
          <w:rFonts w:ascii="Times New Roman" w:hAnsi="Times New Roman" w:cs="Times New Roman"/>
          <w:sz w:val="28"/>
          <w:szCs w:val="28"/>
          <w:lang w:val="uk-UA"/>
        </w:rPr>
        <w:t xml:space="preserve">потенціал суспільства </w:t>
      </w:r>
      <w:r w:rsidR="00DA73E7">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можливості, що випливають з наявних ресурсів і визначають соціальну активність населення і рівень його соціальної захищеності, спроможність за умов конкретної ситуативної конфігурації чинників забезпечувати найсприятливіші умови життєдіяльності</w:t>
      </w:r>
      <w:r w:rsidR="00DA73E7">
        <w:rPr>
          <w:rFonts w:ascii="Times New Roman" w:hAnsi="Times New Roman" w:cs="Times New Roman"/>
          <w:sz w:val="28"/>
          <w:szCs w:val="28"/>
          <w:lang w:val="uk-UA"/>
        </w:rPr>
        <w:t>.</w:t>
      </w:r>
    </w:p>
    <w:p w14:paraId="315B67F3" w14:textId="77777777"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Про індивідуальний рівень соціального потенціалу вже йшлося, а от на рівні групи соціальний потенціал включає людський потенціал (сукупність здібностей і можливостей даної спільноти, рівень розвитку і реалізації яких підвищує продуктивність функціонування суспільства), репродуктивний потенціал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здатність до відтворення, комунікативний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здатність налагоджувати зв’язки і обмінюватися інформацією між суб’єктами відносин; організаційний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можливості до ведення спільної діяльності; цілепокладаючий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визначення цілей надіндивідуального суб’єкта і підтримання режиму їх ефективного досягнення.</w:t>
      </w:r>
    </w:p>
    <w:p w14:paraId="1AAF9CE9" w14:textId="77777777"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Соціальний потенціал суспільства включає демографічний потенціал, соціально-інфраструктурний, потенціал зайнятості, потенціал соціальної політики; інтелектуальний потенціал; культурний потенціал; освітній потенціал; потенціал охорони здоров’я. Реалізуючись у діяльності соціальних інститутів, суспільні можливості, що криються у кожному з цих різновидів соціального потенціалу, забезпечують відповідний рівень активності, продуктивності, адекватної </w:t>
      </w:r>
      <w:r w:rsidRPr="00DA73E7">
        <w:rPr>
          <w:rFonts w:ascii="Times New Roman" w:hAnsi="Times New Roman" w:cs="Times New Roman"/>
          <w:sz w:val="28"/>
          <w:szCs w:val="28"/>
          <w:lang w:val="uk-UA"/>
        </w:rPr>
        <w:lastRenderedPageBreak/>
        <w:t>адаптованості й соціальної безпеки населення, що формуються в процесі регуляції і саморегуляції соціальних відносин.</w:t>
      </w:r>
    </w:p>
    <w:p w14:paraId="5E2362FF" w14:textId="228040D0" w:rsidR="00DA73E7" w:rsidRPr="00DA73E7" w:rsidRDefault="00DA73E7" w:rsidP="00DA73E7">
      <w:pPr>
        <w:spacing w:line="360" w:lineRule="auto"/>
        <w:ind w:firstLine="709"/>
        <w:contextualSpacing/>
        <w:jc w:val="both"/>
        <w:rPr>
          <w:rFonts w:ascii="Times New Roman" w:hAnsi="Times New Roman" w:cs="Times New Roman"/>
          <w:sz w:val="28"/>
          <w:szCs w:val="28"/>
        </w:rPr>
      </w:pPr>
      <w:r w:rsidRPr="00DA73E7">
        <w:rPr>
          <w:rFonts w:ascii="Times New Roman" w:hAnsi="Times New Roman" w:cs="Times New Roman"/>
          <w:sz w:val="28"/>
          <w:szCs w:val="28"/>
          <w:lang w:val="uk-UA"/>
        </w:rPr>
        <w:t xml:space="preserve">Розглянемо докладніше кожну складову соціального потенціалу суспільства. Демографічний потенціал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це можливості щодо фізичного та механічного відтворення населення й оптимізації його соціальної структури. Фертильний потенціал характеризує готовність населення регіону до сімейного життя та виховання дітей. Соціально-інфраструктурний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можливості певних сфер і видів діяльності, які сприяють комплексному відтворенню людини в процесі реалізації її особистих і суспільних потреб за допомогою надання послуг соціального характеру, включаючи гарантії їх доступності. Потенціал зайнятості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можливості щодо забезпечення населення робочими місцями на умовах забезпечення ефективної зайнятості. Потенціал соціальної політики відображає можливості налагодження соціальних зв’язків, а також можливості соціального захисту та надання соціальних гарантій для населення. Так само інтелектуальний потенціал</w:t>
      </w:r>
      <w:r w:rsidRPr="00DA73E7">
        <w:rPr>
          <w:rFonts w:ascii="Times New Roman" w:hAnsi="Times New Roman" w:cs="Times New Roman"/>
          <w:sz w:val="28"/>
          <w:szCs w:val="28"/>
        </w:rPr>
        <w:t xml:space="preserve"> </w:t>
      </w:r>
      <w:r w:rsidRPr="00DA73E7">
        <w:rPr>
          <w:rFonts w:ascii="Times New Roman" w:hAnsi="Times New Roman" w:cs="Times New Roman"/>
          <w:sz w:val="28"/>
          <w:szCs w:val="28"/>
          <w:lang w:val="uk-UA"/>
        </w:rPr>
        <w:t xml:space="preserve">і культурний потенціал; освітній потенціал і потенціал охорони здоров’я характеризують, з одного боку, стан розвитку відповідних сфер діяльності, з другого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ступінь використання накопичених можливостей. </w:t>
      </w:r>
    </w:p>
    <w:p w14:paraId="0E99AE00" w14:textId="77777777"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З погляду людинотворчого аспекту реалізація соціального потенціалу суспільства має забезпечити зростання соціально-демографічних показників (народжуваності населення, середньої тривалості життя; зменшення рівня смертності, включаючи смертність немовлят; позитивне міграційне сальдо); показників сімейного благополуччя (зменшення кількості абортів, розлучень, неблагополучних сімей і дітей, які виховуються в таких сім’ях, а також дітей-сиріт); освітніх (покращення якості й доступності освітніх, культурних, транспортних, комунальних та інших видів соціальних послуг); соціально-економічних (покращення якісних і кількісних показників рівня розвитку соціальної інфраструктури; зростання показників зайнятості населення та рівня середньої заробітної плати); соціально-політичних (покращення рівня соціальної захищеності населення; зниження рівня соціального напруження; зростання рівня </w:t>
      </w:r>
      <w:r w:rsidRPr="00DA73E7">
        <w:rPr>
          <w:rFonts w:ascii="Times New Roman" w:hAnsi="Times New Roman" w:cs="Times New Roman"/>
          <w:sz w:val="28"/>
          <w:szCs w:val="28"/>
          <w:lang w:val="uk-UA"/>
        </w:rPr>
        <w:lastRenderedPageBreak/>
        <w:t xml:space="preserve">довіри населення до місцевої влади) показників. На рівні суспільства в цілому, соціальний потенціал пов’язується з такими векторами суспільного розвитку як: </w:t>
      </w:r>
    </w:p>
    <w:p w14:paraId="38B4F5EA" w14:textId="0657AE49" w:rsidR="00DA73E7" w:rsidRPr="00DA73E7" w:rsidRDefault="002A71B9" w:rsidP="00DA73E7">
      <w:pPr>
        <w:spacing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можливість розвитку (пов’язана з активністю як інтелектуальною, так і діяльнісно-практичною). Можливість розвитку забезпечується, на нашу думку, такими компонентами:</w:t>
      </w:r>
    </w:p>
    <w:p w14:paraId="114AE987" w14:textId="7F9EC268" w:rsidR="00DA73E7" w:rsidRPr="00DA73E7" w:rsidRDefault="00DA73E7" w:rsidP="00DA73E7">
      <w:pPr>
        <w:spacing w:line="360" w:lineRule="auto"/>
        <w:ind w:left="709"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1) інструментальний </w:t>
      </w:r>
      <w:r w:rsidR="002A71B9">
        <w:rPr>
          <w:rFonts w:ascii="Times New Roman" w:hAnsi="Times New Roman" w:cs="Times New Roman"/>
          <w:sz w:val="28"/>
          <w:szCs w:val="28"/>
          <w:lang w:val="uk-UA"/>
        </w:rPr>
        <w:t>−</w:t>
      </w:r>
      <w:r w:rsidRPr="00DA73E7">
        <w:rPr>
          <w:rFonts w:ascii="Times New Roman" w:hAnsi="Times New Roman" w:cs="Times New Roman"/>
          <w:sz w:val="28"/>
          <w:szCs w:val="28"/>
          <w:lang w:val="uk-UA"/>
        </w:rPr>
        <w:t xml:space="preserve"> наявність засобів розвитку (ресурсів, фінансування, енергії);</w:t>
      </w:r>
    </w:p>
    <w:p w14:paraId="01ED9984" w14:textId="578D9F92" w:rsidR="00DA73E7" w:rsidRPr="00DA73E7" w:rsidRDefault="00DA73E7" w:rsidP="00DA73E7">
      <w:pPr>
        <w:spacing w:line="360" w:lineRule="auto"/>
        <w:ind w:left="709"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2) спроможність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рівень перешкод нижчий за нездоланний за даних умов;</w:t>
      </w:r>
    </w:p>
    <w:p w14:paraId="13271CA5" w14:textId="0EE570EB" w:rsidR="00DA73E7" w:rsidRPr="00DA73E7" w:rsidRDefault="002A71B9" w:rsidP="00DA73E7">
      <w:pPr>
        <w:spacing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гарантія безпеки на шляху розвитку. Це важливе положення, що характеризує форми, заходи і спрямованість соціального контролю та стає запорукою того, що зовнішні чи внутрішні перепони не змусять змінити вектор розвитку; цей розвиток набуватиме не короткотермінових, а довготривалих, стратегічних рис. Так, різновекторність розвитку часом стає причиною «топтання на місці», тож іноді менш оптимальний, проте систематичний односпрямований рух у певному напрямі в остаточному підсумку може виявитися більш продуктивним.</w:t>
      </w:r>
    </w:p>
    <w:p w14:paraId="5E82A88E" w14:textId="1F74BB47"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Соціальний потенціал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це місток між соціальними ресурсами, використання яких є можливим (досяжним) для актора, з одного боку, і наміченою лінією розвитку з існуючого у майбутній стан </w:t>
      </w:r>
      <w:r w:rsidR="002A71B9">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з другого. З погляду суспільства формування соціального потенціалу передбачає: </w:t>
      </w:r>
    </w:p>
    <w:p w14:paraId="55892C6C" w14:textId="5C416297"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проведення ефективної організаційної політики; </w:t>
      </w:r>
    </w:p>
    <w:p w14:paraId="0A7A071A" w14:textId="03FF47D1"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проведення ефективної соціальної політики; </w:t>
      </w:r>
    </w:p>
    <w:p w14:paraId="066F1816" w14:textId="7372DC3D"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зростання обсягу соціальних інвестицій; </w:t>
      </w:r>
    </w:p>
    <w:p w14:paraId="6EFBBAD6" w14:textId="1877FCA9"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вдосконалення соціальних стандартів і контроль за їх дотриманням; </w:t>
      </w:r>
    </w:p>
    <w:p w14:paraId="4A3BA272" w14:textId="30D41AEB" w:rsidR="00DA73E7" w:rsidRPr="002A71B9" w:rsidRDefault="002A71B9" w:rsidP="002A71B9">
      <w:pPr>
        <w:tabs>
          <w:tab w:val="left" w:pos="1134"/>
        </w:tabs>
        <w:spacing w:after="0"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2A71B9">
        <w:rPr>
          <w:rFonts w:ascii="Times New Roman" w:hAnsi="Times New Roman" w:cs="Times New Roman"/>
          <w:sz w:val="28"/>
          <w:szCs w:val="28"/>
          <w:lang w:val="uk-UA"/>
        </w:rPr>
        <w:t xml:space="preserve">створення сприятливих умов для формування соціальних мереж; </w:t>
      </w:r>
    </w:p>
    <w:p w14:paraId="6CD3CF3F" w14:textId="567D8668" w:rsidR="00DA73E7" w:rsidRPr="00DA73E7" w:rsidRDefault="002A71B9" w:rsidP="002A71B9">
      <w:pPr>
        <w:tabs>
          <w:tab w:val="left" w:pos="1134"/>
        </w:tabs>
        <w:spacing w:after="0" w:line="360" w:lineRule="auto"/>
        <w:ind w:left="106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нарощування потенціалу</w:t>
      </w:r>
      <w:r w:rsidR="00DA73E7">
        <w:rPr>
          <w:rFonts w:ascii="Times New Roman" w:hAnsi="Times New Roman" w:cs="Times New Roman"/>
          <w:sz w:val="28"/>
          <w:szCs w:val="28"/>
          <w:lang w:val="uk-UA"/>
        </w:rPr>
        <w:t>.</w:t>
      </w:r>
    </w:p>
    <w:p w14:paraId="14C289F1" w14:textId="7B3F28A1"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З погляду актора соціальний потенціал є тим, що в психології отримало назву «соціальної ситуації розвитку»; тими векторами, згідно з якими в тому чи тому </w:t>
      </w:r>
      <w:r w:rsidRPr="00DA73E7">
        <w:rPr>
          <w:rFonts w:ascii="Times New Roman" w:hAnsi="Times New Roman" w:cs="Times New Roman"/>
          <w:sz w:val="28"/>
          <w:szCs w:val="28"/>
          <w:lang w:val="uk-UA"/>
        </w:rPr>
        <w:lastRenderedPageBreak/>
        <w:t>напрямі здатен змінюватись суб’єкт (носій) потенціалу. На перетині векторів прояву соціального потенціалу утворюються його функції, які діють «в обох напрямах», водночас формуючи їх нерозривну єдність:</w:t>
      </w:r>
    </w:p>
    <w:p w14:paraId="0632A551" w14:textId="49E4CC7F"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підвищення продуктивності діяльності соціальних суб’єктів;</w:t>
      </w:r>
    </w:p>
    <w:p w14:paraId="5FFCC1D5" w14:textId="6985FB20"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покращення психологічного клімату;</w:t>
      </w:r>
    </w:p>
    <w:p w14:paraId="7EA4E510" w14:textId="53FFF668"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підвищення конкурентоспроможності;</w:t>
      </w:r>
    </w:p>
    <w:p w14:paraId="16F48B1B" w14:textId="1D9CD052"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підвищення рівня суспільної репутації;</w:t>
      </w:r>
    </w:p>
    <w:p w14:paraId="3E893AB0" w14:textId="23F099C8"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встановлення і покращення рівня відносин між різними соціальними суб’єктами;</w:t>
      </w:r>
    </w:p>
    <w:p w14:paraId="319D4E66" w14:textId="604845C7"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зміцнення рівня соціальної захищеності соціальних суб’єктів.</w:t>
      </w:r>
    </w:p>
    <w:p w14:paraId="7AD57E6F" w14:textId="7DB1A6EF"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sidRPr="00DA73E7">
        <w:rPr>
          <w:rFonts w:ascii="Times New Roman" w:hAnsi="Times New Roman" w:cs="Times New Roman"/>
          <w:sz w:val="28"/>
          <w:szCs w:val="28"/>
          <w:lang w:val="uk-UA"/>
        </w:rPr>
        <w:t xml:space="preserve">Формування соціального потенціалу суспільства передбачає в повному обсязі, тільки в ширшому масштабі, коло всіх стратегій і напрямів дії соціального суб’єкта. </w:t>
      </w:r>
      <w:r>
        <w:rPr>
          <w:rFonts w:ascii="Times New Roman" w:hAnsi="Times New Roman" w:cs="Times New Roman"/>
          <w:sz w:val="28"/>
          <w:szCs w:val="28"/>
          <w:lang w:val="uk-UA"/>
        </w:rPr>
        <w:t>Н</w:t>
      </w:r>
      <w:r w:rsidRPr="00DA73E7">
        <w:rPr>
          <w:rFonts w:ascii="Times New Roman" w:hAnsi="Times New Roman" w:cs="Times New Roman"/>
          <w:sz w:val="28"/>
          <w:szCs w:val="28"/>
          <w:lang w:val="uk-UA"/>
        </w:rPr>
        <w:t>а основі системного аналізу існуючого наукового доробку виділяє</w:t>
      </w:r>
      <w:r>
        <w:rPr>
          <w:rFonts w:ascii="Times New Roman" w:hAnsi="Times New Roman" w:cs="Times New Roman"/>
          <w:sz w:val="28"/>
          <w:szCs w:val="28"/>
          <w:lang w:val="uk-UA"/>
        </w:rPr>
        <w:t>ться</w:t>
      </w:r>
      <w:r w:rsidRPr="00DA73E7">
        <w:rPr>
          <w:rFonts w:ascii="Times New Roman" w:hAnsi="Times New Roman" w:cs="Times New Roman"/>
          <w:sz w:val="28"/>
          <w:szCs w:val="28"/>
          <w:lang w:val="uk-UA"/>
        </w:rPr>
        <w:t xml:space="preserve"> три групи підходів до розгляду потенціалу </w:t>
      </w:r>
      <w:r w:rsidRPr="00DA73E7">
        <w:rPr>
          <w:rFonts w:ascii="Times New Roman" w:eastAsia="Calibri" w:hAnsi="Times New Roman" w:cs="Times New Roman"/>
          <w:sz w:val="28"/>
          <w:szCs w:val="28"/>
          <w:lang w:val="uk-UA"/>
        </w:rPr>
        <w:t>—</w:t>
      </w:r>
      <w:r w:rsidRPr="00DA73E7">
        <w:rPr>
          <w:rFonts w:ascii="Times New Roman" w:hAnsi="Times New Roman" w:cs="Times New Roman"/>
          <w:sz w:val="28"/>
          <w:szCs w:val="28"/>
          <w:lang w:val="uk-UA"/>
        </w:rPr>
        <w:t xml:space="preserve"> ресурсний, де основою потенціалу виступають ресурси; факторний, де реалізація потенціалу розглядається як можлива лише за певних умов (чинників), і цільовий, де реалізація потенціалу розглядається як така, що спрямована на досягнення певних завдань. Іноді також виділяється соціально-спрямований (трудовий, або людський) потенціал</w:t>
      </w:r>
      <w:r>
        <w:rPr>
          <w:rFonts w:ascii="Times New Roman" w:hAnsi="Times New Roman" w:cs="Times New Roman"/>
          <w:sz w:val="28"/>
          <w:szCs w:val="28"/>
          <w:lang w:val="uk-UA"/>
        </w:rPr>
        <w:t>.</w:t>
      </w:r>
    </w:p>
    <w:p w14:paraId="6B60714A" w14:textId="6951705F" w:rsidR="00DA73E7" w:rsidRPr="00DA73E7" w:rsidRDefault="00DA73E7" w:rsidP="00DA73E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A73E7">
        <w:rPr>
          <w:rFonts w:ascii="Times New Roman" w:hAnsi="Times New Roman" w:cs="Times New Roman"/>
          <w:sz w:val="28"/>
          <w:szCs w:val="28"/>
          <w:lang w:val="uk-UA"/>
        </w:rPr>
        <w:t>оціальний потенціал складається з таких компонентів:</w:t>
      </w:r>
    </w:p>
    <w:p w14:paraId="6DE72595" w14:textId="4FA9BF01" w:rsidR="00DA73E7" w:rsidRPr="00DA73E7" w:rsidRDefault="002A71B9" w:rsidP="002A71B9">
      <w:pPr>
        <w:tabs>
          <w:tab w:val="left" w:pos="993"/>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 кваліфікаційно-освітній (сюди входять освіта, рівень професійної підготовки та досвід управління). Тобто це наявний у групи людський капітал та можливість і готовність його використовувати і примножувати;</w:t>
      </w:r>
    </w:p>
    <w:p w14:paraId="5799AF27" w14:textId="3E116FCA"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психофізіологічний та особистісний (стан здоров’я, працездатність, ціннісні орієнтації і мотивація);</w:t>
      </w:r>
    </w:p>
    <w:p w14:paraId="3DE145E8" w14:textId="3DFA7DD6"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соціокультурний потенціал (учений ототожнює його з культурним капіталом), тобто надбаннями в формі знань, ідей, символів, моделей поведінки, готовності до освоєння існуючих і формування нових символів та моделей поведінки;</w:t>
      </w:r>
    </w:p>
    <w:p w14:paraId="0643ADDA" w14:textId="4DBA5255" w:rsidR="00DA73E7" w:rsidRP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DA73E7" w:rsidRPr="00DA73E7">
        <w:rPr>
          <w:rFonts w:ascii="Times New Roman" w:hAnsi="Times New Roman" w:cs="Times New Roman"/>
          <w:sz w:val="28"/>
          <w:szCs w:val="28"/>
          <w:lang w:val="uk-UA"/>
        </w:rPr>
        <w:t xml:space="preserve">власницький потенціал </w:t>
      </w:r>
      <w:r w:rsidR="00DA73E7" w:rsidRPr="00DA73E7">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широта охоплення і характер володіння різними формами власності, у тому числі інтелектуальною та фізичною силою, готовність її захищати та примножувати;</w:t>
      </w:r>
    </w:p>
    <w:p w14:paraId="6D712C21" w14:textId="7FF56DAD" w:rsidR="00DA73E7"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A73E7" w:rsidRPr="00DA73E7">
        <w:rPr>
          <w:rFonts w:ascii="Times New Roman" w:hAnsi="Times New Roman" w:cs="Times New Roman"/>
          <w:sz w:val="28"/>
          <w:szCs w:val="28"/>
          <w:lang w:val="uk-UA"/>
        </w:rPr>
        <w:t xml:space="preserve">владний потенціал </w:t>
      </w:r>
      <w:r w:rsidR="00DA73E7" w:rsidRPr="00DA73E7">
        <w:rPr>
          <w:rFonts w:ascii="Times New Roman" w:eastAsia="Calibri" w:hAnsi="Times New Roman" w:cs="Times New Roman"/>
          <w:sz w:val="28"/>
          <w:szCs w:val="28"/>
          <w:lang w:val="uk-UA"/>
        </w:rPr>
        <w:t>—</w:t>
      </w:r>
      <w:r w:rsidR="00DA73E7" w:rsidRPr="00DA73E7">
        <w:rPr>
          <w:rFonts w:ascii="Times New Roman" w:hAnsi="Times New Roman" w:cs="Times New Roman"/>
          <w:sz w:val="28"/>
          <w:szCs w:val="28"/>
          <w:lang w:val="uk-UA"/>
        </w:rPr>
        <w:t xml:space="preserve"> готовність і здатність представників групи розпоряджатися не належними їм ресурсами</w:t>
      </w:r>
      <w:r w:rsidR="00DA73E7">
        <w:rPr>
          <w:rFonts w:ascii="Times New Roman" w:hAnsi="Times New Roman" w:cs="Times New Roman"/>
          <w:sz w:val="28"/>
          <w:szCs w:val="28"/>
          <w:lang w:val="uk-UA"/>
        </w:rPr>
        <w:t>.</w:t>
      </w:r>
    </w:p>
    <w:p w14:paraId="45A74FE5" w14:textId="77777777" w:rsidR="00DA73E7" w:rsidRDefault="00DA73E7" w:rsidP="00DA73E7">
      <w:pPr>
        <w:tabs>
          <w:tab w:val="left" w:pos="1134"/>
        </w:tabs>
        <w:spacing w:after="0" w:line="360" w:lineRule="auto"/>
        <w:contextualSpacing/>
        <w:jc w:val="both"/>
        <w:rPr>
          <w:rFonts w:ascii="Times New Roman" w:hAnsi="Times New Roman" w:cs="Times New Roman"/>
          <w:sz w:val="28"/>
          <w:szCs w:val="28"/>
          <w:lang w:val="uk-UA"/>
        </w:rPr>
      </w:pPr>
    </w:p>
    <w:p w14:paraId="1FFE04B4" w14:textId="77777777" w:rsidR="00DA73E7" w:rsidRPr="00DA73E7" w:rsidRDefault="00DA73E7" w:rsidP="00DA73E7">
      <w:pPr>
        <w:tabs>
          <w:tab w:val="left" w:pos="1134"/>
        </w:tabs>
        <w:spacing w:after="0" w:line="360" w:lineRule="auto"/>
        <w:contextualSpacing/>
        <w:jc w:val="both"/>
        <w:rPr>
          <w:rFonts w:ascii="Times New Roman" w:hAnsi="Times New Roman" w:cs="Times New Roman"/>
          <w:sz w:val="28"/>
          <w:szCs w:val="28"/>
          <w:lang w:val="uk-UA"/>
        </w:rPr>
      </w:pPr>
    </w:p>
    <w:p w14:paraId="75AD21AA" w14:textId="77777777" w:rsidR="00B50B25" w:rsidRDefault="00B50B25" w:rsidP="006C5E8E">
      <w:pPr>
        <w:spacing w:after="0" w:line="360" w:lineRule="auto"/>
        <w:ind w:firstLine="709"/>
        <w:jc w:val="both"/>
        <w:rPr>
          <w:rFonts w:ascii="Times New Roman" w:hAnsi="Times New Roman"/>
          <w:bCs/>
          <w:sz w:val="28"/>
          <w:szCs w:val="28"/>
          <w:lang w:val="uk-UA"/>
        </w:rPr>
      </w:pPr>
    </w:p>
    <w:p w14:paraId="11B6EFE8" w14:textId="77777777" w:rsidR="007C58F4" w:rsidRDefault="007C58F4" w:rsidP="006C5E8E">
      <w:pPr>
        <w:spacing w:after="0" w:line="360" w:lineRule="auto"/>
        <w:ind w:firstLine="709"/>
        <w:jc w:val="both"/>
        <w:rPr>
          <w:rFonts w:ascii="Times New Roman" w:hAnsi="Times New Roman"/>
          <w:bCs/>
          <w:sz w:val="28"/>
          <w:szCs w:val="28"/>
          <w:lang w:val="uk-UA"/>
        </w:rPr>
      </w:pPr>
    </w:p>
    <w:p w14:paraId="52F5514F" w14:textId="77777777" w:rsidR="007C58F4" w:rsidRDefault="007C58F4" w:rsidP="006C5E8E">
      <w:pPr>
        <w:spacing w:after="0" w:line="360" w:lineRule="auto"/>
        <w:ind w:firstLine="709"/>
        <w:jc w:val="both"/>
        <w:rPr>
          <w:rFonts w:ascii="Times New Roman" w:hAnsi="Times New Roman"/>
          <w:bCs/>
          <w:sz w:val="28"/>
          <w:szCs w:val="28"/>
          <w:lang w:val="uk-UA"/>
        </w:rPr>
      </w:pPr>
    </w:p>
    <w:p w14:paraId="4D91728F" w14:textId="77777777" w:rsidR="007C58F4" w:rsidRDefault="007C58F4" w:rsidP="006C5E8E">
      <w:pPr>
        <w:spacing w:after="0" w:line="360" w:lineRule="auto"/>
        <w:ind w:firstLine="709"/>
        <w:jc w:val="both"/>
        <w:rPr>
          <w:rFonts w:ascii="Times New Roman" w:hAnsi="Times New Roman"/>
          <w:bCs/>
          <w:sz w:val="28"/>
          <w:szCs w:val="28"/>
          <w:lang w:val="uk-UA"/>
        </w:rPr>
      </w:pPr>
    </w:p>
    <w:p w14:paraId="6676822B" w14:textId="77777777" w:rsidR="007C58F4" w:rsidRDefault="007C58F4" w:rsidP="006C5E8E">
      <w:pPr>
        <w:spacing w:after="0" w:line="360" w:lineRule="auto"/>
        <w:ind w:firstLine="709"/>
        <w:jc w:val="both"/>
        <w:rPr>
          <w:rFonts w:ascii="Times New Roman" w:hAnsi="Times New Roman"/>
          <w:bCs/>
          <w:sz w:val="28"/>
          <w:szCs w:val="28"/>
          <w:lang w:val="uk-UA"/>
        </w:rPr>
      </w:pPr>
    </w:p>
    <w:p w14:paraId="422299AC" w14:textId="77777777" w:rsidR="007C58F4" w:rsidRDefault="007C58F4" w:rsidP="006C5E8E">
      <w:pPr>
        <w:spacing w:after="0" w:line="360" w:lineRule="auto"/>
        <w:ind w:firstLine="709"/>
        <w:jc w:val="both"/>
        <w:rPr>
          <w:rFonts w:ascii="Times New Roman" w:hAnsi="Times New Roman"/>
          <w:bCs/>
          <w:sz w:val="28"/>
          <w:szCs w:val="28"/>
          <w:lang w:val="uk-UA"/>
        </w:rPr>
      </w:pPr>
    </w:p>
    <w:p w14:paraId="509F1E3E" w14:textId="77777777" w:rsidR="007C58F4" w:rsidRDefault="007C58F4" w:rsidP="006C5E8E">
      <w:pPr>
        <w:spacing w:after="0" w:line="360" w:lineRule="auto"/>
        <w:ind w:firstLine="709"/>
        <w:jc w:val="both"/>
        <w:rPr>
          <w:rFonts w:ascii="Times New Roman" w:hAnsi="Times New Roman"/>
          <w:bCs/>
          <w:sz w:val="28"/>
          <w:szCs w:val="28"/>
          <w:lang w:val="uk-UA"/>
        </w:rPr>
      </w:pPr>
    </w:p>
    <w:p w14:paraId="6233B33C" w14:textId="77777777" w:rsidR="007C58F4" w:rsidRDefault="007C58F4" w:rsidP="006C5E8E">
      <w:pPr>
        <w:spacing w:after="0" w:line="360" w:lineRule="auto"/>
        <w:ind w:firstLine="709"/>
        <w:jc w:val="both"/>
        <w:rPr>
          <w:rFonts w:ascii="Times New Roman" w:hAnsi="Times New Roman"/>
          <w:bCs/>
          <w:sz w:val="28"/>
          <w:szCs w:val="28"/>
          <w:lang w:val="uk-UA"/>
        </w:rPr>
      </w:pPr>
    </w:p>
    <w:p w14:paraId="0346DEAF" w14:textId="77777777" w:rsidR="007C58F4" w:rsidRDefault="007C58F4" w:rsidP="006C5E8E">
      <w:pPr>
        <w:spacing w:after="0" w:line="360" w:lineRule="auto"/>
        <w:ind w:firstLine="709"/>
        <w:jc w:val="both"/>
        <w:rPr>
          <w:rFonts w:ascii="Times New Roman" w:hAnsi="Times New Roman"/>
          <w:bCs/>
          <w:sz w:val="28"/>
          <w:szCs w:val="28"/>
          <w:lang w:val="uk-UA"/>
        </w:rPr>
      </w:pPr>
    </w:p>
    <w:p w14:paraId="44F9B643" w14:textId="77777777" w:rsidR="007C58F4" w:rsidRDefault="007C58F4" w:rsidP="006C5E8E">
      <w:pPr>
        <w:spacing w:after="0" w:line="360" w:lineRule="auto"/>
        <w:ind w:firstLine="709"/>
        <w:jc w:val="both"/>
        <w:rPr>
          <w:rFonts w:ascii="Times New Roman" w:hAnsi="Times New Roman"/>
          <w:bCs/>
          <w:sz w:val="28"/>
          <w:szCs w:val="28"/>
          <w:lang w:val="uk-UA"/>
        </w:rPr>
      </w:pPr>
    </w:p>
    <w:p w14:paraId="236E6A1F" w14:textId="77777777" w:rsidR="007C58F4" w:rsidRDefault="007C58F4" w:rsidP="006C5E8E">
      <w:pPr>
        <w:spacing w:after="0" w:line="360" w:lineRule="auto"/>
        <w:ind w:firstLine="709"/>
        <w:jc w:val="both"/>
        <w:rPr>
          <w:rFonts w:ascii="Times New Roman" w:hAnsi="Times New Roman"/>
          <w:bCs/>
          <w:sz w:val="28"/>
          <w:szCs w:val="28"/>
          <w:lang w:val="uk-UA"/>
        </w:rPr>
      </w:pPr>
    </w:p>
    <w:p w14:paraId="7192DE25" w14:textId="77777777" w:rsidR="007C58F4" w:rsidRDefault="007C58F4" w:rsidP="006C5E8E">
      <w:pPr>
        <w:spacing w:after="0" w:line="360" w:lineRule="auto"/>
        <w:ind w:firstLine="709"/>
        <w:jc w:val="both"/>
        <w:rPr>
          <w:rFonts w:ascii="Times New Roman" w:hAnsi="Times New Roman"/>
          <w:bCs/>
          <w:sz w:val="28"/>
          <w:szCs w:val="28"/>
          <w:lang w:val="uk-UA"/>
        </w:rPr>
      </w:pPr>
    </w:p>
    <w:p w14:paraId="6D27BF35" w14:textId="77777777" w:rsidR="007C58F4" w:rsidRDefault="007C58F4" w:rsidP="006C5E8E">
      <w:pPr>
        <w:spacing w:after="0" w:line="360" w:lineRule="auto"/>
        <w:ind w:firstLine="709"/>
        <w:jc w:val="both"/>
        <w:rPr>
          <w:rFonts w:ascii="Times New Roman" w:hAnsi="Times New Roman"/>
          <w:bCs/>
          <w:sz w:val="28"/>
          <w:szCs w:val="28"/>
          <w:lang w:val="uk-UA"/>
        </w:rPr>
      </w:pPr>
    </w:p>
    <w:p w14:paraId="17A721A2" w14:textId="77777777" w:rsidR="007C58F4" w:rsidRDefault="007C58F4" w:rsidP="006C5E8E">
      <w:pPr>
        <w:spacing w:after="0" w:line="360" w:lineRule="auto"/>
        <w:ind w:firstLine="709"/>
        <w:jc w:val="both"/>
        <w:rPr>
          <w:rFonts w:ascii="Times New Roman" w:hAnsi="Times New Roman"/>
          <w:bCs/>
          <w:sz w:val="28"/>
          <w:szCs w:val="28"/>
          <w:lang w:val="uk-UA"/>
        </w:rPr>
      </w:pPr>
    </w:p>
    <w:p w14:paraId="0D1F9651" w14:textId="77777777" w:rsidR="007C58F4" w:rsidRDefault="007C58F4" w:rsidP="006C5E8E">
      <w:pPr>
        <w:spacing w:after="0" w:line="360" w:lineRule="auto"/>
        <w:ind w:firstLine="709"/>
        <w:jc w:val="both"/>
        <w:rPr>
          <w:rFonts w:ascii="Times New Roman" w:hAnsi="Times New Roman"/>
          <w:bCs/>
          <w:sz w:val="28"/>
          <w:szCs w:val="28"/>
          <w:lang w:val="uk-UA"/>
        </w:rPr>
      </w:pPr>
    </w:p>
    <w:p w14:paraId="2ADD7D99" w14:textId="77777777" w:rsidR="007C58F4" w:rsidRDefault="007C58F4" w:rsidP="006C5E8E">
      <w:pPr>
        <w:spacing w:after="0" w:line="360" w:lineRule="auto"/>
        <w:ind w:firstLine="709"/>
        <w:jc w:val="both"/>
        <w:rPr>
          <w:rFonts w:ascii="Times New Roman" w:hAnsi="Times New Roman"/>
          <w:bCs/>
          <w:sz w:val="28"/>
          <w:szCs w:val="28"/>
          <w:lang w:val="uk-UA"/>
        </w:rPr>
      </w:pPr>
    </w:p>
    <w:p w14:paraId="31ECD97D" w14:textId="77777777" w:rsidR="007C58F4" w:rsidRDefault="007C58F4" w:rsidP="006C5E8E">
      <w:pPr>
        <w:spacing w:after="0" w:line="360" w:lineRule="auto"/>
        <w:ind w:firstLine="709"/>
        <w:jc w:val="both"/>
        <w:rPr>
          <w:rFonts w:ascii="Times New Roman" w:hAnsi="Times New Roman"/>
          <w:bCs/>
          <w:sz w:val="28"/>
          <w:szCs w:val="28"/>
          <w:lang w:val="uk-UA"/>
        </w:rPr>
      </w:pPr>
    </w:p>
    <w:p w14:paraId="18E37D00" w14:textId="77777777" w:rsidR="007C58F4" w:rsidRDefault="007C58F4" w:rsidP="006C5E8E">
      <w:pPr>
        <w:spacing w:after="0" w:line="360" w:lineRule="auto"/>
        <w:ind w:firstLine="709"/>
        <w:jc w:val="both"/>
        <w:rPr>
          <w:rFonts w:ascii="Times New Roman" w:hAnsi="Times New Roman"/>
          <w:bCs/>
          <w:sz w:val="28"/>
          <w:szCs w:val="28"/>
          <w:lang w:val="uk-UA"/>
        </w:rPr>
      </w:pPr>
    </w:p>
    <w:p w14:paraId="16C6315C" w14:textId="77777777" w:rsidR="007C58F4" w:rsidRDefault="007C58F4" w:rsidP="006C5E8E">
      <w:pPr>
        <w:spacing w:after="0" w:line="360" w:lineRule="auto"/>
        <w:ind w:firstLine="709"/>
        <w:jc w:val="both"/>
        <w:rPr>
          <w:rFonts w:ascii="Times New Roman" w:hAnsi="Times New Roman"/>
          <w:bCs/>
          <w:sz w:val="28"/>
          <w:szCs w:val="28"/>
          <w:lang w:val="uk-UA"/>
        </w:rPr>
      </w:pPr>
    </w:p>
    <w:p w14:paraId="26899C83" w14:textId="77777777" w:rsidR="007C58F4" w:rsidRDefault="007C58F4" w:rsidP="006C5E8E">
      <w:pPr>
        <w:spacing w:after="0" w:line="360" w:lineRule="auto"/>
        <w:ind w:firstLine="709"/>
        <w:jc w:val="both"/>
        <w:rPr>
          <w:rFonts w:ascii="Times New Roman" w:hAnsi="Times New Roman"/>
          <w:bCs/>
          <w:sz w:val="28"/>
          <w:szCs w:val="28"/>
          <w:lang w:val="uk-UA"/>
        </w:rPr>
      </w:pPr>
    </w:p>
    <w:p w14:paraId="023348E0" w14:textId="77777777" w:rsidR="007C58F4" w:rsidRDefault="007C58F4" w:rsidP="006C5E8E">
      <w:pPr>
        <w:spacing w:after="0" w:line="360" w:lineRule="auto"/>
        <w:ind w:firstLine="709"/>
        <w:jc w:val="both"/>
        <w:rPr>
          <w:rFonts w:ascii="Times New Roman" w:hAnsi="Times New Roman"/>
          <w:bCs/>
          <w:sz w:val="28"/>
          <w:szCs w:val="28"/>
          <w:lang w:val="uk-UA"/>
        </w:rPr>
      </w:pPr>
    </w:p>
    <w:p w14:paraId="27D3151F" w14:textId="77777777" w:rsidR="007C58F4" w:rsidRDefault="007C58F4" w:rsidP="006C5E8E">
      <w:pPr>
        <w:spacing w:after="0" w:line="360" w:lineRule="auto"/>
        <w:ind w:firstLine="709"/>
        <w:jc w:val="both"/>
        <w:rPr>
          <w:rFonts w:ascii="Times New Roman" w:hAnsi="Times New Roman"/>
          <w:bCs/>
          <w:sz w:val="28"/>
          <w:szCs w:val="28"/>
          <w:lang w:val="uk-UA"/>
        </w:rPr>
      </w:pPr>
    </w:p>
    <w:p w14:paraId="4C79DE0F" w14:textId="3F8B47EB" w:rsidR="007C58F4" w:rsidRPr="007C58F4" w:rsidRDefault="007C58F4" w:rsidP="007C58F4">
      <w:pPr>
        <w:spacing w:after="0" w:line="360" w:lineRule="auto"/>
        <w:ind w:firstLine="709"/>
        <w:jc w:val="center"/>
        <w:rPr>
          <w:rFonts w:ascii="Times New Roman" w:hAnsi="Times New Roman"/>
          <w:b/>
          <w:bCs/>
          <w:sz w:val="28"/>
          <w:szCs w:val="28"/>
          <w:lang w:val="uk-UA"/>
        </w:rPr>
      </w:pPr>
      <w:r w:rsidRPr="007C58F4">
        <w:rPr>
          <w:rFonts w:ascii="Times New Roman" w:hAnsi="Times New Roman" w:cs="Times New Roman"/>
          <w:b/>
          <w:bCs/>
          <w:color w:val="000000"/>
          <w:sz w:val="28"/>
          <w:szCs w:val="28"/>
          <w:lang w:val="uk-UA"/>
        </w:rPr>
        <w:lastRenderedPageBreak/>
        <w:t xml:space="preserve">РОЗДІЛ 2. ДОСЛІДЖЕННЯ </w:t>
      </w:r>
      <w:r w:rsidRPr="007C58F4">
        <w:rPr>
          <w:rFonts w:ascii="Times New Roman" w:eastAsia="Times New Roman" w:hAnsi="Times New Roman" w:cs="Times New Roman"/>
          <w:b/>
          <w:bCs/>
          <w:caps/>
          <w:sz w:val="28"/>
          <w:szCs w:val="28"/>
          <w:lang w:val="uk-UA" w:eastAsia="ru-RU"/>
        </w:rPr>
        <w:t>соціального потенціалу населення в системі регуляції соціальних взаємодій</w:t>
      </w:r>
    </w:p>
    <w:p w14:paraId="661423D8" w14:textId="77777777" w:rsidR="007C58F4" w:rsidRDefault="007C58F4" w:rsidP="007C58F4">
      <w:pPr>
        <w:spacing w:line="360" w:lineRule="auto"/>
        <w:ind w:firstLine="709"/>
        <w:contextualSpacing/>
        <w:jc w:val="both"/>
        <w:rPr>
          <w:b/>
          <w:bCs/>
          <w:sz w:val="28"/>
          <w:szCs w:val="28"/>
          <w:lang w:val="uk-UA"/>
        </w:rPr>
      </w:pPr>
    </w:p>
    <w:p w14:paraId="74EC786B" w14:textId="69A7D0ED" w:rsidR="007C58F4" w:rsidRPr="00CA602D" w:rsidRDefault="007C58F4" w:rsidP="007C58F4">
      <w:pPr>
        <w:spacing w:line="360" w:lineRule="auto"/>
        <w:ind w:firstLine="709"/>
        <w:contextualSpacing/>
        <w:jc w:val="both"/>
        <w:rPr>
          <w:rFonts w:ascii="Times New Roman" w:hAnsi="Times New Roman" w:cs="Times New Roman"/>
          <w:b/>
          <w:sz w:val="28"/>
          <w:szCs w:val="28"/>
          <w:lang w:val="uk-UA"/>
        </w:rPr>
      </w:pPr>
      <w:r w:rsidRPr="00CA602D">
        <w:rPr>
          <w:rFonts w:ascii="Times New Roman" w:hAnsi="Times New Roman" w:cs="Times New Roman"/>
          <w:b/>
          <w:sz w:val="28"/>
          <w:szCs w:val="28"/>
          <w:lang w:val="uk-UA"/>
        </w:rPr>
        <w:t>2.1. Реалізація соціального потенціалу як шлях подальшого суспільного розвитку</w:t>
      </w:r>
    </w:p>
    <w:p w14:paraId="2ED48EDE" w14:textId="77777777" w:rsidR="007C58F4" w:rsidRPr="007C58F4" w:rsidRDefault="007C58F4" w:rsidP="007C58F4">
      <w:pPr>
        <w:spacing w:line="360" w:lineRule="auto"/>
        <w:ind w:firstLine="709"/>
        <w:contextualSpacing/>
        <w:jc w:val="both"/>
        <w:rPr>
          <w:rFonts w:ascii="Times New Roman" w:hAnsi="Times New Roman" w:cs="Times New Roman"/>
          <w:bCs/>
          <w:sz w:val="28"/>
          <w:szCs w:val="28"/>
          <w:lang w:val="uk-UA"/>
        </w:rPr>
      </w:pPr>
    </w:p>
    <w:p w14:paraId="2C779A07" w14:textId="77777777" w:rsidR="00CA602D"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Людство, що в глобальному вимірі зіткнулося з ресурсною кризою, змушене переорієнтується на шлях інтенсивного використання існуючих резервів </w:t>
      </w:r>
      <w:r w:rsidRPr="007C58F4">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найперше, максимальне розкриття внутрішнього потенціалу акторів. За таких умов на передні позиції виходять ті ресурси суспільства, що раніше порівняно мало використовувалися, насамперед це люди старшого віку. Частково це пояснюється тим, що частка останніх у населенні майже усіх розвинених країн світу невпинно збільшується </w:t>
      </w:r>
      <w:r w:rsidR="00CA602D">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зі збільшенням тривалості життя та відновних можливостей медицини. </w:t>
      </w:r>
    </w:p>
    <w:p w14:paraId="379157AF" w14:textId="1AA73F22" w:rsidR="00CA602D"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Таке збільшення створює настільки суттєве економічне навантаження на молодші вікові групи, що ігнорувати його стає неможливим; </w:t>
      </w:r>
      <w:r w:rsidR="00CA602D">
        <w:rPr>
          <w:rFonts w:ascii="Times New Roman" w:hAnsi="Times New Roman" w:cs="Times New Roman"/>
          <w:noProof/>
          <w:sz w:val="28"/>
          <w:szCs w:val="28"/>
          <w:lang w:val="uk-UA"/>
        </w:rPr>
        <w:t>ч</w:t>
      </w:r>
      <w:r w:rsidRPr="007C58F4">
        <w:rPr>
          <w:rFonts w:ascii="Times New Roman" w:hAnsi="Times New Roman" w:cs="Times New Roman"/>
          <w:noProof/>
          <w:sz w:val="28"/>
          <w:szCs w:val="28"/>
          <w:lang w:val="uk-UA"/>
        </w:rPr>
        <w:t xml:space="preserve">астково </w:t>
      </w:r>
      <w:r w:rsidR="00CA602D">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внаслідок уже названої гонитви розвитку (частково описаної ще М. Вебером як явище раціоналізації сучасних суспільств, що, проте, саме не має раціонального пояснення</w:t>
      </w:r>
      <w:r w:rsidR="00CA602D">
        <w:rPr>
          <w:rFonts w:ascii="Times New Roman" w:hAnsi="Times New Roman" w:cs="Times New Roman"/>
          <w:noProof/>
          <w:sz w:val="28"/>
          <w:szCs w:val="28"/>
          <w:lang w:val="uk-UA"/>
        </w:rPr>
        <w:t>.</w:t>
      </w:r>
    </w:p>
    <w:p w14:paraId="7508885C" w14:textId="26227773" w:rsidR="007C58F4" w:rsidRPr="007C58F4"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Попри те, факт залишається </w:t>
      </w:r>
      <w:r w:rsidR="00CA602D">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динаміка розвитку сучасних країн набуває дедалі більших обертів) та нестачею ресурсів для цього. Г. Беккер і Т. Шульц виділяли такі фактори соціально-економічного прогресу, як: покращення здоров’я населення, збільшення тривалості життя, зменшення рівня дитячої смертності, збільшення засобів, призначених для виховання дітей, здатність освіченої частини населення робити більш кваліфіковані та ефективні економічні розрахунки тощо</w:t>
      </w:r>
      <w:r w:rsidR="00CA602D">
        <w:rPr>
          <w:rFonts w:ascii="Times New Roman" w:hAnsi="Times New Roman" w:cs="Times New Roman"/>
          <w:noProof/>
          <w:sz w:val="28"/>
          <w:szCs w:val="28"/>
          <w:lang w:val="uk-UA"/>
        </w:rPr>
        <w:t>.</w:t>
      </w:r>
    </w:p>
    <w:p w14:paraId="17F6623A" w14:textId="3CC2E481" w:rsidR="00CA602D"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Людина з її інтелектуальними здібностями стає визначальним чинником економічного зростання. Тому всі вкладення в людину, що здійснюються з метою підвищення кваліфікації, набуття нових знань, умінь, навичок, збереження здоров’я, розглядаються як інвестиції в людський капітал. Наприклад, за оцінками </w:t>
      </w:r>
      <w:r w:rsidRPr="007C58F4">
        <w:rPr>
          <w:rFonts w:ascii="Times New Roman" w:hAnsi="Times New Roman" w:cs="Times New Roman"/>
          <w:noProof/>
          <w:sz w:val="28"/>
          <w:szCs w:val="28"/>
          <w:lang w:val="uk-UA"/>
        </w:rPr>
        <w:lastRenderedPageBreak/>
        <w:t>Світового банку, в середині 90-х років ХХ ст. 64% світового багатства становив людський капітал, 21%  фізичний капітал, 15%  природні ресурси. А на сьогодні в США, Китаї, Німеччині, Великій Британії на частку людських ресурсів припадає 75-80% національного багатства</w:t>
      </w:r>
      <w:r w:rsidR="00CA602D">
        <w:rPr>
          <w:rFonts w:ascii="Times New Roman" w:hAnsi="Times New Roman" w:cs="Times New Roman"/>
          <w:noProof/>
          <w:sz w:val="28"/>
          <w:szCs w:val="28"/>
          <w:lang w:val="uk-UA"/>
        </w:rPr>
        <w:t>.</w:t>
      </w:r>
    </w:p>
    <w:p w14:paraId="636417B2" w14:textId="6D00013E" w:rsidR="007C58F4" w:rsidRPr="007C58F4"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Саме ефективне використання та розвиток людського потенціалу, вміння забезпечити його максимальну капіталізацію, здатність створювати та правильно використовувати новітні технології стають не лише важливими умовами стійкого розвитку економіки, а й головними чинниками зростання соціального благополуччя як людства в цілому, так і жителів окремих країн та регіонів</w:t>
      </w:r>
      <w:r w:rsidR="00CA602D">
        <w:rPr>
          <w:rFonts w:ascii="Times New Roman" w:hAnsi="Times New Roman" w:cs="Times New Roman"/>
          <w:noProof/>
          <w:sz w:val="28"/>
          <w:szCs w:val="28"/>
          <w:lang w:val="uk-UA"/>
        </w:rPr>
        <w:t>.</w:t>
      </w:r>
    </w:p>
    <w:p w14:paraId="11EE059F" w14:textId="52B7A315" w:rsidR="007C58F4" w:rsidRPr="007C58F4"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Реалізується людський потенціал не в порожнечі чи в ідеальних лабораторних умовах, а за обставин і ситуацій, виникнення яких значною мірою визначається властивостями соціального простору, в якому відбувається життєдіяльність акторів. «Соціальний простір являє собою сферу взаємодій соціальних агентів (індивідуальних і колективних), структуровану певним чином за ступенем інтенсивності взаємодії між його окремими елементами, яка виробляє стійкі норми, звичаї, традиції, правила, норми, що детермінують форми взаємодії індивідів усередині нього»</w:t>
      </w:r>
      <w:r w:rsidR="00CA602D">
        <w:rPr>
          <w:rFonts w:ascii="Times New Roman" w:hAnsi="Times New Roman" w:cs="Times New Roman"/>
          <w:noProof/>
          <w:sz w:val="28"/>
          <w:szCs w:val="28"/>
          <w:lang w:val="uk-UA"/>
        </w:rPr>
        <w:t>.</w:t>
      </w:r>
      <w:r w:rsidRPr="007C58F4">
        <w:rPr>
          <w:rFonts w:ascii="Times New Roman" w:hAnsi="Times New Roman" w:cs="Times New Roman"/>
          <w:noProof/>
          <w:sz w:val="28"/>
          <w:szCs w:val="28"/>
          <w:lang w:val="uk-UA"/>
        </w:rPr>
        <w:t xml:space="preserve"> Свій відбиток на організацію соціального простору накладає досягнутий рівень культури, що, за визначенням Е. Тейлора, є складним цілим, що охоплює знання, вірування, мистецтво, моральність, право, звичаї, вміння та навички, набуті людьми як членами суспільства</w:t>
      </w:r>
      <w:r w:rsidR="00CA602D">
        <w:rPr>
          <w:rFonts w:ascii="Times New Roman" w:hAnsi="Times New Roman" w:cs="Times New Roman"/>
          <w:noProof/>
          <w:sz w:val="28"/>
          <w:szCs w:val="28"/>
          <w:lang w:val="uk-UA"/>
        </w:rPr>
        <w:t xml:space="preserve">. </w:t>
      </w:r>
      <w:r w:rsidRPr="007C58F4">
        <w:rPr>
          <w:rFonts w:ascii="Times New Roman" w:hAnsi="Times New Roman" w:cs="Times New Roman"/>
          <w:noProof/>
          <w:sz w:val="28"/>
          <w:szCs w:val="28"/>
          <w:lang w:val="uk-UA"/>
        </w:rPr>
        <w:t>У сучасному соціокультурному просторі сфери життєдіяльності типологізуються на основі функцій, що забезпечують відтворення суспільства та особистості:</w:t>
      </w:r>
    </w:p>
    <w:p w14:paraId="735A6532" w14:textId="1BC4F225" w:rsidR="007C58F4" w:rsidRPr="007C58F4" w:rsidRDefault="002A71B9" w:rsidP="002A71B9">
      <w:pPr>
        <w:tabs>
          <w:tab w:val="left" w:pos="-567"/>
          <w:tab w:val="left" w:pos="993"/>
        </w:tabs>
        <w:suppressAutoHyphen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 xml:space="preserve"> організація матеріальних і соціальних основ життєзабезпечення (праця і діяльність, пов’язані зі створенням, набуттям чи споживанням товарів і послуг). На нашу думку, сюди можна віднести можливості для професійної та громадської діяльності, а також матеріальне забезпечення;</w:t>
      </w:r>
    </w:p>
    <w:p w14:paraId="6DE93775" w14:textId="6D8A41A4" w:rsidR="007C58F4" w:rsidRPr="007C58F4" w:rsidRDefault="002A71B9" w:rsidP="002A71B9">
      <w:pPr>
        <w:tabs>
          <w:tab w:val="left" w:pos="-567"/>
          <w:tab w:val="left" w:pos="1134"/>
        </w:tabs>
        <w:suppressAutoHyphen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 xml:space="preserve">організація процесів соціалізації (отримання освіти, професійної підготовки, соціальна активність). До цієї сфери, на нашу думку, мають бути включені </w:t>
      </w:r>
      <w:r w:rsidR="007C58F4" w:rsidRPr="007C58F4">
        <w:rPr>
          <w:rFonts w:ascii="Times New Roman" w:hAnsi="Times New Roman" w:cs="Times New Roman"/>
          <w:noProof/>
          <w:sz w:val="28"/>
          <w:szCs w:val="28"/>
          <w:lang w:val="uk-UA"/>
        </w:rPr>
        <w:lastRenderedPageBreak/>
        <w:t>можливість для отримання освіти, участь в освітніх програмах, можливості до соціальної активності;</w:t>
      </w:r>
    </w:p>
    <w:p w14:paraId="27016CEE" w14:textId="6C05265D" w:rsidR="007C58F4" w:rsidRPr="007C58F4" w:rsidRDefault="002A71B9" w:rsidP="002A71B9">
      <w:pPr>
        <w:tabs>
          <w:tab w:val="left" w:pos="-567"/>
          <w:tab w:val="left" w:pos="1134"/>
        </w:tabs>
        <w:suppressAutoHyphen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соціальна комунікація (професійна взаємодія, неформальне спілкування, сімейні відносини, отримання інформації через ЗМІ);</w:t>
      </w:r>
    </w:p>
    <w:p w14:paraId="7CBCAFD0" w14:textId="1C9DAC4F" w:rsidR="007C58F4" w:rsidRPr="007C58F4" w:rsidRDefault="002A71B9" w:rsidP="002A71B9">
      <w:pPr>
        <w:tabs>
          <w:tab w:val="left" w:pos="-567"/>
          <w:tab w:val="left" w:pos="1134"/>
        </w:tabs>
        <w:suppressAutoHyphen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відновлення енергетичних затрат (харчування, можливості рекреації, дозвілля)</w:t>
      </w:r>
      <w:r w:rsidR="00CA602D">
        <w:rPr>
          <w:rFonts w:ascii="Times New Roman" w:hAnsi="Times New Roman" w:cs="Times New Roman"/>
          <w:noProof/>
          <w:sz w:val="28"/>
          <w:szCs w:val="28"/>
          <w:lang w:val="uk-UA"/>
        </w:rPr>
        <w:t>.</w:t>
      </w:r>
    </w:p>
    <w:p w14:paraId="6DB1B818" w14:textId="4ACEC331" w:rsidR="007C58F4" w:rsidRPr="007C58F4" w:rsidRDefault="007C58F4" w:rsidP="007C58F4">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Характеризуючи умови, властиві для певного способу життя, соціокультурний простір є середовищем взаємодії насамперед надіндивідуальних суб’єктів </w:t>
      </w:r>
      <w:r w:rsidR="002A71B9">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соціальних груп, задаючи форми актуалізації їх соціального потенціалу.</w:t>
      </w:r>
    </w:p>
    <w:p w14:paraId="230C59DA" w14:textId="77777777" w:rsidR="00CA602D"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В ряді аналітичних записок за результатами діяльності міжнародних організацій старіння людства названо «Великим викликом ХХІ століття», що має амбівалентний характер: є водночас і величезним досягненням людства, і загрозою в економічному та демографічному вимірах</w:t>
      </w:r>
      <w:r w:rsidR="00CA602D">
        <w:rPr>
          <w:rFonts w:ascii="Times New Roman" w:hAnsi="Times New Roman" w:cs="Times New Roman"/>
          <w:sz w:val="28"/>
          <w:szCs w:val="28"/>
          <w:lang w:val="uk-UA"/>
        </w:rPr>
        <w:t>.</w:t>
      </w:r>
    </w:p>
    <w:p w14:paraId="57B55048" w14:textId="77777777" w:rsidR="00CA602D"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Можна припустити, що в основі ототожнення старіння з викликом нинішнього століття лежить теорія цивілізаційних викликів, яку свого часу розвинув А. Тойнбі</w:t>
      </w:r>
      <w:r w:rsidR="00CA602D">
        <w:rPr>
          <w:rFonts w:ascii="Times New Roman" w:hAnsi="Times New Roman" w:cs="Times New Roman"/>
          <w:sz w:val="28"/>
          <w:szCs w:val="28"/>
          <w:lang w:val="uk-UA"/>
        </w:rPr>
        <w:t>.</w:t>
      </w:r>
    </w:p>
    <w:p w14:paraId="55F06289" w14:textId="7660D986"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 xml:space="preserve">За ним, історична ситуація чи природні фактори ставлять суспільство перед викликом і подальший його розвиток визначається тим, як суспільство відреагує на цей виклик. Подібні виклики містять потенціал виведення суспільства на новий рівень розвитку або ж, навпаки, занепаду. Проігнорувати подібні виклики неможливо, проте міра уваги та зусиль для їх вирішення визначається самим суспільством. Звертаючись до теорії вченого про цивілізаційні виклики та їх рішення, можна сказати, що сучасна цивілізація постала перед черговим викликом, від вибору варіантів рішення якого залежатиме специфіка подальшого просування людства. Це водночас і загроза втрати наявних ресурсів, і великі можливості для розвитку. Розвиток будь-яких систем забезпечується за рахунок енергетичних і матеріальних ресурсів, що можуть бути внутрішніми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реалізованою потенцією самих систем, або ж здобутими у процесі боротьби з іншими системами. Розвиток соціальних систем підпорядковується тим же законам, проте в якості енергетичних та матеріальних ресурсів тут виступають своєрідні капітали: людські, фінансові </w:t>
      </w:r>
      <w:r w:rsidRPr="007C58F4">
        <w:rPr>
          <w:rFonts w:ascii="Times New Roman" w:hAnsi="Times New Roman" w:cs="Times New Roman"/>
          <w:sz w:val="28"/>
          <w:szCs w:val="28"/>
          <w:lang w:val="uk-UA"/>
        </w:rPr>
        <w:lastRenderedPageBreak/>
        <w:t xml:space="preserve">тощо, а критеріями такого розвитку будуть зростання економічного благополуччя та міри задоволеності життям населення. Саме тому настільки важливими видаються індекси задоволеності життям, рівні матеріального благополуччя, що проводяться різноманітними моніторинговими службами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вони вказують на динаміку розвитку соціальних систем</w:t>
      </w:r>
      <w:r w:rsidR="00CA602D">
        <w:rPr>
          <w:rFonts w:ascii="Times New Roman" w:hAnsi="Times New Roman" w:cs="Times New Roman"/>
          <w:sz w:val="28"/>
          <w:szCs w:val="28"/>
          <w:lang w:val="uk-UA"/>
        </w:rPr>
        <w:t>.</w:t>
      </w:r>
    </w:p>
    <w:p w14:paraId="7A42E708" w14:textId="3AD83F1C"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 xml:space="preserve">У доповіді Міжнародної комісії з навколишнього середовища і розвитку «Наше загальне майбутнє» було сформульовано поняття «стійкого розвитку» </w:t>
      </w:r>
      <w:r w:rsidRPr="007C58F4">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розвитку, що задовольняє потреби теперішнього суспільства, проте не становить загрози для можливості майбутніх поколінь до задоволення уже їх потреб. Поняття «стійкий розвиток» також включало два ключових поняття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поняття «потреб» (зокрема потреб, необхідних для існування найбідніших верств населення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вони повинні бути пріоритетними) та поняття «обмежень», зумовлених станом технологій і організацією суспільства, що забезпечують здатність навколишнього середовища задовольняти нинішні й майбутні потреби. На підставі цього було зроблено висновок, що досягнення стійкого розвитку вимагає забезпечення збалансованості інтересів між економічними, екологічними та соціальними компонентами в процесі розвитку соціально-економічних систем</w:t>
      </w:r>
      <w:r w:rsidR="00CA602D">
        <w:rPr>
          <w:rFonts w:ascii="Times New Roman" w:hAnsi="Times New Roman" w:cs="Times New Roman"/>
          <w:sz w:val="28"/>
          <w:szCs w:val="28"/>
          <w:lang w:val="uk-UA"/>
        </w:rPr>
        <w:t>.</w:t>
      </w:r>
    </w:p>
    <w:p w14:paraId="73A6132B" w14:textId="79ED2CC6"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 xml:space="preserve">Концепція, названа «Стратегією сталого розвитку», згодом була доповнена і продовжена до 2030 р. Вона виходить з висновку про те, що внутрішні межі розвитку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це раціональні потреби людини, тоді як зовнішні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перебувають у зв’язку з відновними можливостями біосфери. За цим підходом існує єдина соціо-еколого-економічна система, де економічний розвиток розглядається як наслідок реалізації екологічних, соціальних та економічних цілей суспільства тощо</w:t>
      </w:r>
      <w:r w:rsidR="00CA602D">
        <w:rPr>
          <w:rFonts w:ascii="Times New Roman" w:hAnsi="Times New Roman" w:cs="Times New Roman"/>
          <w:sz w:val="28"/>
          <w:szCs w:val="28"/>
          <w:lang w:val="uk-UA"/>
        </w:rPr>
        <w:t xml:space="preserve">. </w:t>
      </w:r>
      <w:r w:rsidRPr="007C58F4">
        <w:rPr>
          <w:rFonts w:ascii="Times New Roman" w:hAnsi="Times New Roman" w:cs="Times New Roman"/>
          <w:sz w:val="28"/>
          <w:szCs w:val="28"/>
          <w:lang w:val="uk-UA"/>
        </w:rPr>
        <w:t>Відповідно стратегія розвитку суспільства повинна вибудовуватися відштовхуючись від соціальних, екологічних, економічних ресурсів та можливостей їх відновлення.</w:t>
      </w:r>
    </w:p>
    <w:p w14:paraId="453A53BA" w14:textId="560C2A71"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 xml:space="preserve">Завдання, що входять в економічний розділ «Стратегії сталого розвитку», передбачають забезпечення стійкого економічного зростання та досягнення його максимальної ефективності, справедливу конкуренцію тощо. Екологічні завдання </w:t>
      </w:r>
      <w:r w:rsidRPr="007C58F4">
        <w:rPr>
          <w:rFonts w:ascii="Times New Roman" w:hAnsi="Times New Roman" w:cs="Times New Roman"/>
          <w:sz w:val="28"/>
          <w:szCs w:val="28"/>
          <w:lang w:val="uk-UA"/>
        </w:rPr>
        <w:lastRenderedPageBreak/>
        <w:t xml:space="preserve">полягають у забезпеченні безпеки на глобальному рівні, збереженні навколишнього середовища й різних форм життя, підтриманні екологічної рівноваги. До соціальних завдань належать зменшення бідності до мінімально можливого рівня, регулювання і підтримка на стабільному рівні демографічних показників, збереження якості здоров’я нації, виховання загальнолюдських цінностей. У соціо-еколого-економічній системі економічне зростання розглядається не тільки крізь призму задоволення матеріальних потреб населення, а й через задоволення повного комплексу потреб, у тому числі екологічних </w:t>
      </w:r>
      <w:r w:rsidRPr="007C58F4">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таких як потреби в екологічно чистому навколишньому середовищі, екологічно чистих продуктах харчування тощо</w:t>
      </w:r>
      <w:r w:rsidR="00CA602D">
        <w:rPr>
          <w:rFonts w:ascii="Times New Roman" w:hAnsi="Times New Roman" w:cs="Times New Roman"/>
          <w:sz w:val="28"/>
          <w:szCs w:val="28"/>
          <w:lang w:val="uk-UA"/>
        </w:rPr>
        <w:t xml:space="preserve">. </w:t>
      </w:r>
      <w:r w:rsidRPr="007C58F4">
        <w:rPr>
          <w:rFonts w:ascii="Times New Roman" w:hAnsi="Times New Roman" w:cs="Times New Roman"/>
          <w:sz w:val="28"/>
          <w:szCs w:val="28"/>
          <w:lang w:val="uk-UA"/>
        </w:rPr>
        <w:t>Зауважимо, що Концепція сталого розвитку реалізована лише частково. У</w:t>
      </w:r>
      <w:r w:rsidRPr="007C58F4">
        <w:rPr>
          <w:rFonts w:ascii="Times New Roman" w:hAnsi="Times New Roman" w:cs="Times New Roman"/>
          <w:noProof/>
          <w:sz w:val="28"/>
          <w:szCs w:val="28"/>
          <w:lang w:val="uk-UA"/>
        </w:rPr>
        <w:t xml:space="preserve"> сучасному світі виділяється ряд проблем, що зумовлюють подальші ресурсні запити сучасності:</w:t>
      </w:r>
    </w:p>
    <w:p w14:paraId="69AAF131" w14:textId="1ADBB060" w:rsidR="007C58F4" w:rsidRPr="007C58F4" w:rsidRDefault="002A71B9" w:rsidP="002A71B9">
      <w:pPr>
        <w:tabs>
          <w:tab w:val="left" w:pos="284"/>
          <w:tab w:val="left" w:pos="1134"/>
        </w:tab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глобальні екологічні проблеми (руйнування озонового шару, забруднення довкілля, дефіцит прісної води тощо);</w:t>
      </w:r>
    </w:p>
    <w:p w14:paraId="5DF3D0D9" w14:textId="790A23DF" w:rsidR="007C58F4" w:rsidRPr="007C58F4" w:rsidRDefault="002A71B9" w:rsidP="002A71B9">
      <w:pPr>
        <w:tabs>
          <w:tab w:val="left" w:pos="284"/>
          <w:tab w:val="left" w:pos="1134"/>
        </w:tab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зростання чисельності населення, що призведе до нестачі природних ресурсів (яких, за прогнозами ООН, вистачить лише на найближчі 60 років);</w:t>
      </w:r>
    </w:p>
    <w:p w14:paraId="6D9FEBD2" w14:textId="15DD2BB6" w:rsidR="007C58F4" w:rsidRPr="007C58F4" w:rsidRDefault="002A71B9" w:rsidP="002A71B9">
      <w:pPr>
        <w:tabs>
          <w:tab w:val="left" w:pos="284"/>
          <w:tab w:val="left" w:pos="1134"/>
        </w:tab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 xml:space="preserve">глобальна економіка в межах традиційної моделі досягла меж економічного зростання, що призвело до знецінення головного продуктивного ресурсу </w:t>
      </w:r>
      <w:r>
        <w:rPr>
          <w:rFonts w:ascii="Times New Roman" w:eastAsia="Calibri" w:hAnsi="Times New Roman" w:cs="Times New Roman"/>
          <w:sz w:val="28"/>
          <w:szCs w:val="28"/>
          <w:lang w:val="uk-UA"/>
        </w:rPr>
        <w:t>−</w:t>
      </w:r>
      <w:r w:rsidR="007C58F4" w:rsidRPr="007C58F4">
        <w:rPr>
          <w:rFonts w:ascii="Times New Roman" w:hAnsi="Times New Roman" w:cs="Times New Roman"/>
          <w:noProof/>
          <w:sz w:val="28"/>
          <w:szCs w:val="28"/>
          <w:lang w:val="uk-UA"/>
        </w:rPr>
        <w:t xml:space="preserve"> праці (за різними оцінками, близько 25% молоді у світі безробітні);</w:t>
      </w:r>
    </w:p>
    <w:p w14:paraId="2B26D312" w14:textId="723557AB" w:rsidR="007C58F4" w:rsidRPr="007C58F4" w:rsidRDefault="002A71B9" w:rsidP="002A71B9">
      <w:pPr>
        <w:tabs>
          <w:tab w:val="left" w:pos="284"/>
          <w:tab w:val="left" w:pos="1134"/>
        </w:tabs>
        <w:spacing w:after="0" w:line="360" w:lineRule="auto"/>
        <w:ind w:left="360"/>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007C58F4" w:rsidRPr="007C58F4">
        <w:rPr>
          <w:rFonts w:ascii="Times New Roman" w:hAnsi="Times New Roman" w:cs="Times New Roman"/>
          <w:noProof/>
          <w:sz w:val="28"/>
          <w:szCs w:val="28"/>
          <w:lang w:val="uk-UA"/>
        </w:rPr>
        <w:t xml:space="preserve">сягнула критичного рівня соціальна нерівність </w:t>
      </w:r>
      <w:r>
        <w:rPr>
          <w:rFonts w:ascii="Times New Roman" w:eastAsia="Calibri" w:hAnsi="Times New Roman" w:cs="Times New Roman"/>
          <w:sz w:val="28"/>
          <w:szCs w:val="28"/>
          <w:lang w:val="uk-UA"/>
        </w:rPr>
        <w:t>−</w:t>
      </w:r>
      <w:r w:rsidR="007C58F4" w:rsidRPr="007C58F4">
        <w:rPr>
          <w:rFonts w:ascii="Times New Roman" w:hAnsi="Times New Roman" w:cs="Times New Roman"/>
          <w:noProof/>
          <w:sz w:val="28"/>
          <w:szCs w:val="28"/>
          <w:lang w:val="uk-UA"/>
        </w:rPr>
        <w:t xml:space="preserve"> близько 60 млн людей отримують дохід такий же, як 3,5 млрд людей з найнижчими доходами, а найбідніша половина світового населення має лише 1% благ, доступний другій половині.</w:t>
      </w:r>
      <w:r w:rsidR="007C58F4" w:rsidRPr="007C58F4">
        <w:rPr>
          <w:rFonts w:ascii="Times New Roman" w:hAnsi="Times New Roman" w:cs="Times New Roman"/>
          <w:noProof/>
          <w:sz w:val="28"/>
          <w:szCs w:val="28"/>
        </w:rPr>
        <w:t xml:space="preserve"> </w:t>
      </w:r>
    </w:p>
    <w:p w14:paraId="0B7C3614" w14:textId="77777777" w:rsidR="007C58F4" w:rsidRPr="007C58F4" w:rsidRDefault="007C58F4" w:rsidP="007C58F4">
      <w:pPr>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Ці проблеми стають причиною ряду глобальних ризиків що, за оцінками, визначеними ще в ході 45-ї сесії Всесвітнього економічного форуму (</w:t>
      </w:r>
      <w:r w:rsidRPr="007C58F4">
        <w:rPr>
          <w:rFonts w:ascii="Times New Roman" w:hAnsi="Times New Roman" w:cs="Times New Roman"/>
          <w:noProof/>
          <w:sz w:val="28"/>
          <w:szCs w:val="28"/>
          <w:lang w:val="en-US"/>
        </w:rPr>
        <w:t>WEF</w:t>
      </w:r>
      <w:r w:rsidRPr="007C58F4">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2015), можуть мати катастрофічні наслідки для людства в найближчі десятиліття, зокрема:</w:t>
      </w:r>
    </w:p>
    <w:p w14:paraId="37335D41" w14:textId="03713CE7" w:rsidR="007C58F4" w:rsidRPr="007C58F4"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C58F4" w:rsidRPr="007C58F4">
        <w:rPr>
          <w:rFonts w:ascii="Times New Roman" w:hAnsi="Times New Roman" w:cs="Times New Roman"/>
          <w:sz w:val="28"/>
          <w:szCs w:val="28"/>
          <w:lang w:val="uk-UA"/>
        </w:rPr>
        <w:t>соціальні (дефіцит водних ресурсів і продовольства, масове поширення інфекційних захворювань);</w:t>
      </w:r>
    </w:p>
    <w:p w14:paraId="488D6519" w14:textId="2A3A0E1C" w:rsidR="007C58F4" w:rsidRPr="007C58F4"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7C58F4" w:rsidRPr="007C58F4">
        <w:rPr>
          <w:rFonts w:ascii="Times New Roman" w:hAnsi="Times New Roman" w:cs="Times New Roman"/>
          <w:sz w:val="28"/>
          <w:szCs w:val="28"/>
          <w:lang w:val="uk-UA"/>
        </w:rPr>
        <w:t>економічні (високий рівень структурного безробіття або неповної зайнятості, значне розшарування доходів населення);</w:t>
      </w:r>
    </w:p>
    <w:p w14:paraId="736C4BCB" w14:textId="103C17C0" w:rsidR="007C58F4" w:rsidRPr="007C58F4"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C58F4" w:rsidRPr="007C58F4">
        <w:rPr>
          <w:rFonts w:ascii="Times New Roman" w:hAnsi="Times New Roman" w:cs="Times New Roman"/>
          <w:sz w:val="28"/>
          <w:szCs w:val="28"/>
          <w:lang w:val="uk-UA"/>
        </w:rPr>
        <w:t>екологічні (екстремальні погодні явища, проблеми адаптації до зміни клімату);</w:t>
      </w:r>
    </w:p>
    <w:p w14:paraId="1CA4912D" w14:textId="6C67D07A" w:rsidR="007C58F4" w:rsidRPr="007C58F4" w:rsidRDefault="002A71B9" w:rsidP="002A71B9">
      <w:pPr>
        <w:tabs>
          <w:tab w:val="left" w:pos="1134"/>
        </w:tabs>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C58F4" w:rsidRPr="007C58F4">
        <w:rPr>
          <w:rFonts w:ascii="Times New Roman" w:hAnsi="Times New Roman" w:cs="Times New Roman"/>
          <w:sz w:val="28"/>
          <w:szCs w:val="28"/>
          <w:lang w:val="uk-UA"/>
        </w:rPr>
        <w:t>геополітичні (міждержавні конфлікти з регіональними наслідками, поширення зброї масового знищення, тероризм)</w:t>
      </w:r>
      <w:r w:rsidR="00CA602D">
        <w:rPr>
          <w:rFonts w:ascii="Times New Roman" w:hAnsi="Times New Roman" w:cs="Times New Roman"/>
          <w:sz w:val="28"/>
          <w:szCs w:val="28"/>
          <w:lang w:val="uk-UA"/>
        </w:rPr>
        <w:t>.</w:t>
      </w:r>
    </w:p>
    <w:p w14:paraId="70622A82" w14:textId="00940CD4"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 xml:space="preserve">Динамічний розвиток різних світових кризових явищ і подальше поглиблення нестабільності в умовах соціально-економічної невизначеності доводять необхідність вироблення нової глобальної моделі розвитку, сутність якої задекларували на форумі «Ріо+20»: «Визнаючи, що досягнення стійкого розвитку є надто великим завданням для будь-якого суспільного сектору </w:t>
      </w:r>
      <w:r w:rsidR="002A71B9">
        <w:rPr>
          <w:rFonts w:ascii="Times New Roman" w:eastAsia="Calibri" w:hAnsi="Times New Roman" w:cs="Times New Roman"/>
          <w:sz w:val="28"/>
          <w:szCs w:val="28"/>
          <w:lang w:val="uk-UA"/>
        </w:rPr>
        <w:t>−</w:t>
      </w:r>
      <w:r w:rsidRPr="007C58F4">
        <w:rPr>
          <w:rFonts w:ascii="Times New Roman" w:hAnsi="Times New Roman" w:cs="Times New Roman"/>
          <w:sz w:val="28"/>
          <w:szCs w:val="28"/>
          <w:lang w:val="uk-UA"/>
        </w:rPr>
        <w:t xml:space="preserve"> чи це стосується уряду, міжнародних організацій, чи суспільства </w:t>
      </w:r>
      <w:r w:rsidR="002A71B9">
        <w:rPr>
          <w:rFonts w:ascii="Times New Roman" w:eastAsia="Calibri" w:hAnsi="Times New Roman" w:cs="Times New Roman"/>
          <w:sz w:val="28"/>
          <w:szCs w:val="28"/>
          <w:lang w:val="uk-UA"/>
        </w:rPr>
        <w:t>−</w:t>
      </w:r>
      <w:r w:rsidR="00CA602D">
        <w:rPr>
          <w:rFonts w:ascii="Times New Roman" w:eastAsia="Calibri" w:hAnsi="Times New Roman" w:cs="Times New Roman"/>
          <w:sz w:val="28"/>
          <w:szCs w:val="28"/>
          <w:lang w:val="uk-UA"/>
        </w:rPr>
        <w:t xml:space="preserve"> </w:t>
      </w:r>
      <w:r w:rsidRPr="007C58F4">
        <w:rPr>
          <w:rFonts w:ascii="Times New Roman" w:hAnsi="Times New Roman" w:cs="Times New Roman"/>
          <w:sz w:val="28"/>
          <w:szCs w:val="28"/>
          <w:lang w:val="uk-UA"/>
        </w:rPr>
        <w:t>Глобальний договір ООН закликає до ділової співпраці, що є двигуном створення робочих місць, інновацій, капіталу й інвестицій,  прийняти заходи щодо здійснення цілей ООН, включаючи мир і безпеку, цілі розвитку тисячоліття, права людини, права дітей, ґендерну рівність, охорону здоров’я, освіту, гуманітарну допомогу, зайнятість і гідні умови праці, а також боротьбу з корупцією. Компанії повинні віднаходити можливості робити внесок у стійкий розвиток у рамках основної діяльності, соціальних інвестицій і доброчинності й (або) участі в розробці публічних політик сприяння стійкому розвитку». До цього кола завдань безпосередньо примикає розвиток соціального потенціалу, надто актуальний з погляду глобальної проблеми старіння людства.</w:t>
      </w:r>
    </w:p>
    <w:p w14:paraId="0105C227" w14:textId="77777777" w:rsidR="007C58F4" w:rsidRPr="007C58F4" w:rsidRDefault="007C58F4" w:rsidP="007C58F4">
      <w:pPr>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sz w:val="28"/>
          <w:szCs w:val="28"/>
          <w:lang w:val="uk-UA"/>
        </w:rPr>
        <w:t>У кожному суспільстві існує певний «горизонт можливостей», пов’язаний з віковими перепонами, обмеженнями, особливостями взаємодії поколінь, а також суб’єктивною оцінкою здатності до реалізації змін і програмування</w:t>
      </w:r>
      <w:r w:rsidRPr="007C58F4">
        <w:rPr>
          <w:rFonts w:ascii="Times New Roman" w:hAnsi="Times New Roman" w:cs="Times New Roman"/>
          <w:noProof/>
          <w:sz w:val="28"/>
          <w:szCs w:val="28"/>
          <w:lang w:val="uk-UA"/>
        </w:rPr>
        <w:t xml:space="preserve"> життя.</w:t>
      </w:r>
      <w:r w:rsidRPr="007C58F4">
        <w:rPr>
          <w:rFonts w:ascii="Times New Roman" w:hAnsi="Times New Roman" w:cs="Times New Roman"/>
          <w:sz w:val="28"/>
          <w:szCs w:val="28"/>
          <w:lang w:val="uk-UA"/>
        </w:rPr>
        <w:t xml:space="preserve"> Остання залежить насамперед від можливостей передбачення суспільних змін та змін напрямів соціального тиску, а також вироблення варіантів адаптації до них. </w:t>
      </w:r>
      <w:r w:rsidRPr="007C58F4">
        <w:rPr>
          <w:rFonts w:ascii="Times New Roman" w:hAnsi="Times New Roman" w:cs="Times New Roman"/>
          <w:noProof/>
          <w:sz w:val="28"/>
          <w:szCs w:val="28"/>
          <w:lang w:val="uk-UA"/>
        </w:rPr>
        <w:t xml:space="preserve">Слід зауважити, що вивчення суспільства з метою адекватної побудови картини сучасного світу є складним завданням, в першу чергу тому, що теоретичний аналіз проводиться не метафізично, задля віднайдення якихось загальних </w:t>
      </w:r>
      <w:r w:rsidRPr="007C58F4">
        <w:rPr>
          <w:rFonts w:ascii="Times New Roman" w:hAnsi="Times New Roman" w:cs="Times New Roman"/>
          <w:noProof/>
          <w:sz w:val="28"/>
          <w:szCs w:val="28"/>
          <w:lang w:val="uk-UA"/>
        </w:rPr>
        <w:lastRenderedPageBreak/>
        <w:t>закономірностей, що мають вплив не лише на розвиток певних соціальних ситуацій чи навіть законів їх змін, а включає суб’єкта аналізу, з певними методологічними прийомами, які конфігуровані певною парадигмальною єдністю, що визначається як рівнем гносеологічного та епістемологічного арсеналу, так і власним статусом, системою взаємодій, в якій перебуває дослідник.</w:t>
      </w:r>
      <w:r w:rsidRPr="007C58F4">
        <w:rPr>
          <w:rFonts w:ascii="Times New Roman" w:hAnsi="Times New Roman" w:cs="Times New Roman"/>
          <w:sz w:val="28"/>
          <w:szCs w:val="28"/>
          <w:lang w:val="uk-UA"/>
        </w:rPr>
        <w:t xml:space="preserve"> В</w:t>
      </w:r>
      <w:r w:rsidRPr="007C58F4">
        <w:rPr>
          <w:rFonts w:ascii="Times New Roman" w:hAnsi="Times New Roman" w:cs="Times New Roman"/>
          <w:noProof/>
          <w:sz w:val="28"/>
          <w:szCs w:val="28"/>
          <w:lang w:val="uk-UA"/>
        </w:rPr>
        <w:t>изначаючись у багатоплановій і багатовекторній системі сучасного соціологічного розвитку суспільства, вважаємо за доцільне провести аналіз з погляду впливу суспільних реалій на процес формування і функціонування людини як суб’єкта соціальних змін.</w:t>
      </w:r>
    </w:p>
    <w:p w14:paraId="54F60EA2" w14:textId="77777777" w:rsidR="007C58F4" w:rsidRPr="007C58F4" w:rsidRDefault="007C58F4" w:rsidP="007C58F4">
      <w:pPr>
        <w:spacing w:line="360" w:lineRule="auto"/>
        <w:ind w:firstLine="709"/>
        <w:contextualSpacing/>
        <w:jc w:val="both"/>
        <w:rPr>
          <w:rFonts w:ascii="Times New Roman" w:hAnsi="Times New Roman" w:cs="Times New Roman"/>
          <w:sz w:val="28"/>
          <w:szCs w:val="28"/>
          <w:lang w:val="uk-UA"/>
        </w:rPr>
      </w:pPr>
      <w:r w:rsidRPr="007C58F4">
        <w:rPr>
          <w:rFonts w:ascii="Times New Roman" w:hAnsi="Times New Roman" w:cs="Times New Roman"/>
          <w:sz w:val="28"/>
          <w:szCs w:val="28"/>
          <w:lang w:val="uk-UA"/>
        </w:rPr>
        <w:t>Насамперед, існує ряд характеристик які, проявляючись на рівні глобальному, зачіпають і стосуються масштабів розвитку усіх суспільств, хоча й різною мірою. Крім того, залишаються особливості розвитку, притаманні окремим суспільствам та соціальним групам. Тому спробуємо, починаючи від ширшого поля огляду, послідовно розглянути сучасні особливості соціальних процесів. Узагальнюючи існуючий науковий доробок, маємо відмітити, що дослідники, описуючи сучасну соціокультурну реальність, приписують їй ряд таких характеристик:</w:t>
      </w:r>
    </w:p>
    <w:p w14:paraId="7E9C4D18" w14:textId="6F981F89"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неоднорідність, розпад на чітко виражені субкультурні ареали;</w:t>
      </w:r>
    </w:p>
    <w:p w14:paraId="4D467AC5" w14:textId="39FEBEC2"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неоднозначність наслідків соціокультурних змін;</w:t>
      </w:r>
    </w:p>
    <w:p w14:paraId="23E0A485" w14:textId="0CDD9C21"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пришвидшення процесів соціальної стратифікації;</w:t>
      </w:r>
    </w:p>
    <w:p w14:paraId="7C144AB2" w14:textId="2CBB5E5A"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зміна масштабності та складності інформації;</w:t>
      </w:r>
    </w:p>
    <w:p w14:paraId="31827A56" w14:textId="2B1F7DA9"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неоднозначність інформаційного простору;</w:t>
      </w:r>
    </w:p>
    <w:p w14:paraId="759C0FD4" w14:textId="72248380"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нестабільність і нестійкість;</w:t>
      </w:r>
    </w:p>
    <w:p w14:paraId="7F182901" w14:textId="7DD5ADCC"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невизначеність і непередбачуваність;</w:t>
      </w:r>
    </w:p>
    <w:p w14:paraId="5CEA0844" w14:textId="09796552" w:rsidR="007C58F4" w:rsidRPr="007C58F4" w:rsidRDefault="002A71B9" w:rsidP="002A71B9">
      <w:pPr>
        <w:tabs>
          <w:tab w:val="left" w:pos="1134"/>
        </w:tabs>
        <w:spacing w:after="0" w:line="360" w:lineRule="auto"/>
        <w:ind w:left="70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переоцінка цінностей.</w:t>
      </w:r>
    </w:p>
    <w:p w14:paraId="194C111E" w14:textId="47F11058" w:rsidR="007C58F4" w:rsidRPr="007C58F4" w:rsidRDefault="007C58F4" w:rsidP="007C58F4">
      <w:pPr>
        <w:tabs>
          <w:tab w:val="left" w:pos="9360"/>
        </w:tab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Розглянемо докладніше окреслені характеристики соціокультурної реальності. За О. Тоффлером, розвиток цивілізації перебуває на інформаційному етапі </w:t>
      </w:r>
      <w:r w:rsidR="002A71B9">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«третій хвилі». Прихід «третьої хвилі» змінює матрицю усієї цивілізації та її генетичний код</w:t>
      </w:r>
      <w:r w:rsidR="00CA602D">
        <w:rPr>
          <w:rFonts w:ascii="Times New Roman" w:hAnsi="Times New Roman" w:cs="Times New Roman"/>
          <w:noProof/>
          <w:sz w:val="28"/>
          <w:szCs w:val="28"/>
          <w:lang w:val="uk-UA"/>
        </w:rPr>
        <w:t>.</w:t>
      </w:r>
      <w:r w:rsidRPr="007C58F4">
        <w:rPr>
          <w:rFonts w:ascii="Times New Roman" w:hAnsi="Times New Roman" w:cs="Times New Roman"/>
          <w:noProof/>
          <w:sz w:val="28"/>
          <w:szCs w:val="28"/>
          <w:lang w:val="uk-UA"/>
        </w:rPr>
        <w:t xml:space="preserve"> При цьому в таких глобальних змінах суспільного устрою простежується ряд негативних моментів, що ускладнюватимуть побудову стійкої </w:t>
      </w:r>
      <w:r w:rsidRPr="007C58F4">
        <w:rPr>
          <w:rFonts w:ascii="Times New Roman" w:hAnsi="Times New Roman" w:cs="Times New Roman"/>
          <w:noProof/>
          <w:sz w:val="28"/>
          <w:szCs w:val="28"/>
          <w:lang w:val="uk-UA"/>
        </w:rPr>
        <w:lastRenderedPageBreak/>
        <w:t>картини світу, передбачення майбутнього. Можливість вибору особливо актуалізується у кризові періоди розвитку суспільств. Саме в такі епохи людина дійсно перебуває в точці напруженості, а контури майбутнього суспільства, траєкторії розвитку залежать від волі та вибору самої людини.</w:t>
      </w:r>
    </w:p>
    <w:p w14:paraId="16395B68" w14:textId="386819F4" w:rsidR="007C58F4" w:rsidRPr="007C58F4" w:rsidRDefault="007C58F4" w:rsidP="007C58F4">
      <w:pPr>
        <w:tabs>
          <w:tab w:val="left" w:pos="9360"/>
        </w:tab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Суспільство постмодерну та його соціальна реальність постають як своєрідне «поле можливостей» соціальних суб’єктів для реалізації їхньої активності. При цьому можлива багатоваріантність таких дій. Специфіка сьогоднішньої соціальної реальності проявляється у зростаючому динамізмі, розширенні простору свободи та відповідальності індивідів і груп, у пониженні передбачуваності мінливих життєвих ситуацій, постійному відтворенні соціальної невизначеності в суспільстві. За умов невизначеності складаються життєві ситуації переважно відкритого типу, що потребують постійної добудови та переструктурування залежно від вектору мінливих подій, при тому, що швидкість, місце та час цих подій мають вірогіднісний характер. Тому ні самі умови, ні мотивація поведінки індивідів і груп, ні їхні вчинки не є передбачуваними. Коли ж правила гри втрачають однозначність і підлягають постійним змінам </w:t>
      </w:r>
      <w:r w:rsidRPr="007C58F4">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вони трактуються ситуаційно, а спрямованість індивідуальної та групової дії стає випадковою</w:t>
      </w:r>
      <w:r w:rsidR="00CA602D">
        <w:rPr>
          <w:rFonts w:ascii="Times New Roman" w:hAnsi="Times New Roman" w:cs="Times New Roman"/>
          <w:noProof/>
          <w:sz w:val="28"/>
          <w:szCs w:val="28"/>
          <w:lang w:val="uk-UA"/>
        </w:rPr>
        <w:t>.</w:t>
      </w:r>
    </w:p>
    <w:p w14:paraId="31745E67" w14:textId="77777777" w:rsidR="007C58F4" w:rsidRPr="007C58F4" w:rsidRDefault="007C58F4" w:rsidP="007C58F4">
      <w:pPr>
        <w:tabs>
          <w:tab w:val="left" w:pos="9360"/>
        </w:tab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Тому самореалізація може мати спонтанний характер, зумовлений спонтанністю процесів, що відбуваються у самій соціальній системі. За таких умов поведінка та мотивація втрачатимуть ту лінійність, що була закріплена у традиціях. Життєва компетентність, що як ніколи набуває важливого значення, ґрунтується на інших, динамічних засадах </w:t>
      </w:r>
      <w:r w:rsidRPr="007C58F4">
        <w:rPr>
          <w:rFonts w:ascii="Times New Roman" w:eastAsia="Calibri" w:hAnsi="Times New Roman" w:cs="Times New Roman"/>
          <w:sz w:val="28"/>
          <w:szCs w:val="28"/>
          <w:lang w:val="uk-UA"/>
        </w:rPr>
        <w:t>—</w:t>
      </w:r>
      <w:r w:rsidRPr="007C58F4">
        <w:rPr>
          <w:rFonts w:ascii="Times New Roman" w:hAnsi="Times New Roman" w:cs="Times New Roman"/>
          <w:noProof/>
          <w:sz w:val="28"/>
          <w:szCs w:val="28"/>
          <w:lang w:val="uk-UA"/>
        </w:rPr>
        <w:t xml:space="preserve"> освоєнні життєвого простору з погляду можливостей максимальної реалізації соціального потенціалу. Відповідно невизначеність і багатозначність, що сприяють неструктурованості соціальної системи, зумовлюють труднощі в побудові адекватної моделі суб’єктивної реальності.</w:t>
      </w:r>
    </w:p>
    <w:p w14:paraId="3EE3DD13" w14:textId="77777777" w:rsidR="00CA602D" w:rsidRDefault="007C58F4" w:rsidP="007C58F4">
      <w:pPr>
        <w:tabs>
          <w:tab w:val="left" w:pos="9360"/>
        </w:tabs>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Через цю невизначеність може йтися не про чітко сформовану, а лише гіпотетично вибудовувану поведінку, стратегеми якої будуть лабільними до змін у навколишньому середовищі, а їх успішність забезпечуватиметься гнучкістю у подоланні, обходженні перешкод, спадом та підвищенням активності</w:t>
      </w:r>
      <w:r w:rsidR="00CA602D">
        <w:rPr>
          <w:rFonts w:ascii="Times New Roman" w:hAnsi="Times New Roman" w:cs="Times New Roman"/>
          <w:noProof/>
          <w:sz w:val="28"/>
          <w:szCs w:val="28"/>
          <w:lang w:val="uk-UA"/>
        </w:rPr>
        <w:t>.</w:t>
      </w:r>
    </w:p>
    <w:p w14:paraId="5856630B" w14:textId="3E6EE214" w:rsidR="007C58F4" w:rsidRPr="007C58F4" w:rsidRDefault="007C58F4" w:rsidP="007C58F4">
      <w:pPr>
        <w:tabs>
          <w:tab w:val="left" w:pos="9360"/>
        </w:tabs>
        <w:spacing w:line="360" w:lineRule="auto"/>
        <w:ind w:firstLine="709"/>
        <w:contextualSpacing/>
        <w:jc w:val="both"/>
        <w:rPr>
          <w:rFonts w:ascii="Times New Roman" w:hAnsi="Times New Roman" w:cs="Times New Roman"/>
          <w:noProof/>
          <w:sz w:val="28"/>
          <w:szCs w:val="28"/>
        </w:rPr>
      </w:pPr>
      <w:r w:rsidRPr="007C58F4">
        <w:rPr>
          <w:rFonts w:ascii="Times New Roman" w:hAnsi="Times New Roman" w:cs="Times New Roman"/>
          <w:noProof/>
          <w:sz w:val="28"/>
          <w:szCs w:val="28"/>
          <w:lang w:val="uk-UA"/>
        </w:rPr>
        <w:lastRenderedPageBreak/>
        <w:t>Лабільність до змін, поліваріантність постає основною якістю на шляху до забезпечення ефективності життя. Можна констатувати, що важливою ознакою життя сучасного суспільства стає перегляд усієї системи цінностей. Людина втрачає віру в можливість послідовно рухатися до визначених цілей, втрачає значення соціальна стійкість. Сучасна культура розділяє життя на ряд епізодів, що проживаються із наміром попередити будь-які довгострокові наслідки та ухилитися від жорстких зобов’язань, які змусили б прийняти ці наслідки. Це з одного боку. З другого, за таких умов підвищується відчуття того, що кожен суб’єкт є творцем майбутнього та одним із будівників самого себе і світу. Відтак, сучасну життєву компетентність визначає ряд характерних рис, що виникли у людей як наслідок особливостей розвитку нинішнього суспільства:</w:t>
      </w:r>
    </w:p>
    <w:p w14:paraId="05227DBC" w14:textId="060CCC06"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відкритість до експериментів, інновацій та змін;</w:t>
      </w:r>
    </w:p>
    <w:p w14:paraId="173E3585" w14:textId="33FBC3AB"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прийняття плюралізму думок, його схвалення;</w:t>
      </w:r>
    </w:p>
    <w:p w14:paraId="4897E6D7" w14:textId="5C8E4785"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індивідуалізація як спосіб адаптації до мінливих соціальних обставин;</w:t>
      </w:r>
    </w:p>
    <w:p w14:paraId="067F9070" w14:textId="595A8F55"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переважна орієнтація на теперішнє та майбутнє, а не на минуле;</w:t>
      </w:r>
    </w:p>
    <w:p w14:paraId="66D4D35B" w14:textId="02399DCE"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перехід від зовнішнього (формального) до внутрішнього контролю над своїм життям та вчинками;</w:t>
      </w:r>
    </w:p>
    <w:p w14:paraId="0DBD2C85" w14:textId="776786DA"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 xml:space="preserve">готовність до різного роду мобільності </w:t>
      </w:r>
      <w:r w:rsidR="007C58F4" w:rsidRPr="007C58F4">
        <w:rPr>
          <w:rFonts w:ascii="Times New Roman" w:eastAsia="Calibri" w:hAnsi="Times New Roman" w:cs="Times New Roman"/>
          <w:sz w:val="28"/>
          <w:szCs w:val="28"/>
          <w:lang w:val="uk-UA"/>
        </w:rPr>
        <w:t>—</w:t>
      </w:r>
      <w:r w:rsidR="007C58F4" w:rsidRPr="007C58F4">
        <w:rPr>
          <w:rFonts w:ascii="Times New Roman" w:hAnsi="Times New Roman" w:cs="Times New Roman"/>
          <w:noProof/>
          <w:sz w:val="28"/>
          <w:szCs w:val="28"/>
          <w:lang w:val="uk-UA" w:eastAsia="uk-UA"/>
        </w:rPr>
        <w:t xml:space="preserve"> географічної, соціальної, культурної;</w:t>
      </w:r>
    </w:p>
    <w:p w14:paraId="2D61915B" w14:textId="59AD610B"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зростаюче почуття можливості справедливого розподілу ресурсів;</w:t>
      </w:r>
    </w:p>
    <w:p w14:paraId="13121BE4" w14:textId="6B70B989" w:rsidR="007C58F4" w:rsidRPr="007C58F4" w:rsidRDefault="002A71B9" w:rsidP="002A71B9">
      <w:pPr>
        <w:tabs>
          <w:tab w:val="left" w:pos="1134"/>
        </w:tabs>
        <w:spacing w:after="0" w:line="360" w:lineRule="auto"/>
        <w:ind w:left="1069"/>
        <w:contextualSpacing/>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w:t>
      </w:r>
      <w:r w:rsidR="007C58F4" w:rsidRPr="007C58F4">
        <w:rPr>
          <w:rFonts w:ascii="Times New Roman" w:hAnsi="Times New Roman" w:cs="Times New Roman"/>
          <w:noProof/>
          <w:sz w:val="28"/>
          <w:szCs w:val="28"/>
          <w:lang w:val="uk-UA" w:eastAsia="uk-UA"/>
        </w:rPr>
        <w:t>висока цінність формальної освіти та навчання</w:t>
      </w:r>
      <w:r w:rsidR="00CA602D">
        <w:rPr>
          <w:rFonts w:ascii="Times New Roman" w:hAnsi="Times New Roman" w:cs="Times New Roman"/>
          <w:noProof/>
          <w:sz w:val="28"/>
          <w:szCs w:val="28"/>
          <w:lang w:val="uk-UA" w:eastAsia="uk-UA"/>
        </w:rPr>
        <w:t>.</w:t>
      </w:r>
    </w:p>
    <w:p w14:paraId="7CCE16D8" w14:textId="77777777" w:rsidR="00CA602D" w:rsidRDefault="007C58F4" w:rsidP="007C58F4">
      <w:pPr>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У сучасному суспільстві відбувається виникнення нової системи цінностей, на яку змушені орієнтуватися сучасники, вибудовуючи на її основі уже власну систему пріоритетів і відповідні життєві та поведінкові стратегії</w:t>
      </w:r>
      <w:r w:rsidR="00CA602D">
        <w:rPr>
          <w:rFonts w:ascii="Times New Roman" w:hAnsi="Times New Roman" w:cs="Times New Roman"/>
          <w:noProof/>
          <w:sz w:val="28"/>
          <w:szCs w:val="28"/>
          <w:lang w:val="uk-UA"/>
        </w:rPr>
        <w:t>.</w:t>
      </w:r>
    </w:p>
    <w:p w14:paraId="38C4A669" w14:textId="03FF9E82" w:rsidR="007C58F4" w:rsidRPr="007C58F4" w:rsidRDefault="007C58F4" w:rsidP="007C58F4">
      <w:pPr>
        <w:spacing w:line="360" w:lineRule="auto"/>
        <w:ind w:firstLine="709"/>
        <w:contextualSpacing/>
        <w:jc w:val="both"/>
        <w:rPr>
          <w:rFonts w:ascii="Times New Roman" w:hAnsi="Times New Roman" w:cs="Times New Roman"/>
          <w:noProof/>
          <w:sz w:val="28"/>
          <w:szCs w:val="28"/>
          <w:lang w:val="uk-UA"/>
        </w:rPr>
      </w:pPr>
      <w:r w:rsidRPr="007C58F4">
        <w:rPr>
          <w:rFonts w:ascii="Times New Roman" w:hAnsi="Times New Roman" w:cs="Times New Roman"/>
          <w:noProof/>
          <w:sz w:val="28"/>
          <w:szCs w:val="28"/>
          <w:lang w:val="uk-UA"/>
        </w:rPr>
        <w:t xml:space="preserve">Люди старшого віку є тим соціальним прошарком, де мала б накопичуватися життєва компетентність, однак на заваді цьому стає саме життєвий досвід, який відзначає представників похилого віку, бо він був отриманий і ефективно спрацьовував за інших ситуацій. Ця суперечність між швидкоплинністю і поліморфністю життя і непридатністю до них традиційних наборів життєвих </w:t>
      </w:r>
      <w:r w:rsidRPr="007C58F4">
        <w:rPr>
          <w:rFonts w:ascii="Times New Roman" w:hAnsi="Times New Roman" w:cs="Times New Roman"/>
          <w:noProof/>
          <w:sz w:val="28"/>
          <w:szCs w:val="28"/>
          <w:lang w:val="uk-UA"/>
        </w:rPr>
        <w:lastRenderedPageBreak/>
        <w:t>стратегій втілює сутність епохи і накладає свій відбиток на способи життєвого про</w:t>
      </w:r>
      <w:r w:rsidR="009E24E6">
        <w:rPr>
          <w:rFonts w:ascii="Times New Roman" w:hAnsi="Times New Roman" w:cs="Times New Roman"/>
          <w:noProof/>
          <w:sz w:val="28"/>
          <w:szCs w:val="28"/>
          <w:lang w:val="uk-UA"/>
        </w:rPr>
        <w:t>є</w:t>
      </w:r>
      <w:r w:rsidRPr="007C58F4">
        <w:rPr>
          <w:rFonts w:ascii="Times New Roman" w:hAnsi="Times New Roman" w:cs="Times New Roman"/>
          <w:noProof/>
          <w:sz w:val="28"/>
          <w:szCs w:val="28"/>
          <w:lang w:val="uk-UA"/>
        </w:rPr>
        <w:t>ктування.</w:t>
      </w:r>
    </w:p>
    <w:p w14:paraId="6B30E6E7" w14:textId="77777777" w:rsidR="007C58F4" w:rsidRPr="00BD628E" w:rsidRDefault="007C58F4" w:rsidP="007C58F4">
      <w:pPr>
        <w:spacing w:line="360" w:lineRule="auto"/>
        <w:contextualSpacing/>
        <w:jc w:val="both"/>
        <w:rPr>
          <w:noProof/>
          <w:sz w:val="28"/>
          <w:szCs w:val="28"/>
          <w:lang w:val="uk-UA"/>
        </w:rPr>
      </w:pPr>
    </w:p>
    <w:p w14:paraId="00709109" w14:textId="15F69C06" w:rsidR="009E24E6" w:rsidRPr="009E24E6" w:rsidRDefault="009E24E6" w:rsidP="009E24E6">
      <w:pPr>
        <w:spacing w:after="0" w:line="360" w:lineRule="auto"/>
        <w:ind w:firstLine="709"/>
        <w:contextualSpacing/>
        <w:jc w:val="both"/>
        <w:rPr>
          <w:rFonts w:ascii="Times New Roman" w:hAnsi="Times New Roman" w:cs="Times New Roman"/>
          <w:b/>
          <w:bCs/>
          <w:sz w:val="28"/>
          <w:szCs w:val="28"/>
          <w:lang w:val="uk-UA"/>
        </w:rPr>
      </w:pPr>
      <w:r w:rsidRPr="009E24E6">
        <w:rPr>
          <w:rFonts w:ascii="Times New Roman" w:hAnsi="Times New Roman" w:cs="Times New Roman"/>
          <w:b/>
          <w:bCs/>
          <w:sz w:val="28"/>
          <w:szCs w:val="28"/>
          <w:lang w:val="uk-UA"/>
        </w:rPr>
        <w:t>2.</w:t>
      </w:r>
      <w:r>
        <w:rPr>
          <w:rFonts w:ascii="Times New Roman" w:hAnsi="Times New Roman" w:cs="Times New Roman"/>
          <w:b/>
          <w:bCs/>
          <w:sz w:val="28"/>
          <w:szCs w:val="28"/>
          <w:lang w:val="uk-UA"/>
        </w:rPr>
        <w:t>2.</w:t>
      </w:r>
      <w:r w:rsidRPr="009E24E6">
        <w:rPr>
          <w:rFonts w:ascii="Times New Roman" w:hAnsi="Times New Roman" w:cs="Times New Roman"/>
          <w:b/>
          <w:bCs/>
          <w:sz w:val="28"/>
          <w:szCs w:val="28"/>
          <w:lang w:val="uk-UA"/>
        </w:rPr>
        <w:t xml:space="preserve"> Моделі актуалізації соціального потенціалу людей старшого віку </w:t>
      </w:r>
    </w:p>
    <w:p w14:paraId="7978B565" w14:textId="77777777" w:rsidR="009E24E6" w:rsidRPr="009E24E6" w:rsidRDefault="009E24E6" w:rsidP="009E24E6">
      <w:pPr>
        <w:spacing w:after="0" w:line="360" w:lineRule="auto"/>
        <w:ind w:firstLine="709"/>
        <w:contextualSpacing/>
        <w:jc w:val="both"/>
        <w:rPr>
          <w:rFonts w:ascii="Times New Roman" w:hAnsi="Times New Roman" w:cs="Times New Roman"/>
          <w:b/>
          <w:bCs/>
          <w:sz w:val="28"/>
          <w:szCs w:val="28"/>
          <w:lang w:val="uk-UA"/>
        </w:rPr>
      </w:pPr>
    </w:p>
    <w:p w14:paraId="36D8CD7A" w14:textId="6991E8BF" w:rsidR="00A24E1C" w:rsidRDefault="009E24E6" w:rsidP="009E24E6">
      <w:pPr>
        <w:spacing w:after="0" w:line="360" w:lineRule="auto"/>
        <w:ind w:firstLine="709"/>
        <w:contextualSpacing/>
        <w:jc w:val="both"/>
        <w:rPr>
          <w:rFonts w:ascii="Times New Roman" w:hAnsi="Times New Roman" w:cs="Times New Roman"/>
          <w:sz w:val="28"/>
          <w:szCs w:val="28"/>
          <w:lang w:val="uk-UA" w:eastAsia="zh-CN"/>
        </w:rPr>
      </w:pPr>
      <w:r w:rsidRPr="009E24E6">
        <w:rPr>
          <w:rFonts w:ascii="Times New Roman" w:hAnsi="Times New Roman" w:cs="Times New Roman"/>
          <w:sz w:val="28"/>
          <w:szCs w:val="28"/>
          <w:lang w:val="uk-UA" w:eastAsia="zh-CN"/>
        </w:rPr>
        <w:t xml:space="preserve">За сучасних умов інтенсифікації демографічного старіння можливі два варіанти розвитку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стагнація або зростання якості життя. Демографічні зміни, за ним, вимагають адаптації економічних і соціальних інститутів до нових умов</w:t>
      </w:r>
      <w:r w:rsidR="00A24E1C">
        <w:rPr>
          <w:rFonts w:ascii="Times New Roman" w:hAnsi="Times New Roman" w:cs="Times New Roman"/>
          <w:sz w:val="28"/>
          <w:szCs w:val="28"/>
          <w:lang w:val="uk-UA" w:eastAsia="zh-CN"/>
        </w:rPr>
        <w:t>.</w:t>
      </w:r>
    </w:p>
    <w:p w14:paraId="2B4D74B9" w14:textId="1CD345AA" w:rsidR="009E24E6" w:rsidRPr="009E24E6" w:rsidRDefault="009E24E6" w:rsidP="009E24E6">
      <w:pPr>
        <w:spacing w:after="0" w:line="360" w:lineRule="auto"/>
        <w:ind w:firstLine="709"/>
        <w:contextualSpacing/>
        <w:jc w:val="both"/>
        <w:rPr>
          <w:rFonts w:ascii="Times New Roman" w:hAnsi="Times New Roman" w:cs="Times New Roman"/>
          <w:sz w:val="28"/>
          <w:szCs w:val="28"/>
          <w:lang w:eastAsia="zh-CN"/>
        </w:rPr>
      </w:pPr>
      <w:r w:rsidRPr="009E24E6">
        <w:rPr>
          <w:rFonts w:ascii="Times New Roman" w:hAnsi="Times New Roman" w:cs="Times New Roman"/>
          <w:sz w:val="28"/>
          <w:szCs w:val="28"/>
          <w:lang w:val="uk-UA" w:eastAsia="zh-CN"/>
        </w:rPr>
        <w:t xml:space="preserve">Використання саме соціальних ресурсів, таким чином, виступає пріоритетним напрямом у створенні програм соціального розвитку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як такого, що не лише гарантує підвищення рівня життя, проте й відкриває можливості для самореалізації, і в цьому процесі провідну роль має відігравати старше покоління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та соціально-вікова група, що здатна за рахунок набутого соціального потенціалу не тільки розв’язувати власні внутрішньогрупові проблеми, а й виступати локомотивом для інших вікових груп.</w:t>
      </w:r>
    </w:p>
    <w:p w14:paraId="24E0FE03" w14:textId="2D184659" w:rsidR="00A24E1C" w:rsidRDefault="009E24E6" w:rsidP="009E24E6">
      <w:pPr>
        <w:spacing w:after="0" w:line="360" w:lineRule="auto"/>
        <w:ind w:firstLine="709"/>
        <w:contextualSpacing/>
        <w:jc w:val="both"/>
        <w:rPr>
          <w:rFonts w:ascii="Times New Roman" w:hAnsi="Times New Roman" w:cs="Times New Roman"/>
          <w:sz w:val="28"/>
          <w:szCs w:val="28"/>
          <w:lang w:val="uk-UA" w:eastAsia="zh-CN"/>
        </w:rPr>
      </w:pPr>
      <w:r w:rsidRPr="009E24E6">
        <w:rPr>
          <w:rFonts w:ascii="Times New Roman" w:hAnsi="Times New Roman" w:cs="Times New Roman"/>
          <w:sz w:val="28"/>
          <w:szCs w:val="28"/>
          <w:lang w:val="uk-UA" w:eastAsia="zh-CN"/>
        </w:rPr>
        <w:t xml:space="preserve">При цьому йдеться і про внутрішній соціальний потенціал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потенціал населення певного суспільства, і зовнішній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потенціал, актуалізований за рахунок залучення мігрантів унаслідок розробки відповідних програм. Характерно, що розвинені країни переорієнтовуються на актуалізацію внутрішнього потенціалу, шукаючи резерви соціального поступу в розвитку та використанні здібностей різних верств та груп власного населення. У цьому є ряд переваг, насамперед стабільність ситуації з внутрішніми ресурсами, що за всіх досягнень глобалізації є більш надійним резервом, принаймні за рахунок зниження можливості соціальних конфліктів унаслідок незбіжності цінностей і боротьби за кращі соціальні позиції між місцевим та приїжджим населенням. </w:t>
      </w:r>
    </w:p>
    <w:p w14:paraId="558394A7" w14:textId="76671513" w:rsidR="009E24E6" w:rsidRPr="009E24E6"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eastAsia="zh-CN"/>
        </w:rPr>
        <w:t xml:space="preserve">Крім того, розвинені країни зіткнулися з проблемою суттєво нижчого освітньо-кваліфікаційного рівня приїжджих порівняно з власним населенням і конфліктами, породженими небажанням приїжджих маргіналів інтегруватися в нове суспільство шляхом асиміляції та адаптації. Політика ангажування кращих </w:t>
      </w:r>
      <w:r w:rsidRPr="009E24E6">
        <w:rPr>
          <w:rFonts w:ascii="Times New Roman" w:hAnsi="Times New Roman" w:cs="Times New Roman"/>
          <w:sz w:val="28"/>
          <w:szCs w:val="28"/>
          <w:lang w:val="uk-UA" w:eastAsia="zh-CN"/>
        </w:rPr>
        <w:lastRenderedPageBreak/>
        <w:t>кадрів з високим рівнем кваліфікації теж має свої недоліки, пов’язані зі змішуванням культур та подальшим відтоком капіталу за межі країни у випадках тимчасового заробітчанства</w:t>
      </w:r>
      <w:r w:rsidR="00A24E1C">
        <w:rPr>
          <w:rFonts w:ascii="Times New Roman" w:hAnsi="Times New Roman" w:cs="Times New Roman"/>
          <w:sz w:val="28"/>
          <w:szCs w:val="28"/>
          <w:lang w:val="uk-UA" w:eastAsia="zh-CN"/>
        </w:rPr>
        <w:t>.</w:t>
      </w:r>
    </w:p>
    <w:p w14:paraId="33EAB465" w14:textId="30982CC0" w:rsidR="009E24E6" w:rsidRPr="009E24E6"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eastAsia="zh-CN"/>
        </w:rPr>
        <w:t xml:space="preserve">Віковий прошарок «молодих старих» у розвинених країнах почав формуватися </w:t>
      </w:r>
      <w:r w:rsidRPr="009E24E6">
        <w:rPr>
          <w:rFonts w:ascii="Times New Roman" w:hAnsi="Times New Roman" w:cs="Times New Roman"/>
          <w:sz w:val="28"/>
          <w:szCs w:val="28"/>
          <w:lang w:eastAsia="zh-CN"/>
        </w:rPr>
        <w:t xml:space="preserve">ще </w:t>
      </w:r>
      <w:r w:rsidRPr="009E24E6">
        <w:rPr>
          <w:rFonts w:ascii="Times New Roman" w:hAnsi="Times New Roman" w:cs="Times New Roman"/>
          <w:sz w:val="28"/>
          <w:szCs w:val="28"/>
          <w:lang w:val="uk-UA" w:eastAsia="zh-CN"/>
        </w:rPr>
        <w:t xml:space="preserve">в 1940-1960-х роках, тож країни Заходу уже володіють певним досвідом протидії негативним наслідкам демографічного старіння. ООН скликано Першу Всесвітню асамблею з проблем старіння та складено ряд рекомендацій щодо покращення умов життя старших людей. </w:t>
      </w:r>
      <w:r w:rsidRPr="009E24E6">
        <w:rPr>
          <w:rFonts w:ascii="Times New Roman" w:hAnsi="Times New Roman" w:cs="Times New Roman"/>
          <w:sz w:val="28"/>
          <w:szCs w:val="28"/>
          <w:lang w:val="uk-UA"/>
        </w:rPr>
        <w:t>Світовим банком була запропонована концепція «кризи старіння», що швидко набула популярності, бо людство ніколи до цього не жило в подібній ситуації і вже починає потерпати від її наслідків. За нею, незнання живить страхи та міфологію кризи, тоді як має йтися про необхідність розвитку реабілітаційної медицини, страхування, турботу та підтримку зайнятості похилих шляхом податкових пільг працедавцям, які забезпечують старших робочими місцями. В Мадриді ООН скликано ІІ Всесвітню асамблею з проблем старіння та встановлено пріоритетні напрями діяльності:</w:t>
      </w:r>
    </w:p>
    <w:p w14:paraId="4E17457B" w14:textId="38C5E5C2" w:rsidR="009E24E6" w:rsidRPr="009E24E6" w:rsidRDefault="002A71B9" w:rsidP="009E24E6">
      <w:pPr>
        <w:spacing w:after="0"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9E24E6" w:rsidRPr="009E24E6">
        <w:rPr>
          <w:rFonts w:ascii="Times New Roman" w:hAnsi="Times New Roman" w:cs="Times New Roman"/>
          <w:sz w:val="28"/>
          <w:szCs w:val="28"/>
          <w:lang w:val="uk-UA"/>
        </w:rPr>
        <w:t xml:space="preserve"> участь похилих в розвитку;</w:t>
      </w:r>
    </w:p>
    <w:p w14:paraId="6DD161C3" w14:textId="382FBC3B" w:rsidR="009E24E6" w:rsidRPr="009E24E6" w:rsidRDefault="002A71B9" w:rsidP="009E24E6">
      <w:pPr>
        <w:spacing w:after="0"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9E24E6" w:rsidRPr="009E24E6">
        <w:rPr>
          <w:rFonts w:ascii="Times New Roman" w:hAnsi="Times New Roman" w:cs="Times New Roman"/>
          <w:sz w:val="28"/>
          <w:szCs w:val="28"/>
          <w:lang w:val="uk-UA"/>
        </w:rPr>
        <w:t xml:space="preserve"> забезпечення охорони здоров’я;</w:t>
      </w:r>
    </w:p>
    <w:p w14:paraId="14A06D21" w14:textId="499F16F0" w:rsidR="009E24E6" w:rsidRPr="009E24E6" w:rsidRDefault="002A71B9" w:rsidP="009E24E6">
      <w:pPr>
        <w:spacing w:after="0" w:line="360" w:lineRule="auto"/>
        <w:ind w:firstLine="709"/>
        <w:contextualSpacing/>
        <w:jc w:val="both"/>
        <w:rPr>
          <w:rFonts w:ascii="Times New Roman" w:hAnsi="Times New Roman" w:cs="Times New Roman"/>
          <w:color w:val="0D0D0D"/>
          <w:sz w:val="28"/>
          <w:szCs w:val="28"/>
          <w:lang w:val="uk-UA"/>
        </w:rPr>
      </w:pPr>
      <w:r>
        <w:rPr>
          <w:rFonts w:ascii="Times New Roman" w:eastAsia="Calibri" w:hAnsi="Times New Roman" w:cs="Times New Roman"/>
          <w:sz w:val="28"/>
          <w:szCs w:val="28"/>
          <w:lang w:val="uk-UA"/>
        </w:rPr>
        <w:t>-</w:t>
      </w:r>
      <w:r w:rsidR="009E24E6" w:rsidRPr="009E24E6">
        <w:rPr>
          <w:rFonts w:ascii="Times New Roman" w:hAnsi="Times New Roman" w:cs="Times New Roman"/>
          <w:sz w:val="28"/>
          <w:szCs w:val="28"/>
          <w:lang w:val="uk-UA"/>
        </w:rPr>
        <w:t xml:space="preserve"> створення сприятливих умов</w:t>
      </w:r>
      <w:r w:rsidR="00A24E1C">
        <w:rPr>
          <w:rFonts w:ascii="Times New Roman" w:hAnsi="Times New Roman" w:cs="Times New Roman"/>
          <w:sz w:val="28"/>
          <w:szCs w:val="28"/>
          <w:lang w:val="uk-UA"/>
        </w:rPr>
        <w:t>.</w:t>
      </w:r>
    </w:p>
    <w:p w14:paraId="7AAC5C88" w14:textId="1F3910D7" w:rsidR="00A24E1C" w:rsidRDefault="009E24E6" w:rsidP="009E24E6">
      <w:pPr>
        <w:spacing w:after="0" w:line="360" w:lineRule="auto"/>
        <w:ind w:firstLine="709"/>
        <w:contextualSpacing/>
        <w:jc w:val="both"/>
        <w:rPr>
          <w:rFonts w:ascii="Times New Roman" w:hAnsi="Times New Roman" w:cs="Times New Roman"/>
          <w:sz w:val="28"/>
          <w:szCs w:val="28"/>
          <w:lang w:val="uk-UA" w:eastAsia="zh-CN"/>
        </w:rPr>
      </w:pPr>
      <w:r w:rsidRPr="009E24E6">
        <w:rPr>
          <w:rFonts w:ascii="Times New Roman" w:hAnsi="Times New Roman" w:cs="Times New Roman"/>
          <w:sz w:val="28"/>
          <w:szCs w:val="28"/>
          <w:lang w:val="uk-UA" w:eastAsia="zh-CN"/>
        </w:rPr>
        <w:t>В Україні проблема старіння останніми роками також загострилася. Проте, попри участь в прийнятті Мадридського плану дій з проблем старіння, особливих успіхів в цьому досягнуто не було</w:t>
      </w:r>
      <w:r w:rsidR="00A24E1C">
        <w:rPr>
          <w:rFonts w:ascii="Times New Roman" w:hAnsi="Times New Roman" w:cs="Times New Roman"/>
          <w:sz w:val="28"/>
          <w:szCs w:val="28"/>
          <w:lang w:val="uk-UA" w:eastAsia="zh-CN"/>
        </w:rPr>
        <w:t xml:space="preserve">. </w:t>
      </w:r>
      <w:r w:rsidRPr="009E24E6">
        <w:rPr>
          <w:rFonts w:ascii="Times New Roman" w:hAnsi="Times New Roman" w:cs="Times New Roman"/>
          <w:sz w:val="28"/>
          <w:szCs w:val="28"/>
          <w:lang w:val="uk-UA" w:eastAsia="zh-CN"/>
        </w:rPr>
        <w:t>Звісно, українські реалії відрізняються від західних хоча б тим, що в нас старіння має дещо інші детермінанти і переважно має вигляд старіння «знизу»</w:t>
      </w:r>
      <w:r w:rsidRPr="009E24E6">
        <w:rPr>
          <w:rFonts w:ascii="Times New Roman" w:eastAsia="Calibri" w:hAnsi="Times New Roman" w:cs="Times New Roman"/>
          <w:sz w:val="28"/>
          <w:szCs w:val="28"/>
          <w:lang w:val="uk-UA"/>
        </w:rPr>
        <w:t xml:space="preserve">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за рахунок зменшення смертності серед населення середнього віку, тоді як на Заході це старіння «згори»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eastAsia="zh-CN"/>
        </w:rPr>
        <w:t xml:space="preserve"> за рахунок підвищення тривалості життя</w:t>
      </w:r>
      <w:r w:rsidR="00A24E1C">
        <w:rPr>
          <w:rFonts w:ascii="Times New Roman" w:hAnsi="Times New Roman" w:cs="Times New Roman"/>
          <w:sz w:val="28"/>
          <w:szCs w:val="28"/>
          <w:lang w:val="uk-UA" w:eastAsia="zh-CN"/>
        </w:rPr>
        <w:t>.</w:t>
      </w:r>
    </w:p>
    <w:p w14:paraId="6987450E" w14:textId="587E2709" w:rsidR="009E24E6" w:rsidRPr="009E24E6"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eastAsia="zh-CN"/>
        </w:rPr>
        <w:t xml:space="preserve">Водночас ігнорувати досвід і стратегії, вироблені в розвинених країнах протягом останніх десятиліть, не варто. У сучасній гонитві за ресурсами втрата активності значною (ще й такою, що дедалі збільшується), часткою населення як з соціальної, так і з економічної позицій виступають неприпустимим </w:t>
      </w:r>
      <w:r w:rsidRPr="009E24E6">
        <w:rPr>
          <w:rFonts w:ascii="Times New Roman" w:hAnsi="Times New Roman" w:cs="Times New Roman"/>
          <w:sz w:val="28"/>
          <w:szCs w:val="28"/>
          <w:lang w:val="uk-UA" w:eastAsia="zh-CN"/>
        </w:rPr>
        <w:lastRenderedPageBreak/>
        <w:t>марнотратством, тим паче, що насамперед нехтування соціальним потенціалом старшої вікової групи «вдаряє» саме по цій групі як залежній від економічного становища суспільства і чи не найменш</w:t>
      </w:r>
      <w:r w:rsidRPr="009E24E6">
        <w:rPr>
          <w:rFonts w:ascii="Times New Roman" w:hAnsi="Times New Roman" w:cs="Times New Roman"/>
          <w:sz w:val="28"/>
          <w:szCs w:val="28"/>
          <w:lang w:val="uk-UA"/>
        </w:rPr>
        <w:t xml:space="preserve"> захищеній.</w:t>
      </w:r>
    </w:p>
    <w:p w14:paraId="757F26B2" w14:textId="77777777" w:rsidR="00A24E1C"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rPr>
        <w:t>Слід сказати, що наукові теорії, пов’язані з реалізацією можливостей людей старшого віку, на сьогодні переорієнтувалися з суто теоретичної площини розгляду до вивчення можливостей практичної реалізації для стабілізації суспільного розвитку та зниження міжпоколінної напруженості в зв’язку з навантаженням на економічно активну молодь. Ці теорії мають назви успішного та активного старіння й виникли на противагу теоретичним уявленням про необхідність та неминучість виключення старшого покоління з активного суспільного життя</w:t>
      </w:r>
      <w:r w:rsidR="00A24E1C">
        <w:rPr>
          <w:rFonts w:ascii="Times New Roman" w:hAnsi="Times New Roman" w:cs="Times New Roman"/>
          <w:sz w:val="28"/>
          <w:szCs w:val="28"/>
          <w:lang w:val="uk-UA"/>
        </w:rPr>
        <w:t>.</w:t>
      </w:r>
    </w:p>
    <w:p w14:paraId="05712187" w14:textId="6B47CF5C" w:rsidR="009E24E6" w:rsidRPr="009E24E6" w:rsidRDefault="009E24E6" w:rsidP="009E24E6">
      <w:pPr>
        <w:spacing w:after="0" w:line="360" w:lineRule="auto"/>
        <w:ind w:firstLine="709"/>
        <w:contextualSpacing/>
        <w:jc w:val="both"/>
        <w:rPr>
          <w:rFonts w:ascii="Times New Roman" w:hAnsi="Times New Roman" w:cs="Times New Roman"/>
          <w:sz w:val="28"/>
          <w:szCs w:val="28"/>
        </w:rPr>
      </w:pPr>
      <w:r w:rsidRPr="009E24E6">
        <w:rPr>
          <w:rFonts w:ascii="Times New Roman" w:hAnsi="Times New Roman" w:cs="Times New Roman"/>
          <w:sz w:val="28"/>
          <w:szCs w:val="28"/>
          <w:lang w:val="uk-UA"/>
        </w:rPr>
        <w:t>Появу теорій успішного старіння та активного старіння можна простежити від теорії діяльності, що була поширеною в США</w:t>
      </w:r>
      <w:r w:rsidR="00A24E1C">
        <w:rPr>
          <w:rFonts w:ascii="Times New Roman" w:hAnsi="Times New Roman" w:cs="Times New Roman"/>
          <w:sz w:val="28"/>
          <w:szCs w:val="28"/>
          <w:lang w:val="uk-UA"/>
        </w:rPr>
        <w:t>.</w:t>
      </w:r>
    </w:p>
    <w:p w14:paraId="6A29E1CD" w14:textId="77777777" w:rsidR="00A24E1C"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rPr>
        <w:t>Найбільш поширеними термінами, запровадженими протягом останніх десятиліть, стали «успішне старіння» у Сполучених Штатах (цю концепцію, зокрема, розвивають Дж. Баррет і Ц. МакГолдрік)</w:t>
      </w:r>
      <w:r w:rsidR="00A24E1C">
        <w:rPr>
          <w:rFonts w:ascii="Times New Roman" w:hAnsi="Times New Roman" w:cs="Times New Roman"/>
          <w:sz w:val="28"/>
          <w:szCs w:val="28"/>
          <w:lang w:val="uk-UA"/>
        </w:rPr>
        <w:t>.</w:t>
      </w:r>
    </w:p>
    <w:p w14:paraId="601FD9AF" w14:textId="1C6C0926" w:rsidR="009E24E6" w:rsidRPr="009E24E6" w:rsidRDefault="009E24E6" w:rsidP="009E24E6">
      <w:pPr>
        <w:spacing w:after="0" w:line="360" w:lineRule="auto"/>
        <w:ind w:firstLine="709"/>
        <w:contextualSpacing/>
        <w:jc w:val="both"/>
        <w:rPr>
          <w:rFonts w:ascii="Times New Roman" w:eastAsia="Calibri" w:hAnsi="Times New Roman" w:cs="Times New Roman"/>
          <w:sz w:val="28"/>
          <w:szCs w:val="28"/>
          <w:lang w:val="uk-UA"/>
        </w:rPr>
      </w:pPr>
      <w:r w:rsidRPr="009E24E6">
        <w:rPr>
          <w:rFonts w:ascii="Times New Roman" w:hAnsi="Times New Roman" w:cs="Times New Roman"/>
          <w:sz w:val="28"/>
          <w:szCs w:val="28"/>
          <w:lang w:val="uk-UA"/>
        </w:rPr>
        <w:t xml:space="preserve">Незважаючи на те, що ці терміни часто використовуються взаємозамінно, за своєю суттю, ці теорії </w:t>
      </w:r>
      <w:r w:rsidR="002A71B9">
        <w:rPr>
          <w:rFonts w:ascii="Times New Roman" w:eastAsia="Calibri" w:hAnsi="Times New Roman" w:cs="Times New Roman"/>
          <w:sz w:val="28"/>
          <w:szCs w:val="28"/>
          <w:lang w:val="uk-UA"/>
        </w:rPr>
        <w:t>−</w:t>
      </w:r>
      <w:r w:rsidRPr="009E24E6">
        <w:rPr>
          <w:rFonts w:ascii="Times New Roman" w:hAnsi="Times New Roman" w:cs="Times New Roman"/>
          <w:sz w:val="28"/>
          <w:szCs w:val="28"/>
          <w:lang w:val="uk-UA"/>
        </w:rPr>
        <w:t xml:space="preserve"> різновиди антитези теорії про звільнення, вилучення старших людей з суспільства.</w:t>
      </w:r>
    </w:p>
    <w:p w14:paraId="11A2B9CC" w14:textId="77777777" w:rsidR="00A24E1C"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rPr>
        <w:t>Ще всередині минулого століття панували наукові припущення про те, що для старшого покоління «звільнення» є універсальним і неминучим. Цей соціально-геронтологічний підхід піддався критиці за ігнорування оцінки ситуації самими людьми похилого віку</w:t>
      </w:r>
      <w:r w:rsidR="00A24E1C">
        <w:rPr>
          <w:rFonts w:ascii="Times New Roman" w:hAnsi="Times New Roman" w:cs="Times New Roman"/>
          <w:sz w:val="28"/>
          <w:szCs w:val="28"/>
          <w:lang w:val="uk-UA"/>
        </w:rPr>
        <w:t>.</w:t>
      </w:r>
    </w:p>
    <w:p w14:paraId="40EEFDC5" w14:textId="4B6F8DE0" w:rsidR="009E24E6" w:rsidRPr="009E24E6" w:rsidRDefault="009E24E6" w:rsidP="009E24E6">
      <w:pPr>
        <w:spacing w:after="0" w:line="360" w:lineRule="auto"/>
        <w:ind w:firstLine="709"/>
        <w:contextualSpacing/>
        <w:jc w:val="both"/>
        <w:rPr>
          <w:rFonts w:ascii="Times New Roman" w:hAnsi="Times New Roman" w:cs="Times New Roman"/>
          <w:sz w:val="28"/>
          <w:szCs w:val="28"/>
          <w:lang w:val="uk-UA"/>
        </w:rPr>
      </w:pPr>
      <w:r w:rsidRPr="009E24E6">
        <w:rPr>
          <w:rFonts w:ascii="Times New Roman" w:hAnsi="Times New Roman" w:cs="Times New Roman"/>
          <w:sz w:val="28"/>
          <w:szCs w:val="28"/>
          <w:lang w:val="uk-UA"/>
        </w:rPr>
        <w:t>На перший погляд, теорії успішного та активного старіння відображають оптимум використання можливостей старшого віку, проте й тут існують деякі розходження.</w:t>
      </w:r>
    </w:p>
    <w:p w14:paraId="2B8A3753" w14:textId="19512142" w:rsidR="009E24E6" w:rsidRPr="009E24E6" w:rsidRDefault="009E24E6" w:rsidP="009E24E6">
      <w:pPr>
        <w:spacing w:after="0" w:line="360" w:lineRule="auto"/>
        <w:ind w:firstLine="709"/>
        <w:contextualSpacing/>
        <w:jc w:val="both"/>
        <w:rPr>
          <w:rFonts w:ascii="Times New Roman" w:hAnsi="Times New Roman" w:cs="Times New Roman"/>
          <w:sz w:val="28"/>
          <w:szCs w:val="28"/>
          <w:lang w:val="uk-UA" w:eastAsia="zh-CN"/>
        </w:rPr>
      </w:pPr>
      <w:r w:rsidRPr="009E24E6">
        <w:rPr>
          <w:rFonts w:ascii="Times New Roman" w:hAnsi="Times New Roman" w:cs="Times New Roman"/>
          <w:sz w:val="28"/>
          <w:szCs w:val="28"/>
          <w:lang w:val="uk-UA" w:eastAsia="zh-CN"/>
        </w:rPr>
        <w:t>На теперішній час у країнах Заходу прийняті терміни «люди третього віку» та «люди четвертого віку». Йдеться не лише про вікові відмінності, а й про їхні можливості. В інтерпретації Д. Керцера та П.</w:t>
      </w:r>
      <w:r w:rsidRPr="009E24E6">
        <w:rPr>
          <w:rFonts w:ascii="Times New Roman" w:hAnsi="Times New Roman" w:cs="Times New Roman"/>
          <w:sz w:val="28"/>
          <w:szCs w:val="28"/>
          <w:lang w:val="en-US" w:eastAsia="zh-CN"/>
        </w:rPr>
        <w:t> </w:t>
      </w:r>
      <w:r w:rsidRPr="009E24E6">
        <w:rPr>
          <w:rFonts w:ascii="Times New Roman" w:hAnsi="Times New Roman" w:cs="Times New Roman"/>
          <w:sz w:val="28"/>
          <w:szCs w:val="28"/>
          <w:lang w:val="uk-UA" w:eastAsia="zh-CN"/>
        </w:rPr>
        <w:t xml:space="preserve">Ласлетта, представники «третього віку» </w:t>
      </w:r>
      <w:r w:rsidR="002A71B9">
        <w:rPr>
          <w:rFonts w:ascii="Times New Roman" w:hAnsi="Times New Roman" w:cs="Times New Roman"/>
          <w:sz w:val="28"/>
          <w:szCs w:val="28"/>
          <w:lang w:val="uk-UA"/>
        </w:rPr>
        <w:t>−</w:t>
      </w:r>
      <w:r w:rsidRPr="009E24E6">
        <w:rPr>
          <w:rFonts w:ascii="Times New Roman" w:hAnsi="Times New Roman" w:cs="Times New Roman"/>
          <w:sz w:val="28"/>
          <w:szCs w:val="28"/>
          <w:lang w:val="uk-UA" w:eastAsia="zh-CN"/>
        </w:rPr>
        <w:t xml:space="preserve"> це продукт успішного економічного, соціального та демографічного </w:t>
      </w:r>
      <w:r w:rsidRPr="009E24E6">
        <w:rPr>
          <w:rFonts w:ascii="Times New Roman" w:hAnsi="Times New Roman" w:cs="Times New Roman"/>
          <w:sz w:val="28"/>
          <w:szCs w:val="28"/>
          <w:lang w:val="uk-UA" w:eastAsia="zh-CN"/>
        </w:rPr>
        <w:lastRenderedPageBreak/>
        <w:t xml:space="preserve">розвитку суспільства, відповідно, формально можуть бути віднесеними до групи похилих, проте за станом здоров’я, знаннями, вміннями, бажаннями продовжувати професійну діяльність вони, швидше, можуть бути віднесеними до групи «мудрих дорослих» </w:t>
      </w:r>
      <w:r w:rsidR="002A71B9">
        <w:rPr>
          <w:rFonts w:ascii="Times New Roman" w:hAnsi="Times New Roman" w:cs="Times New Roman"/>
          <w:sz w:val="28"/>
          <w:szCs w:val="28"/>
          <w:lang w:val="uk-UA"/>
        </w:rPr>
        <w:t>−</w:t>
      </w:r>
      <w:r w:rsidRPr="009E24E6">
        <w:rPr>
          <w:rFonts w:ascii="Times New Roman" w:hAnsi="Times New Roman" w:cs="Times New Roman"/>
          <w:sz w:val="28"/>
          <w:szCs w:val="28"/>
          <w:lang w:val="uk-UA" w:eastAsia="zh-CN"/>
        </w:rPr>
        <w:t xml:space="preserve"> таких, що становлять значний ресурсний потенціал суспільства. Ресурсний потенціал старших тут розуміється як якісні характеристики індивіда, значущі для нього особисто та такі, що дають можливість ефективно взаємодіяти з іншими людьми, брати участь у соціально-економічному житті суспільства</w:t>
      </w:r>
      <w:r w:rsidR="00A24E1C">
        <w:rPr>
          <w:rFonts w:ascii="Times New Roman" w:hAnsi="Times New Roman" w:cs="Times New Roman"/>
          <w:sz w:val="28"/>
          <w:szCs w:val="28"/>
          <w:lang w:val="uk-UA" w:eastAsia="zh-CN"/>
        </w:rPr>
        <w:t>.</w:t>
      </w:r>
    </w:p>
    <w:p w14:paraId="70792CF0" w14:textId="77777777" w:rsidR="009E24E6" w:rsidRPr="00D97F1B" w:rsidRDefault="009E24E6" w:rsidP="00D97F1B">
      <w:pPr>
        <w:spacing w:after="0" w:line="360" w:lineRule="auto"/>
        <w:ind w:firstLine="709"/>
        <w:contextualSpacing/>
        <w:jc w:val="both"/>
        <w:rPr>
          <w:rFonts w:ascii="Times New Roman" w:hAnsi="Times New Roman" w:cs="Times New Roman"/>
          <w:sz w:val="28"/>
          <w:szCs w:val="28"/>
          <w:lang w:val="uk-UA" w:eastAsia="zh-CN"/>
        </w:rPr>
      </w:pPr>
      <w:r w:rsidRPr="009E24E6">
        <w:rPr>
          <w:rFonts w:ascii="Times New Roman" w:hAnsi="Times New Roman" w:cs="Times New Roman"/>
          <w:sz w:val="28"/>
          <w:szCs w:val="28"/>
          <w:lang w:val="uk-UA"/>
        </w:rPr>
        <w:t xml:space="preserve">Окреслюючи питання старіння, ми опиняємося перед кількома варіантами розгляду: по-перше, це можливості для покращення самопочуття самої старшої групи, по-друге, це необхідність підвищення ресурсності цієї групи, бо збільшення частки людей старшого віку створює додаткове навантаження для молодого </w:t>
      </w:r>
      <w:r w:rsidRPr="00D97F1B">
        <w:rPr>
          <w:rFonts w:ascii="Times New Roman" w:hAnsi="Times New Roman" w:cs="Times New Roman"/>
          <w:sz w:val="28"/>
          <w:szCs w:val="28"/>
          <w:lang w:val="uk-UA"/>
        </w:rPr>
        <w:t>економічно активного населення.</w:t>
      </w:r>
      <w:r w:rsidRPr="00D97F1B">
        <w:rPr>
          <w:rFonts w:ascii="Times New Roman" w:hAnsi="Times New Roman" w:cs="Times New Roman"/>
          <w:sz w:val="28"/>
          <w:szCs w:val="28"/>
          <w:lang w:val="uk-UA" w:eastAsia="zh-CN"/>
        </w:rPr>
        <w:t xml:space="preserve"> Розглянемо, як ці питання вирішують теорії успішного та активного старіння.</w:t>
      </w:r>
    </w:p>
    <w:p w14:paraId="5B25D69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2.  </w:t>
      </w:r>
      <w:r w:rsidRPr="00D97F1B">
        <w:rPr>
          <w:rFonts w:ascii="Times New Roman" w:hAnsi="Times New Roman" w:cs="Times New Roman"/>
          <w:sz w:val="28"/>
          <w:szCs w:val="28"/>
        </w:rPr>
        <w:t>Емоційно-вольова сфера</w:t>
      </w:r>
      <w:r w:rsidRPr="00D97F1B">
        <w:rPr>
          <w:rFonts w:ascii="Times New Roman" w:hAnsi="Times New Roman" w:cs="Times New Roman"/>
          <w:sz w:val="28"/>
          <w:szCs w:val="28"/>
          <w:lang w:val="uk-UA"/>
        </w:rPr>
        <w:t>.</w:t>
      </w:r>
    </w:p>
    <w:p w14:paraId="55A5DFE8" w14:textId="4FD227FA"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Е</w:t>
      </w:r>
      <w:r w:rsidRPr="00D97F1B">
        <w:rPr>
          <w:rFonts w:ascii="Times New Roman" w:hAnsi="Times New Roman" w:cs="Times New Roman"/>
          <w:sz w:val="28"/>
          <w:szCs w:val="28"/>
        </w:rPr>
        <w:t>моційна сфера осіб похилого віку має ряд характерних особливостей. Зокрема, знижується інтенсивність емоційних реакцій на нові події, натомість посилюється фіксація на спогадах минулого. Виявляється підвищена потреба уникати страждань та занепокоєння, що часто пов’язане з соматичними порушеннями та іпохондричними тенденціями. Формується відчуття безпорадності та емоційна відстороненість як механізм психологічного самозахисту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_Ref214482799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9</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w:t>
      </w:r>
    </w:p>
    <w:p w14:paraId="578BA697" w14:textId="35C3AA29"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xml:space="preserve">Часто спостерігаються екзистенційні страхи </w:t>
      </w:r>
      <w:r w:rsidR="002A71B9">
        <w:rPr>
          <w:rFonts w:ascii="Times New Roman" w:hAnsi="Times New Roman" w:cs="Times New Roman"/>
          <w:sz w:val="28"/>
          <w:szCs w:val="28"/>
          <w:lang w:val="uk-UA"/>
        </w:rPr>
        <w:t>−</w:t>
      </w:r>
      <w:r w:rsidRPr="00D97F1B">
        <w:rPr>
          <w:rFonts w:ascii="Times New Roman" w:hAnsi="Times New Roman" w:cs="Times New Roman"/>
          <w:sz w:val="28"/>
          <w:szCs w:val="28"/>
        </w:rPr>
        <w:t xml:space="preserve"> передусім страх смерті та нових життєвих обставин, що породжує потребу у стабільності та передбачуваності середовища.</w:t>
      </w:r>
    </w:p>
    <w:p w14:paraId="2382CA7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3. </w:t>
      </w:r>
      <w:r w:rsidRPr="00D97F1B">
        <w:rPr>
          <w:rFonts w:ascii="Times New Roman" w:hAnsi="Times New Roman" w:cs="Times New Roman"/>
          <w:sz w:val="28"/>
          <w:szCs w:val="28"/>
        </w:rPr>
        <w:t>Вікова ситуаційна депресія та негативні психоемоційні стани</w:t>
      </w:r>
      <w:r w:rsidRPr="00D97F1B">
        <w:rPr>
          <w:rFonts w:ascii="Times New Roman" w:hAnsi="Times New Roman" w:cs="Times New Roman"/>
          <w:sz w:val="28"/>
          <w:szCs w:val="28"/>
          <w:lang w:val="uk-UA"/>
        </w:rPr>
        <w:t>.</w:t>
      </w:r>
    </w:p>
    <w:p w14:paraId="6B9F233B" w14:textId="444A597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У похилому віці поширеним явищем є вікова ситуаційна депресія, спричинена втратою соціальної ролі, почуттям непотрібності й ізоляції. Такі стани супроводжуються підвищеною тривожністю, образливістю, а також схильністю до іпохондричної фіксації на власному здоров’ї. У деяких випадках з’являються ідеї </w:t>
      </w:r>
      <w:r w:rsidRPr="00D97F1B">
        <w:rPr>
          <w:rFonts w:ascii="Times New Roman" w:hAnsi="Times New Roman" w:cs="Times New Roman"/>
          <w:sz w:val="28"/>
          <w:szCs w:val="28"/>
          <w:lang w:val="uk-UA"/>
        </w:rPr>
        <w:lastRenderedPageBreak/>
        <w:t xml:space="preserve">переслідування або тенденції до конфабуляцій </w:t>
      </w:r>
      <w:r w:rsidR="002A71B9">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вигаданих спогадів, що виконують компенсаторну функцію, підтримуючи відчуття соціальної значущості [</w:t>
      </w:r>
      <w:r w:rsidRPr="00D97F1B">
        <w:rPr>
          <w:rFonts w:ascii="Times New Roman" w:hAnsi="Times New Roman" w:cs="Times New Roman"/>
          <w:sz w:val="28"/>
          <w:szCs w:val="28"/>
          <w:lang w:val="uk-UA"/>
        </w:rPr>
        <w:fldChar w:fldCharType="begin"/>
      </w:r>
      <w:r w:rsidRPr="00D97F1B">
        <w:rPr>
          <w:rFonts w:ascii="Times New Roman" w:hAnsi="Times New Roman" w:cs="Times New Roman"/>
          <w:sz w:val="28"/>
          <w:szCs w:val="28"/>
          <w:lang w:val="uk-UA"/>
        </w:rPr>
        <w:instrText xml:space="preserve"> REF _Ref214482079 \r \h  \* MERGEFORMAT </w:instrText>
      </w:r>
      <w:r w:rsidRPr="00D97F1B">
        <w:rPr>
          <w:rFonts w:ascii="Times New Roman" w:hAnsi="Times New Roman" w:cs="Times New Roman"/>
          <w:sz w:val="28"/>
          <w:szCs w:val="28"/>
          <w:lang w:val="uk-UA"/>
        </w:rPr>
      </w:r>
      <w:r w:rsidRPr="00D97F1B">
        <w:rPr>
          <w:rFonts w:ascii="Times New Roman" w:hAnsi="Times New Roman" w:cs="Times New Roman"/>
          <w:sz w:val="28"/>
          <w:szCs w:val="28"/>
          <w:lang w:val="uk-UA"/>
        </w:rPr>
        <w:fldChar w:fldCharType="separate"/>
      </w:r>
      <w:r w:rsidRPr="00D97F1B">
        <w:rPr>
          <w:rFonts w:ascii="Times New Roman" w:hAnsi="Times New Roman" w:cs="Times New Roman"/>
          <w:sz w:val="28"/>
          <w:szCs w:val="28"/>
          <w:lang w:val="uk-UA"/>
        </w:rPr>
        <w:t>3</w:t>
      </w:r>
      <w:r w:rsidRPr="00D97F1B">
        <w:rPr>
          <w:rFonts w:ascii="Times New Roman" w:hAnsi="Times New Roman" w:cs="Times New Roman"/>
          <w:sz w:val="28"/>
          <w:szCs w:val="28"/>
          <w:lang w:val="uk-UA"/>
        </w:rPr>
        <w:fldChar w:fldCharType="end"/>
      </w:r>
      <w:r w:rsidRPr="00D97F1B">
        <w:rPr>
          <w:rFonts w:ascii="Times New Roman" w:hAnsi="Times New Roman" w:cs="Times New Roman"/>
          <w:sz w:val="28"/>
          <w:szCs w:val="28"/>
          <w:lang w:val="uk-UA"/>
        </w:rPr>
        <w:t>].</w:t>
      </w:r>
    </w:p>
    <w:p w14:paraId="53177802" w14:textId="62187D0B"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До типових негативних проявів належать також зниження психофізичної активності, звуження кола інтересів, ідеалізація минулого, занижена самооцінка та підвищена вимогливість до оточення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_Ref214482857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14</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w:t>
      </w:r>
    </w:p>
    <w:p w14:paraId="4663BC0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4. </w:t>
      </w:r>
      <w:r w:rsidRPr="00D97F1B">
        <w:rPr>
          <w:rFonts w:ascii="Times New Roman" w:hAnsi="Times New Roman" w:cs="Times New Roman"/>
          <w:sz w:val="28"/>
          <w:szCs w:val="28"/>
        </w:rPr>
        <w:t>Позитивний потенціал та ресурси адаптації</w:t>
      </w:r>
      <w:r w:rsidRPr="00D97F1B">
        <w:rPr>
          <w:rFonts w:ascii="Times New Roman" w:hAnsi="Times New Roman" w:cs="Times New Roman"/>
          <w:sz w:val="28"/>
          <w:szCs w:val="28"/>
          <w:lang w:val="uk-UA"/>
        </w:rPr>
        <w:t>.</w:t>
      </w:r>
    </w:p>
    <w:p w14:paraId="7B30D6B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Попри наявність негативних аспектів старіння, літній вік має значний позитивний психологічний потенціал. Для цього періоду характерна переоцінка життєвих цінностей, прагнення до гармонії між бажаннями та можливостями, а також формування життєвої мудрості як інтегральної риси особистості.</w:t>
      </w:r>
    </w:p>
    <w:p w14:paraId="1BAB2971" w14:textId="4B15D65E"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Важливим чинником збереження психологічного благополуччя є соціалізація </w:t>
      </w:r>
      <w:r w:rsidR="002A71B9">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підтримка міжособистісних контактів, участь у соціально значущих видах діяльності, волонтерських або громадських ініціативах. Активна соціальна взаємодія сприяє уповільненню темпів старіння, підтримує когнітивну діяльність і позитивно впливає на фізичне здоров’я.</w:t>
      </w:r>
    </w:p>
    <w:p w14:paraId="1061959E" w14:textId="5A8BCDD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У проекті на посаді соціального робітника в міжнародній організації </w:t>
      </w:r>
      <w:r w:rsidRPr="00D97F1B">
        <w:rPr>
          <w:rFonts w:ascii="Times New Roman" w:hAnsi="Times New Roman" w:cs="Times New Roman"/>
          <w:sz w:val="28"/>
          <w:szCs w:val="28"/>
          <w:lang w:val="en-US"/>
        </w:rPr>
        <w:t>HelpAge</w:t>
      </w:r>
      <w:r w:rsidRPr="00D97F1B">
        <w:rPr>
          <w:rFonts w:ascii="Times New Roman" w:hAnsi="Times New Roman" w:cs="Times New Roman"/>
          <w:sz w:val="28"/>
          <w:szCs w:val="28"/>
          <w:lang w:val="uk-UA"/>
        </w:rPr>
        <w:t>:</w:t>
      </w:r>
    </w:p>
    <w:p w14:paraId="0AB57F6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жінки похилого віку становлять – 14 людей віком від 63 років до 87 років;</w:t>
      </w:r>
    </w:p>
    <w:p w14:paraId="6FE5645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чоловіки похилого віку становлять – 2 людей: 74 роки, 85 років.</w:t>
      </w:r>
    </w:p>
    <w:p w14:paraId="4E463F5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Представимо цей розподіл на рисунку 2.1 </w:t>
      </w:r>
    </w:p>
    <w:p w14:paraId="77F96E4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32F3F464" wp14:editId="53F37898">
            <wp:extent cx="3197450" cy="2082472"/>
            <wp:effectExtent l="0" t="0" r="317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08B36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63D7119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2.1. Розподіл бенефеціарів за статевою ознакою</w:t>
      </w:r>
    </w:p>
    <w:p w14:paraId="3D6F7E1A" w14:textId="4BA32EA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Всі бенефеціари про</w:t>
      </w:r>
      <w:r w:rsidR="001F72E0">
        <w:rPr>
          <w:rFonts w:ascii="Times New Roman" w:hAnsi="Times New Roman" w:cs="Times New Roman"/>
          <w:sz w:val="28"/>
          <w:szCs w:val="28"/>
          <w:lang w:val="uk-UA"/>
        </w:rPr>
        <w:t>є</w:t>
      </w:r>
      <w:r w:rsidRPr="00D97F1B">
        <w:rPr>
          <w:rFonts w:ascii="Times New Roman" w:hAnsi="Times New Roman" w:cs="Times New Roman"/>
          <w:sz w:val="28"/>
          <w:szCs w:val="28"/>
          <w:lang w:val="uk-UA"/>
        </w:rPr>
        <w:t>кту мають статус ВПО, це такий статус для людини, яка проживає яка проживає в Україні, але через певні життєві обставини була вимушена покинути постійне місце проживання й оселитися тимчасово в іншому місті чи регіоні.</w:t>
      </w:r>
    </w:p>
    <w:p w14:paraId="78681219" w14:textId="25AA764E"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Бенефеціари про</w:t>
      </w:r>
      <w:r w:rsidR="001F72E0">
        <w:rPr>
          <w:rFonts w:ascii="Times New Roman" w:hAnsi="Times New Roman" w:cs="Times New Roman"/>
          <w:sz w:val="28"/>
          <w:szCs w:val="28"/>
          <w:lang w:val="uk-UA"/>
        </w:rPr>
        <w:t>є</w:t>
      </w:r>
      <w:r w:rsidRPr="00D97F1B">
        <w:rPr>
          <w:rFonts w:ascii="Times New Roman" w:hAnsi="Times New Roman" w:cs="Times New Roman"/>
          <w:sz w:val="28"/>
          <w:szCs w:val="28"/>
          <w:lang w:val="uk-UA"/>
        </w:rPr>
        <w:t>кту відносяться до вразливих категорій, тому потребують особливої уваги та допомоги соціальним робітником.</w:t>
      </w:r>
    </w:p>
    <w:p w14:paraId="4B8B3C6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Кожен бенефеціар заповнював за допомогою соціального робітника Анкету уразливості бенефеціара, яка складається з наступних розділів:</w:t>
      </w:r>
    </w:p>
    <w:p w14:paraId="3798DD8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1. Загальна інформація (загальні відомості про опитуваного, ПІБ, адреса проживання, контактний номер телефону, мобільність опитуваного, дізнається думка опитуваного про доцільність візитів соціального працівника </w:t>
      </w:r>
      <w:r w:rsidRPr="00D97F1B">
        <w:rPr>
          <w:rFonts w:ascii="Times New Roman" w:hAnsi="Times New Roman" w:cs="Times New Roman"/>
          <w:sz w:val="28"/>
          <w:szCs w:val="28"/>
          <w:lang w:val="en-US"/>
        </w:rPr>
        <w:t>HelpAge</w:t>
      </w:r>
      <w:r w:rsidRPr="00D97F1B">
        <w:rPr>
          <w:rFonts w:ascii="Times New Roman" w:hAnsi="Times New Roman" w:cs="Times New Roman"/>
          <w:sz w:val="28"/>
          <w:szCs w:val="28"/>
          <w:lang w:val="uk-UA"/>
        </w:rPr>
        <w:t>.</w:t>
      </w:r>
    </w:p>
    <w:p w14:paraId="7E76B6D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2. Інвалідність (де опитуваний оцінює стан свого здоров’я, спираючись на особисті відчуття; вказують офіційну групу інвалідності, якщо мають).</w:t>
      </w:r>
    </w:p>
    <w:p w14:paraId="2B52390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3. Потреба у непродовольчих товарах (опитуваним пропонується вказати необхідність допоміжних засобів, таких як милиці, тростини тощо; вказують необхідність підгузків, урологічних прокладок; тонометрів, глюкометрів тощо).</w:t>
      </w:r>
    </w:p>
    <w:p w14:paraId="0C631F1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4. Здоров’я (в даному розділі опитуваний вказує наявні захворювання (дихальної системи, серйозних травм, високого тиску тощо).</w:t>
      </w:r>
    </w:p>
    <w:p w14:paraId="51AD2CE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5. Психосоціальне самопочуття. </w:t>
      </w:r>
    </w:p>
    <w:p w14:paraId="7BA1129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Психосоціальне самопочуття</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w:t>
      </w:r>
      <w:r w:rsidRPr="00D97F1B">
        <w:rPr>
          <w:rFonts w:ascii="Times New Roman" w:hAnsi="Times New Roman" w:cs="Times New Roman"/>
          <w:sz w:val="28"/>
          <w:szCs w:val="28"/>
          <w:lang w:val="uk-UA"/>
        </w:rPr>
        <w:t xml:space="preserve"> ц</w:t>
      </w:r>
      <w:r w:rsidRPr="00D97F1B">
        <w:rPr>
          <w:rFonts w:ascii="Times New Roman" w:hAnsi="Times New Roman" w:cs="Times New Roman"/>
          <w:sz w:val="28"/>
          <w:szCs w:val="28"/>
        </w:rPr>
        <w:t>е своєрідний механізм, який ефективно встановлює людину в середовищі і направляє в заданому напрямку існування</w:t>
      </w:r>
      <w:r w:rsidRPr="00D97F1B">
        <w:rPr>
          <w:rFonts w:ascii="Times New Roman" w:hAnsi="Times New Roman" w:cs="Times New Roman"/>
          <w:sz w:val="28"/>
          <w:szCs w:val="28"/>
          <w:lang w:val="uk-UA"/>
        </w:rPr>
        <w:t>.</w:t>
      </w:r>
    </w:p>
    <w:p w14:paraId="6D5398FA" w14:textId="1789622F"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Самопочуття в цілому</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це комплексний стан фізичного, емоційного та психічного благополуччя людини в конкретний момент часу. Воно відображає, як людина відчуває себе у всіх аспектах свого існування. Здорове самопочуття важливо для активного і задоволеного життя. Воно може залежати від різних факторів, таких як фізичне здоров'я, емоційний статус, ступінь стресу і задоволеність життям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_Ref214479680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7</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w:t>
      </w:r>
    </w:p>
    <w:p w14:paraId="3B20928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Даний розділ уважно проаналізуємо для усіх 16 бенефеціарів:</w:t>
      </w:r>
    </w:p>
    <w:p w14:paraId="6BA2FC11" w14:textId="77777777" w:rsidR="00D97F1B" w:rsidRPr="00D97F1B" w:rsidRDefault="00D97F1B" w:rsidP="00D97F1B">
      <w:pPr>
        <w:spacing w:after="0" w:line="360" w:lineRule="auto"/>
        <w:ind w:firstLine="709"/>
        <w:jc w:val="both"/>
        <w:rPr>
          <w:rFonts w:ascii="Times New Roman" w:hAnsi="Times New Roman" w:cs="Times New Roman"/>
          <w:i/>
          <w:sz w:val="28"/>
          <w:szCs w:val="28"/>
          <w:lang w:val="uk-UA"/>
        </w:rPr>
      </w:pPr>
      <w:r w:rsidRPr="00D97F1B">
        <w:rPr>
          <w:rFonts w:ascii="Times New Roman" w:hAnsi="Times New Roman" w:cs="Times New Roman"/>
          <w:i/>
          <w:sz w:val="28"/>
          <w:szCs w:val="28"/>
          <w:lang w:val="uk-UA"/>
        </w:rPr>
        <w:lastRenderedPageBreak/>
        <w:t>1 питання: Як часто ви зустрічалися/ спілкувалась з друзями/ іншими людьми у громаді за останні 2 місяці:</w:t>
      </w:r>
    </w:p>
    <w:p w14:paraId="66AD180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Ніколи - 0</w:t>
      </w:r>
    </w:p>
    <w:p w14:paraId="197EB3B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Іноді - 12</w:t>
      </w:r>
    </w:p>
    <w:p w14:paraId="2CC0FC5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Часто - 2</w:t>
      </w:r>
    </w:p>
    <w:p w14:paraId="029CC04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Щодня  - 2</w:t>
      </w:r>
    </w:p>
    <w:p w14:paraId="5288A873" w14:textId="167D5C43"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Представимо дані в круговій діаграмі на рисунку 2.2</w:t>
      </w:r>
      <w:r w:rsidR="001F72E0">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w:t>
      </w:r>
    </w:p>
    <w:p w14:paraId="5FB3230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765315C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3E663802" wp14:editId="727F87EE">
            <wp:extent cx="2754998" cy="1781605"/>
            <wp:effectExtent l="0" t="0" r="762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76B45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2.2. Розподіл бенефеціарів по питанню 1 з 5 розділу Психосоціальне самопочуття</w:t>
      </w:r>
    </w:p>
    <w:p w14:paraId="20F1CAB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76FACF9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Аналіз відповіді на питання про частоту спілкування з друзями або іншими людьми у громаді за останні два місяці показав, що більшість респондентів (12 осіб) спілкувалися з оточенням </w:t>
      </w:r>
      <w:r w:rsidRPr="00D97F1B">
        <w:rPr>
          <w:rFonts w:ascii="Times New Roman" w:hAnsi="Times New Roman" w:cs="Times New Roman"/>
          <w:sz w:val="28"/>
          <w:szCs w:val="28"/>
          <w:lang w:val="uk-UA"/>
        </w:rPr>
        <w:t>інколи, тоді як часто або щодня спілкуються лише по 2</w:t>
      </w:r>
      <w:r w:rsidRPr="00D97F1B">
        <w:rPr>
          <w:rFonts w:ascii="Times New Roman" w:hAnsi="Times New Roman" w:cs="Times New Roman"/>
          <w:sz w:val="28"/>
          <w:szCs w:val="28"/>
          <w:lang w:val="uk-UA" w:eastAsia="ru-RU"/>
        </w:rPr>
        <w:t xml:space="preserve"> особи кожна. </w:t>
      </w:r>
      <w:r w:rsidRPr="00D97F1B">
        <w:rPr>
          <w:rFonts w:ascii="Times New Roman" w:hAnsi="Times New Roman" w:cs="Times New Roman"/>
          <w:sz w:val="28"/>
          <w:szCs w:val="28"/>
          <w:lang w:eastAsia="ru-RU"/>
        </w:rPr>
        <w:t xml:space="preserve">Жоден респондент не зазначив, </w:t>
      </w:r>
      <w:r w:rsidRPr="00D97F1B">
        <w:rPr>
          <w:rFonts w:ascii="Times New Roman" w:hAnsi="Times New Roman" w:cs="Times New Roman"/>
          <w:sz w:val="28"/>
          <w:szCs w:val="28"/>
        </w:rPr>
        <w:t>що ніколи не</w:t>
      </w:r>
      <w:r w:rsidRPr="00D97F1B">
        <w:rPr>
          <w:rFonts w:ascii="Times New Roman" w:hAnsi="Times New Roman" w:cs="Times New Roman"/>
          <w:sz w:val="28"/>
          <w:szCs w:val="28"/>
          <w:lang w:eastAsia="ru-RU"/>
        </w:rPr>
        <w:t xml:space="preserve"> спілкується.</w:t>
      </w:r>
    </w:p>
    <w:p w14:paraId="0EFA5FB3"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eastAsia="ru-RU"/>
        </w:rPr>
        <w:t>Це свідчить про те, що значна частина літніх людей підтримує контакт з оточенням нерегулярно, а активне щоденне соціальне спілкування є скоріше винятком. Отже, існує потенційна потреба у створенні умов для більш регулярної соціальної взаємодії в громаді.</w:t>
      </w:r>
    </w:p>
    <w:p w14:paraId="3635FE1D" w14:textId="77777777" w:rsidR="00D97F1B" w:rsidRPr="00D97F1B" w:rsidRDefault="00D97F1B" w:rsidP="00D97F1B">
      <w:pPr>
        <w:spacing w:after="0" w:line="360" w:lineRule="auto"/>
        <w:ind w:firstLine="709"/>
        <w:jc w:val="both"/>
        <w:rPr>
          <w:rFonts w:ascii="Times New Roman" w:hAnsi="Times New Roman" w:cs="Times New Roman"/>
          <w:i/>
          <w:sz w:val="28"/>
          <w:szCs w:val="28"/>
          <w:lang w:val="uk-UA"/>
        </w:rPr>
      </w:pPr>
      <w:r w:rsidRPr="00D97F1B">
        <w:rPr>
          <w:rFonts w:ascii="Times New Roman" w:hAnsi="Times New Roman" w:cs="Times New Roman"/>
          <w:i/>
          <w:sz w:val="28"/>
          <w:szCs w:val="28"/>
          <w:lang w:val="uk-UA"/>
        </w:rPr>
        <w:t>2 питання: Як часто ви відчували занепокоєння, нервозність або тривогу за останні 2 місяці?</w:t>
      </w:r>
    </w:p>
    <w:p w14:paraId="50627F3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Ніколи - 0</w:t>
      </w:r>
    </w:p>
    <w:p w14:paraId="6DB660C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Іноді - 3</w:t>
      </w:r>
    </w:p>
    <w:p w14:paraId="08AB944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Часто - 4</w:t>
      </w:r>
    </w:p>
    <w:p w14:paraId="396517E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Щодня – 9</w:t>
      </w:r>
    </w:p>
    <w:p w14:paraId="7653C3A6" w14:textId="673279F3"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Представимо дані в круговій діаграмі на рисунку </w:t>
      </w:r>
      <w:r w:rsidR="001F72E0">
        <w:rPr>
          <w:rFonts w:ascii="Times New Roman" w:hAnsi="Times New Roman" w:cs="Times New Roman"/>
          <w:sz w:val="28"/>
          <w:szCs w:val="28"/>
          <w:lang w:val="uk-UA"/>
        </w:rPr>
        <w:t>2.</w:t>
      </w:r>
      <w:r w:rsidRPr="00D97F1B">
        <w:rPr>
          <w:rFonts w:ascii="Times New Roman" w:hAnsi="Times New Roman" w:cs="Times New Roman"/>
          <w:sz w:val="28"/>
          <w:szCs w:val="28"/>
          <w:lang w:val="uk-UA"/>
        </w:rPr>
        <w:t>3.</w:t>
      </w:r>
    </w:p>
    <w:p w14:paraId="0685AE5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218EA22F" wp14:editId="77F0AE20">
            <wp:extent cx="3215148" cy="1822901"/>
            <wp:effectExtent l="0" t="0" r="4445"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7F17C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2.3.  Розподіл бенефеціарів по питанню 2 з 5 розділу Психосоціальне самопочуття</w:t>
      </w:r>
    </w:p>
    <w:p w14:paraId="13BF052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235924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Аналіз відповіді на питання про частоту відчуття занепокоєння, нервозності або тривоги за останні два місяці показав, що переважна більшість респондентів (9 осіб) відчували такі стани щодня, ще 4 особи – часто, і 3 особи – інколи. Жоден респондент не зазначив, що ніколи не відчував тривоги. Це свідчить про високу поширеність тривожних станів серед опитаних осіб похилого віку, що підкреслює необхідність проведення соціально-психологічної підтримки та створення умов для зниження рівня стресу і занепокоєння у повсякденному житті.</w:t>
      </w:r>
    </w:p>
    <w:p w14:paraId="7C3A1B03" w14:textId="77777777" w:rsidR="00D97F1B" w:rsidRPr="00D97F1B" w:rsidRDefault="00D97F1B" w:rsidP="00D97F1B">
      <w:pPr>
        <w:spacing w:after="0" w:line="360" w:lineRule="auto"/>
        <w:ind w:firstLine="709"/>
        <w:jc w:val="both"/>
        <w:rPr>
          <w:rFonts w:ascii="Times New Roman" w:hAnsi="Times New Roman" w:cs="Times New Roman"/>
          <w:i/>
          <w:sz w:val="28"/>
          <w:szCs w:val="28"/>
          <w:lang w:val="uk-UA"/>
        </w:rPr>
      </w:pPr>
      <w:r w:rsidRPr="00D97F1B">
        <w:rPr>
          <w:rFonts w:ascii="Times New Roman" w:hAnsi="Times New Roman" w:cs="Times New Roman"/>
          <w:i/>
          <w:sz w:val="28"/>
          <w:szCs w:val="28"/>
          <w:lang w:val="uk-UA"/>
        </w:rPr>
        <w:t>3 питання: Як часто ви відчували депресію чи засмучення за останні два місяці?</w:t>
      </w:r>
    </w:p>
    <w:p w14:paraId="5C2B452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Ніколи - 0</w:t>
      </w:r>
    </w:p>
    <w:p w14:paraId="0308441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Іноді - 4</w:t>
      </w:r>
    </w:p>
    <w:p w14:paraId="6F28907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Часто - 5</w:t>
      </w:r>
    </w:p>
    <w:p w14:paraId="023B70A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Щодня – 7</w:t>
      </w:r>
    </w:p>
    <w:p w14:paraId="3D5DFA2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Представимо дані в круговій діаграмі на рисунку 2.4.</w:t>
      </w:r>
    </w:p>
    <w:p w14:paraId="5952A68D" w14:textId="77777777" w:rsidR="00D97F1B" w:rsidRPr="00D97F1B" w:rsidRDefault="00D97F1B" w:rsidP="00D97F1B">
      <w:pPr>
        <w:spacing w:after="0" w:line="360" w:lineRule="auto"/>
        <w:ind w:firstLine="709"/>
        <w:jc w:val="both"/>
        <w:rPr>
          <w:rFonts w:ascii="Times New Roman" w:hAnsi="Times New Roman" w:cs="Times New Roman"/>
          <w:i/>
          <w:sz w:val="28"/>
          <w:szCs w:val="28"/>
          <w:lang w:val="uk-UA"/>
        </w:rPr>
      </w:pPr>
      <w:r w:rsidRPr="00D97F1B">
        <w:rPr>
          <w:rFonts w:ascii="Times New Roman" w:hAnsi="Times New Roman" w:cs="Times New Roman"/>
          <w:noProof/>
          <w:sz w:val="28"/>
          <w:szCs w:val="28"/>
          <w:lang w:eastAsia="ru-RU"/>
        </w:rPr>
        <w:lastRenderedPageBreak/>
        <w:drawing>
          <wp:inline distT="0" distB="0" distL="0" distR="0" wp14:anchorId="675505A6" wp14:editId="43C68D3E">
            <wp:extent cx="2914282" cy="1905492"/>
            <wp:effectExtent l="0" t="0" r="63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CC4DC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w:t>
      </w:r>
      <w:r w:rsidRPr="00D97F1B">
        <w:rPr>
          <w:rFonts w:ascii="Times New Roman" w:hAnsi="Times New Roman" w:cs="Times New Roman"/>
          <w:sz w:val="28"/>
          <w:szCs w:val="28"/>
        </w:rPr>
        <w:t>4</w:t>
      </w:r>
      <w:r w:rsidRPr="00D97F1B">
        <w:rPr>
          <w:rFonts w:ascii="Times New Roman" w:hAnsi="Times New Roman" w:cs="Times New Roman"/>
          <w:sz w:val="28"/>
          <w:szCs w:val="28"/>
          <w:lang w:val="uk-UA"/>
        </w:rPr>
        <w:t>. Розподіл бенефеціарів по питанню 3 з 5 розділу Психосоціальне самопочуття</w:t>
      </w:r>
    </w:p>
    <w:p w14:paraId="02D0D45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06EC98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Аналіз даних щодо частоти відчуття депресії або засмучення за останні два місяці показав, що більшість респондентів відчували такі стани щодня (7 осіб) або часто (5 осіб), ще 4 особи відзначили такі емоції інколи. </w:t>
      </w:r>
      <w:r w:rsidRPr="00D97F1B">
        <w:rPr>
          <w:rFonts w:ascii="Times New Roman" w:hAnsi="Times New Roman" w:cs="Times New Roman"/>
          <w:sz w:val="28"/>
          <w:szCs w:val="28"/>
        </w:rPr>
        <w:t>Жоден респондент не зазначив, що ніколи не відчував депресивного стану. Це свідчить про високий рівень емоційного дискомфорту серед осіб похилого віку, що підкреслює потребу у систематичній психологічній підтримці та соціальних заходах, спрямованих на покращення емоційного стану.</w:t>
      </w:r>
    </w:p>
    <w:p w14:paraId="5536E5B0" w14:textId="77777777" w:rsidR="00D97F1B" w:rsidRPr="00D97F1B" w:rsidRDefault="00D97F1B" w:rsidP="00D97F1B">
      <w:pPr>
        <w:spacing w:after="0" w:line="360" w:lineRule="auto"/>
        <w:ind w:firstLine="709"/>
        <w:jc w:val="both"/>
        <w:rPr>
          <w:rFonts w:ascii="Times New Roman" w:hAnsi="Times New Roman" w:cs="Times New Roman"/>
          <w:i/>
          <w:sz w:val="28"/>
          <w:szCs w:val="28"/>
          <w:lang w:val="uk-UA"/>
        </w:rPr>
      </w:pPr>
      <w:r w:rsidRPr="00D97F1B">
        <w:rPr>
          <w:rFonts w:ascii="Times New Roman" w:hAnsi="Times New Roman" w:cs="Times New Roman"/>
          <w:i/>
          <w:sz w:val="28"/>
          <w:szCs w:val="28"/>
          <w:lang w:val="uk-UA"/>
        </w:rPr>
        <w:t>4 питання: Як часто ви відчували себе самотнім за останні два місяці?</w:t>
      </w:r>
    </w:p>
    <w:p w14:paraId="36167C0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Ніколи - 0</w:t>
      </w:r>
    </w:p>
    <w:p w14:paraId="17A0483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Іноді - 5</w:t>
      </w:r>
    </w:p>
    <w:p w14:paraId="7AFF70F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Часто - 5</w:t>
      </w:r>
    </w:p>
    <w:p w14:paraId="349DD82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Щодня – 6</w:t>
      </w:r>
    </w:p>
    <w:p w14:paraId="26790B2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Представимо дані в круговій діаграмі на рисунку 2.5.</w:t>
      </w:r>
    </w:p>
    <w:p w14:paraId="0CAECF7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3325587E" wp14:editId="3AC0B2DD">
            <wp:extent cx="3108960" cy="18288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599CF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6DE8557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2.5. Розподіл бенефеціарів по питанню 4 з 5 розділу Психосоціальне самопочуття</w:t>
      </w:r>
    </w:p>
    <w:p w14:paraId="0522F7D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989DB1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Аналіз відповідей на питання про частоту відчуття самотності за останні два місяці показав, що більшість респондентів відчували самотність щодня (6 осіб) або часто (5 осіб), ще 5 осіб відзначили такі стани інколи. Жоден респондент не зазначив, що ніколи не відчував самотності. Це свідчить про поширеність почуття соціальної ізоляції серед осіб похилого віку та підтверджує необхідність розвитку програм соціальної інтеграції та активного міжособистісного спілкування.</w:t>
      </w:r>
    </w:p>
    <w:p w14:paraId="28A6530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6. Основні потреби (в цьому розділі опитувані складають загальне враження про свій матеріальний стан, чи вистачає у них продуктів харчування, чи можуть вони самостійно закрити свої базові потреби)</w:t>
      </w:r>
    </w:p>
    <w:p w14:paraId="0FCCE9D3" w14:textId="624928EA"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7. Захист (в цьому розділі опитувані оцінюють свою спроможність самостійно подолати труднощі, з якими стикаються)</w:t>
      </w:r>
    </w:p>
    <w:p w14:paraId="4332FDC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8. Потреба в перенаправленні ( це особливий розділ, де соціальний працівник оцінює отримані відповіді та власні спостереження та заповнює необхідні напрямки  для майбутнього опрацювання)</w:t>
      </w:r>
    </w:p>
    <w:p w14:paraId="163F532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Нижче представимо у таблиці 2.1 потреби в перенаправленні, які були отримані серед моїх 16 бенефеціарів. Кожен бенефеціар може отримати будь-яку необхідну кількість напрямків роботи з ним.</w:t>
      </w:r>
    </w:p>
    <w:p w14:paraId="1665C30E"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Таблиця 2.1  </w:t>
      </w:r>
    </w:p>
    <w:p w14:paraId="58F8B94A" w14:textId="05F5924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Потреби в перенаправленні бенефеціарів в межах про</w:t>
      </w:r>
      <w:r w:rsidR="001F72E0">
        <w:rPr>
          <w:rFonts w:ascii="Times New Roman" w:hAnsi="Times New Roman" w:cs="Times New Roman"/>
          <w:sz w:val="28"/>
          <w:szCs w:val="28"/>
          <w:lang w:val="uk-UA"/>
        </w:rPr>
        <w:t>є</w:t>
      </w:r>
      <w:r w:rsidRPr="00D97F1B">
        <w:rPr>
          <w:rFonts w:ascii="Times New Roman" w:hAnsi="Times New Roman" w:cs="Times New Roman"/>
          <w:sz w:val="28"/>
          <w:szCs w:val="28"/>
          <w:lang w:val="uk-UA"/>
        </w:rPr>
        <w:t xml:space="preserve">кту </w:t>
      </w:r>
      <w:r w:rsidRPr="00D97F1B">
        <w:rPr>
          <w:rFonts w:ascii="Times New Roman" w:hAnsi="Times New Roman" w:cs="Times New Roman"/>
          <w:sz w:val="28"/>
          <w:szCs w:val="28"/>
          <w:lang w:val="en-US"/>
        </w:rPr>
        <w:t>HelpAge</w:t>
      </w:r>
    </w:p>
    <w:tbl>
      <w:tblPr>
        <w:tblStyle w:val="afb"/>
        <w:tblW w:w="0" w:type="auto"/>
        <w:tblInd w:w="817" w:type="dxa"/>
        <w:tblLook w:val="04A0" w:firstRow="1" w:lastRow="0" w:firstColumn="1" w:lastColumn="0" w:noHBand="0" w:noVBand="1"/>
      </w:tblPr>
      <w:tblGrid>
        <w:gridCol w:w="5954"/>
        <w:gridCol w:w="2800"/>
      </w:tblGrid>
      <w:tr w:rsidR="00D97F1B" w:rsidRPr="00D97F1B" w14:paraId="1EF3C838" w14:textId="77777777" w:rsidTr="00556F8D">
        <w:trPr>
          <w:trHeight w:val="501"/>
        </w:trPr>
        <w:tc>
          <w:tcPr>
            <w:tcW w:w="5954" w:type="dxa"/>
          </w:tcPr>
          <w:p w14:paraId="58E9377B"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Напрямки перенаправлення</w:t>
            </w:r>
          </w:p>
        </w:tc>
        <w:tc>
          <w:tcPr>
            <w:tcW w:w="2800" w:type="dxa"/>
          </w:tcPr>
          <w:p w14:paraId="06023D3C"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Кількість потребуючих</w:t>
            </w:r>
          </w:p>
        </w:tc>
      </w:tr>
      <w:tr w:rsidR="00D97F1B" w:rsidRPr="00D97F1B" w14:paraId="0851AE1B" w14:textId="77777777" w:rsidTr="00556F8D">
        <w:tc>
          <w:tcPr>
            <w:tcW w:w="5954" w:type="dxa"/>
          </w:tcPr>
          <w:p w14:paraId="0954C04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Медична допомога (Мп)</w:t>
            </w:r>
          </w:p>
        </w:tc>
        <w:tc>
          <w:tcPr>
            <w:tcW w:w="2800" w:type="dxa"/>
          </w:tcPr>
          <w:p w14:paraId="1360EC3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10</w:t>
            </w:r>
          </w:p>
        </w:tc>
      </w:tr>
      <w:tr w:rsidR="00D97F1B" w:rsidRPr="00D97F1B" w14:paraId="22D153DC" w14:textId="77777777" w:rsidTr="00556F8D">
        <w:tc>
          <w:tcPr>
            <w:tcW w:w="5954" w:type="dxa"/>
          </w:tcPr>
          <w:p w14:paraId="4090EBE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Інвалідність/реабілітація (І/Р)</w:t>
            </w:r>
          </w:p>
        </w:tc>
        <w:tc>
          <w:tcPr>
            <w:tcW w:w="2800" w:type="dxa"/>
          </w:tcPr>
          <w:p w14:paraId="12B7735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4</w:t>
            </w:r>
          </w:p>
        </w:tc>
      </w:tr>
      <w:tr w:rsidR="00D97F1B" w:rsidRPr="00D97F1B" w14:paraId="7E5FFA47" w14:textId="77777777" w:rsidTr="00556F8D">
        <w:tc>
          <w:tcPr>
            <w:tcW w:w="5954" w:type="dxa"/>
          </w:tcPr>
          <w:p w14:paraId="538AE4AE"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Психосоціальна підтримка (Пп)</w:t>
            </w:r>
          </w:p>
        </w:tc>
        <w:tc>
          <w:tcPr>
            <w:tcW w:w="2800" w:type="dxa"/>
          </w:tcPr>
          <w:p w14:paraId="1273C52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16</w:t>
            </w:r>
          </w:p>
        </w:tc>
      </w:tr>
      <w:tr w:rsidR="00D97F1B" w:rsidRPr="00D97F1B" w14:paraId="102F6A9C" w14:textId="77777777" w:rsidTr="00556F8D">
        <w:tc>
          <w:tcPr>
            <w:tcW w:w="5954" w:type="dxa"/>
          </w:tcPr>
          <w:p w14:paraId="43117911"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Розшук сім</w:t>
            </w:r>
            <w:r w:rsidRPr="00D97F1B">
              <w:rPr>
                <w:rFonts w:ascii="Times New Roman" w:hAnsi="Times New Roman" w:cs="Times New Roman"/>
                <w:sz w:val="28"/>
                <w:szCs w:val="28"/>
                <w:lang w:val="en-US"/>
              </w:rPr>
              <w:t>’</w:t>
            </w:r>
            <w:r w:rsidRPr="00D97F1B">
              <w:rPr>
                <w:rFonts w:ascii="Times New Roman" w:hAnsi="Times New Roman" w:cs="Times New Roman"/>
                <w:sz w:val="28"/>
                <w:szCs w:val="28"/>
                <w:lang w:val="uk-UA"/>
              </w:rPr>
              <w:t>ї (Р)</w:t>
            </w:r>
          </w:p>
        </w:tc>
        <w:tc>
          <w:tcPr>
            <w:tcW w:w="2800" w:type="dxa"/>
          </w:tcPr>
          <w:p w14:paraId="105E6402"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w:t>
            </w:r>
          </w:p>
        </w:tc>
      </w:tr>
      <w:tr w:rsidR="00D97F1B" w:rsidRPr="00D97F1B" w14:paraId="51E02D3E" w14:textId="77777777" w:rsidTr="00556F8D">
        <w:tc>
          <w:tcPr>
            <w:tcW w:w="5954" w:type="dxa"/>
          </w:tcPr>
          <w:p w14:paraId="061999E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Прихисток (Пр)</w:t>
            </w:r>
          </w:p>
        </w:tc>
        <w:tc>
          <w:tcPr>
            <w:tcW w:w="2800" w:type="dxa"/>
          </w:tcPr>
          <w:p w14:paraId="1F31BB0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2</w:t>
            </w:r>
          </w:p>
        </w:tc>
      </w:tr>
      <w:tr w:rsidR="00D97F1B" w:rsidRPr="00D97F1B" w14:paraId="251CEF82" w14:textId="77777777" w:rsidTr="00556F8D">
        <w:tc>
          <w:tcPr>
            <w:tcW w:w="5954" w:type="dxa"/>
          </w:tcPr>
          <w:p w14:paraId="2034847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Юридична допомога (Юд)</w:t>
            </w:r>
          </w:p>
        </w:tc>
        <w:tc>
          <w:tcPr>
            <w:tcW w:w="2800" w:type="dxa"/>
          </w:tcPr>
          <w:p w14:paraId="19CB3E2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3</w:t>
            </w:r>
          </w:p>
        </w:tc>
      </w:tr>
      <w:tr w:rsidR="00D97F1B" w:rsidRPr="00D97F1B" w14:paraId="6A2D2436" w14:textId="77777777" w:rsidTr="00556F8D">
        <w:tc>
          <w:tcPr>
            <w:tcW w:w="5954" w:type="dxa"/>
          </w:tcPr>
          <w:p w14:paraId="621D19A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Харчування (Х)</w:t>
            </w:r>
          </w:p>
        </w:tc>
        <w:tc>
          <w:tcPr>
            <w:tcW w:w="2800" w:type="dxa"/>
          </w:tcPr>
          <w:p w14:paraId="116EFEAE"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16</w:t>
            </w:r>
          </w:p>
        </w:tc>
      </w:tr>
      <w:tr w:rsidR="00D97F1B" w:rsidRPr="00D97F1B" w14:paraId="5BA25AB4" w14:textId="77777777" w:rsidTr="00556F8D">
        <w:tc>
          <w:tcPr>
            <w:tcW w:w="5954" w:type="dxa"/>
          </w:tcPr>
          <w:p w14:paraId="60D3250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Захист від насильства (Зн)</w:t>
            </w:r>
          </w:p>
        </w:tc>
        <w:tc>
          <w:tcPr>
            <w:tcW w:w="2800" w:type="dxa"/>
          </w:tcPr>
          <w:p w14:paraId="1F3F54B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w:t>
            </w:r>
          </w:p>
        </w:tc>
      </w:tr>
      <w:tr w:rsidR="00D97F1B" w:rsidRPr="00D97F1B" w14:paraId="736BF5EE" w14:textId="77777777" w:rsidTr="00556F8D">
        <w:tc>
          <w:tcPr>
            <w:tcW w:w="5954" w:type="dxa"/>
          </w:tcPr>
          <w:p w14:paraId="7E7EA43F"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Непродовольчі товари (Нт)</w:t>
            </w:r>
          </w:p>
        </w:tc>
        <w:tc>
          <w:tcPr>
            <w:tcW w:w="2800" w:type="dxa"/>
          </w:tcPr>
          <w:p w14:paraId="5B70049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16</w:t>
            </w:r>
          </w:p>
        </w:tc>
      </w:tr>
      <w:tr w:rsidR="00D97F1B" w:rsidRPr="00D97F1B" w14:paraId="76308EBB" w14:textId="77777777" w:rsidTr="00556F8D">
        <w:trPr>
          <w:trHeight w:val="348"/>
        </w:trPr>
        <w:tc>
          <w:tcPr>
            <w:tcW w:w="5954" w:type="dxa"/>
          </w:tcPr>
          <w:p w14:paraId="0FC6A1B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Засоби до існування (Зі)</w:t>
            </w:r>
          </w:p>
        </w:tc>
        <w:tc>
          <w:tcPr>
            <w:tcW w:w="2800" w:type="dxa"/>
          </w:tcPr>
          <w:p w14:paraId="00D493A3" w14:textId="38F870E6" w:rsidR="00D97F1B" w:rsidRPr="00D97F1B" w:rsidRDefault="00D97F1B" w:rsidP="001F72E0">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16</w:t>
            </w:r>
          </w:p>
        </w:tc>
      </w:tr>
    </w:tbl>
    <w:p w14:paraId="3FE096D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606B11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На рисунку 2.6 представимо потреби в перенаправленні бенефеціарів в межах проекту </w:t>
      </w:r>
      <w:r w:rsidRPr="00D97F1B">
        <w:rPr>
          <w:rFonts w:ascii="Times New Roman" w:hAnsi="Times New Roman" w:cs="Times New Roman"/>
          <w:sz w:val="28"/>
          <w:szCs w:val="28"/>
          <w:lang w:val="en-US"/>
        </w:rPr>
        <w:t>HelpAge</w:t>
      </w:r>
    </w:p>
    <w:p w14:paraId="69C5493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5096150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0D9AA101" wp14:editId="001F593E">
            <wp:extent cx="3197450" cy="2005781"/>
            <wp:effectExtent l="0" t="0" r="22225"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B2604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5E2535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Рис. 2.</w:t>
      </w:r>
      <w:r w:rsidRPr="00D97F1B">
        <w:rPr>
          <w:rFonts w:ascii="Times New Roman" w:hAnsi="Times New Roman" w:cs="Times New Roman"/>
          <w:sz w:val="28"/>
          <w:szCs w:val="28"/>
        </w:rPr>
        <w:t>6</w:t>
      </w:r>
      <w:r w:rsidRPr="00D97F1B">
        <w:rPr>
          <w:rFonts w:ascii="Times New Roman" w:hAnsi="Times New Roman" w:cs="Times New Roman"/>
          <w:sz w:val="28"/>
          <w:szCs w:val="28"/>
          <w:lang w:val="uk-UA"/>
        </w:rPr>
        <w:t xml:space="preserve">. Потреби в перенаправленні бенефеціарів в межах проекту </w:t>
      </w:r>
      <w:r w:rsidRPr="00D97F1B">
        <w:rPr>
          <w:rFonts w:ascii="Times New Roman" w:hAnsi="Times New Roman" w:cs="Times New Roman"/>
          <w:sz w:val="28"/>
          <w:szCs w:val="28"/>
          <w:lang w:val="en-US"/>
        </w:rPr>
        <w:t>HelpAge</w:t>
      </w:r>
    </w:p>
    <w:p w14:paraId="5490AC4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4D2E6B86" w14:textId="378DEBCE"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Також ми оцінювали рівень депресії по геріатричній шкалі депресії </w:t>
      </w:r>
      <w:r w:rsidRPr="00D97F1B">
        <w:rPr>
          <w:rFonts w:ascii="Times New Roman" w:hAnsi="Times New Roman" w:cs="Times New Roman"/>
          <w:sz w:val="28"/>
          <w:szCs w:val="28"/>
        </w:rPr>
        <w:t>GDS</w:t>
      </w:r>
      <w:r w:rsidRPr="00D97F1B">
        <w:rPr>
          <w:rFonts w:ascii="Times New Roman" w:hAnsi="Times New Roman" w:cs="Times New Roman"/>
          <w:sz w:val="28"/>
          <w:szCs w:val="28"/>
          <w:lang w:val="uk-UA"/>
        </w:rPr>
        <w:t>, яка дуже чутлива саме для оцінки стану людей похилого віку, допомогає визначити наявність депресії, передбачає крайні точки для визначення ступеня тяжкості [</w:t>
      </w:r>
      <w:r w:rsidRPr="00D97F1B">
        <w:rPr>
          <w:rFonts w:ascii="Times New Roman" w:hAnsi="Times New Roman" w:cs="Times New Roman"/>
          <w:sz w:val="28"/>
          <w:szCs w:val="28"/>
          <w:lang w:val="uk-UA"/>
        </w:rPr>
        <w:fldChar w:fldCharType="begin"/>
      </w:r>
      <w:r w:rsidRPr="00D97F1B">
        <w:rPr>
          <w:rFonts w:ascii="Times New Roman" w:hAnsi="Times New Roman" w:cs="Times New Roman"/>
          <w:sz w:val="28"/>
          <w:szCs w:val="28"/>
          <w:lang w:val="uk-UA"/>
        </w:rPr>
        <w:instrText xml:space="preserve"> REF _Ref214483004 \r \h  \* MERGEFORMAT </w:instrText>
      </w:r>
      <w:r w:rsidRPr="00D97F1B">
        <w:rPr>
          <w:rFonts w:ascii="Times New Roman" w:hAnsi="Times New Roman" w:cs="Times New Roman"/>
          <w:sz w:val="28"/>
          <w:szCs w:val="28"/>
          <w:lang w:val="uk-UA"/>
        </w:rPr>
      </w:r>
      <w:r w:rsidRPr="00D97F1B">
        <w:rPr>
          <w:rFonts w:ascii="Times New Roman" w:hAnsi="Times New Roman" w:cs="Times New Roman"/>
          <w:sz w:val="28"/>
          <w:szCs w:val="28"/>
          <w:lang w:val="uk-UA"/>
        </w:rPr>
        <w:fldChar w:fldCharType="separate"/>
      </w:r>
      <w:r w:rsidRPr="00D97F1B">
        <w:rPr>
          <w:rFonts w:ascii="Times New Roman" w:hAnsi="Times New Roman" w:cs="Times New Roman"/>
          <w:sz w:val="28"/>
          <w:szCs w:val="28"/>
          <w:lang w:val="uk-UA"/>
        </w:rPr>
        <w:t>4</w:t>
      </w:r>
      <w:r w:rsidRPr="00D97F1B">
        <w:rPr>
          <w:rFonts w:ascii="Times New Roman" w:hAnsi="Times New Roman" w:cs="Times New Roman"/>
          <w:sz w:val="28"/>
          <w:szCs w:val="28"/>
          <w:lang w:val="uk-UA"/>
        </w:rPr>
        <w:fldChar w:fldCharType="end"/>
      </w:r>
      <w:r w:rsidRPr="00D97F1B">
        <w:rPr>
          <w:rFonts w:ascii="Times New Roman" w:hAnsi="Times New Roman" w:cs="Times New Roman"/>
          <w:sz w:val="28"/>
          <w:szCs w:val="28"/>
          <w:lang w:val="uk-UA"/>
        </w:rPr>
        <w:t>]</w:t>
      </w:r>
      <w:r w:rsidR="001F72E0">
        <w:rPr>
          <w:rFonts w:ascii="Times New Roman" w:hAnsi="Times New Roman" w:cs="Times New Roman"/>
          <w:sz w:val="28"/>
          <w:szCs w:val="28"/>
          <w:lang w:val="uk-UA"/>
        </w:rPr>
        <w:t>.</w:t>
      </w:r>
    </w:p>
    <w:p w14:paraId="0C2CE0E1"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Результати опитування приведемо в таблиці 2.2 </w:t>
      </w:r>
    </w:p>
    <w:p w14:paraId="2482F3D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Таблиця 2.2</w:t>
      </w:r>
    </w:p>
    <w:p w14:paraId="4ED160D0"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Результати опитування по геріатричній шкалі депресії </w:t>
      </w:r>
      <w:r w:rsidRPr="00D97F1B">
        <w:rPr>
          <w:rFonts w:ascii="Times New Roman" w:hAnsi="Times New Roman" w:cs="Times New Roman"/>
          <w:sz w:val="28"/>
          <w:szCs w:val="28"/>
        </w:rPr>
        <w:t>GDS</w:t>
      </w:r>
    </w:p>
    <w:p w14:paraId="517BE002"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tbl>
      <w:tblPr>
        <w:tblStyle w:val="afb"/>
        <w:tblpPr w:leftFromText="180" w:rightFromText="180" w:vertAnchor="page" w:horzAnchor="margin" w:tblpXSpec="center" w:tblpY="2955"/>
        <w:tblW w:w="0" w:type="auto"/>
        <w:tblLook w:val="04A0" w:firstRow="1" w:lastRow="0" w:firstColumn="1" w:lastColumn="0" w:noHBand="0" w:noVBand="1"/>
      </w:tblPr>
      <w:tblGrid>
        <w:gridCol w:w="3936"/>
        <w:gridCol w:w="3827"/>
      </w:tblGrid>
      <w:tr w:rsidR="00D97F1B" w:rsidRPr="00D97F1B" w14:paraId="333FA004" w14:textId="77777777" w:rsidTr="00556F8D">
        <w:tc>
          <w:tcPr>
            <w:tcW w:w="3936" w:type="dxa"/>
          </w:tcPr>
          <w:p w14:paraId="184D7B67"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lastRenderedPageBreak/>
              <w:t>Показники</w:t>
            </w:r>
          </w:p>
        </w:tc>
        <w:tc>
          <w:tcPr>
            <w:tcW w:w="3827" w:type="dxa"/>
          </w:tcPr>
          <w:p w14:paraId="6F83ED9D"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Кількість людей</w:t>
            </w:r>
          </w:p>
        </w:tc>
      </w:tr>
      <w:tr w:rsidR="00D97F1B" w:rsidRPr="00D97F1B" w14:paraId="6FFD142E" w14:textId="77777777" w:rsidTr="00556F8D">
        <w:tc>
          <w:tcPr>
            <w:tcW w:w="3936" w:type="dxa"/>
          </w:tcPr>
          <w:p w14:paraId="2AEA7639"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Норма (0-9)</w:t>
            </w:r>
          </w:p>
        </w:tc>
        <w:tc>
          <w:tcPr>
            <w:tcW w:w="3827" w:type="dxa"/>
          </w:tcPr>
          <w:p w14:paraId="7FC6281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3</w:t>
            </w:r>
          </w:p>
        </w:tc>
      </w:tr>
      <w:tr w:rsidR="00D97F1B" w:rsidRPr="00D97F1B" w14:paraId="37F74780" w14:textId="77777777" w:rsidTr="00556F8D">
        <w:tc>
          <w:tcPr>
            <w:tcW w:w="3936" w:type="dxa"/>
          </w:tcPr>
          <w:p w14:paraId="5AFC257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Помірна депресія (10-19)</w:t>
            </w:r>
          </w:p>
        </w:tc>
        <w:tc>
          <w:tcPr>
            <w:tcW w:w="3827" w:type="dxa"/>
          </w:tcPr>
          <w:p w14:paraId="163630B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10</w:t>
            </w:r>
          </w:p>
        </w:tc>
      </w:tr>
      <w:tr w:rsidR="00D97F1B" w:rsidRPr="00D97F1B" w14:paraId="04267F50" w14:textId="77777777" w:rsidTr="00556F8D">
        <w:tc>
          <w:tcPr>
            <w:tcW w:w="3936" w:type="dxa"/>
          </w:tcPr>
          <w:p w14:paraId="247ED8B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Важка депресія (20-30)</w:t>
            </w:r>
          </w:p>
        </w:tc>
        <w:tc>
          <w:tcPr>
            <w:tcW w:w="3827" w:type="dxa"/>
          </w:tcPr>
          <w:p w14:paraId="314D78F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3</w:t>
            </w:r>
          </w:p>
        </w:tc>
      </w:tr>
    </w:tbl>
    <w:p w14:paraId="53EEE2E6"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0E836C4C"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62DE51CF"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05F566DE"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3277FF02"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2DA4A34B" w14:textId="77777777" w:rsidR="001F72E0" w:rsidRDefault="00D97F1B" w:rsidP="00D97F1B">
      <w:pPr>
        <w:spacing w:after="0" w:line="360" w:lineRule="auto"/>
        <w:ind w:firstLine="709"/>
        <w:jc w:val="both"/>
        <w:rPr>
          <w:rFonts w:ascii="Times New Roman" w:hAnsi="Times New Roman" w:cs="Times New Roman"/>
          <w:noProof/>
          <w:sz w:val="28"/>
          <w:szCs w:val="28"/>
          <w:lang w:val="uk-UA" w:eastAsia="ru-RU"/>
        </w:rPr>
      </w:pPr>
      <w:r w:rsidRPr="00D97F1B">
        <w:rPr>
          <w:rFonts w:ascii="Times New Roman" w:hAnsi="Times New Roman" w:cs="Times New Roman"/>
          <w:noProof/>
          <w:sz w:val="28"/>
          <w:szCs w:val="28"/>
          <w:lang w:val="uk-UA" w:eastAsia="ru-RU"/>
        </w:rPr>
        <w:t xml:space="preserve"> </w:t>
      </w:r>
    </w:p>
    <w:p w14:paraId="0406A87D" w14:textId="77777777" w:rsidR="001F72E0" w:rsidRDefault="001F72E0" w:rsidP="00D97F1B">
      <w:pPr>
        <w:spacing w:after="0" w:line="360" w:lineRule="auto"/>
        <w:ind w:firstLine="709"/>
        <w:jc w:val="both"/>
        <w:rPr>
          <w:rFonts w:ascii="Times New Roman" w:hAnsi="Times New Roman" w:cs="Times New Roman"/>
          <w:noProof/>
          <w:sz w:val="28"/>
          <w:szCs w:val="28"/>
          <w:lang w:val="uk-UA" w:eastAsia="ru-RU"/>
        </w:rPr>
      </w:pPr>
    </w:p>
    <w:p w14:paraId="407EB795" w14:textId="0E7A81C1"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r w:rsidRPr="00D97F1B">
        <w:rPr>
          <w:rFonts w:ascii="Times New Roman" w:hAnsi="Times New Roman" w:cs="Times New Roman"/>
          <w:noProof/>
          <w:sz w:val="28"/>
          <w:szCs w:val="28"/>
          <w:lang w:val="uk-UA" w:eastAsia="ru-RU"/>
        </w:rPr>
        <w:t xml:space="preserve">На рисунку 2.7 представимо результати опитування по </w:t>
      </w:r>
      <w:r w:rsidRPr="00D97F1B">
        <w:rPr>
          <w:rFonts w:ascii="Times New Roman" w:hAnsi="Times New Roman" w:cs="Times New Roman"/>
          <w:sz w:val="28"/>
          <w:szCs w:val="28"/>
          <w:lang w:val="uk-UA"/>
        </w:rPr>
        <w:t xml:space="preserve">геріатричній шкалі депресії </w:t>
      </w:r>
      <w:r w:rsidRPr="00D97F1B">
        <w:rPr>
          <w:rFonts w:ascii="Times New Roman" w:hAnsi="Times New Roman" w:cs="Times New Roman"/>
          <w:sz w:val="28"/>
          <w:szCs w:val="28"/>
        </w:rPr>
        <w:t>GDS</w:t>
      </w:r>
      <w:r w:rsidRPr="00D97F1B">
        <w:rPr>
          <w:rFonts w:ascii="Times New Roman" w:hAnsi="Times New Roman" w:cs="Times New Roman"/>
          <w:sz w:val="28"/>
          <w:szCs w:val="28"/>
          <w:lang w:val="uk-UA"/>
        </w:rPr>
        <w:t xml:space="preserve"> у відсотках</w:t>
      </w:r>
      <w:r w:rsidR="001F72E0">
        <w:rPr>
          <w:rFonts w:ascii="Times New Roman" w:hAnsi="Times New Roman" w:cs="Times New Roman"/>
          <w:sz w:val="28"/>
          <w:szCs w:val="28"/>
          <w:lang w:val="uk-UA"/>
        </w:rPr>
        <w:t>.</w:t>
      </w:r>
    </w:p>
    <w:p w14:paraId="5855B062"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p>
    <w:p w14:paraId="6A5C96F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drawing>
          <wp:inline distT="0" distB="0" distL="0" distR="0" wp14:anchorId="4DAF43A3" wp14:editId="57C2B32F">
            <wp:extent cx="4572000" cy="27432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1842C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6C64C85" w14:textId="77777777" w:rsidR="00D97F1B" w:rsidRPr="00D97F1B" w:rsidRDefault="00D97F1B" w:rsidP="00D97F1B">
      <w:pPr>
        <w:spacing w:after="0" w:line="360" w:lineRule="auto"/>
        <w:ind w:firstLine="709"/>
        <w:jc w:val="both"/>
        <w:rPr>
          <w:rFonts w:ascii="Times New Roman" w:hAnsi="Times New Roman" w:cs="Times New Roman"/>
          <w:noProof/>
          <w:sz w:val="28"/>
          <w:szCs w:val="28"/>
          <w:lang w:val="uk-UA" w:eastAsia="ru-RU"/>
        </w:rPr>
      </w:pPr>
      <w:r w:rsidRPr="00D97F1B">
        <w:rPr>
          <w:rFonts w:ascii="Times New Roman" w:hAnsi="Times New Roman" w:cs="Times New Roman"/>
          <w:sz w:val="28"/>
          <w:szCs w:val="28"/>
          <w:lang w:val="uk-UA"/>
        </w:rPr>
        <w:t xml:space="preserve">Рис. 2.7. </w:t>
      </w:r>
      <w:r w:rsidRPr="00D97F1B">
        <w:rPr>
          <w:rFonts w:ascii="Times New Roman" w:hAnsi="Times New Roman" w:cs="Times New Roman"/>
          <w:noProof/>
          <w:sz w:val="28"/>
          <w:szCs w:val="28"/>
          <w:lang w:val="uk-UA" w:eastAsia="ru-RU"/>
        </w:rPr>
        <w:t xml:space="preserve">Результати опитування по </w:t>
      </w:r>
      <w:r w:rsidRPr="00D97F1B">
        <w:rPr>
          <w:rFonts w:ascii="Times New Roman" w:hAnsi="Times New Roman" w:cs="Times New Roman"/>
          <w:sz w:val="28"/>
          <w:szCs w:val="28"/>
          <w:lang w:val="uk-UA"/>
        </w:rPr>
        <w:t xml:space="preserve">геріатричній шкалі депресії </w:t>
      </w:r>
      <w:r w:rsidRPr="00D97F1B">
        <w:rPr>
          <w:rFonts w:ascii="Times New Roman" w:hAnsi="Times New Roman" w:cs="Times New Roman"/>
          <w:sz w:val="28"/>
          <w:szCs w:val="28"/>
        </w:rPr>
        <w:t>GDS</w:t>
      </w:r>
      <w:r w:rsidRPr="00D97F1B">
        <w:rPr>
          <w:rFonts w:ascii="Times New Roman" w:hAnsi="Times New Roman" w:cs="Times New Roman"/>
          <w:sz w:val="28"/>
          <w:szCs w:val="28"/>
          <w:lang w:val="uk-UA"/>
        </w:rPr>
        <w:t xml:space="preserve"> у відсотках</w:t>
      </w:r>
    </w:p>
    <w:p w14:paraId="207252C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5CDE423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Отримані дані свідчать:</w:t>
      </w:r>
    </w:p>
    <w:p w14:paraId="559EC1A5"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xml:space="preserve">- нормальний стан (0-9 балів) </w:t>
      </w:r>
      <w:r w:rsidRPr="00D97F1B">
        <w:rPr>
          <w:rFonts w:ascii="Times New Roman" w:hAnsi="Times New Roman" w:cs="Times New Roman"/>
          <w:sz w:val="28"/>
          <w:szCs w:val="28"/>
          <w:lang w:val="uk-UA"/>
        </w:rPr>
        <w:t>в</w:t>
      </w:r>
      <w:r w:rsidRPr="00D97F1B">
        <w:rPr>
          <w:rFonts w:ascii="Times New Roman" w:hAnsi="Times New Roman" w:cs="Times New Roman"/>
          <w:sz w:val="28"/>
          <w:szCs w:val="28"/>
        </w:rPr>
        <w:t xml:space="preserve">иявлено лише у 3 осіб, що складає </w:t>
      </w:r>
      <w:r w:rsidRPr="00D97F1B">
        <w:rPr>
          <w:rFonts w:ascii="Times New Roman" w:hAnsi="Times New Roman" w:cs="Times New Roman"/>
          <w:sz w:val="28"/>
          <w:szCs w:val="28"/>
          <w:lang w:val="uk-UA"/>
        </w:rPr>
        <w:t>19</w:t>
      </w:r>
      <w:r w:rsidRPr="00D97F1B">
        <w:rPr>
          <w:rFonts w:ascii="Times New Roman" w:hAnsi="Times New Roman" w:cs="Times New Roman"/>
          <w:sz w:val="28"/>
          <w:szCs w:val="28"/>
        </w:rPr>
        <w:t>% від загальної вибірки.</w:t>
      </w:r>
    </w:p>
    <w:p w14:paraId="4677C157"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помірна депресія (10-19 балів) виявлена  у 10 осіб (62%). Ця група є найбільшою та потребує негайного психологічного втручання.</w:t>
      </w:r>
    </w:p>
    <w:p w14:paraId="7B40FDB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lang w:val="uk-UA"/>
        </w:rPr>
        <w:lastRenderedPageBreak/>
        <w:t xml:space="preserve">- </w:t>
      </w:r>
      <w:r w:rsidRPr="00D97F1B">
        <w:rPr>
          <w:rFonts w:ascii="Times New Roman" w:hAnsi="Times New Roman" w:cs="Times New Roman"/>
          <w:sz w:val="28"/>
          <w:szCs w:val="28"/>
        </w:rPr>
        <w:t xml:space="preserve">Важка депресія (20-30 балів) </w:t>
      </w:r>
      <w:r w:rsidRPr="00D97F1B">
        <w:rPr>
          <w:rFonts w:ascii="Times New Roman" w:hAnsi="Times New Roman" w:cs="Times New Roman"/>
          <w:sz w:val="28"/>
          <w:szCs w:val="28"/>
          <w:lang w:val="uk-UA"/>
        </w:rPr>
        <w:t>в</w:t>
      </w:r>
      <w:r w:rsidRPr="00D97F1B">
        <w:rPr>
          <w:rFonts w:ascii="Times New Roman" w:hAnsi="Times New Roman" w:cs="Times New Roman"/>
          <w:sz w:val="28"/>
          <w:szCs w:val="28"/>
        </w:rPr>
        <w:t>иявлена у 3 осіб (</w:t>
      </w:r>
      <w:r w:rsidRPr="00D97F1B">
        <w:rPr>
          <w:rFonts w:ascii="Times New Roman" w:hAnsi="Times New Roman" w:cs="Times New Roman"/>
          <w:sz w:val="28"/>
          <w:szCs w:val="28"/>
          <w:lang w:val="uk-UA"/>
        </w:rPr>
        <w:t>19</w:t>
      </w:r>
      <w:r w:rsidRPr="00D97F1B">
        <w:rPr>
          <w:rFonts w:ascii="Times New Roman" w:hAnsi="Times New Roman" w:cs="Times New Roman"/>
          <w:sz w:val="28"/>
          <w:szCs w:val="28"/>
        </w:rPr>
        <w:t>%). Наявність важкої форми депресії вимагає комплексного, інтенсивного психосоціального супроводу та, за необхідності, взаємодії з медичними фахівцями.</w:t>
      </w:r>
    </w:p>
    <w:p w14:paraId="07536BB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Отримані дані однозначно доводять, що (81%) обстежених осіб похилого віку потребують кваліфікованої психосоціальної допомоги. Високий відсоток помірної та важкої депресії (81%) підкреслює необхідність інтеграції психосоціальної підтримки в комплексний підхід надання допомоги, оскільки нерозв'язані психологічні проблеми значно знижують якість життя та ефективність інших видів підтримки.</w:t>
      </w:r>
    </w:p>
    <w:p w14:paraId="26592C78" w14:textId="2C84025A"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2. Індекс життєвої задоволеності (</w:t>
      </w:r>
      <w:r w:rsidRPr="00D97F1B">
        <w:rPr>
          <w:rFonts w:ascii="Times New Roman" w:hAnsi="Times New Roman" w:cs="Times New Roman"/>
          <w:sz w:val="28"/>
          <w:szCs w:val="28"/>
        </w:rPr>
        <w:t>LSIA</w:t>
      </w:r>
      <w:r w:rsidRPr="00D97F1B">
        <w:rPr>
          <w:rFonts w:ascii="Times New Roman" w:hAnsi="Times New Roman" w:cs="Times New Roman"/>
          <w:sz w:val="28"/>
          <w:szCs w:val="28"/>
          <w:lang w:val="uk-UA"/>
        </w:rPr>
        <w:t>) – це опитувальник для визначення загального психологічного стану, рівня психологічного комфорту та адаптації людини</w:t>
      </w:r>
      <w:r w:rsidRPr="00D97F1B">
        <w:rPr>
          <w:rFonts w:ascii="Times New Roman" w:hAnsi="Times New Roman" w:cs="Times New Roman"/>
          <w:color w:val="0A0A0A"/>
          <w:sz w:val="28"/>
          <w:szCs w:val="28"/>
          <w:shd w:val="clear" w:color="auto" w:fill="FFFFFF"/>
          <w:lang w:val="uk-UA"/>
        </w:rPr>
        <w:t xml:space="preserve">. </w:t>
      </w:r>
      <w:r w:rsidRPr="00D97F1B">
        <w:rPr>
          <w:rFonts w:ascii="Times New Roman" w:hAnsi="Times New Roman" w:cs="Times New Roman"/>
          <w:sz w:val="28"/>
          <w:szCs w:val="28"/>
          <w:lang w:val="uk-UA"/>
        </w:rPr>
        <w:t xml:space="preserve">Він охоплює емоційну складову, показуючи рівень емоційної напруженості, тривожності, а також задоволеність життєвою ситуацією </w:t>
      </w:r>
      <w:r w:rsidRPr="00D97F1B">
        <w:rPr>
          <w:rFonts w:ascii="Times New Roman" w:hAnsi="Times New Roman" w:cs="Times New Roman"/>
          <w:sz w:val="28"/>
          <w:szCs w:val="28"/>
        </w:rPr>
        <w:t>[</w:t>
      </w:r>
      <w:r w:rsidRPr="00D97F1B">
        <w:rPr>
          <w:rFonts w:ascii="Times New Roman" w:hAnsi="Times New Roman" w:cs="Times New Roman"/>
          <w:sz w:val="28"/>
          <w:szCs w:val="28"/>
          <w:lang w:val="en-US"/>
        </w:rPr>
        <w:fldChar w:fldCharType="begin"/>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rPr>
        <w:instrText xml:space="preserve"> _</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rPr>
        <w:instrText>214483160 \</w:instrText>
      </w:r>
      <w:r w:rsidRPr="00D97F1B">
        <w:rPr>
          <w:rFonts w:ascii="Times New Roman" w:hAnsi="Times New Roman" w:cs="Times New Roman"/>
          <w:sz w:val="28"/>
          <w:szCs w:val="28"/>
          <w:lang w:val="en-US"/>
        </w:rPr>
        <w:instrText>r</w:instrText>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h</w:instrText>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 xml:space="preserve"> \* MERGEFORMAT </w:instrText>
      </w:r>
      <w:r w:rsidRPr="00D97F1B">
        <w:rPr>
          <w:rFonts w:ascii="Times New Roman" w:hAnsi="Times New Roman" w:cs="Times New Roman"/>
          <w:sz w:val="28"/>
          <w:szCs w:val="28"/>
          <w:lang w:val="en-US"/>
        </w:rPr>
      </w:r>
      <w:r w:rsidRPr="00D97F1B">
        <w:rPr>
          <w:rFonts w:ascii="Times New Roman" w:hAnsi="Times New Roman" w:cs="Times New Roman"/>
          <w:sz w:val="28"/>
          <w:szCs w:val="28"/>
          <w:lang w:val="en-US"/>
        </w:rPr>
        <w:fldChar w:fldCharType="separate"/>
      </w:r>
      <w:r w:rsidRPr="00D97F1B">
        <w:rPr>
          <w:rFonts w:ascii="Times New Roman" w:hAnsi="Times New Roman" w:cs="Times New Roman"/>
          <w:sz w:val="28"/>
          <w:szCs w:val="28"/>
        </w:rPr>
        <w:t>10</w:t>
      </w:r>
      <w:r w:rsidRPr="00D97F1B">
        <w:rPr>
          <w:rFonts w:ascii="Times New Roman" w:hAnsi="Times New Roman" w:cs="Times New Roman"/>
          <w:sz w:val="28"/>
          <w:szCs w:val="28"/>
          <w:lang w:val="en-US"/>
        </w:rPr>
        <w:fldChar w:fldCharType="end"/>
      </w:r>
      <w:r w:rsidRPr="00D97F1B">
        <w:rPr>
          <w:rFonts w:ascii="Times New Roman" w:hAnsi="Times New Roman" w:cs="Times New Roman"/>
          <w:sz w:val="28"/>
          <w:szCs w:val="28"/>
        </w:rPr>
        <w:t>]</w:t>
      </w:r>
      <w:r w:rsidRPr="00D97F1B">
        <w:rPr>
          <w:rFonts w:ascii="Times New Roman" w:hAnsi="Times New Roman" w:cs="Times New Roman"/>
          <w:sz w:val="28"/>
          <w:szCs w:val="28"/>
          <w:lang w:val="uk-UA"/>
        </w:rPr>
        <w:t>.</w:t>
      </w:r>
      <w:r w:rsidRPr="00D97F1B">
        <w:rPr>
          <w:rFonts w:ascii="Times New Roman" w:hAnsi="Times New Roman" w:cs="Times New Roman"/>
          <w:sz w:val="28"/>
          <w:szCs w:val="28"/>
        </w:rPr>
        <w:t> </w:t>
      </w:r>
      <w:r w:rsidRPr="00D97F1B">
        <w:rPr>
          <w:rFonts w:ascii="Times New Roman" w:hAnsi="Times New Roman" w:cs="Times New Roman"/>
          <w:sz w:val="28"/>
          <w:szCs w:val="28"/>
          <w:lang w:val="uk-UA"/>
        </w:rPr>
        <w:t xml:space="preserve"> </w:t>
      </w:r>
    </w:p>
    <w:p w14:paraId="460BC645" w14:textId="0CD08163"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Питання цього опросника представлені а додатку В. Отримані дані представимо в таблиці 2.3</w:t>
      </w:r>
      <w:r w:rsidR="001F72E0">
        <w:rPr>
          <w:rFonts w:ascii="Times New Roman" w:hAnsi="Times New Roman" w:cs="Times New Roman"/>
          <w:sz w:val="28"/>
          <w:szCs w:val="28"/>
          <w:lang w:val="uk-UA"/>
        </w:rPr>
        <w:t>.</w:t>
      </w:r>
    </w:p>
    <w:p w14:paraId="4C904E51"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t>Таблиця 2.3</w:t>
      </w:r>
    </w:p>
    <w:p w14:paraId="57195C8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Отримані результати  по Індексу життєвої задоволеності (</w:t>
      </w:r>
      <w:r w:rsidRPr="00D97F1B">
        <w:rPr>
          <w:rFonts w:ascii="Times New Roman" w:hAnsi="Times New Roman" w:cs="Times New Roman"/>
          <w:sz w:val="28"/>
          <w:szCs w:val="28"/>
        </w:rPr>
        <w:t>LSIA</w:t>
      </w:r>
      <w:r w:rsidRPr="00D97F1B">
        <w:rPr>
          <w:rFonts w:ascii="Times New Roman" w:hAnsi="Times New Roman" w:cs="Times New Roman"/>
          <w:sz w:val="28"/>
          <w:szCs w:val="28"/>
          <w:lang w:val="uk-UA"/>
        </w:rPr>
        <w:t>)</w:t>
      </w:r>
    </w:p>
    <w:tbl>
      <w:tblPr>
        <w:tblStyle w:val="afb"/>
        <w:tblW w:w="0" w:type="auto"/>
        <w:jc w:val="center"/>
        <w:tblLook w:val="04A0" w:firstRow="1" w:lastRow="0" w:firstColumn="1" w:lastColumn="0" w:noHBand="0" w:noVBand="1"/>
      </w:tblPr>
      <w:tblGrid>
        <w:gridCol w:w="5449"/>
        <w:gridCol w:w="2330"/>
      </w:tblGrid>
      <w:tr w:rsidR="00D97F1B" w:rsidRPr="00D97F1B" w14:paraId="3CBBD513" w14:textId="77777777" w:rsidTr="00556F8D">
        <w:trPr>
          <w:jc w:val="center"/>
        </w:trPr>
        <w:tc>
          <w:tcPr>
            <w:tcW w:w="5449" w:type="dxa"/>
          </w:tcPr>
          <w:p w14:paraId="03009958"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Показники</w:t>
            </w:r>
          </w:p>
        </w:tc>
        <w:tc>
          <w:tcPr>
            <w:tcW w:w="2330" w:type="dxa"/>
          </w:tcPr>
          <w:p w14:paraId="49076BB5" w14:textId="77777777" w:rsidR="00D97F1B" w:rsidRPr="00D97F1B" w:rsidRDefault="00D97F1B" w:rsidP="001F72E0">
            <w:pPr>
              <w:spacing w:line="360" w:lineRule="auto"/>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Кількість людей</w:t>
            </w:r>
          </w:p>
        </w:tc>
      </w:tr>
      <w:tr w:rsidR="00D97F1B" w:rsidRPr="00D97F1B" w14:paraId="0FC5797A" w14:textId="77777777" w:rsidTr="00556F8D">
        <w:trPr>
          <w:jc w:val="center"/>
        </w:trPr>
        <w:tc>
          <w:tcPr>
            <w:tcW w:w="5449" w:type="dxa"/>
          </w:tcPr>
          <w:p w14:paraId="0CEA0DF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25-40 високий рівень задоволеності </w:t>
            </w:r>
          </w:p>
        </w:tc>
        <w:tc>
          <w:tcPr>
            <w:tcW w:w="2330" w:type="dxa"/>
          </w:tcPr>
          <w:p w14:paraId="0A26DBA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0</w:t>
            </w:r>
          </w:p>
        </w:tc>
      </w:tr>
      <w:tr w:rsidR="00D97F1B" w:rsidRPr="00D97F1B" w14:paraId="1AF1A41C" w14:textId="77777777" w:rsidTr="00556F8D">
        <w:trPr>
          <w:jc w:val="center"/>
        </w:trPr>
        <w:tc>
          <w:tcPr>
            <w:tcW w:w="5449" w:type="dxa"/>
          </w:tcPr>
          <w:p w14:paraId="25D1EEB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2-24  середній рівень задоволеності (СРЗ)</w:t>
            </w:r>
          </w:p>
        </w:tc>
        <w:tc>
          <w:tcPr>
            <w:tcW w:w="2330" w:type="dxa"/>
          </w:tcPr>
          <w:p w14:paraId="01BF176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4</w:t>
            </w:r>
          </w:p>
        </w:tc>
      </w:tr>
      <w:tr w:rsidR="00D97F1B" w:rsidRPr="00D97F1B" w14:paraId="1C78D8C8" w14:textId="77777777" w:rsidTr="00556F8D">
        <w:trPr>
          <w:jc w:val="center"/>
        </w:trPr>
        <w:tc>
          <w:tcPr>
            <w:tcW w:w="5449" w:type="dxa"/>
          </w:tcPr>
          <w:p w14:paraId="433189E9"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0-19 низкий рівень задоволеності (НРЗ)</w:t>
            </w:r>
          </w:p>
        </w:tc>
        <w:tc>
          <w:tcPr>
            <w:tcW w:w="2330" w:type="dxa"/>
          </w:tcPr>
          <w:p w14:paraId="5E8481E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12</w:t>
            </w:r>
          </w:p>
        </w:tc>
      </w:tr>
    </w:tbl>
    <w:p w14:paraId="6321444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0E45268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val="uk-UA" w:eastAsia="ru-RU"/>
        </w:rPr>
        <w:t>На рисунку 2.8 представлені о</w:t>
      </w:r>
      <w:r w:rsidRPr="00D97F1B">
        <w:rPr>
          <w:rFonts w:ascii="Times New Roman" w:hAnsi="Times New Roman" w:cs="Times New Roman"/>
          <w:sz w:val="28"/>
          <w:szCs w:val="28"/>
          <w:lang w:val="uk-UA"/>
        </w:rPr>
        <w:t>тримані результати  по Індексу життєвої задоволеності (</w:t>
      </w:r>
      <w:r w:rsidRPr="00D97F1B">
        <w:rPr>
          <w:rFonts w:ascii="Times New Roman" w:hAnsi="Times New Roman" w:cs="Times New Roman"/>
          <w:sz w:val="28"/>
          <w:szCs w:val="28"/>
        </w:rPr>
        <w:t>LSIA</w:t>
      </w:r>
      <w:r w:rsidRPr="00D97F1B">
        <w:rPr>
          <w:rFonts w:ascii="Times New Roman" w:hAnsi="Times New Roman" w:cs="Times New Roman"/>
          <w:sz w:val="28"/>
          <w:szCs w:val="28"/>
          <w:lang w:val="uk-UA"/>
        </w:rPr>
        <w:t>) у відсотках</w:t>
      </w:r>
    </w:p>
    <w:p w14:paraId="0DE478A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eastAsia="ru-RU"/>
        </w:rPr>
        <w:lastRenderedPageBreak/>
        <w:drawing>
          <wp:inline distT="0" distB="0" distL="0" distR="0" wp14:anchorId="6360FAAC" wp14:editId="1A7D8834">
            <wp:extent cx="3734292" cy="2395138"/>
            <wp:effectExtent l="0" t="0" r="19050" b="247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F5E74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noProof/>
          <w:sz w:val="28"/>
          <w:szCs w:val="28"/>
          <w:lang w:val="uk-UA" w:eastAsia="ru-RU"/>
        </w:rPr>
        <w:t xml:space="preserve">Рис. 2.8. </w:t>
      </w:r>
      <w:r w:rsidRPr="00D97F1B">
        <w:rPr>
          <w:rFonts w:ascii="Times New Roman" w:hAnsi="Times New Roman" w:cs="Times New Roman"/>
          <w:sz w:val="28"/>
          <w:szCs w:val="28"/>
          <w:lang w:val="uk-UA"/>
        </w:rPr>
        <w:t>Результати по Індексу життєвої задоволеності (</w:t>
      </w:r>
      <w:r w:rsidRPr="00D97F1B">
        <w:rPr>
          <w:rFonts w:ascii="Times New Roman" w:hAnsi="Times New Roman" w:cs="Times New Roman"/>
          <w:sz w:val="28"/>
          <w:szCs w:val="28"/>
        </w:rPr>
        <w:t>LSIA</w:t>
      </w:r>
      <w:r w:rsidRPr="00D97F1B">
        <w:rPr>
          <w:rFonts w:ascii="Times New Roman" w:hAnsi="Times New Roman" w:cs="Times New Roman"/>
          <w:sz w:val="28"/>
          <w:szCs w:val="28"/>
          <w:lang w:val="uk-UA"/>
        </w:rPr>
        <w:t>) у відсотках</w:t>
      </w:r>
    </w:p>
    <w:p w14:paraId="4AC5536F" w14:textId="77777777" w:rsidR="001F72E0" w:rsidRDefault="001F72E0" w:rsidP="00D97F1B">
      <w:pPr>
        <w:spacing w:after="0" w:line="360" w:lineRule="auto"/>
        <w:ind w:firstLine="709"/>
        <w:jc w:val="both"/>
        <w:rPr>
          <w:rFonts w:ascii="Times New Roman" w:hAnsi="Times New Roman" w:cs="Times New Roman"/>
          <w:sz w:val="28"/>
          <w:szCs w:val="28"/>
          <w:lang w:val="uk-UA"/>
        </w:rPr>
      </w:pPr>
    </w:p>
    <w:p w14:paraId="44B565C1" w14:textId="36007640"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Аналіз отриманих даних дозволяє зробити наступні висновки:</w:t>
      </w:r>
    </w:p>
    <w:p w14:paraId="7E0D7F5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rPr>
        <w:t>- переважна більшість</w:t>
      </w:r>
      <w:r w:rsidRPr="00D97F1B">
        <w:rPr>
          <w:rFonts w:ascii="Times New Roman" w:hAnsi="Times New Roman" w:cs="Times New Roman"/>
          <w:sz w:val="28"/>
          <w:szCs w:val="28"/>
          <w:lang w:val="uk-UA" w:eastAsia="ru-RU"/>
        </w:rPr>
        <w:t xml:space="preserve"> учасників проєкту – </w:t>
      </w:r>
      <w:r w:rsidRPr="00D97F1B">
        <w:rPr>
          <w:rFonts w:ascii="Times New Roman" w:hAnsi="Times New Roman" w:cs="Times New Roman"/>
          <w:sz w:val="28"/>
          <w:szCs w:val="28"/>
          <w:lang w:val="uk-UA"/>
        </w:rPr>
        <w:t>75% (12 із 16 осіб)</w:t>
      </w:r>
      <w:r w:rsidRPr="00D97F1B">
        <w:rPr>
          <w:rFonts w:ascii="Times New Roman" w:hAnsi="Times New Roman" w:cs="Times New Roman"/>
          <w:sz w:val="28"/>
          <w:szCs w:val="28"/>
          <w:lang w:val="uk-UA" w:eastAsia="ru-RU"/>
        </w:rPr>
        <w:t xml:space="preserve"> – демонструють </w:t>
      </w:r>
      <w:r w:rsidRPr="00D97F1B">
        <w:rPr>
          <w:rFonts w:ascii="Times New Roman" w:hAnsi="Times New Roman" w:cs="Times New Roman"/>
          <w:sz w:val="28"/>
          <w:szCs w:val="28"/>
          <w:lang w:val="uk-UA"/>
        </w:rPr>
        <w:t>низький рівень задоволеності життям</w:t>
      </w:r>
      <w:r w:rsidRPr="00D97F1B">
        <w:rPr>
          <w:rFonts w:ascii="Times New Roman" w:hAnsi="Times New Roman" w:cs="Times New Roman"/>
          <w:sz w:val="28"/>
          <w:szCs w:val="28"/>
          <w:lang w:val="uk-UA" w:eastAsia="ru-RU"/>
        </w:rPr>
        <w:t>. Це дозволяє припустити наявність глибоких проблем в емоційній, соціальній та оціночній сферах їхнього життя, на відчуття незадоволеності, можливо, самотності чи безпорадності.</w:t>
      </w:r>
    </w:p>
    <w:p w14:paraId="66DB31D3" w14:textId="0F1EAF88"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 - 4 особи (25%) показали середній </w:t>
      </w:r>
      <w:r w:rsidRPr="00D97F1B">
        <w:rPr>
          <w:rFonts w:ascii="Times New Roman" w:hAnsi="Times New Roman" w:cs="Times New Roman"/>
          <w:sz w:val="28"/>
          <w:szCs w:val="28"/>
        </w:rPr>
        <w:t>рівень задоволеності</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Ці</w:t>
      </w:r>
      <w:r w:rsidRPr="00D97F1B">
        <w:rPr>
          <w:rFonts w:ascii="Times New Roman" w:hAnsi="Times New Roman" w:cs="Times New Roman"/>
          <w:sz w:val="28"/>
          <w:szCs w:val="28"/>
          <w:lang w:val="uk-UA"/>
        </w:rPr>
        <w:t>м людям характерно мати певну в</w:t>
      </w:r>
      <w:r w:rsidRPr="00D97F1B">
        <w:rPr>
          <w:rFonts w:ascii="Times New Roman" w:hAnsi="Times New Roman" w:cs="Times New Roman"/>
          <w:sz w:val="28"/>
          <w:szCs w:val="28"/>
        </w:rPr>
        <w:t>нутрішню стійкість</w:t>
      </w:r>
      <w:r w:rsidRPr="00D97F1B">
        <w:rPr>
          <w:rFonts w:ascii="Times New Roman" w:hAnsi="Times New Roman" w:cs="Times New Roman"/>
          <w:sz w:val="28"/>
          <w:szCs w:val="28"/>
          <w:lang w:val="uk-UA"/>
        </w:rPr>
        <w:t xml:space="preserve">, які </w:t>
      </w:r>
      <w:r w:rsidRPr="00D97F1B">
        <w:rPr>
          <w:rFonts w:ascii="Times New Roman" w:hAnsi="Times New Roman" w:cs="Times New Roman"/>
          <w:sz w:val="28"/>
          <w:szCs w:val="28"/>
        </w:rPr>
        <w:t xml:space="preserve"> можуть </w:t>
      </w:r>
      <w:r w:rsidRPr="00D97F1B">
        <w:rPr>
          <w:rFonts w:ascii="Times New Roman" w:hAnsi="Times New Roman" w:cs="Times New Roman"/>
          <w:sz w:val="28"/>
          <w:szCs w:val="28"/>
          <w:lang w:val="uk-UA"/>
        </w:rPr>
        <w:t xml:space="preserve">вирішувати </w:t>
      </w:r>
      <w:r w:rsidRPr="00D97F1B">
        <w:rPr>
          <w:rFonts w:ascii="Times New Roman" w:hAnsi="Times New Roman" w:cs="Times New Roman"/>
          <w:sz w:val="28"/>
          <w:szCs w:val="28"/>
        </w:rPr>
        <w:t>основн</w:t>
      </w:r>
      <w:r w:rsidRPr="00D97F1B">
        <w:rPr>
          <w:rFonts w:ascii="Times New Roman" w:hAnsi="Times New Roman" w:cs="Times New Roman"/>
          <w:sz w:val="28"/>
          <w:szCs w:val="28"/>
          <w:lang w:val="uk-UA"/>
        </w:rPr>
        <w:t>і</w:t>
      </w:r>
      <w:r w:rsidRPr="00D97F1B">
        <w:rPr>
          <w:rFonts w:ascii="Times New Roman" w:hAnsi="Times New Roman" w:cs="Times New Roman"/>
          <w:sz w:val="28"/>
          <w:szCs w:val="28"/>
        </w:rPr>
        <w:t xml:space="preserve"> життєв</w:t>
      </w:r>
      <w:r w:rsidRPr="00D97F1B">
        <w:rPr>
          <w:rFonts w:ascii="Times New Roman" w:hAnsi="Times New Roman" w:cs="Times New Roman"/>
          <w:sz w:val="28"/>
          <w:szCs w:val="28"/>
          <w:lang w:val="uk-UA"/>
        </w:rPr>
        <w:t>і</w:t>
      </w:r>
      <w:r w:rsidRPr="00D97F1B">
        <w:rPr>
          <w:rFonts w:ascii="Times New Roman" w:hAnsi="Times New Roman" w:cs="Times New Roman"/>
          <w:sz w:val="28"/>
          <w:szCs w:val="28"/>
        </w:rPr>
        <w:t xml:space="preserve"> завдання.</w:t>
      </w:r>
      <w:r w:rsidRPr="00D97F1B">
        <w:rPr>
          <w:rFonts w:ascii="Times New Roman" w:hAnsi="Times New Roman" w:cs="Times New Roman"/>
          <w:sz w:val="28"/>
          <w:szCs w:val="28"/>
          <w:lang w:val="uk-UA"/>
        </w:rPr>
        <w:t xml:space="preserve"> Таким людям зазвичай не вистачає достатнього рівня пітримки та у уваги у вирішенні конкретних побутових проблем.</w:t>
      </w:r>
    </w:p>
    <w:p w14:paraId="02136A5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Отримані дані </w:t>
      </w:r>
      <w:r w:rsidRPr="00D97F1B">
        <w:rPr>
          <w:rFonts w:ascii="Times New Roman" w:hAnsi="Times New Roman" w:cs="Times New Roman"/>
          <w:sz w:val="28"/>
          <w:szCs w:val="28"/>
          <w:lang w:val="uk-UA"/>
        </w:rPr>
        <w:t>обґрунтовують необхідність комплексного</w:t>
      </w:r>
      <w:r w:rsidRPr="00D97F1B">
        <w:rPr>
          <w:rFonts w:ascii="Times New Roman" w:hAnsi="Times New Roman" w:cs="Times New Roman"/>
          <w:sz w:val="28"/>
          <w:szCs w:val="28"/>
          <w:lang w:val="uk-UA" w:eastAsia="ru-RU"/>
        </w:rPr>
        <w:t xml:space="preserve"> підходу та психосоціальної допомоги, тому що виявлений стан високої незадоволеності є фактором ризику погіршення психічного та фізичного здоров’я.</w:t>
      </w:r>
    </w:p>
    <w:p w14:paraId="3DE404D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Таким чином, аналіз анкети та проведені тести підтверджують  наявність </w:t>
      </w:r>
      <w:r w:rsidRPr="00D97F1B">
        <w:rPr>
          <w:rFonts w:ascii="Times New Roman" w:hAnsi="Times New Roman" w:cs="Times New Roman"/>
          <w:sz w:val="28"/>
          <w:szCs w:val="28"/>
          <w:lang w:val="uk-UA"/>
        </w:rPr>
        <w:t xml:space="preserve">високого рівня емоційного дискомфорту, соціальної ізоляції, депресивних станів. </w:t>
      </w:r>
    </w:p>
    <w:p w14:paraId="6F99A50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Це підтверджує необхідність надання людям похилого віку зі статусом ВПО ефективної психосоціальної допомоги, яка буде орієнтована на зменшення проявів депресії, зниження тривожності, відчуття самотності та буде мати комплексний характер.</w:t>
      </w:r>
    </w:p>
    <w:p w14:paraId="745C41D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lastRenderedPageBreak/>
        <w:t>Слід зазначити, що гуманітарна робота має спиратись на принципі неупередженості, який грунтуєтсья на наданні допомоги виключно на основі потреб, охоплюючи постраждалих від кризових ситуацій. Але міжнародний досвід показує, що люди похилого віку та люди з інвалідністю страждають від нестачі якісної гуманітарної допомоги у гуманітарних програмах.</w:t>
      </w:r>
    </w:p>
    <w:p w14:paraId="12561E7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Для міжнародної організації HelpAge, яка надає допомогу саме вразливим категоріям, важливо притримуватись прийнятих інклюзивних стандартів. Це може гарантувати безперечную підтримку гідності та прав учасників програми.</w:t>
      </w:r>
    </w:p>
    <w:p w14:paraId="0CDC4501" w14:textId="5F5B11E2"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Необхідність стандартизації підтверджена </w:t>
      </w:r>
      <w:r w:rsidRPr="00D97F1B">
        <w:rPr>
          <w:rFonts w:ascii="Times New Roman" w:hAnsi="Times New Roman" w:cs="Times New Roman"/>
          <w:sz w:val="28"/>
          <w:szCs w:val="28"/>
        </w:rPr>
        <w:t>[</w:t>
      </w:r>
      <w:r w:rsidRPr="00D97F1B">
        <w:rPr>
          <w:rFonts w:ascii="Times New Roman" w:hAnsi="Times New Roman" w:cs="Times New Roman"/>
          <w:sz w:val="28"/>
          <w:szCs w:val="28"/>
          <w:lang w:val="en-US"/>
        </w:rPr>
        <w:fldChar w:fldCharType="begin"/>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rPr>
        <w:instrText xml:space="preserve"> _</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rPr>
        <w:instrText>214483561 \</w:instrText>
      </w:r>
      <w:r w:rsidRPr="00D97F1B">
        <w:rPr>
          <w:rFonts w:ascii="Times New Roman" w:hAnsi="Times New Roman" w:cs="Times New Roman"/>
          <w:sz w:val="28"/>
          <w:szCs w:val="28"/>
          <w:lang w:val="en-US"/>
        </w:rPr>
        <w:instrText>r</w:instrText>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h</w:instrText>
      </w:r>
      <w:r w:rsidRPr="00D97F1B">
        <w:rPr>
          <w:rFonts w:ascii="Times New Roman" w:hAnsi="Times New Roman" w:cs="Times New Roman"/>
          <w:sz w:val="28"/>
          <w:szCs w:val="28"/>
        </w:rPr>
        <w:instrText xml:space="preserve"> </w:instrText>
      </w:r>
      <w:r w:rsidRPr="00D97F1B">
        <w:rPr>
          <w:rFonts w:ascii="Times New Roman" w:hAnsi="Times New Roman" w:cs="Times New Roman"/>
          <w:sz w:val="28"/>
          <w:szCs w:val="28"/>
          <w:lang w:val="en-US"/>
        </w:rPr>
        <w:instrText xml:space="preserve"> \* MERGEFORMAT </w:instrText>
      </w:r>
      <w:r w:rsidRPr="00D97F1B">
        <w:rPr>
          <w:rFonts w:ascii="Times New Roman" w:hAnsi="Times New Roman" w:cs="Times New Roman"/>
          <w:sz w:val="28"/>
          <w:szCs w:val="28"/>
          <w:lang w:val="en-US"/>
        </w:rPr>
      </w:r>
      <w:r w:rsidRPr="00D97F1B">
        <w:rPr>
          <w:rFonts w:ascii="Times New Roman" w:hAnsi="Times New Roman" w:cs="Times New Roman"/>
          <w:sz w:val="28"/>
          <w:szCs w:val="28"/>
          <w:lang w:val="en-US"/>
        </w:rPr>
        <w:fldChar w:fldCharType="separate"/>
      </w:r>
      <w:r w:rsidRPr="00D97F1B">
        <w:rPr>
          <w:rFonts w:ascii="Times New Roman" w:hAnsi="Times New Roman" w:cs="Times New Roman"/>
          <w:sz w:val="28"/>
          <w:szCs w:val="28"/>
        </w:rPr>
        <w:t>33</w:t>
      </w:r>
      <w:r w:rsidRPr="00D97F1B">
        <w:rPr>
          <w:rFonts w:ascii="Times New Roman" w:hAnsi="Times New Roman" w:cs="Times New Roman"/>
          <w:sz w:val="28"/>
          <w:szCs w:val="28"/>
          <w:lang w:val="en-US"/>
        </w:rPr>
        <w:fldChar w:fldCharType="end"/>
      </w:r>
      <w:r w:rsidRPr="00D97F1B">
        <w:rPr>
          <w:rFonts w:ascii="Times New Roman" w:hAnsi="Times New Roman" w:cs="Times New Roman"/>
          <w:sz w:val="28"/>
          <w:szCs w:val="28"/>
        </w:rPr>
        <w:t>]</w:t>
      </w:r>
      <w:r w:rsidRPr="00D97F1B">
        <w:rPr>
          <w:rFonts w:ascii="Times New Roman" w:hAnsi="Times New Roman" w:cs="Times New Roman"/>
          <w:sz w:val="28"/>
          <w:szCs w:val="28"/>
          <w:lang w:val="uk-UA"/>
        </w:rPr>
        <w:t>:</w:t>
      </w:r>
    </w:p>
    <w:p w14:paraId="794FF58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Проектом «Сфера» (</w:t>
      </w:r>
      <w:r w:rsidRPr="00D97F1B">
        <w:rPr>
          <w:rFonts w:ascii="Times New Roman" w:hAnsi="Times New Roman" w:cs="Times New Roman"/>
          <w:sz w:val="28"/>
          <w:szCs w:val="28"/>
        </w:rPr>
        <w:t>Sphere</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Project</w:t>
      </w:r>
      <w:r w:rsidRPr="00D97F1B">
        <w:rPr>
          <w:rFonts w:ascii="Times New Roman" w:hAnsi="Times New Roman" w:cs="Times New Roman"/>
          <w:sz w:val="28"/>
          <w:szCs w:val="28"/>
          <w:lang w:val="uk-UA"/>
        </w:rPr>
        <w:t>). Цей ключовий світовий стандарт підтримує розробку спеціальних інклюзивних стандартів, визнаючи їх життєво важливим внеском у забезпечення права всіх постраждалих на гідне життя та полегшення їхніх страждань.</w:t>
      </w:r>
    </w:p>
    <w:p w14:paraId="0B8C194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Міжнародними зобов'язаннями. На міжнародному рівні це закріплено Конвенцією ООН про права інвалідів (КПІ), яка прямо вимагає вжиття «усіх необхідних заходів для забезпечення захисту й безпеки людей з інвалідністю» в ситуаціях ризику та гуманітарних надзвичайних ситуаціях.</w:t>
      </w:r>
    </w:p>
    <w:p w14:paraId="18B2D12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Гуманітарна Хартія</w:t>
      </w: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як</w:t>
      </w:r>
      <w:r w:rsidRPr="00D97F1B">
        <w:rPr>
          <w:rFonts w:ascii="Times New Roman" w:hAnsi="Times New Roman" w:cs="Times New Roman"/>
          <w:sz w:val="28"/>
          <w:szCs w:val="28"/>
          <w:lang w:val="uk-UA"/>
        </w:rPr>
        <w:t>а</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 xml:space="preserve">зазначає необхідність систематичного підходу для </w:t>
      </w:r>
      <w:r w:rsidRPr="00D97F1B">
        <w:rPr>
          <w:rFonts w:ascii="Times New Roman" w:hAnsi="Times New Roman" w:cs="Times New Roman"/>
          <w:sz w:val="28"/>
          <w:szCs w:val="28"/>
        </w:rPr>
        <w:t>забезпечення включення всіх груп постраждалого населення гуманітарними програмами реагування.</w:t>
      </w:r>
    </w:p>
    <w:p w14:paraId="1F0D76AB"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xml:space="preserve">Таким чином, дотримання інклюзивних стандартів </w:t>
      </w:r>
      <w:r w:rsidRPr="00D97F1B">
        <w:rPr>
          <w:rFonts w:ascii="Times New Roman" w:hAnsi="Times New Roman" w:cs="Times New Roman"/>
          <w:sz w:val="28"/>
          <w:szCs w:val="28"/>
          <w:lang w:val="uk-UA"/>
        </w:rPr>
        <w:t xml:space="preserve">– ключове </w:t>
      </w:r>
      <w:r w:rsidRPr="00D97F1B">
        <w:rPr>
          <w:rFonts w:ascii="Times New Roman" w:hAnsi="Times New Roman" w:cs="Times New Roman"/>
          <w:sz w:val="28"/>
          <w:szCs w:val="28"/>
        </w:rPr>
        <w:t>зобов'язання HelpAge для забезпечення справедливої, ефективної та правозахисної допомоги.</w:t>
      </w:r>
    </w:p>
    <w:p w14:paraId="628E40E1" w14:textId="43C9E71D"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Включення людей похилого віку (також осіб з інвалідністю) в гуманітарні програми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 xml:space="preserve"> ґрунтується на наступних стандартах, забезпечуючи гідність, безпеку, права</w:t>
      </w:r>
      <w:r w:rsidRPr="00D97F1B">
        <w:rPr>
          <w:rFonts w:ascii="Times New Roman" w:hAnsi="Times New Roman" w:cs="Times New Roman"/>
          <w:sz w:val="28"/>
          <w:szCs w:val="28"/>
        </w:rPr>
        <w:t xml:space="preserve">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_Ref214482560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41</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w:t>
      </w:r>
      <w:r w:rsidRPr="00D97F1B">
        <w:rPr>
          <w:rFonts w:ascii="Times New Roman" w:hAnsi="Times New Roman" w:cs="Times New Roman"/>
          <w:sz w:val="28"/>
          <w:szCs w:val="28"/>
          <w:lang w:val="uk-UA"/>
        </w:rPr>
        <w:t>.</w:t>
      </w:r>
    </w:p>
    <w:p w14:paraId="065BF1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визнання та адекватна допомога. Бенефіціари сприймаються як отримувачі допомоги, яка має відповідати їхнім потребам;</w:t>
      </w:r>
    </w:p>
    <w:p w14:paraId="105AD4B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lang w:val="uk-UA"/>
        </w:rPr>
        <w:t>безпечний доступ. Гарантування безпечного та справедливого доступа до всіх видів гуманітарної допомоги;</w:t>
      </w:r>
    </w:p>
    <w:p w14:paraId="079EA4F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 підвищення життєстійкості. Програми орієнтовані на зростання у бенефеціарів стійкості до суспільства, середовища та надання сил для протистояння кризовим ситуаціям;</w:t>
      </w:r>
    </w:p>
    <w:p w14:paraId="6C2AFAE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участь та права. Бенефіціари знають свої права та активно приймають</w:t>
      </w: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lang w:val="uk-UA"/>
        </w:rPr>
        <w:t>участь щодо їхнього життя і прог</w:t>
      </w:r>
      <w:r w:rsidRPr="00D97F1B">
        <w:rPr>
          <w:rFonts w:ascii="Times New Roman" w:hAnsi="Times New Roman" w:cs="Times New Roman"/>
          <w:sz w:val="28"/>
          <w:szCs w:val="28"/>
        </w:rPr>
        <w:t>рам</w:t>
      </w:r>
      <w:r w:rsidRPr="00D97F1B">
        <w:rPr>
          <w:rFonts w:ascii="Times New Roman" w:hAnsi="Times New Roman" w:cs="Times New Roman"/>
          <w:sz w:val="28"/>
          <w:szCs w:val="28"/>
          <w:lang w:val="uk-UA"/>
        </w:rPr>
        <w:t>;</w:t>
      </w:r>
    </w:p>
    <w:p w14:paraId="47E78C9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rPr>
        <w:t>механізми захисту. Забезпечується рівний доступ до системи відгуків, скарг та захисту</w:t>
      </w:r>
      <w:r w:rsidRPr="00D97F1B">
        <w:rPr>
          <w:rFonts w:ascii="Times New Roman" w:hAnsi="Times New Roman" w:cs="Times New Roman"/>
          <w:sz w:val="28"/>
          <w:szCs w:val="28"/>
          <w:lang w:val="uk-UA"/>
        </w:rPr>
        <w:t>;</w:t>
      </w:r>
    </w:p>
    <w:p w14:paraId="19084FD9"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rPr>
        <w:t>координація</w:t>
      </w: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Допомога є скоординованою та гарантує повне охоплення.</w:t>
      </w:r>
    </w:p>
    <w:p w14:paraId="6EEC0202"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rPr>
        <w:t>навчання та розвиток</w:t>
      </w:r>
      <w:r w:rsidRPr="00D97F1B">
        <w:rPr>
          <w:rFonts w:ascii="Times New Roman" w:hAnsi="Times New Roman" w:cs="Times New Roman"/>
          <w:b/>
          <w:bCs/>
          <w:sz w:val="28"/>
          <w:szCs w:val="28"/>
          <w:lang w:val="uk-UA"/>
        </w:rPr>
        <w:t>.</w:t>
      </w:r>
      <w:r w:rsidRPr="00D97F1B">
        <w:rPr>
          <w:rFonts w:ascii="Times New Roman" w:hAnsi="Times New Roman" w:cs="Times New Roman"/>
          <w:sz w:val="28"/>
          <w:szCs w:val="28"/>
        </w:rPr>
        <w:t xml:space="preserve"> Організація збирає та застосовує досвід (навчання) для постійного вдосконалення інклюзивної допомоги.</w:t>
      </w:r>
    </w:p>
    <w:p w14:paraId="6F16002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rPr>
        <w:t>людські ресурси</w:t>
      </w:r>
      <w:r w:rsidRPr="00D97F1B">
        <w:rPr>
          <w:rFonts w:ascii="Times New Roman" w:hAnsi="Times New Roman" w:cs="Times New Roman"/>
          <w:b/>
          <w:bCs/>
          <w:sz w:val="28"/>
          <w:szCs w:val="28"/>
          <w:lang w:val="uk-UA"/>
        </w:rPr>
        <w:t>.</w:t>
      </w:r>
      <w:r w:rsidRPr="00D97F1B">
        <w:rPr>
          <w:rFonts w:ascii="Times New Roman" w:hAnsi="Times New Roman" w:cs="Times New Roman"/>
          <w:sz w:val="28"/>
          <w:szCs w:val="28"/>
        </w:rPr>
        <w:t xml:space="preserve"> Персонал та волонтери навчені інклюзивним підходам</w:t>
      </w:r>
      <w:r w:rsidRPr="00D97F1B">
        <w:rPr>
          <w:rFonts w:ascii="Times New Roman" w:hAnsi="Times New Roman" w:cs="Times New Roman"/>
          <w:sz w:val="28"/>
          <w:szCs w:val="28"/>
          <w:lang w:val="uk-UA"/>
        </w:rPr>
        <w:t>;</w:t>
      </w:r>
    </w:p>
    <w:p w14:paraId="3A11F5D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управління ресурсами</w:t>
      </w:r>
      <w:r w:rsidRPr="00D97F1B">
        <w:rPr>
          <w:rFonts w:ascii="Times New Roman" w:hAnsi="Times New Roman" w:cs="Times New Roman"/>
          <w:b/>
          <w:bCs/>
          <w:sz w:val="28"/>
          <w:szCs w:val="28"/>
          <w:lang w:val="uk-UA"/>
        </w:rPr>
        <w:t>.</w:t>
      </w:r>
      <w:r w:rsidRPr="00D97F1B">
        <w:rPr>
          <w:rFonts w:ascii="Times New Roman" w:hAnsi="Times New Roman" w:cs="Times New Roman"/>
          <w:sz w:val="28"/>
          <w:szCs w:val="28"/>
          <w:lang w:val="uk-UA"/>
        </w:rPr>
        <w:t xml:space="preserve"> Ресурси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 xml:space="preserve"> управляються з обов'язковим урахуванням інтеграції літніх людей та осіб з інвалідністю в усі програми.</w:t>
      </w:r>
    </w:p>
    <w:p w14:paraId="5E11598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 xml:space="preserve">Ці стандарти слугують </w:t>
      </w:r>
      <w:r w:rsidRPr="00D97F1B">
        <w:rPr>
          <w:rFonts w:ascii="Times New Roman" w:hAnsi="Times New Roman" w:cs="Times New Roman"/>
          <w:sz w:val="28"/>
          <w:szCs w:val="28"/>
          <w:lang w:val="uk-UA"/>
        </w:rPr>
        <w:t xml:space="preserve">фундаментом </w:t>
      </w:r>
      <w:r w:rsidRPr="00D97F1B">
        <w:rPr>
          <w:rFonts w:ascii="Times New Roman" w:hAnsi="Times New Roman" w:cs="Times New Roman"/>
          <w:sz w:val="28"/>
          <w:szCs w:val="28"/>
        </w:rPr>
        <w:t xml:space="preserve">для HelpAge, щоб перетворити </w:t>
      </w:r>
      <w:r w:rsidRPr="00D97F1B">
        <w:rPr>
          <w:rFonts w:ascii="Times New Roman" w:hAnsi="Times New Roman" w:cs="Times New Roman"/>
          <w:sz w:val="28"/>
          <w:szCs w:val="28"/>
          <w:lang w:val="uk-UA"/>
        </w:rPr>
        <w:t xml:space="preserve">ці принципи </w:t>
      </w:r>
      <w:r w:rsidRPr="00D97F1B">
        <w:rPr>
          <w:rFonts w:ascii="Times New Roman" w:hAnsi="Times New Roman" w:cs="Times New Roman"/>
          <w:sz w:val="28"/>
          <w:szCs w:val="28"/>
        </w:rPr>
        <w:t>на практичні дії.</w:t>
      </w:r>
      <w:r w:rsidRPr="00D97F1B">
        <w:rPr>
          <w:rFonts w:ascii="Times New Roman" w:hAnsi="Times New Roman" w:cs="Times New Roman"/>
          <w:b/>
          <w:bCs/>
          <w:sz w:val="28"/>
          <w:szCs w:val="28"/>
          <w:lang w:val="uk-UA"/>
        </w:rPr>
        <w:t xml:space="preserve"> </w:t>
      </w:r>
    </w:p>
    <w:p w14:paraId="5AA465C2" w14:textId="33B41F79"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Також слід зауважити, что крім обов’язкових нормативних стандартів роботи з бенефеціарами, міжнародна організація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 xml:space="preserve"> керується комплексним підходом психосоціальної допомоги, який заснован на біопсихосоціальному підході [</w:t>
      </w:r>
      <w:r w:rsidRPr="00D97F1B">
        <w:rPr>
          <w:rFonts w:ascii="Times New Roman" w:hAnsi="Times New Roman" w:cs="Times New Roman"/>
          <w:sz w:val="28"/>
          <w:szCs w:val="28"/>
          <w:lang w:val="uk-UA"/>
        </w:rPr>
        <w:fldChar w:fldCharType="begin"/>
      </w:r>
      <w:r w:rsidRPr="00D97F1B">
        <w:rPr>
          <w:rFonts w:ascii="Times New Roman" w:hAnsi="Times New Roman" w:cs="Times New Roman"/>
          <w:sz w:val="28"/>
          <w:szCs w:val="28"/>
          <w:lang w:val="uk-UA"/>
        </w:rPr>
        <w:instrText xml:space="preserve"> REF _Ref214483599 \r \h  \* MERGEFORMAT </w:instrText>
      </w:r>
      <w:r w:rsidRPr="00D97F1B">
        <w:rPr>
          <w:rFonts w:ascii="Times New Roman" w:hAnsi="Times New Roman" w:cs="Times New Roman"/>
          <w:sz w:val="28"/>
          <w:szCs w:val="28"/>
          <w:lang w:val="uk-UA"/>
        </w:rPr>
      </w:r>
      <w:r w:rsidRPr="00D97F1B">
        <w:rPr>
          <w:rFonts w:ascii="Times New Roman" w:hAnsi="Times New Roman" w:cs="Times New Roman"/>
          <w:sz w:val="28"/>
          <w:szCs w:val="28"/>
          <w:lang w:val="uk-UA"/>
        </w:rPr>
        <w:fldChar w:fldCharType="separate"/>
      </w:r>
      <w:r w:rsidRPr="00D97F1B">
        <w:rPr>
          <w:rFonts w:ascii="Times New Roman" w:hAnsi="Times New Roman" w:cs="Times New Roman"/>
          <w:sz w:val="28"/>
          <w:szCs w:val="28"/>
          <w:lang w:val="uk-UA"/>
        </w:rPr>
        <w:t>17</w:t>
      </w:r>
      <w:r w:rsidRPr="00D97F1B">
        <w:rPr>
          <w:rFonts w:ascii="Times New Roman" w:hAnsi="Times New Roman" w:cs="Times New Roman"/>
          <w:sz w:val="28"/>
          <w:szCs w:val="28"/>
          <w:lang w:val="uk-UA"/>
        </w:rPr>
        <w:fldChar w:fldCharType="end"/>
      </w:r>
      <w:r w:rsidRPr="00D97F1B">
        <w:rPr>
          <w:rFonts w:ascii="Times New Roman" w:hAnsi="Times New Roman" w:cs="Times New Roman"/>
          <w:sz w:val="28"/>
          <w:szCs w:val="28"/>
          <w:lang w:val="uk-UA"/>
        </w:rPr>
        <w:t>].</w:t>
      </w:r>
    </w:p>
    <w:p w14:paraId="6FE0BBE2" w14:textId="1703DA53"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Біопсихосоціальна модель обмеження життєдіяльності є спробою поєднати підходи соціальної та біомедичної моделей, вперше запропонував Джордж Енгель. Вона ґрунтується на ідеї, що для повного розуміння стану здоров’я людини слід враховувати не лише біологічні чинники, а й психологічні та соціальні аспекти</w:t>
      </w:r>
      <w:r w:rsidRPr="00D97F1B">
        <w:rPr>
          <w:rFonts w:ascii="Times New Roman" w:hAnsi="Times New Roman" w:cs="Times New Roman"/>
          <w:sz w:val="28"/>
          <w:szCs w:val="28"/>
        </w:rPr>
        <w:t xml:space="preserve">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_Ref214483599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17</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w:t>
      </w:r>
      <w:r w:rsidRPr="00D97F1B">
        <w:rPr>
          <w:rFonts w:ascii="Times New Roman" w:hAnsi="Times New Roman" w:cs="Times New Roman"/>
          <w:sz w:val="28"/>
          <w:szCs w:val="28"/>
          <w:lang w:val="uk-UA"/>
        </w:rPr>
        <w:t>.</w:t>
      </w:r>
    </w:p>
    <w:p w14:paraId="1B94C956" w14:textId="77777777" w:rsidR="00D97F1B" w:rsidRPr="001F72E0" w:rsidRDefault="00D97F1B" w:rsidP="00D97F1B">
      <w:pPr>
        <w:spacing w:after="0" w:line="360" w:lineRule="auto"/>
        <w:ind w:firstLine="709"/>
        <w:jc w:val="both"/>
        <w:rPr>
          <w:rFonts w:ascii="Times New Roman" w:hAnsi="Times New Roman" w:cs="Times New Roman"/>
          <w:b/>
          <w:bCs/>
          <w:sz w:val="28"/>
          <w:szCs w:val="28"/>
          <w:lang w:val="uk-UA"/>
        </w:rPr>
      </w:pPr>
      <w:r w:rsidRPr="001F72E0">
        <w:rPr>
          <w:rStyle w:val="af4"/>
          <w:rFonts w:ascii="Times New Roman" w:hAnsi="Times New Roman" w:cs="Times New Roman"/>
          <w:b w:val="0"/>
          <w:bCs w:val="0"/>
          <w:sz w:val="28"/>
          <w:szCs w:val="28"/>
          <w:lang w:val="uk-UA"/>
        </w:rPr>
        <w:t>Основні складові цієї моделі:</w:t>
      </w:r>
    </w:p>
    <w:p w14:paraId="35FCA203" w14:textId="7510EACF" w:rsidR="00D97F1B" w:rsidRPr="001F72E0" w:rsidRDefault="00D97F1B" w:rsidP="00D97F1B">
      <w:pPr>
        <w:spacing w:after="0" w:line="360" w:lineRule="auto"/>
        <w:ind w:firstLine="709"/>
        <w:jc w:val="both"/>
        <w:rPr>
          <w:rFonts w:ascii="Times New Roman" w:hAnsi="Times New Roman" w:cs="Times New Roman"/>
          <w:b/>
          <w:bCs/>
          <w:sz w:val="28"/>
          <w:szCs w:val="28"/>
          <w:lang w:val="uk-UA"/>
        </w:rPr>
      </w:pPr>
      <w:r w:rsidRPr="001F72E0">
        <w:rPr>
          <w:rStyle w:val="af4"/>
          <w:rFonts w:ascii="Times New Roman" w:hAnsi="Times New Roman" w:cs="Times New Roman"/>
          <w:b w:val="0"/>
          <w:bCs w:val="0"/>
          <w:sz w:val="28"/>
          <w:szCs w:val="28"/>
          <w:lang w:val="uk-UA"/>
        </w:rPr>
        <w:t>- біологічна складова</w:t>
      </w:r>
      <w:r w:rsidRPr="001F72E0">
        <w:rPr>
          <w:rFonts w:ascii="Times New Roman" w:hAnsi="Times New Roman" w:cs="Times New Roman"/>
          <w:b/>
          <w:bCs/>
          <w:sz w:val="28"/>
          <w:szCs w:val="28"/>
          <w:lang w:val="uk-UA"/>
        </w:rPr>
        <w:t xml:space="preserve"> </w:t>
      </w:r>
      <w:r w:rsidR="001F72E0">
        <w:rPr>
          <w:rFonts w:ascii="Times New Roman" w:hAnsi="Times New Roman" w:cs="Times New Roman"/>
          <w:b/>
          <w:bCs/>
          <w:sz w:val="28"/>
          <w:szCs w:val="28"/>
          <w:lang w:val="uk-UA"/>
        </w:rPr>
        <w:t>−</w:t>
      </w:r>
      <w:r w:rsidRPr="001F72E0">
        <w:rPr>
          <w:rFonts w:ascii="Times New Roman" w:hAnsi="Times New Roman" w:cs="Times New Roman"/>
          <w:b/>
          <w:bCs/>
          <w:sz w:val="28"/>
          <w:szCs w:val="28"/>
          <w:lang w:val="uk-UA"/>
        </w:rPr>
        <w:t xml:space="preserve"> </w:t>
      </w:r>
      <w:r w:rsidRPr="001F72E0">
        <w:rPr>
          <w:rFonts w:ascii="Times New Roman" w:hAnsi="Times New Roman" w:cs="Times New Roman"/>
          <w:sz w:val="28"/>
          <w:szCs w:val="28"/>
          <w:lang w:val="uk-UA"/>
        </w:rPr>
        <w:t>фізіологічні та патологічні процеси організму;</w:t>
      </w:r>
    </w:p>
    <w:p w14:paraId="37E028A7" w14:textId="7BE839F1"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Style w:val="af4"/>
          <w:rFonts w:ascii="Times New Roman" w:hAnsi="Times New Roman" w:cs="Times New Roman"/>
          <w:sz w:val="28"/>
          <w:szCs w:val="28"/>
          <w:lang w:val="uk-UA"/>
        </w:rPr>
        <w:t xml:space="preserve">- </w:t>
      </w:r>
      <w:r w:rsidRPr="00D97F1B">
        <w:rPr>
          <w:rFonts w:ascii="Times New Roman" w:hAnsi="Times New Roman" w:cs="Times New Roman"/>
          <w:sz w:val="28"/>
          <w:szCs w:val="28"/>
        </w:rPr>
        <w:t>психологічн</w:t>
      </w:r>
      <w:r w:rsidRPr="00D97F1B">
        <w:rPr>
          <w:rFonts w:ascii="Times New Roman" w:hAnsi="Times New Roman" w:cs="Times New Roman"/>
          <w:sz w:val="28"/>
          <w:szCs w:val="28"/>
          <w:lang w:val="uk-UA"/>
        </w:rPr>
        <w:t>а</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складова</w:t>
      </w:r>
      <w:r w:rsidRPr="00D97F1B">
        <w:rPr>
          <w:rFonts w:ascii="Times New Roman" w:hAnsi="Times New Roman" w:cs="Times New Roman"/>
          <w:sz w:val="28"/>
          <w:szCs w:val="28"/>
        </w:rPr>
        <w:t xml:space="preserve">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думки, емоції та поведінкові реакції, зокрема психологічний дистрес, страх, переконання щодо уникнення, способи подолання труднощів і сприйняття власного стану.</w:t>
      </w:r>
    </w:p>
    <w:p w14:paraId="2D846729" w14:textId="3F344A5E"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rPr>
        <w:lastRenderedPageBreak/>
        <w:t xml:space="preserve">- </w:t>
      </w:r>
      <w:r w:rsidRPr="00D97F1B">
        <w:rPr>
          <w:rFonts w:ascii="Times New Roman" w:hAnsi="Times New Roman" w:cs="Times New Roman"/>
          <w:bCs/>
          <w:sz w:val="28"/>
          <w:szCs w:val="28"/>
        </w:rPr>
        <w:t>соціальна</w:t>
      </w:r>
      <w:r w:rsidRPr="00D97F1B">
        <w:rPr>
          <w:rStyle w:val="af4"/>
          <w:rFonts w:ascii="Times New Roman" w:hAnsi="Times New Roman" w:cs="Times New Roman"/>
          <w:sz w:val="28"/>
          <w:szCs w:val="28"/>
        </w:rPr>
        <w:t xml:space="preserve"> </w:t>
      </w:r>
      <w:r w:rsidRPr="00D97F1B">
        <w:rPr>
          <w:rFonts w:ascii="Times New Roman" w:hAnsi="Times New Roman" w:cs="Times New Roman"/>
          <w:sz w:val="28"/>
          <w:szCs w:val="28"/>
          <w:lang w:val="uk-UA"/>
        </w:rPr>
        <w:t>складова</w:t>
      </w:r>
      <w:r w:rsidRPr="00D97F1B">
        <w:rPr>
          <w:rFonts w:ascii="Times New Roman" w:hAnsi="Times New Roman" w:cs="Times New Roman"/>
          <w:sz w:val="28"/>
          <w:szCs w:val="28"/>
        </w:rPr>
        <w:t xml:space="preserve">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соціально-економічні, культурні та середовищні фактори, такі як умови праці, сімейні обставини, соціальні пільги та економічна ситуація.</w:t>
      </w:r>
    </w:p>
    <w:p w14:paraId="4B76573A" w14:textId="5FE43CB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Таким чином, спираючись на нормативни стандарти та комплексний підхід на фундаменті біопсихосоціального підходу можна визначити види робіт і методи їх реалізації.</w:t>
      </w:r>
      <w:r w:rsidR="001F72E0">
        <w:rPr>
          <w:rFonts w:ascii="Times New Roman" w:hAnsi="Times New Roman" w:cs="Times New Roman"/>
          <w:sz w:val="28"/>
          <w:szCs w:val="28"/>
          <w:lang w:val="uk-UA"/>
        </w:rPr>
        <w:t xml:space="preserve"> </w:t>
      </w:r>
      <w:r w:rsidRPr="00D97F1B">
        <w:rPr>
          <w:rFonts w:ascii="Times New Roman" w:hAnsi="Times New Roman" w:cs="Times New Roman"/>
          <w:sz w:val="28"/>
          <w:szCs w:val="28"/>
          <w:lang w:val="uk-UA"/>
        </w:rPr>
        <w:t>Представимо в таблиці 2.3</w:t>
      </w:r>
      <w:r w:rsidR="001F72E0">
        <w:rPr>
          <w:rFonts w:ascii="Times New Roman" w:hAnsi="Times New Roman" w:cs="Times New Roman"/>
          <w:sz w:val="28"/>
          <w:szCs w:val="28"/>
          <w:lang w:val="uk-UA"/>
        </w:rPr>
        <w:t>.</w:t>
      </w:r>
    </w:p>
    <w:p w14:paraId="15FD22EA"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t>Таблиця 2.3</w:t>
      </w:r>
    </w:p>
    <w:p w14:paraId="2B31327E" w14:textId="6204D162"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Комплексний підхід психосоціальної допомоги: </w:t>
      </w:r>
      <w:r w:rsidR="001F72E0">
        <w:rPr>
          <w:rFonts w:ascii="Times New Roman" w:hAnsi="Times New Roman" w:cs="Times New Roman"/>
          <w:sz w:val="28"/>
          <w:szCs w:val="28"/>
          <w:lang w:val="uk-UA"/>
        </w:rPr>
        <w:t>б</w:t>
      </w:r>
      <w:r w:rsidRPr="00D97F1B">
        <w:rPr>
          <w:rFonts w:ascii="Times New Roman" w:hAnsi="Times New Roman" w:cs="Times New Roman"/>
          <w:sz w:val="28"/>
          <w:szCs w:val="28"/>
          <w:lang w:val="uk-UA"/>
        </w:rPr>
        <w:t>іологічна сфера</w:t>
      </w:r>
    </w:p>
    <w:tbl>
      <w:tblPr>
        <w:tblStyle w:val="afb"/>
        <w:tblW w:w="0" w:type="auto"/>
        <w:tblLook w:val="04A0" w:firstRow="1" w:lastRow="0" w:firstColumn="1" w:lastColumn="0" w:noHBand="0" w:noVBand="1"/>
      </w:tblPr>
      <w:tblGrid>
        <w:gridCol w:w="2752"/>
        <w:gridCol w:w="2821"/>
        <w:gridCol w:w="3998"/>
      </w:tblGrid>
      <w:tr w:rsidR="00D97F1B" w:rsidRPr="00D97F1B" w14:paraId="3DF2B574" w14:textId="77777777" w:rsidTr="00556F8D">
        <w:tc>
          <w:tcPr>
            <w:tcW w:w="2752" w:type="dxa"/>
          </w:tcPr>
          <w:p w14:paraId="196ACA31"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Вид роботи</w:t>
            </w:r>
          </w:p>
        </w:tc>
        <w:tc>
          <w:tcPr>
            <w:tcW w:w="2821" w:type="dxa"/>
          </w:tcPr>
          <w:p w14:paraId="30DB790B"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Мета роботи</w:t>
            </w:r>
          </w:p>
        </w:tc>
        <w:tc>
          <w:tcPr>
            <w:tcW w:w="3998" w:type="dxa"/>
          </w:tcPr>
          <w:p w14:paraId="6EBF5A28" w14:textId="77777777" w:rsidR="00D97F1B" w:rsidRPr="00D97F1B" w:rsidRDefault="00D97F1B" w:rsidP="00D97F1B">
            <w:pPr>
              <w:spacing w:line="360" w:lineRule="auto"/>
              <w:ind w:firstLine="709"/>
              <w:jc w:val="both"/>
              <w:rPr>
                <w:rFonts w:ascii="Times New Roman" w:hAnsi="Times New Roman" w:cs="Times New Roman"/>
                <w:b/>
                <w:sz w:val="28"/>
                <w:szCs w:val="28"/>
                <w:lang w:val="uk-UA"/>
              </w:rPr>
            </w:pPr>
            <w:r w:rsidRPr="00D97F1B">
              <w:rPr>
                <w:rFonts w:ascii="Times New Roman" w:hAnsi="Times New Roman" w:cs="Times New Roman"/>
                <w:b/>
                <w:sz w:val="28"/>
                <w:szCs w:val="28"/>
                <w:lang w:val="uk-UA"/>
              </w:rPr>
              <w:t>Методи реалізації</w:t>
            </w:r>
          </w:p>
        </w:tc>
      </w:tr>
      <w:tr w:rsidR="00D97F1B" w:rsidRPr="00D97F1B" w14:paraId="163FDCD6" w14:textId="77777777" w:rsidTr="00556F8D">
        <w:tc>
          <w:tcPr>
            <w:tcW w:w="2752" w:type="dxa"/>
          </w:tcPr>
          <w:p w14:paraId="232805F9"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Аналіз функціонального стану</w:t>
            </w:r>
          </w:p>
        </w:tc>
        <w:tc>
          <w:tcPr>
            <w:tcW w:w="2821" w:type="dxa"/>
          </w:tcPr>
          <w:p w14:paraId="5179EB5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Оцінювання рівня активності бенефеціарів згідно спеціалізованих критерієв в повсякденному житті</w:t>
            </w:r>
          </w:p>
        </w:tc>
        <w:tc>
          <w:tcPr>
            <w:tcW w:w="3998" w:type="dxa"/>
          </w:tcPr>
          <w:p w14:paraId="4D461FD4"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Індекс незалежності у повсякденному житті за Катц шкала інструментальної активності життєдіяльності Лоутона-Броди </w:t>
            </w:r>
          </w:p>
        </w:tc>
      </w:tr>
      <w:tr w:rsidR="00D97F1B" w:rsidRPr="00D97F1B" w14:paraId="732271C4" w14:textId="77777777" w:rsidTr="00556F8D">
        <w:tc>
          <w:tcPr>
            <w:tcW w:w="2752" w:type="dxa"/>
          </w:tcPr>
          <w:p w14:paraId="2B07C8E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t xml:space="preserve">Моніторинг здоров'я </w:t>
            </w:r>
          </w:p>
        </w:tc>
        <w:tc>
          <w:tcPr>
            <w:tcW w:w="2821" w:type="dxa"/>
          </w:tcPr>
          <w:p w14:paraId="64B2DA2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Забезпечення </w:t>
            </w:r>
            <w:r w:rsidRPr="00D97F1B">
              <w:rPr>
                <w:rFonts w:ascii="Times New Roman" w:hAnsi="Times New Roman" w:cs="Times New Roman"/>
                <w:sz w:val="28"/>
                <w:szCs w:val="28"/>
              </w:rPr>
              <w:t>своєчасн</w:t>
            </w:r>
            <w:r w:rsidRPr="00D97F1B">
              <w:rPr>
                <w:rFonts w:ascii="Times New Roman" w:hAnsi="Times New Roman" w:cs="Times New Roman"/>
                <w:sz w:val="28"/>
                <w:szCs w:val="28"/>
                <w:lang w:val="uk-UA"/>
              </w:rPr>
              <w:t>ого</w:t>
            </w:r>
            <w:r w:rsidRPr="00D97F1B">
              <w:rPr>
                <w:rFonts w:ascii="Times New Roman" w:hAnsi="Times New Roman" w:cs="Times New Roman"/>
                <w:sz w:val="28"/>
                <w:szCs w:val="28"/>
              </w:rPr>
              <w:t xml:space="preserve"> медичн</w:t>
            </w:r>
            <w:r w:rsidRPr="00D97F1B">
              <w:rPr>
                <w:rFonts w:ascii="Times New Roman" w:hAnsi="Times New Roman" w:cs="Times New Roman"/>
                <w:sz w:val="28"/>
                <w:szCs w:val="28"/>
                <w:lang w:val="uk-UA"/>
              </w:rPr>
              <w:t>ого</w:t>
            </w:r>
            <w:r w:rsidRPr="00D97F1B">
              <w:rPr>
                <w:rFonts w:ascii="Times New Roman" w:hAnsi="Times New Roman" w:cs="Times New Roman"/>
                <w:sz w:val="28"/>
                <w:szCs w:val="28"/>
              </w:rPr>
              <w:t xml:space="preserve"> втручання та підтримк</w:t>
            </w:r>
            <w:r w:rsidRPr="00D97F1B">
              <w:rPr>
                <w:rFonts w:ascii="Times New Roman" w:hAnsi="Times New Roman" w:cs="Times New Roman"/>
                <w:sz w:val="28"/>
                <w:szCs w:val="28"/>
                <w:lang w:val="uk-UA"/>
              </w:rPr>
              <w:t>и</w:t>
            </w:r>
          </w:p>
        </w:tc>
        <w:tc>
          <w:tcPr>
            <w:tcW w:w="3998" w:type="dxa"/>
          </w:tcPr>
          <w:p w14:paraId="3C67BF4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Соціальний працівник може допомогти отримати консультацію або скерування до лікаря (згода бенефеціара обов’язкова) </w:t>
            </w:r>
          </w:p>
        </w:tc>
      </w:tr>
      <w:tr w:rsidR="00D97F1B" w:rsidRPr="00D97F1B" w14:paraId="6AE1DC97" w14:textId="77777777" w:rsidTr="00556F8D">
        <w:tc>
          <w:tcPr>
            <w:tcW w:w="2752" w:type="dxa"/>
          </w:tcPr>
          <w:p w14:paraId="0B735E0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t>Профілактика неінфекційних захворювань</w:t>
            </w:r>
          </w:p>
        </w:tc>
        <w:tc>
          <w:tcPr>
            <w:tcW w:w="2821" w:type="dxa"/>
          </w:tcPr>
          <w:p w14:paraId="63EABC5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Збереження та підтримка здоров’я бенефеціарів</w:t>
            </w:r>
          </w:p>
        </w:tc>
        <w:tc>
          <w:tcPr>
            <w:tcW w:w="3998" w:type="dxa"/>
          </w:tcPr>
          <w:p w14:paraId="3F48E76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Надавати рекомендації щодо системних захворювань, харчування, дотримання питного режиму, необхідності помірної фізичної активності в межах можливостей бенефеціара</w:t>
            </w:r>
          </w:p>
        </w:tc>
      </w:tr>
      <w:tr w:rsidR="00D97F1B" w:rsidRPr="00D97F1B" w14:paraId="743218B9" w14:textId="77777777" w:rsidTr="00556F8D">
        <w:tc>
          <w:tcPr>
            <w:tcW w:w="2752" w:type="dxa"/>
          </w:tcPr>
          <w:p w14:paraId="75D870F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lastRenderedPageBreak/>
              <w:t>Навчання самодогляду</w:t>
            </w:r>
          </w:p>
        </w:tc>
        <w:tc>
          <w:tcPr>
            <w:tcW w:w="2821" w:type="dxa"/>
          </w:tcPr>
          <w:p w14:paraId="0B725A9F"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підвищення здатності людини піклуватися про себе</w:t>
            </w:r>
          </w:p>
        </w:tc>
        <w:tc>
          <w:tcPr>
            <w:tcW w:w="3998" w:type="dxa"/>
          </w:tcPr>
          <w:p w14:paraId="3D0B43B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Надавання тренінгів для подолання та полегшення хронічних захворювань, підвищувати обізнаність про ознаки погіршення здоров’я </w:t>
            </w:r>
          </w:p>
        </w:tc>
      </w:tr>
    </w:tbl>
    <w:p w14:paraId="40EB6F7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31FDE4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rPr>
        <w:t xml:space="preserve">Таким чином, можна сказати, що біологічна сфера виступає фундаментом комплексному підходу, яки сфокусований на фізичному здоров'ї та незалежності. Вона включає оцінку функціонального стану, моніторинг здоров'я. </w:t>
      </w:r>
      <w:r w:rsidRPr="00D97F1B">
        <w:rPr>
          <w:rFonts w:ascii="Times New Roman" w:hAnsi="Times New Roman" w:cs="Times New Roman"/>
          <w:sz w:val="28"/>
          <w:szCs w:val="28"/>
          <w:lang w:val="uk-UA" w:eastAsia="ru-RU"/>
        </w:rPr>
        <w:t xml:space="preserve">Ключовий акцент робиться на </w:t>
      </w:r>
      <w:r w:rsidRPr="00D97F1B">
        <w:rPr>
          <w:rFonts w:ascii="Times New Roman" w:hAnsi="Times New Roman" w:cs="Times New Roman"/>
          <w:sz w:val="28"/>
          <w:szCs w:val="28"/>
          <w:lang w:val="uk-UA"/>
        </w:rPr>
        <w:t>профілактиці неінфекційних хвороб та навчанні самодогляду</w:t>
      </w:r>
      <w:r w:rsidRPr="00D97F1B">
        <w:rPr>
          <w:rFonts w:ascii="Times New Roman" w:hAnsi="Times New Roman" w:cs="Times New Roman"/>
          <w:sz w:val="28"/>
          <w:szCs w:val="28"/>
          <w:lang w:val="uk-UA" w:eastAsia="ru-RU"/>
        </w:rPr>
        <w:t>, що загалом підвищує фізичне благополуччя та функціональну активність бенефіціарів. Представимо в таблиці 2.4</w:t>
      </w:r>
    </w:p>
    <w:p w14:paraId="0971BF46"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t>Таблиця 2.4</w:t>
      </w:r>
    </w:p>
    <w:p w14:paraId="6BC39507" w14:textId="59017002"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Комплексний підхід психосоціальної допомоги: </w:t>
      </w:r>
      <w:r w:rsidR="001F72E0">
        <w:rPr>
          <w:rFonts w:ascii="Times New Roman" w:hAnsi="Times New Roman" w:cs="Times New Roman"/>
          <w:sz w:val="28"/>
          <w:szCs w:val="28"/>
          <w:lang w:val="uk-UA"/>
        </w:rPr>
        <w:t>п</w:t>
      </w:r>
      <w:r w:rsidRPr="00D97F1B">
        <w:rPr>
          <w:rFonts w:ascii="Times New Roman" w:hAnsi="Times New Roman" w:cs="Times New Roman"/>
          <w:sz w:val="28"/>
          <w:szCs w:val="28"/>
          <w:lang w:val="uk-UA"/>
        </w:rPr>
        <w:t>сихологічна сфера</w:t>
      </w:r>
    </w:p>
    <w:tbl>
      <w:tblPr>
        <w:tblStyle w:val="afb"/>
        <w:tblW w:w="0" w:type="auto"/>
        <w:tblLook w:val="04A0" w:firstRow="1" w:lastRow="0" w:firstColumn="1" w:lastColumn="0" w:noHBand="0" w:noVBand="1"/>
      </w:tblPr>
      <w:tblGrid>
        <w:gridCol w:w="3088"/>
        <w:gridCol w:w="2670"/>
        <w:gridCol w:w="4153"/>
      </w:tblGrid>
      <w:tr w:rsidR="00D97F1B" w:rsidRPr="00D97F1B" w14:paraId="4E356F87" w14:textId="77777777" w:rsidTr="00556F8D">
        <w:tc>
          <w:tcPr>
            <w:tcW w:w="2379" w:type="dxa"/>
          </w:tcPr>
          <w:p w14:paraId="49391B0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Вид роботи</w:t>
            </w:r>
          </w:p>
        </w:tc>
        <w:tc>
          <w:tcPr>
            <w:tcW w:w="2691" w:type="dxa"/>
          </w:tcPr>
          <w:p w14:paraId="2ECE2A7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Мета роботи</w:t>
            </w:r>
          </w:p>
        </w:tc>
        <w:tc>
          <w:tcPr>
            <w:tcW w:w="4501" w:type="dxa"/>
          </w:tcPr>
          <w:p w14:paraId="363FF20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Методи реалізації</w:t>
            </w:r>
          </w:p>
        </w:tc>
      </w:tr>
      <w:tr w:rsidR="00D97F1B" w:rsidRPr="00D97F1B" w14:paraId="2507A053" w14:textId="77777777" w:rsidTr="00556F8D">
        <w:tc>
          <w:tcPr>
            <w:tcW w:w="2379" w:type="dxa"/>
          </w:tcPr>
          <w:p w14:paraId="73047E9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Психодіагностика стану</w:t>
            </w:r>
          </w:p>
        </w:tc>
        <w:tc>
          <w:tcPr>
            <w:tcW w:w="2691" w:type="dxa"/>
          </w:tcPr>
          <w:p w14:paraId="0E79139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Визначення </w:t>
            </w:r>
            <w:r w:rsidRPr="00D97F1B">
              <w:rPr>
                <w:rFonts w:ascii="Times New Roman" w:hAnsi="Times New Roman" w:cs="Times New Roman"/>
                <w:sz w:val="28"/>
                <w:szCs w:val="28"/>
              </w:rPr>
              <w:t>актуальних ментальних потреб особи.</w:t>
            </w:r>
          </w:p>
        </w:tc>
        <w:tc>
          <w:tcPr>
            <w:tcW w:w="4501" w:type="dxa"/>
          </w:tcPr>
          <w:p w14:paraId="55F14C44"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В анкеті уразливості бенефеціара, є пункт Психосоціальне самопочуття для розробки індивідуальної роботі з бенефеціарами для виявлення основних ментальних загострень</w:t>
            </w:r>
          </w:p>
        </w:tc>
      </w:tr>
      <w:tr w:rsidR="00D97F1B" w:rsidRPr="00D97F1B" w14:paraId="635FEEFF" w14:textId="77777777" w:rsidTr="00556F8D">
        <w:tc>
          <w:tcPr>
            <w:tcW w:w="2379" w:type="dxa"/>
          </w:tcPr>
          <w:p w14:paraId="309E5EE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Психоосвітня підтримка та навички самодопомоги</w:t>
            </w:r>
          </w:p>
        </w:tc>
        <w:tc>
          <w:tcPr>
            <w:tcW w:w="2691" w:type="dxa"/>
          </w:tcPr>
          <w:p w14:paraId="46AB9A1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Стабілізація психоемоційного стану</w:t>
            </w:r>
          </w:p>
        </w:tc>
        <w:tc>
          <w:tcPr>
            <w:tcW w:w="4501" w:type="dxa"/>
          </w:tcPr>
          <w:p w14:paraId="4043137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Реагування на гостру тривогу та панічні стани</w:t>
            </w:r>
            <w:r w:rsidRPr="00D97F1B">
              <w:rPr>
                <w:rFonts w:ascii="Times New Roman" w:hAnsi="Times New Roman" w:cs="Times New Roman"/>
                <w:sz w:val="28"/>
                <w:szCs w:val="28"/>
                <w:lang w:val="uk-UA"/>
              </w:rPr>
              <w:t xml:space="preserve"> - </w:t>
            </w:r>
            <w:r w:rsidRPr="00D97F1B">
              <w:rPr>
                <w:rFonts w:ascii="Times New Roman" w:hAnsi="Times New Roman" w:cs="Times New Roman"/>
                <w:sz w:val="28"/>
                <w:szCs w:val="28"/>
              </w:rPr>
              <w:t>техніка "заземлення"</w:t>
            </w:r>
            <w:r w:rsidRPr="00D97F1B">
              <w:rPr>
                <w:rFonts w:ascii="Times New Roman" w:hAnsi="Times New Roman" w:cs="Times New Roman"/>
                <w:b/>
                <w:bCs/>
                <w:sz w:val="28"/>
                <w:szCs w:val="28"/>
                <w:lang w:val="uk-UA"/>
              </w:rPr>
              <w:t>,</w:t>
            </w:r>
            <w:r w:rsidRPr="00D97F1B">
              <w:rPr>
                <w:rFonts w:ascii="Times New Roman" w:hAnsi="Times New Roman" w:cs="Times New Roman"/>
                <w:sz w:val="28"/>
                <w:szCs w:val="28"/>
              </w:rPr>
              <w:t xml:space="preserve">  перенаправлення уваги на зовнішнє середовище, спільний </w:t>
            </w:r>
            <w:r w:rsidRPr="00D97F1B">
              <w:rPr>
                <w:rFonts w:ascii="Times New Roman" w:hAnsi="Times New Roman" w:cs="Times New Roman"/>
                <w:sz w:val="28"/>
                <w:szCs w:val="28"/>
              </w:rPr>
              <w:lastRenderedPageBreak/>
              <w:t xml:space="preserve">розбір ситуації, що викликала паніку </w:t>
            </w:r>
          </w:p>
          <w:p w14:paraId="684F5F8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Навчання базовій саморегуляції-  практика дихальних вправ, які допомагають швидко знизити фізичні прояви тривоги та панічних атак.</w:t>
            </w:r>
          </w:p>
          <w:p w14:paraId="48118674"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п</w:t>
            </w:r>
            <w:r w:rsidRPr="00D97F1B">
              <w:rPr>
                <w:rFonts w:ascii="Times New Roman" w:hAnsi="Times New Roman" w:cs="Times New Roman"/>
                <w:sz w:val="28"/>
                <w:szCs w:val="28"/>
              </w:rPr>
              <w:t>ідтримка у боротьбі з негативними думками</w:t>
            </w:r>
            <w:r w:rsidRPr="00D97F1B">
              <w:rPr>
                <w:rFonts w:ascii="Times New Roman" w:hAnsi="Times New Roman" w:cs="Times New Roman"/>
                <w:sz w:val="28"/>
                <w:szCs w:val="28"/>
                <w:lang w:val="uk-UA"/>
              </w:rPr>
              <w:t xml:space="preserve"> - с</w:t>
            </w:r>
            <w:r w:rsidRPr="00D97F1B">
              <w:rPr>
                <w:rFonts w:ascii="Times New Roman" w:hAnsi="Times New Roman" w:cs="Times New Roman"/>
                <w:sz w:val="28"/>
                <w:szCs w:val="28"/>
              </w:rPr>
              <w:t xml:space="preserve">керування уваги на відмінність між фактом та інтерпретацією. </w:t>
            </w:r>
          </w:p>
        </w:tc>
      </w:tr>
      <w:tr w:rsidR="00D97F1B" w:rsidRPr="00D97F1B" w14:paraId="19DB584B" w14:textId="77777777" w:rsidTr="00556F8D">
        <w:tc>
          <w:tcPr>
            <w:tcW w:w="2379" w:type="dxa"/>
          </w:tcPr>
          <w:p w14:paraId="7260AB3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Стимуляція когнітивний функцій</w:t>
            </w:r>
          </w:p>
        </w:tc>
        <w:tc>
          <w:tcPr>
            <w:tcW w:w="2691" w:type="dxa"/>
          </w:tcPr>
          <w:p w14:paraId="019448A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Посилення самостійності бенефеціарів, розвиток творчого натхнення</w:t>
            </w:r>
          </w:p>
        </w:tc>
        <w:tc>
          <w:tcPr>
            <w:tcW w:w="4501" w:type="dxa"/>
          </w:tcPr>
          <w:p w14:paraId="30B2E31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bCs/>
                <w:sz w:val="28"/>
                <w:szCs w:val="28"/>
                <w:lang w:val="uk-UA"/>
              </w:rPr>
              <w:t xml:space="preserve">- </w:t>
            </w:r>
            <w:r w:rsidRPr="00D97F1B">
              <w:rPr>
                <w:rFonts w:ascii="Times New Roman" w:hAnsi="Times New Roman" w:cs="Times New Roman"/>
                <w:sz w:val="28"/>
                <w:szCs w:val="28"/>
                <w:lang w:val="uk-UA"/>
              </w:rPr>
              <w:t>скерування доступу бенефіціарів до спеціалізованих центрів та програм, що проводять:</w:t>
            </w:r>
          </w:p>
          <w:p w14:paraId="59BEAF57"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-творчі та сенсорні практики: арт-терапія, музикотерапія, пісочна терапія, гарден-терапія.</w:t>
            </w:r>
          </w:p>
          <w:p w14:paraId="0359749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 заняття для розвитку дрібної моторики: в'язання, ліплення глиною, вишивка.</w:t>
            </w:r>
          </w:p>
        </w:tc>
      </w:tr>
      <w:tr w:rsidR="00D97F1B" w:rsidRPr="00D97F1B" w14:paraId="332D5906" w14:textId="77777777" w:rsidTr="00556F8D">
        <w:tc>
          <w:tcPr>
            <w:tcW w:w="2379" w:type="dxa"/>
          </w:tcPr>
          <w:p w14:paraId="0ED70400" w14:textId="77777777" w:rsidR="00D97F1B" w:rsidRPr="00D97F1B" w:rsidRDefault="00D97F1B" w:rsidP="00D97F1B">
            <w:pPr>
              <w:spacing w:line="360" w:lineRule="auto"/>
              <w:ind w:firstLine="709"/>
              <w:jc w:val="both"/>
              <w:rPr>
                <w:rFonts w:ascii="Times New Roman" w:hAnsi="Times New Roman" w:cs="Times New Roman"/>
                <w:bCs/>
                <w:sz w:val="28"/>
                <w:szCs w:val="28"/>
                <w:lang w:val="uk-UA"/>
              </w:rPr>
            </w:pPr>
            <w:r w:rsidRPr="00D97F1B">
              <w:rPr>
                <w:rFonts w:ascii="Times New Roman" w:hAnsi="Times New Roman" w:cs="Times New Roman"/>
                <w:bCs/>
                <w:sz w:val="28"/>
                <w:szCs w:val="28"/>
                <w:lang w:val="uk-UA"/>
              </w:rPr>
              <w:t>Підвищення обізнаності</w:t>
            </w:r>
          </w:p>
        </w:tc>
        <w:tc>
          <w:tcPr>
            <w:tcW w:w="2691" w:type="dxa"/>
          </w:tcPr>
          <w:p w14:paraId="69C123CD" w14:textId="77777777" w:rsidR="00D97F1B" w:rsidRPr="00D97F1B" w:rsidRDefault="00D97F1B" w:rsidP="00D97F1B">
            <w:pPr>
              <w:spacing w:line="360" w:lineRule="auto"/>
              <w:ind w:firstLine="709"/>
              <w:jc w:val="both"/>
              <w:rPr>
                <w:rFonts w:ascii="Times New Roman" w:hAnsi="Times New Roman" w:cs="Times New Roman"/>
                <w:bCs/>
                <w:sz w:val="28"/>
                <w:szCs w:val="28"/>
                <w:lang w:val="uk-UA"/>
              </w:rPr>
            </w:pPr>
            <w:r w:rsidRPr="00D97F1B">
              <w:rPr>
                <w:rFonts w:ascii="Times New Roman" w:hAnsi="Times New Roman" w:cs="Times New Roman"/>
                <w:bCs/>
                <w:sz w:val="28"/>
                <w:szCs w:val="28"/>
                <w:lang w:val="uk-UA"/>
              </w:rPr>
              <w:t>підтримка пам'яті, уваги та сповільнення когнітивних змін.</w:t>
            </w:r>
          </w:p>
        </w:tc>
        <w:tc>
          <w:tcPr>
            <w:tcW w:w="4501" w:type="dxa"/>
          </w:tcPr>
          <w:p w14:paraId="31876B5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надання інформації про доведену користь діяльності </w:t>
            </w:r>
          </w:p>
        </w:tc>
      </w:tr>
      <w:tr w:rsidR="00D97F1B" w:rsidRPr="00D97F1B" w14:paraId="1B31FB56" w14:textId="77777777" w:rsidTr="00556F8D">
        <w:tc>
          <w:tcPr>
            <w:tcW w:w="2379" w:type="dxa"/>
          </w:tcPr>
          <w:p w14:paraId="6DBCF70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lastRenderedPageBreak/>
              <w:t>Мотивація до активності</w:t>
            </w:r>
          </w:p>
        </w:tc>
        <w:tc>
          <w:tcPr>
            <w:tcW w:w="2691" w:type="dxa"/>
          </w:tcPr>
          <w:p w14:paraId="055E6639"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Психологічна підтримка та соціалізація</w:t>
            </w:r>
          </w:p>
        </w:tc>
        <w:tc>
          <w:tcPr>
            <w:tcW w:w="4501" w:type="dxa"/>
          </w:tcPr>
          <w:p w14:paraId="11844AB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Мотиваційні бесіди щодо важливості регулярної участі у розвиваючих заходах </w:t>
            </w:r>
          </w:p>
        </w:tc>
      </w:tr>
    </w:tbl>
    <w:p w14:paraId="6783CAF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460E2C7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Таким чином, психологічна сфера забезпечує емоційну стійкість, починаючи з психодіагностики потреб. Робота зосереджена на психоосвітній підтримці та навчанні практичним навичкам самодопомоги (дихальні вправи, "заземлення") для стабілізації гострих станів. Соціальний працівник також скеровує бенефіціарів до творч</w:t>
      </w:r>
      <w:r w:rsidRPr="00D97F1B">
        <w:rPr>
          <w:rFonts w:ascii="Times New Roman" w:hAnsi="Times New Roman" w:cs="Times New Roman"/>
          <w:sz w:val="28"/>
          <w:szCs w:val="28"/>
          <w:lang w:val="uk-UA"/>
        </w:rPr>
        <w:t>ої</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діяльності</w:t>
      </w:r>
      <w:r w:rsidRPr="00D97F1B">
        <w:rPr>
          <w:rFonts w:ascii="Times New Roman" w:hAnsi="Times New Roman" w:cs="Times New Roman"/>
          <w:sz w:val="28"/>
          <w:szCs w:val="28"/>
        </w:rPr>
        <w:t xml:space="preserve"> (арт-терапія) для підтримки когнітивних функцій і соціалізації.</w:t>
      </w:r>
    </w:p>
    <w:p w14:paraId="28CC96B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 xml:space="preserve">Інформацію про комплексний підхід психосоціальної допомоги: </w:t>
      </w:r>
      <w:r w:rsidRPr="00D97F1B">
        <w:rPr>
          <w:rFonts w:ascii="Times New Roman" w:hAnsi="Times New Roman" w:cs="Times New Roman"/>
          <w:sz w:val="28"/>
          <w:szCs w:val="28"/>
          <w:lang w:val="uk-UA"/>
        </w:rPr>
        <w:t>с</w:t>
      </w:r>
      <w:r w:rsidRPr="00D97F1B">
        <w:rPr>
          <w:rFonts w:ascii="Times New Roman" w:hAnsi="Times New Roman" w:cs="Times New Roman"/>
          <w:sz w:val="28"/>
          <w:szCs w:val="28"/>
        </w:rPr>
        <w:t xml:space="preserve">оціальна сфера </w:t>
      </w:r>
      <w:r w:rsidRPr="00D97F1B">
        <w:rPr>
          <w:rFonts w:ascii="Times New Roman" w:hAnsi="Times New Roman" w:cs="Times New Roman"/>
          <w:sz w:val="28"/>
          <w:szCs w:val="28"/>
          <w:lang w:val="uk-UA"/>
        </w:rPr>
        <w:t xml:space="preserve">представимо </w:t>
      </w:r>
      <w:r w:rsidRPr="00D97F1B">
        <w:rPr>
          <w:rFonts w:ascii="Times New Roman" w:hAnsi="Times New Roman" w:cs="Times New Roman"/>
          <w:sz w:val="28"/>
          <w:szCs w:val="28"/>
        </w:rPr>
        <w:t xml:space="preserve">у </w:t>
      </w:r>
      <w:r w:rsidRPr="00D97F1B">
        <w:rPr>
          <w:rFonts w:ascii="Times New Roman" w:hAnsi="Times New Roman" w:cs="Times New Roman"/>
          <w:sz w:val="28"/>
          <w:szCs w:val="28"/>
          <w:lang w:val="uk-UA"/>
        </w:rPr>
        <w:t>т</w:t>
      </w:r>
      <w:r w:rsidRPr="00D97F1B">
        <w:rPr>
          <w:rFonts w:ascii="Times New Roman" w:hAnsi="Times New Roman" w:cs="Times New Roman"/>
          <w:sz w:val="28"/>
          <w:szCs w:val="28"/>
        </w:rPr>
        <w:t>аблиці</w:t>
      </w:r>
      <w:r w:rsidRPr="00D97F1B">
        <w:rPr>
          <w:rFonts w:ascii="Times New Roman" w:hAnsi="Times New Roman" w:cs="Times New Roman"/>
          <w:sz w:val="28"/>
          <w:szCs w:val="28"/>
          <w:lang w:val="uk-UA"/>
        </w:rPr>
        <w:t xml:space="preserve"> 2</w:t>
      </w:r>
      <w:r w:rsidRPr="00D97F1B">
        <w:rPr>
          <w:rFonts w:ascii="Times New Roman" w:hAnsi="Times New Roman" w:cs="Times New Roman"/>
          <w:sz w:val="28"/>
          <w:szCs w:val="28"/>
        </w:rPr>
        <w:t>.</w:t>
      </w:r>
      <w:r w:rsidRPr="00D97F1B">
        <w:rPr>
          <w:rFonts w:ascii="Times New Roman" w:hAnsi="Times New Roman" w:cs="Times New Roman"/>
          <w:sz w:val="28"/>
          <w:szCs w:val="28"/>
          <w:lang w:val="uk-UA"/>
        </w:rPr>
        <w:t>5</w:t>
      </w:r>
    </w:p>
    <w:p w14:paraId="4BBDC663"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t>Таблиця 2.5</w:t>
      </w:r>
    </w:p>
    <w:p w14:paraId="4A70A5BF" w14:textId="68AE18AF"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Комплексний підхід психосоціальної допомоги: </w:t>
      </w:r>
      <w:r w:rsidR="001F72E0">
        <w:rPr>
          <w:rFonts w:ascii="Times New Roman" w:hAnsi="Times New Roman" w:cs="Times New Roman"/>
          <w:sz w:val="28"/>
          <w:szCs w:val="28"/>
          <w:lang w:val="uk-UA"/>
        </w:rPr>
        <w:t>с</w:t>
      </w:r>
      <w:r w:rsidRPr="00D97F1B">
        <w:rPr>
          <w:rFonts w:ascii="Times New Roman" w:hAnsi="Times New Roman" w:cs="Times New Roman"/>
          <w:sz w:val="28"/>
          <w:szCs w:val="28"/>
          <w:lang w:val="uk-UA"/>
        </w:rPr>
        <w:t>оціальна сфера</w:t>
      </w:r>
    </w:p>
    <w:tbl>
      <w:tblPr>
        <w:tblStyle w:val="afb"/>
        <w:tblW w:w="0" w:type="auto"/>
        <w:tblLook w:val="04A0" w:firstRow="1" w:lastRow="0" w:firstColumn="1" w:lastColumn="0" w:noHBand="0" w:noVBand="1"/>
      </w:tblPr>
      <w:tblGrid>
        <w:gridCol w:w="2534"/>
        <w:gridCol w:w="20"/>
        <w:gridCol w:w="3115"/>
        <w:gridCol w:w="4242"/>
      </w:tblGrid>
      <w:tr w:rsidR="00D97F1B" w:rsidRPr="00D97F1B" w14:paraId="651C32FD" w14:textId="77777777" w:rsidTr="00556F8D">
        <w:tc>
          <w:tcPr>
            <w:tcW w:w="2152" w:type="dxa"/>
          </w:tcPr>
          <w:p w14:paraId="5E936BCC"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Вид роботи</w:t>
            </w:r>
          </w:p>
        </w:tc>
        <w:tc>
          <w:tcPr>
            <w:tcW w:w="3146" w:type="dxa"/>
            <w:gridSpan w:val="2"/>
          </w:tcPr>
          <w:p w14:paraId="589B620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Мета роботи</w:t>
            </w:r>
          </w:p>
        </w:tc>
        <w:tc>
          <w:tcPr>
            <w:tcW w:w="4273" w:type="dxa"/>
          </w:tcPr>
          <w:p w14:paraId="5C0C761E"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Методи реалізації</w:t>
            </w:r>
          </w:p>
        </w:tc>
      </w:tr>
      <w:tr w:rsidR="00D97F1B" w:rsidRPr="00D97F1B" w14:paraId="2918F98D" w14:textId="77777777" w:rsidTr="00556F8D">
        <w:tc>
          <w:tcPr>
            <w:tcW w:w="2172" w:type="dxa"/>
            <w:gridSpan w:val="2"/>
          </w:tcPr>
          <w:p w14:paraId="05DD08C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t>Оцінка соціальної ізоляції</w:t>
            </w:r>
          </w:p>
        </w:tc>
        <w:tc>
          <w:tcPr>
            <w:tcW w:w="3126" w:type="dxa"/>
          </w:tcPr>
          <w:p w14:paraId="0BA761B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виявлення найбільш уразливих бенефеціарів</w:t>
            </w:r>
          </w:p>
        </w:tc>
        <w:tc>
          <w:tcPr>
            <w:tcW w:w="4273" w:type="dxa"/>
          </w:tcPr>
          <w:p w14:paraId="2F5D4B2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аналіз анкети оцінки уразливості бенефеціара, бесіда з бенефеціарами</w:t>
            </w:r>
          </w:p>
        </w:tc>
      </w:tr>
      <w:tr w:rsidR="00D97F1B" w:rsidRPr="00D97F1B" w14:paraId="7B88C78B" w14:textId="77777777" w:rsidTr="00556F8D">
        <w:tc>
          <w:tcPr>
            <w:tcW w:w="2172" w:type="dxa"/>
            <w:gridSpan w:val="2"/>
          </w:tcPr>
          <w:p w14:paraId="3E2A5CA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t>Забезпечення доступу до ресурсів</w:t>
            </w:r>
          </w:p>
        </w:tc>
        <w:tc>
          <w:tcPr>
            <w:tcW w:w="3126" w:type="dxa"/>
          </w:tcPr>
          <w:p w14:paraId="7A3168F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надання допомоги, орієнтованої під конкретні кейси</w:t>
            </w:r>
          </w:p>
        </w:tc>
        <w:tc>
          <w:tcPr>
            <w:tcW w:w="4273" w:type="dxa"/>
          </w:tcPr>
          <w:p w14:paraId="549537C1"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lang w:val="uk-UA"/>
              </w:rPr>
              <w:t>- с</w:t>
            </w:r>
            <w:r w:rsidRPr="00D97F1B">
              <w:rPr>
                <w:rFonts w:ascii="Times New Roman" w:hAnsi="Times New Roman" w:cs="Times New Roman"/>
                <w:bCs/>
                <w:sz w:val="28"/>
                <w:szCs w:val="28"/>
              </w:rPr>
              <w:t>оціальний супровід</w:t>
            </w:r>
            <w:r w:rsidRPr="00D97F1B">
              <w:rPr>
                <w:rFonts w:ascii="Times New Roman" w:hAnsi="Times New Roman" w:cs="Times New Roman"/>
                <w:sz w:val="28"/>
                <w:szCs w:val="28"/>
              </w:rPr>
              <w:t xml:space="preserve"> та допомога в оформленні соціальних виплат/послуг,</w:t>
            </w:r>
            <w:r w:rsidRPr="00D97F1B">
              <w:rPr>
                <w:rFonts w:ascii="Times New Roman" w:hAnsi="Times New Roman" w:cs="Times New Roman"/>
                <w:sz w:val="28"/>
                <w:szCs w:val="28"/>
                <w:lang w:val="uk-UA"/>
              </w:rPr>
              <w:t xml:space="preserve"> скерування до безоплатної</w:t>
            </w:r>
            <w:r w:rsidRPr="00D97F1B">
              <w:rPr>
                <w:rFonts w:ascii="Times New Roman" w:hAnsi="Times New Roman" w:cs="Times New Roman"/>
                <w:sz w:val="28"/>
                <w:szCs w:val="28"/>
              </w:rPr>
              <w:t xml:space="preserve"> </w:t>
            </w:r>
            <w:r w:rsidRPr="00D97F1B">
              <w:rPr>
                <w:rFonts w:ascii="Times New Roman" w:hAnsi="Times New Roman" w:cs="Times New Roman"/>
                <w:bCs/>
                <w:sz w:val="28"/>
                <w:szCs w:val="28"/>
              </w:rPr>
              <w:t>юридичн</w:t>
            </w:r>
            <w:r w:rsidRPr="00D97F1B">
              <w:rPr>
                <w:rFonts w:ascii="Times New Roman" w:hAnsi="Times New Roman" w:cs="Times New Roman"/>
                <w:bCs/>
                <w:sz w:val="28"/>
                <w:szCs w:val="28"/>
                <w:lang w:val="uk-UA"/>
              </w:rPr>
              <w:t>ої</w:t>
            </w:r>
            <w:r w:rsidRPr="00D97F1B">
              <w:rPr>
                <w:rFonts w:ascii="Times New Roman" w:hAnsi="Times New Roman" w:cs="Times New Roman"/>
                <w:bCs/>
                <w:sz w:val="28"/>
                <w:szCs w:val="28"/>
              </w:rPr>
              <w:t xml:space="preserve"> </w:t>
            </w:r>
            <w:r w:rsidRPr="00D97F1B">
              <w:rPr>
                <w:rFonts w:ascii="Times New Roman" w:hAnsi="Times New Roman" w:cs="Times New Roman"/>
                <w:bCs/>
                <w:sz w:val="28"/>
                <w:szCs w:val="28"/>
                <w:lang w:val="uk-UA"/>
              </w:rPr>
              <w:t>допомоги</w:t>
            </w:r>
            <w:r w:rsidRPr="00D97F1B">
              <w:rPr>
                <w:rFonts w:ascii="Times New Roman" w:hAnsi="Times New Roman" w:cs="Times New Roman"/>
                <w:sz w:val="28"/>
                <w:szCs w:val="28"/>
              </w:rPr>
              <w:t>.</w:t>
            </w:r>
          </w:p>
        </w:tc>
      </w:tr>
      <w:tr w:rsidR="00D97F1B" w:rsidRPr="00D97F1B" w14:paraId="1CF2DE4E" w14:textId="77777777" w:rsidTr="00556F8D">
        <w:tc>
          <w:tcPr>
            <w:tcW w:w="2172" w:type="dxa"/>
            <w:gridSpan w:val="2"/>
          </w:tcPr>
          <w:p w14:paraId="495C16EE"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rPr>
              <w:t>Протидія дискримінації</w:t>
            </w:r>
          </w:p>
        </w:tc>
        <w:tc>
          <w:tcPr>
            <w:tcW w:w="3126" w:type="dxa"/>
          </w:tcPr>
          <w:p w14:paraId="6CE896F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Збереження рівних прав та можливостей</w:t>
            </w:r>
          </w:p>
        </w:tc>
        <w:tc>
          <w:tcPr>
            <w:tcW w:w="4273" w:type="dxa"/>
          </w:tcPr>
          <w:p w14:paraId="31F4F1F4"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-соціальна адвокація, проведення освітніх кампаній для громади, міжпоколінне спілкування.</w:t>
            </w:r>
          </w:p>
        </w:tc>
      </w:tr>
      <w:tr w:rsidR="00D97F1B" w:rsidRPr="00D97F1B" w14:paraId="202A7956" w14:textId="77777777" w:rsidTr="00556F8D">
        <w:tc>
          <w:tcPr>
            <w:tcW w:w="2172" w:type="dxa"/>
            <w:gridSpan w:val="2"/>
          </w:tcPr>
          <w:p w14:paraId="2C4726CF"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Комплексний підхід психосоціальної допомоги: Соціальна сфера</w:t>
            </w:r>
          </w:p>
          <w:p w14:paraId="40A8B02F"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p>
        </w:tc>
        <w:tc>
          <w:tcPr>
            <w:tcW w:w="3126" w:type="dxa"/>
          </w:tcPr>
          <w:p w14:paraId="227BE4E0"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зниження емоційної напруги, надати інформацію, навчити новим знанням, налагодити комунікації</w:t>
            </w:r>
          </w:p>
        </w:tc>
        <w:tc>
          <w:tcPr>
            <w:tcW w:w="4273" w:type="dxa"/>
          </w:tcPr>
          <w:p w14:paraId="06082B2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п</w:t>
            </w:r>
            <w:r w:rsidRPr="00D97F1B">
              <w:rPr>
                <w:rFonts w:ascii="Times New Roman" w:hAnsi="Times New Roman" w:cs="Times New Roman"/>
                <w:sz w:val="28"/>
                <w:szCs w:val="28"/>
              </w:rPr>
              <w:t>роведення індивідуальних консультацій доглядальників</w:t>
            </w:r>
          </w:p>
          <w:p w14:paraId="026B9551"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методи комунікації щодо особливостей прогресування деменції та інших хронічних хвороб;</w:t>
            </w:r>
          </w:p>
          <w:p w14:paraId="744BEF5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навчання ефективним навичкам догляду, комунікації та стратегіям полегшення догляду </w:t>
            </w:r>
          </w:p>
        </w:tc>
      </w:tr>
    </w:tbl>
    <w:p w14:paraId="187DABC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28342C2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Таким чином, с</w:t>
      </w:r>
      <w:r w:rsidRPr="00D97F1B">
        <w:rPr>
          <w:rFonts w:ascii="Times New Roman" w:hAnsi="Times New Roman" w:cs="Times New Roman"/>
          <w:sz w:val="28"/>
          <w:szCs w:val="28"/>
        </w:rPr>
        <w:t xml:space="preserve">оціальна сфера є </w:t>
      </w:r>
      <w:r w:rsidRPr="00D97F1B">
        <w:rPr>
          <w:rFonts w:ascii="Times New Roman" w:hAnsi="Times New Roman" w:cs="Times New Roman"/>
          <w:sz w:val="28"/>
          <w:szCs w:val="28"/>
          <w:lang w:val="uk-UA"/>
        </w:rPr>
        <w:t>фундаментом</w:t>
      </w:r>
      <w:r w:rsidRPr="00D97F1B">
        <w:rPr>
          <w:rFonts w:ascii="Times New Roman" w:hAnsi="Times New Roman" w:cs="Times New Roman"/>
          <w:sz w:val="28"/>
          <w:szCs w:val="28"/>
        </w:rPr>
        <w:t>, що інтегрує бенефіціарів у суспільство, фокусуючись на захисті прав та доступу до ресурсів. Робота розпочинається з оцінки соціальної ізоляції для виявлення найбільш вразливих.</w:t>
      </w:r>
    </w:p>
    <w:p w14:paraId="748F218B" w14:textId="390CDFC6"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Соціальний працівник виконує забезпечення доступу до критично важливих ресурсів та займається протидією дискримінації. Важливе значення має комплексна підтримка доглядальників, які отримують консультації, практичні навички зниження емоційного навантаження, надання ефективної допомоги маломобільним  бенефеціарам</w:t>
      </w:r>
      <w:r w:rsidR="001F72E0">
        <w:rPr>
          <w:rFonts w:ascii="Times New Roman" w:hAnsi="Times New Roman" w:cs="Times New Roman"/>
          <w:sz w:val="28"/>
          <w:szCs w:val="28"/>
          <w:lang w:val="uk-UA"/>
        </w:rPr>
        <w:t xml:space="preserve"> </w:t>
      </w:r>
      <w:r w:rsidRPr="00D97F1B">
        <w:rPr>
          <w:rFonts w:ascii="Times New Roman" w:hAnsi="Times New Roman" w:cs="Times New Roman"/>
          <w:sz w:val="28"/>
          <w:szCs w:val="28"/>
          <w:lang w:val="uk-UA"/>
        </w:rPr>
        <w:t>[</w:t>
      </w:r>
      <w:r w:rsidRPr="00D97F1B">
        <w:rPr>
          <w:rFonts w:ascii="Times New Roman" w:hAnsi="Times New Roman" w:cs="Times New Roman"/>
          <w:sz w:val="28"/>
          <w:szCs w:val="28"/>
          <w:lang w:val="uk-UA"/>
        </w:rPr>
        <w:fldChar w:fldCharType="begin"/>
      </w:r>
      <w:r w:rsidRPr="00D97F1B">
        <w:rPr>
          <w:rFonts w:ascii="Times New Roman" w:hAnsi="Times New Roman" w:cs="Times New Roman"/>
          <w:sz w:val="28"/>
          <w:szCs w:val="28"/>
          <w:lang w:val="uk-UA"/>
        </w:rPr>
        <w:instrText xml:space="preserve"> REF _Ref214479728 \r \h  \* MERGEFORMAT </w:instrText>
      </w:r>
      <w:r w:rsidRPr="00D97F1B">
        <w:rPr>
          <w:rFonts w:ascii="Times New Roman" w:hAnsi="Times New Roman" w:cs="Times New Roman"/>
          <w:sz w:val="28"/>
          <w:szCs w:val="28"/>
          <w:lang w:val="uk-UA"/>
        </w:rPr>
      </w:r>
      <w:r w:rsidRPr="00D97F1B">
        <w:rPr>
          <w:rFonts w:ascii="Times New Roman" w:hAnsi="Times New Roman" w:cs="Times New Roman"/>
          <w:sz w:val="28"/>
          <w:szCs w:val="28"/>
          <w:lang w:val="uk-UA"/>
        </w:rPr>
        <w:fldChar w:fldCharType="separate"/>
      </w:r>
      <w:r w:rsidRPr="00D97F1B">
        <w:rPr>
          <w:rFonts w:ascii="Times New Roman" w:hAnsi="Times New Roman" w:cs="Times New Roman"/>
          <w:sz w:val="28"/>
          <w:szCs w:val="28"/>
          <w:lang w:val="uk-UA"/>
        </w:rPr>
        <w:t>25</w:t>
      </w:r>
      <w:r w:rsidRPr="00D97F1B">
        <w:rPr>
          <w:rFonts w:ascii="Times New Roman" w:hAnsi="Times New Roman" w:cs="Times New Roman"/>
          <w:sz w:val="28"/>
          <w:szCs w:val="28"/>
          <w:lang w:val="uk-UA"/>
        </w:rPr>
        <w:fldChar w:fldCharType="end"/>
      </w:r>
      <w:r w:rsidRPr="00D97F1B">
        <w:rPr>
          <w:rFonts w:ascii="Times New Roman" w:hAnsi="Times New Roman" w:cs="Times New Roman"/>
          <w:sz w:val="28"/>
          <w:szCs w:val="28"/>
          <w:lang w:val="uk-UA"/>
        </w:rPr>
        <w:t>]</w:t>
      </w:r>
      <w:r w:rsidR="001F72E0">
        <w:rPr>
          <w:rFonts w:ascii="Times New Roman" w:hAnsi="Times New Roman" w:cs="Times New Roman"/>
          <w:sz w:val="28"/>
          <w:szCs w:val="28"/>
          <w:lang w:val="uk-UA"/>
        </w:rPr>
        <w:t>.</w:t>
      </w:r>
    </w:p>
    <w:p w14:paraId="3206CCF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Важливою особливістю комплексної допомоги бенефецірам виступає необхідність задоволення базових потреб, тому важливим напрямком допомоги виступає соціально-економічна та технічна підтримка, яка допомагає забезпечення матеріальної стабільності.</w:t>
      </w:r>
    </w:p>
    <w:p w14:paraId="49F279D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Ця робота охоплює економічну складову, надання технічних засобів реабілітації, які позитивно впливають на функціональний стан бенефіціара.</w:t>
      </w:r>
    </w:p>
    <w:p w14:paraId="76394A4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 xml:space="preserve">Інформацію про комплексний підхід психосоціальної допомоги: </w:t>
      </w:r>
      <w:r w:rsidRPr="00D97F1B">
        <w:rPr>
          <w:rFonts w:ascii="Times New Roman" w:hAnsi="Times New Roman" w:cs="Times New Roman"/>
          <w:sz w:val="28"/>
          <w:szCs w:val="28"/>
          <w:lang w:val="uk-UA"/>
        </w:rPr>
        <w:t>с</w:t>
      </w:r>
      <w:r w:rsidRPr="00D97F1B">
        <w:rPr>
          <w:rFonts w:ascii="Times New Roman" w:hAnsi="Times New Roman" w:cs="Times New Roman"/>
          <w:sz w:val="28"/>
          <w:szCs w:val="28"/>
        </w:rPr>
        <w:t>оціальн</w:t>
      </w:r>
      <w:r w:rsidRPr="00D97F1B">
        <w:rPr>
          <w:rFonts w:ascii="Times New Roman" w:hAnsi="Times New Roman" w:cs="Times New Roman"/>
          <w:sz w:val="28"/>
          <w:szCs w:val="28"/>
          <w:lang w:val="uk-UA"/>
        </w:rPr>
        <w:t>о-економічну та технічну підтримку</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 xml:space="preserve">представимо </w:t>
      </w:r>
      <w:r w:rsidRPr="00D97F1B">
        <w:rPr>
          <w:rFonts w:ascii="Times New Roman" w:hAnsi="Times New Roman" w:cs="Times New Roman"/>
          <w:sz w:val="28"/>
          <w:szCs w:val="28"/>
        </w:rPr>
        <w:t xml:space="preserve">у </w:t>
      </w:r>
      <w:r w:rsidRPr="00D97F1B">
        <w:rPr>
          <w:rFonts w:ascii="Times New Roman" w:hAnsi="Times New Roman" w:cs="Times New Roman"/>
          <w:sz w:val="28"/>
          <w:szCs w:val="28"/>
          <w:lang w:val="uk-UA"/>
        </w:rPr>
        <w:t>т</w:t>
      </w:r>
      <w:r w:rsidRPr="00D97F1B">
        <w:rPr>
          <w:rFonts w:ascii="Times New Roman" w:hAnsi="Times New Roman" w:cs="Times New Roman"/>
          <w:sz w:val="28"/>
          <w:szCs w:val="28"/>
        </w:rPr>
        <w:t>аблиці.</w:t>
      </w:r>
    </w:p>
    <w:p w14:paraId="0EE46F53" w14:textId="77777777" w:rsidR="00D97F1B" w:rsidRDefault="00D97F1B" w:rsidP="00D97F1B">
      <w:pPr>
        <w:spacing w:after="0" w:line="360" w:lineRule="auto"/>
        <w:ind w:firstLine="709"/>
        <w:jc w:val="both"/>
        <w:rPr>
          <w:rFonts w:ascii="Times New Roman" w:hAnsi="Times New Roman" w:cs="Times New Roman"/>
          <w:sz w:val="28"/>
          <w:szCs w:val="28"/>
          <w:lang w:val="uk-UA"/>
        </w:rPr>
      </w:pPr>
    </w:p>
    <w:p w14:paraId="729507B7" w14:textId="77777777" w:rsidR="001F72E0" w:rsidRPr="00D97F1B" w:rsidRDefault="001F72E0" w:rsidP="00D97F1B">
      <w:pPr>
        <w:spacing w:after="0" w:line="360" w:lineRule="auto"/>
        <w:ind w:firstLine="709"/>
        <w:jc w:val="both"/>
        <w:rPr>
          <w:rFonts w:ascii="Times New Roman" w:hAnsi="Times New Roman" w:cs="Times New Roman"/>
          <w:sz w:val="28"/>
          <w:szCs w:val="28"/>
          <w:lang w:val="uk-UA"/>
        </w:rPr>
      </w:pPr>
    </w:p>
    <w:p w14:paraId="6C8F86A9" w14:textId="77777777" w:rsidR="00D97F1B" w:rsidRPr="00D97F1B" w:rsidRDefault="00D97F1B" w:rsidP="001F72E0">
      <w:pPr>
        <w:spacing w:after="0" w:line="360" w:lineRule="auto"/>
        <w:ind w:firstLine="709"/>
        <w:jc w:val="right"/>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 xml:space="preserve">Таблиця 2.6 </w:t>
      </w:r>
    </w:p>
    <w:p w14:paraId="592DF47C" w14:textId="77777777" w:rsidR="00D97F1B" w:rsidRPr="00D97F1B" w:rsidRDefault="00D97F1B" w:rsidP="001F72E0">
      <w:pPr>
        <w:spacing w:after="0" w:line="360" w:lineRule="auto"/>
        <w:ind w:firstLine="709"/>
        <w:jc w:val="center"/>
        <w:rPr>
          <w:rFonts w:ascii="Times New Roman" w:hAnsi="Times New Roman" w:cs="Times New Roman"/>
          <w:sz w:val="28"/>
          <w:szCs w:val="28"/>
          <w:lang w:val="uk-UA"/>
        </w:rPr>
      </w:pPr>
      <w:r w:rsidRPr="00D97F1B">
        <w:rPr>
          <w:rFonts w:ascii="Times New Roman" w:hAnsi="Times New Roman" w:cs="Times New Roman"/>
          <w:sz w:val="28"/>
          <w:szCs w:val="28"/>
          <w:lang w:val="uk-UA"/>
        </w:rPr>
        <w:t>Комплексний підхід психосоціальної допомоги: Соціально-економічна та технічна підтримка</w:t>
      </w:r>
    </w:p>
    <w:tbl>
      <w:tblPr>
        <w:tblStyle w:val="afb"/>
        <w:tblW w:w="0" w:type="auto"/>
        <w:tblLook w:val="04A0" w:firstRow="1" w:lastRow="0" w:firstColumn="1" w:lastColumn="0" w:noHBand="0" w:noVBand="1"/>
      </w:tblPr>
      <w:tblGrid>
        <w:gridCol w:w="2520"/>
        <w:gridCol w:w="20"/>
        <w:gridCol w:w="2847"/>
        <w:gridCol w:w="4218"/>
      </w:tblGrid>
      <w:tr w:rsidR="00D97F1B" w:rsidRPr="00D97F1B" w14:paraId="4134F209" w14:textId="77777777" w:rsidTr="00556F8D">
        <w:tc>
          <w:tcPr>
            <w:tcW w:w="2486" w:type="dxa"/>
          </w:tcPr>
          <w:p w14:paraId="530912E3"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Вид роботи</w:t>
            </w:r>
          </w:p>
        </w:tc>
        <w:tc>
          <w:tcPr>
            <w:tcW w:w="2867" w:type="dxa"/>
            <w:gridSpan w:val="2"/>
          </w:tcPr>
          <w:p w14:paraId="1E266024"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Мета роботи</w:t>
            </w:r>
          </w:p>
        </w:tc>
        <w:tc>
          <w:tcPr>
            <w:tcW w:w="4218" w:type="dxa"/>
          </w:tcPr>
          <w:p w14:paraId="4142F81B"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b/>
                <w:sz w:val="28"/>
                <w:szCs w:val="28"/>
                <w:lang w:val="uk-UA"/>
              </w:rPr>
              <w:t>Методи реалізації</w:t>
            </w:r>
          </w:p>
        </w:tc>
      </w:tr>
      <w:tr w:rsidR="00D97F1B" w:rsidRPr="00D97F1B" w14:paraId="4302C707" w14:textId="77777777" w:rsidTr="00556F8D">
        <w:tc>
          <w:tcPr>
            <w:tcW w:w="2506" w:type="dxa"/>
            <w:gridSpan w:val="2"/>
          </w:tcPr>
          <w:p w14:paraId="27360F06"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Фінансова підтримка</w:t>
            </w:r>
          </w:p>
        </w:tc>
        <w:tc>
          <w:tcPr>
            <w:tcW w:w="2847" w:type="dxa"/>
          </w:tcPr>
          <w:p w14:paraId="5FEB252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підвищення економічної стабільності та покриття базових потреб</w:t>
            </w:r>
          </w:p>
        </w:tc>
        <w:tc>
          <w:tcPr>
            <w:tcW w:w="4218" w:type="dxa"/>
          </w:tcPr>
          <w:p w14:paraId="5AFD506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цільова грошова допомога – 10600 грн отримав кожен бенефеціар</w:t>
            </w:r>
          </w:p>
        </w:tc>
      </w:tr>
      <w:tr w:rsidR="00D97F1B" w:rsidRPr="00D97F1B" w14:paraId="2ED93729" w14:textId="77777777" w:rsidTr="00556F8D">
        <w:tc>
          <w:tcPr>
            <w:tcW w:w="2506" w:type="dxa"/>
            <w:gridSpan w:val="2"/>
          </w:tcPr>
          <w:p w14:paraId="5C9A2D2F" w14:textId="77777777" w:rsidR="00D97F1B" w:rsidRPr="00D97F1B" w:rsidRDefault="00D97F1B" w:rsidP="00D97F1B">
            <w:pPr>
              <w:spacing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Забезпечення засобами життєзабезпечення та гігієни</w:t>
            </w:r>
          </w:p>
        </w:tc>
        <w:tc>
          <w:tcPr>
            <w:tcW w:w="2847" w:type="dxa"/>
          </w:tcPr>
          <w:p w14:paraId="21C45585"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підтримк</w:t>
            </w:r>
            <w:r w:rsidRPr="00D97F1B">
              <w:rPr>
                <w:rFonts w:ascii="Times New Roman" w:hAnsi="Times New Roman" w:cs="Times New Roman"/>
                <w:sz w:val="28"/>
                <w:szCs w:val="28"/>
                <w:lang w:val="uk-UA"/>
              </w:rPr>
              <w:t>а</w:t>
            </w:r>
            <w:r w:rsidRPr="00D97F1B">
              <w:rPr>
                <w:rFonts w:ascii="Times New Roman" w:hAnsi="Times New Roman" w:cs="Times New Roman"/>
                <w:sz w:val="28"/>
                <w:szCs w:val="28"/>
              </w:rPr>
              <w:t xml:space="preserve"> гідності та біологічного здоров'я</w:t>
            </w:r>
          </w:p>
        </w:tc>
        <w:tc>
          <w:tcPr>
            <w:tcW w:w="4218" w:type="dxa"/>
          </w:tcPr>
          <w:p w14:paraId="041182F2"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адресна видача побутових речей (ковдра, подушка) та критично важливих засобів гігієни (набори</w:t>
            </w:r>
            <w:r w:rsidRPr="00D97F1B">
              <w:rPr>
                <w:rFonts w:ascii="Times New Roman" w:hAnsi="Times New Roman" w:cs="Times New Roman"/>
                <w:sz w:val="28"/>
                <w:szCs w:val="28"/>
                <w:lang w:val="uk-UA"/>
              </w:rPr>
              <w:t xml:space="preserve"> гігієнічних засобів загального користування</w:t>
            </w:r>
            <w:r w:rsidRPr="00D97F1B">
              <w:rPr>
                <w:rFonts w:ascii="Times New Roman" w:hAnsi="Times New Roman" w:cs="Times New Roman"/>
                <w:sz w:val="28"/>
                <w:szCs w:val="28"/>
              </w:rPr>
              <w:t>, урологічні прокладки, підгузники)</w:t>
            </w:r>
          </w:p>
        </w:tc>
      </w:tr>
      <w:tr w:rsidR="00D97F1B" w:rsidRPr="00D97F1B" w14:paraId="7F65A4D3" w14:textId="77777777" w:rsidTr="00556F8D">
        <w:tc>
          <w:tcPr>
            <w:tcW w:w="2506" w:type="dxa"/>
            <w:gridSpan w:val="2"/>
          </w:tcPr>
          <w:p w14:paraId="5E25F10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Забезпечення технічними засобами реабілітації</w:t>
            </w:r>
          </w:p>
        </w:tc>
        <w:tc>
          <w:tcPr>
            <w:tcW w:w="2847" w:type="dxa"/>
          </w:tcPr>
          <w:p w14:paraId="709D01F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Відновлення</w:t>
            </w:r>
            <w:r w:rsidRPr="00D97F1B">
              <w:rPr>
                <w:rFonts w:ascii="Times New Roman" w:hAnsi="Times New Roman" w:cs="Times New Roman"/>
                <w:sz w:val="28"/>
                <w:szCs w:val="28"/>
                <w:lang w:val="uk-UA"/>
              </w:rPr>
              <w:t xml:space="preserve"> та </w:t>
            </w:r>
            <w:r w:rsidRPr="00D97F1B">
              <w:rPr>
                <w:rFonts w:ascii="Times New Roman" w:hAnsi="Times New Roman" w:cs="Times New Roman"/>
                <w:sz w:val="28"/>
                <w:szCs w:val="28"/>
              </w:rPr>
              <w:t>підтримк</w:t>
            </w:r>
            <w:r w:rsidRPr="00D97F1B">
              <w:rPr>
                <w:rFonts w:ascii="Times New Roman" w:hAnsi="Times New Roman" w:cs="Times New Roman"/>
                <w:sz w:val="28"/>
                <w:szCs w:val="28"/>
                <w:lang w:val="uk-UA"/>
              </w:rPr>
              <w:t>а</w:t>
            </w:r>
            <w:r w:rsidRPr="00D97F1B">
              <w:rPr>
                <w:rFonts w:ascii="Times New Roman" w:hAnsi="Times New Roman" w:cs="Times New Roman"/>
                <w:sz w:val="28"/>
                <w:szCs w:val="28"/>
              </w:rPr>
              <w:t xml:space="preserve"> функціональної незалежності</w:t>
            </w:r>
          </w:p>
        </w:tc>
        <w:tc>
          <w:tcPr>
            <w:tcW w:w="4218" w:type="dxa"/>
          </w:tcPr>
          <w:p w14:paraId="5261722A"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н</w:t>
            </w:r>
            <w:r w:rsidRPr="00D97F1B">
              <w:rPr>
                <w:rFonts w:ascii="Times New Roman" w:hAnsi="Times New Roman" w:cs="Times New Roman"/>
                <w:sz w:val="28"/>
                <w:szCs w:val="28"/>
              </w:rPr>
              <w:t>адання індивідуальних засобів мобільності (ходунки, милиці, паличка-тростина) та допоміжних засобів для самодогляду (стілець-туалет)</w:t>
            </w:r>
          </w:p>
        </w:tc>
      </w:tr>
      <w:tr w:rsidR="00D97F1B" w:rsidRPr="00D97F1B" w14:paraId="48A809FD" w14:textId="77777777" w:rsidTr="00556F8D">
        <w:tc>
          <w:tcPr>
            <w:tcW w:w="2506" w:type="dxa"/>
            <w:gridSpan w:val="2"/>
          </w:tcPr>
          <w:p w14:paraId="79711E3F"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Забезпечення автономії та безпеки</w:t>
            </w:r>
          </w:p>
        </w:tc>
        <w:tc>
          <w:tcPr>
            <w:tcW w:w="2847" w:type="dxa"/>
          </w:tcPr>
          <w:p w14:paraId="03A250CD"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забезпечення безпеки та життєдіяльності в умовах перебоїв з енергопостачанням</w:t>
            </w:r>
          </w:p>
        </w:tc>
        <w:tc>
          <w:tcPr>
            <w:tcW w:w="4218" w:type="dxa"/>
          </w:tcPr>
          <w:p w14:paraId="050269F8" w14:textId="77777777" w:rsidR="00D97F1B" w:rsidRPr="00D97F1B" w:rsidRDefault="00D97F1B" w:rsidP="00D97F1B">
            <w:pPr>
              <w:spacing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видача засобів автономного освітлення (ліхтарі з акумуляторами) </w:t>
            </w:r>
          </w:p>
        </w:tc>
      </w:tr>
    </w:tbl>
    <w:p w14:paraId="7193FFE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p>
    <w:p w14:paraId="55CD4EA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Таким чином, </w:t>
      </w:r>
      <w:r w:rsidRPr="00D97F1B">
        <w:rPr>
          <w:rFonts w:ascii="Times New Roman" w:hAnsi="Times New Roman" w:cs="Times New Roman"/>
          <w:sz w:val="28"/>
          <w:szCs w:val="28"/>
          <w:lang w:val="uk-UA" w:eastAsia="ru-RU"/>
        </w:rPr>
        <w:t xml:space="preserve">проведена робота охоплює </w:t>
      </w:r>
      <w:r w:rsidRPr="00D97F1B">
        <w:rPr>
          <w:rFonts w:ascii="Times New Roman" w:hAnsi="Times New Roman" w:cs="Times New Roman"/>
          <w:sz w:val="28"/>
          <w:szCs w:val="28"/>
          <w:lang w:val="uk-UA"/>
        </w:rPr>
        <w:t>комплексну підтримку</w:t>
      </w:r>
      <w:r w:rsidRPr="00D97F1B">
        <w:rPr>
          <w:rFonts w:ascii="Times New Roman" w:hAnsi="Times New Roman" w:cs="Times New Roman"/>
          <w:sz w:val="28"/>
          <w:szCs w:val="28"/>
          <w:lang w:val="uk-UA" w:eastAsia="ru-RU"/>
        </w:rPr>
        <w:t xml:space="preserve"> бенефіціарів, зосереджуючись на підвищенні їхньої економічної стабільності через </w:t>
      </w:r>
      <w:r w:rsidRPr="00D97F1B">
        <w:rPr>
          <w:rFonts w:ascii="Times New Roman" w:hAnsi="Times New Roman" w:cs="Times New Roman"/>
          <w:sz w:val="28"/>
          <w:szCs w:val="28"/>
          <w:lang w:val="uk-UA" w:eastAsia="ru-RU"/>
        </w:rPr>
        <w:lastRenderedPageBreak/>
        <w:t xml:space="preserve">грошову </w:t>
      </w:r>
      <w:r w:rsidRPr="00D97F1B">
        <w:rPr>
          <w:rFonts w:ascii="Times New Roman" w:hAnsi="Times New Roman" w:cs="Times New Roman"/>
          <w:sz w:val="28"/>
          <w:szCs w:val="28"/>
          <w:lang w:val="uk-UA"/>
        </w:rPr>
        <w:t>допомогу. Додатково реалізовано заходи для підтримки гідності та незалежності.</w:t>
      </w:r>
    </w:p>
    <w:p w14:paraId="40505C8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Так можна сказати, що комплексна психосоціальна допомога </w:t>
      </w:r>
      <w:r w:rsidRPr="00D97F1B">
        <w:rPr>
          <w:rFonts w:ascii="Times New Roman" w:hAnsi="Times New Roman" w:cs="Times New Roman"/>
          <w:bCs/>
          <w:sz w:val="28"/>
          <w:szCs w:val="28"/>
        </w:rPr>
        <w:t>HelpAge</w:t>
      </w:r>
      <w:r w:rsidRPr="00D97F1B">
        <w:rPr>
          <w:rFonts w:ascii="Times New Roman" w:hAnsi="Times New Roman" w:cs="Times New Roman"/>
          <w:sz w:val="28"/>
          <w:szCs w:val="28"/>
          <w:lang w:val="uk-UA"/>
        </w:rPr>
        <w:t xml:space="preserve"> спирається на </w:t>
      </w:r>
      <w:r w:rsidRPr="00D97F1B">
        <w:rPr>
          <w:rFonts w:ascii="Times New Roman" w:hAnsi="Times New Roman" w:cs="Times New Roman"/>
          <w:bCs/>
          <w:sz w:val="28"/>
          <w:szCs w:val="28"/>
          <w:lang w:val="uk-UA"/>
        </w:rPr>
        <w:t>інклюзивні стандарти</w:t>
      </w:r>
      <w:r w:rsidRPr="00D97F1B">
        <w:rPr>
          <w:rFonts w:ascii="Times New Roman" w:hAnsi="Times New Roman" w:cs="Times New Roman"/>
          <w:sz w:val="28"/>
          <w:szCs w:val="28"/>
          <w:lang w:val="uk-UA"/>
        </w:rPr>
        <w:t xml:space="preserve"> та </w:t>
      </w:r>
      <w:r w:rsidRPr="00D97F1B">
        <w:rPr>
          <w:rFonts w:ascii="Times New Roman" w:hAnsi="Times New Roman" w:cs="Times New Roman"/>
          <w:bCs/>
          <w:sz w:val="28"/>
          <w:szCs w:val="28"/>
          <w:lang w:val="uk-UA"/>
        </w:rPr>
        <w:t>біопсихосоціальний підхід</w:t>
      </w:r>
      <w:r w:rsidRPr="00D97F1B">
        <w:rPr>
          <w:rFonts w:ascii="Times New Roman" w:hAnsi="Times New Roman" w:cs="Times New Roman"/>
          <w:sz w:val="28"/>
          <w:szCs w:val="28"/>
          <w:lang w:val="uk-UA"/>
        </w:rPr>
        <w:t>, що охоплює фізичну, психологічну, соціальну й економічну підтримку.</w:t>
      </w:r>
    </w:p>
    <w:p w14:paraId="65FA6F6C" w14:textId="77777777" w:rsidR="00D97F1B" w:rsidRPr="001F72E0" w:rsidRDefault="00D97F1B" w:rsidP="00D97F1B">
      <w:pPr>
        <w:spacing w:after="0" w:line="360" w:lineRule="auto"/>
        <w:ind w:firstLine="709"/>
        <w:jc w:val="both"/>
        <w:rPr>
          <w:rStyle w:val="af4"/>
          <w:rFonts w:ascii="Times New Roman" w:hAnsi="Times New Roman" w:cs="Times New Roman"/>
          <w:b w:val="0"/>
          <w:bCs w:val="0"/>
          <w:sz w:val="28"/>
          <w:szCs w:val="28"/>
        </w:rPr>
      </w:pPr>
      <w:r w:rsidRPr="001F72E0">
        <w:rPr>
          <w:rStyle w:val="af4"/>
          <w:rFonts w:ascii="Times New Roman" w:hAnsi="Times New Roman" w:cs="Times New Roman"/>
          <w:b w:val="0"/>
          <w:bCs w:val="0"/>
          <w:sz w:val="28"/>
          <w:szCs w:val="28"/>
        </w:rPr>
        <w:t>Основні напрями:</w:t>
      </w:r>
    </w:p>
    <w:p w14:paraId="53916DE8" w14:textId="77777777" w:rsidR="00D97F1B" w:rsidRPr="001F72E0" w:rsidRDefault="00D97F1B" w:rsidP="00D97F1B">
      <w:pPr>
        <w:spacing w:after="0" w:line="360" w:lineRule="auto"/>
        <w:ind w:firstLine="709"/>
        <w:jc w:val="both"/>
        <w:rPr>
          <w:rStyle w:val="af4"/>
          <w:rFonts w:ascii="Times New Roman" w:hAnsi="Times New Roman" w:cs="Times New Roman"/>
          <w:b w:val="0"/>
          <w:bCs w:val="0"/>
          <w:sz w:val="28"/>
          <w:szCs w:val="28"/>
        </w:rPr>
      </w:pPr>
      <w:r w:rsidRPr="001F72E0">
        <w:rPr>
          <w:rStyle w:val="af4"/>
          <w:rFonts w:ascii="Times New Roman" w:hAnsi="Times New Roman" w:cs="Times New Roman"/>
          <w:b w:val="0"/>
          <w:bCs w:val="0"/>
          <w:sz w:val="28"/>
          <w:szCs w:val="28"/>
        </w:rPr>
        <w:t>- Біологічна: оцінка стану, профілактика, самодогляд.</w:t>
      </w:r>
    </w:p>
    <w:p w14:paraId="0D3237CC" w14:textId="77777777" w:rsidR="00D97F1B" w:rsidRPr="001F72E0" w:rsidRDefault="00D97F1B" w:rsidP="00D97F1B">
      <w:pPr>
        <w:spacing w:after="0" w:line="360" w:lineRule="auto"/>
        <w:ind w:firstLine="709"/>
        <w:jc w:val="both"/>
        <w:rPr>
          <w:rStyle w:val="af4"/>
          <w:rFonts w:ascii="Times New Roman" w:hAnsi="Times New Roman" w:cs="Times New Roman"/>
          <w:b w:val="0"/>
          <w:bCs w:val="0"/>
          <w:sz w:val="28"/>
          <w:szCs w:val="28"/>
        </w:rPr>
      </w:pPr>
      <w:r w:rsidRPr="001F72E0">
        <w:rPr>
          <w:rStyle w:val="af4"/>
          <w:rFonts w:ascii="Times New Roman" w:hAnsi="Times New Roman" w:cs="Times New Roman"/>
          <w:b w:val="0"/>
          <w:bCs w:val="0"/>
          <w:sz w:val="28"/>
          <w:szCs w:val="28"/>
        </w:rPr>
        <w:t>- Психологічна: психодіагностика, саморегуляція, когнітивна активність.</w:t>
      </w:r>
    </w:p>
    <w:p w14:paraId="5A9350C5" w14:textId="77777777" w:rsidR="00D97F1B" w:rsidRPr="001F72E0" w:rsidRDefault="00D97F1B" w:rsidP="00D97F1B">
      <w:pPr>
        <w:spacing w:after="0" w:line="360" w:lineRule="auto"/>
        <w:ind w:firstLine="709"/>
        <w:jc w:val="both"/>
        <w:rPr>
          <w:rStyle w:val="af4"/>
          <w:rFonts w:ascii="Times New Roman" w:hAnsi="Times New Roman" w:cs="Times New Roman"/>
          <w:b w:val="0"/>
          <w:bCs w:val="0"/>
          <w:sz w:val="28"/>
          <w:szCs w:val="28"/>
        </w:rPr>
      </w:pPr>
      <w:r w:rsidRPr="001F72E0">
        <w:rPr>
          <w:rStyle w:val="af4"/>
          <w:rFonts w:ascii="Times New Roman" w:hAnsi="Times New Roman" w:cs="Times New Roman"/>
          <w:b w:val="0"/>
          <w:bCs w:val="0"/>
          <w:sz w:val="28"/>
          <w:szCs w:val="28"/>
        </w:rPr>
        <w:t>- Соціальна: подолання ізоляції, доступ до ресурсів, підтримка доглядальників.</w:t>
      </w:r>
    </w:p>
    <w:p w14:paraId="608E703A"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Style w:val="af4"/>
          <w:rFonts w:ascii="Times New Roman" w:hAnsi="Times New Roman" w:cs="Times New Roman"/>
          <w:sz w:val="28"/>
          <w:szCs w:val="28"/>
        </w:rPr>
        <w:t xml:space="preserve">- </w:t>
      </w:r>
      <w:r w:rsidRPr="001F72E0">
        <w:rPr>
          <w:rStyle w:val="af4"/>
          <w:rFonts w:ascii="Times New Roman" w:hAnsi="Times New Roman" w:cs="Times New Roman"/>
          <w:b w:val="0"/>
          <w:bCs w:val="0"/>
          <w:sz w:val="28"/>
          <w:szCs w:val="28"/>
        </w:rPr>
        <w:t>Економічна:</w:t>
      </w:r>
      <w:r w:rsidRPr="00D97F1B">
        <w:rPr>
          <w:rFonts w:ascii="Times New Roman" w:hAnsi="Times New Roman" w:cs="Times New Roman"/>
          <w:sz w:val="28"/>
          <w:szCs w:val="28"/>
        </w:rPr>
        <w:t xml:space="preserve"> фінансова та технічна допомога.</w:t>
      </w:r>
    </w:p>
    <w:p w14:paraId="53745908"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Комплексний підхід HelpAge підвищує гідність, незалежність і життєстійкість бенефіціарів.</w:t>
      </w:r>
    </w:p>
    <w:p w14:paraId="6D595BA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Міжнародна організація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International</w:t>
      </w:r>
      <w:r w:rsidRPr="00D97F1B">
        <w:rPr>
          <w:rFonts w:ascii="Times New Roman" w:hAnsi="Times New Roman" w:cs="Times New Roman"/>
          <w:sz w:val="28"/>
          <w:szCs w:val="28"/>
          <w:lang w:val="uk-UA"/>
        </w:rPr>
        <w:t xml:space="preserve"> орієнтована на підтримку літніх людей у понад 90 країнах, сприяючи їхнім правам та гідному життю. Організація передає більше повноважень місцевим партнерам, що посилює незалежність ініціатив, прозорість ресурсів і сталий розвиток (на основі Стратегія – 2030).</w:t>
      </w:r>
    </w:p>
    <w:p w14:paraId="181E5842"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Опитування показують, що багато літніх людей відчувають соціальну ізоляцію, тривогу та самотність, особливо серед ВПО. Це підкреслює важливість комплексної психосоціальної підтримки, яка зменшує емоційний дискомфорт і зміцнює соціальні зв’язки.</w:t>
      </w:r>
    </w:p>
    <w:p w14:paraId="5F2CAB2D"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Психосоціальна допомога HelpAge поєднує інклюзивні стандарти та біопсихосоціальний підхід, охоплюючи:</w:t>
      </w:r>
    </w:p>
    <w:p w14:paraId="4FAFB6F6"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біологічну підтримку</w:t>
      </w:r>
      <w:r w:rsidRPr="00D97F1B">
        <w:rPr>
          <w:rStyle w:val="af4"/>
          <w:rFonts w:ascii="Times New Roman" w:hAnsi="Times New Roman" w:cs="Times New Roman"/>
          <w:sz w:val="28"/>
          <w:szCs w:val="28"/>
        </w:rPr>
        <w:t>:</w:t>
      </w:r>
      <w:r w:rsidRPr="00D97F1B">
        <w:rPr>
          <w:rFonts w:ascii="Times New Roman" w:hAnsi="Times New Roman" w:cs="Times New Roman"/>
          <w:sz w:val="28"/>
          <w:szCs w:val="28"/>
        </w:rPr>
        <w:t xml:space="preserve"> оцінка стану, профілактика, самодогляд;</w:t>
      </w:r>
    </w:p>
    <w:p w14:paraId="230ADE80"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психологічну: психодіагностика, саморегуляція, когнітивна активність;</w:t>
      </w:r>
    </w:p>
    <w:p w14:paraId="730693E3"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Style w:val="af4"/>
          <w:rFonts w:ascii="Times New Roman" w:hAnsi="Times New Roman" w:cs="Times New Roman"/>
          <w:sz w:val="28"/>
          <w:szCs w:val="28"/>
          <w:lang w:val="uk-UA"/>
        </w:rPr>
        <w:t xml:space="preserve">- </w:t>
      </w:r>
      <w:r w:rsidRPr="00D97F1B">
        <w:rPr>
          <w:rFonts w:ascii="Times New Roman" w:hAnsi="Times New Roman" w:cs="Times New Roman"/>
          <w:sz w:val="28"/>
          <w:szCs w:val="28"/>
        </w:rPr>
        <w:t>соціальну: подолання ізоляції, доступ до ресурсів, підтримка доглядальників;</w:t>
      </w:r>
    </w:p>
    <w:p w14:paraId="5E645EEE"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lastRenderedPageBreak/>
        <w:t>- економічну та технічну: фінансова допомога та засоби для незалежного життя.</w:t>
      </w:r>
    </w:p>
    <w:p w14:paraId="4B9AA6D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Такий підхід сприяє підвищенню гідності, самостійності та життєстійкості літніх людей у складних і повсякденних умовах.</w:t>
      </w:r>
    </w:p>
    <w:p w14:paraId="06FFE39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Важлива роль ефективної реалізації програм допомоги людям похилого віку міжнародної організації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 xml:space="preserve"> належить соціальному працівнику. </w:t>
      </w:r>
    </w:p>
    <w:p w14:paraId="21CB155D" w14:textId="0C4671AC"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Старший викладач кафедри педагогіки та психології професійної освіти Національного авіаційного університету </w:t>
      </w:r>
      <w:r w:rsidRPr="00D97F1B">
        <w:rPr>
          <w:rFonts w:ascii="Times New Roman" w:hAnsi="Times New Roman" w:cs="Times New Roman"/>
          <w:sz w:val="28"/>
          <w:szCs w:val="28"/>
          <w:lang w:val="uk-UA" w:eastAsia="ru-RU"/>
        </w:rPr>
        <w:t xml:space="preserve">Л.О. Хоменко-Семенова підкреслює, що соціальний робітник має виконувати: психологічну, педагогічну, організаторську та управлінську діяльність. Так, можна сказати, що він </w:t>
      </w:r>
      <w:r w:rsidRPr="00D97F1B">
        <w:rPr>
          <w:rFonts w:ascii="Times New Roman" w:hAnsi="Times New Roman" w:cs="Times New Roman"/>
          <w:sz w:val="28"/>
          <w:szCs w:val="28"/>
          <w:lang w:val="uk-UA"/>
        </w:rPr>
        <w:t>відіграє ключову роль для досягнення соціальних цілей, тому що від його професійності залежить успішна адаптація, підтримка та розвиток людини в суспільстві.</w:t>
      </w:r>
    </w:p>
    <w:p w14:paraId="06FF4DC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Ефективна діяльність соціального працівника сприяє сталому соціальному й духовному розвитку суспільства, попередженню криз і зміцненню його ресурсів. Тому сучасна соціальна робота потребує високого рівня професійної підготовки та вміння впливати як на особистість, так і на соціальні процеси.</w:t>
      </w:r>
    </w:p>
    <w:p w14:paraId="0B579F9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Досягнення цих цілей може забезпечити сталий соціальний і духовний розвиток суспільства, який може уникнути загострення соціальних проблем та оздоровити суспільство.</w:t>
      </w:r>
    </w:p>
    <w:p w14:paraId="3B92249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В сучасних умовах соціальна робота спрямована на потреби людини, коли клієнт може довірити своє проблеми соціальному робітнику, тому ефективна робота з клієнтом можлива лише при наявності довірчиї стосунків.</w:t>
      </w:r>
    </w:p>
    <w:p w14:paraId="7092B2A8" w14:textId="4FBD1410"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Тому не дивно, що І.Б. Іванова підкреслює, що професійна діяльність соціальної роботи постійно стикається з етичними дилемами. Для людей похилого віку це відображається у збереженні незалежності людей похилого віку, їхніх прав на самостійність, вільний вибір соціальних послуг, повага до простору, духовного життя, збереження конфіденційності. Тому в цивілізованому світі соціальна робота з похилими людьми базується на </w:t>
      </w:r>
      <w:r w:rsidRPr="00D97F1B">
        <w:rPr>
          <w:rFonts w:ascii="Times New Roman" w:hAnsi="Times New Roman" w:cs="Times New Roman"/>
          <w:sz w:val="28"/>
          <w:szCs w:val="28"/>
          <w:lang w:eastAsia="ru-RU"/>
        </w:rPr>
        <w:t>етичних принципах і кодексах професійної діяльності соціальних працівників.</w:t>
      </w:r>
    </w:p>
    <w:p w14:paraId="46DCD642" w14:textId="3AA66D72"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 xml:space="preserve">На загальних зборах Міжнародної федерації соціальних працівників </w:t>
      </w:r>
      <w:r w:rsidRPr="00D97F1B">
        <w:rPr>
          <w:rFonts w:ascii="Times New Roman" w:hAnsi="Times New Roman" w:cs="Times New Roman"/>
          <w:sz w:val="28"/>
          <w:szCs w:val="28"/>
          <w:lang w:eastAsia="ru-RU"/>
        </w:rPr>
        <w:t>(IFSW)</w:t>
      </w:r>
      <w:r w:rsidRPr="00D97F1B">
        <w:rPr>
          <w:rFonts w:ascii="Times New Roman" w:hAnsi="Times New Roman" w:cs="Times New Roman"/>
          <w:sz w:val="28"/>
          <w:szCs w:val="28"/>
          <w:lang w:val="uk-UA" w:eastAsia="ru-RU"/>
        </w:rPr>
        <w:t xml:space="preserve"> був принят документ «Етика соціальної роботи: принципи і стандарти». </w:t>
      </w:r>
      <w:r w:rsidRPr="00D97F1B">
        <w:rPr>
          <w:rFonts w:ascii="Times New Roman" w:hAnsi="Times New Roman" w:cs="Times New Roman"/>
          <w:sz w:val="28"/>
          <w:szCs w:val="28"/>
          <w:lang w:val="uk-UA"/>
        </w:rPr>
        <w:t>Основна мета її створення – визначення ключових  етичних принципів соціальної роботи, яка окреслює можливі етичні труднощі та надає можливі напрямки для їх вирішення. Ця декларація відкрита для суспільства для забезпечення прозорості та довіри до професії.</w:t>
      </w:r>
    </w:p>
    <w:p w14:paraId="21148C4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Цей норматив складається з двох частин: </w:t>
      </w:r>
    </w:p>
    <w:p w14:paraId="2C57362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1. </w:t>
      </w:r>
      <w:r w:rsidRPr="00D97F1B">
        <w:rPr>
          <w:rFonts w:ascii="Times New Roman" w:hAnsi="Times New Roman" w:cs="Times New Roman"/>
          <w:sz w:val="28"/>
          <w:szCs w:val="28"/>
          <w:lang w:eastAsia="ru-RU"/>
        </w:rPr>
        <w:t>«Міжнародна декларація етичних принципів соціальної роботи»</w:t>
      </w:r>
      <w:r w:rsidRPr="00D97F1B">
        <w:rPr>
          <w:rFonts w:ascii="Times New Roman" w:hAnsi="Times New Roman" w:cs="Times New Roman"/>
          <w:sz w:val="28"/>
          <w:szCs w:val="28"/>
          <w:lang w:val="uk-UA" w:eastAsia="ru-RU"/>
        </w:rPr>
        <w:t>.</w:t>
      </w:r>
    </w:p>
    <w:p w14:paraId="28C510E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Базові принципи:</w:t>
      </w:r>
    </w:p>
    <w:p w14:paraId="2B26DB4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будь-яка людинп має унікальну цінність та право на моральну повагу;</w:t>
      </w:r>
    </w:p>
    <w:p w14:paraId="0CB7908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право на самореалізацію людину без порушення прав інших;</w:t>
      </w:r>
    </w:p>
    <w:p w14:paraId="792F90E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суспільство має бути побудовано на рівних правах для кожного;</w:t>
      </w:r>
    </w:p>
    <w:p w14:paraId="30D711A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соціальні працівники керуються принципами соціальної справлеливості;</w:t>
      </w:r>
    </w:p>
    <w:p w14:paraId="45CC6FB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 </w:t>
      </w:r>
      <w:r w:rsidRPr="00D97F1B">
        <w:rPr>
          <w:rFonts w:ascii="Times New Roman" w:hAnsi="Times New Roman" w:cs="Times New Roman"/>
          <w:sz w:val="28"/>
          <w:szCs w:val="28"/>
          <w:lang w:val="uk-UA"/>
        </w:rPr>
        <w:t>с</w:t>
      </w:r>
      <w:r w:rsidRPr="00D97F1B">
        <w:rPr>
          <w:rFonts w:ascii="Times New Roman" w:hAnsi="Times New Roman" w:cs="Times New Roman"/>
          <w:sz w:val="28"/>
          <w:szCs w:val="28"/>
        </w:rPr>
        <w:t>оціальні працівники використовують професійні знання й навички для допомоги людям і громадам у розв’язанні особистих та соціальних проблем</w:t>
      </w:r>
      <w:r w:rsidRPr="00D97F1B">
        <w:rPr>
          <w:rFonts w:ascii="Times New Roman" w:hAnsi="Times New Roman" w:cs="Times New Roman"/>
          <w:sz w:val="28"/>
          <w:szCs w:val="28"/>
          <w:lang w:val="uk-UA"/>
        </w:rPr>
        <w:t>;</w:t>
      </w:r>
    </w:p>
    <w:p w14:paraId="4EE6564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н</w:t>
      </w:r>
      <w:r w:rsidRPr="00D97F1B">
        <w:rPr>
          <w:rFonts w:ascii="Times New Roman" w:hAnsi="Times New Roman" w:cs="Times New Roman"/>
          <w:sz w:val="28"/>
          <w:szCs w:val="28"/>
        </w:rPr>
        <w:t>адають підтримку без дискримінації, поважаючи права людини</w:t>
      </w:r>
      <w:r w:rsidRPr="00D97F1B">
        <w:rPr>
          <w:rFonts w:ascii="Times New Roman" w:hAnsi="Times New Roman" w:cs="Times New Roman"/>
          <w:sz w:val="28"/>
          <w:szCs w:val="28"/>
          <w:lang w:val="uk-UA"/>
        </w:rPr>
        <w:t>;</w:t>
      </w:r>
    </w:p>
    <w:p w14:paraId="75880434"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д</w:t>
      </w:r>
      <w:r w:rsidRPr="00D97F1B">
        <w:rPr>
          <w:rFonts w:ascii="Times New Roman" w:hAnsi="Times New Roman" w:cs="Times New Roman"/>
          <w:sz w:val="28"/>
          <w:szCs w:val="28"/>
        </w:rPr>
        <w:t>отримуються принципів приватності, конфіденційності та етичного використання інформації.</w:t>
      </w:r>
    </w:p>
    <w:p w14:paraId="7E16441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w:t>
      </w:r>
      <w:r w:rsidRPr="00D97F1B">
        <w:rPr>
          <w:rFonts w:ascii="Times New Roman" w:hAnsi="Times New Roman" w:cs="Times New Roman"/>
          <w:sz w:val="28"/>
          <w:szCs w:val="28"/>
          <w:lang w:val="uk-UA"/>
        </w:rPr>
        <w:t>п</w:t>
      </w:r>
      <w:r w:rsidRPr="00D97F1B">
        <w:rPr>
          <w:rFonts w:ascii="Times New Roman" w:hAnsi="Times New Roman" w:cs="Times New Roman"/>
          <w:sz w:val="28"/>
          <w:szCs w:val="28"/>
        </w:rPr>
        <w:t>рацюють у партнерстві з клієнтами, інформують про ризики й вигоди, заохочують до відповідальності</w:t>
      </w:r>
      <w:r w:rsidRPr="00D97F1B">
        <w:rPr>
          <w:rFonts w:ascii="Times New Roman" w:hAnsi="Times New Roman" w:cs="Times New Roman"/>
          <w:sz w:val="28"/>
          <w:szCs w:val="28"/>
          <w:lang w:val="uk-UA"/>
        </w:rPr>
        <w:t>;</w:t>
      </w:r>
    </w:p>
    <w:p w14:paraId="373FE4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н</w:t>
      </w:r>
      <w:r w:rsidRPr="00D97F1B">
        <w:rPr>
          <w:rFonts w:ascii="Times New Roman" w:hAnsi="Times New Roman" w:cs="Times New Roman"/>
          <w:sz w:val="28"/>
          <w:szCs w:val="28"/>
        </w:rPr>
        <w:t>е підтримують жодних форм насильства чи утиску</w:t>
      </w:r>
      <w:r w:rsidRPr="00D97F1B">
        <w:rPr>
          <w:rFonts w:ascii="Times New Roman" w:hAnsi="Times New Roman" w:cs="Times New Roman"/>
          <w:sz w:val="28"/>
          <w:szCs w:val="28"/>
          <w:lang w:val="uk-UA"/>
        </w:rPr>
        <w:t>;</w:t>
      </w:r>
    </w:p>
    <w:p w14:paraId="293C453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рішення мають бути етично обґрунтованими й відповідати міжнародним і національним стандартам.</w:t>
      </w:r>
    </w:p>
    <w:p w14:paraId="0837E84F"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rPr>
        <w:t xml:space="preserve">Слід зазначити, що етичні питання в соціальній роботі вирішуються колективно через обговорення в професійних асоціаціях, які розробляють або адаптують відповідні стандарти. Оцінювання </w:t>
      </w:r>
      <w:r w:rsidRPr="00D97F1B">
        <w:rPr>
          <w:rFonts w:ascii="Times New Roman" w:hAnsi="Times New Roman" w:cs="Times New Roman"/>
          <w:sz w:val="28"/>
          <w:szCs w:val="28"/>
        </w:rPr>
        <w:t>таких питань базується на принципах Декларації, враховує контекст, мотиви, характер і наслідки дій, а також підтримується розвитком етичної освіти та досліджень.</w:t>
      </w:r>
    </w:p>
    <w:p w14:paraId="63D7E14F"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eastAsia="ru-RU"/>
        </w:rPr>
        <w:t xml:space="preserve">2. </w:t>
      </w:r>
      <w:r w:rsidRPr="00D97F1B">
        <w:rPr>
          <w:rFonts w:ascii="Times New Roman" w:hAnsi="Times New Roman" w:cs="Times New Roman"/>
          <w:sz w:val="28"/>
          <w:szCs w:val="28"/>
        </w:rPr>
        <w:t>Міжнародні етичні стандарти для соціальних працівників</w:t>
      </w:r>
      <w:r w:rsidRPr="00D97F1B">
        <w:rPr>
          <w:rFonts w:ascii="Times New Roman" w:hAnsi="Times New Roman" w:cs="Times New Roman"/>
          <w:b/>
          <w:bCs/>
          <w:sz w:val="28"/>
          <w:szCs w:val="28"/>
        </w:rPr>
        <w:t xml:space="preserve"> </w:t>
      </w:r>
    </w:p>
    <w:p w14:paraId="6BEB7FE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eastAsia="ru-RU"/>
        </w:rPr>
        <w:lastRenderedPageBreak/>
        <w:t>Міжнародні стандарти ґрунтуються на гуманістичних і демократичних цінностях, спрямованих на розвиток людини, задоволення її потреб і досягнення соціальної справедливості. Соціальні працівники служать добробуту людей, застосовуючи професійні знання й дотримуючись етичних принципів.</w:t>
      </w:r>
    </w:p>
    <w:p w14:paraId="4496591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 Загальні стандарти. </w:t>
      </w:r>
    </w:p>
    <w:p w14:paraId="56E5C783"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eastAsia="ru-RU"/>
        </w:rPr>
        <w:t xml:space="preserve">Соціальні працівники мають розуміти клієнта та соціальну складову, підтримувати професійні цінності й утримуватися від дій, що шкодять професії. </w:t>
      </w:r>
      <w:r w:rsidRPr="00D97F1B">
        <w:rPr>
          <w:rFonts w:ascii="Times New Roman" w:hAnsi="Times New Roman" w:cs="Times New Roman"/>
          <w:sz w:val="28"/>
          <w:szCs w:val="28"/>
          <w:lang w:eastAsia="ru-RU"/>
        </w:rPr>
        <w:t xml:space="preserve">Вони визнають власні межі, застосовують перевірені знання, беруть участь у формуванні політики й чітко </w:t>
      </w:r>
      <w:r w:rsidRPr="00D97F1B">
        <w:rPr>
          <w:rFonts w:ascii="Times New Roman" w:hAnsi="Times New Roman" w:cs="Times New Roman"/>
          <w:sz w:val="28"/>
          <w:szCs w:val="28"/>
          <w:lang w:val="uk-UA" w:eastAsia="ru-RU"/>
        </w:rPr>
        <w:t>мають</w:t>
      </w:r>
      <w:r w:rsidRPr="00D97F1B">
        <w:rPr>
          <w:rFonts w:ascii="Times New Roman" w:hAnsi="Times New Roman" w:cs="Times New Roman"/>
          <w:sz w:val="28"/>
          <w:szCs w:val="28"/>
          <w:lang w:eastAsia="ru-RU"/>
        </w:rPr>
        <w:t xml:space="preserve"> професійну позицію.</w:t>
      </w:r>
    </w:p>
    <w:p w14:paraId="4823D0D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w:t>
      </w:r>
      <w:r w:rsidRPr="00D97F1B">
        <w:rPr>
          <w:rFonts w:ascii="Times New Roman" w:hAnsi="Times New Roman" w:cs="Times New Roman"/>
          <w:sz w:val="28"/>
          <w:szCs w:val="28"/>
          <w:lang w:eastAsia="ru-RU"/>
        </w:rPr>
        <w:t xml:space="preserve"> Стандарти щодо клієнтів.</w:t>
      </w:r>
    </w:p>
    <w:p w14:paraId="210FC9A9"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eastAsia="ru-RU"/>
        </w:rPr>
        <w:t xml:space="preserve"> Основна відповідальність  перед клієнтом </w:t>
      </w:r>
      <w:r w:rsidRPr="00D97F1B">
        <w:rPr>
          <w:rFonts w:ascii="Times New Roman" w:hAnsi="Times New Roman" w:cs="Times New Roman"/>
          <w:sz w:val="28"/>
          <w:szCs w:val="28"/>
          <w:lang w:val="uk-UA" w:eastAsia="ru-RU"/>
        </w:rPr>
        <w:t>- це</w:t>
      </w:r>
      <w:r w:rsidRPr="00D97F1B">
        <w:rPr>
          <w:rFonts w:ascii="Times New Roman" w:hAnsi="Times New Roman" w:cs="Times New Roman"/>
          <w:sz w:val="28"/>
          <w:szCs w:val="28"/>
          <w:lang w:eastAsia="ru-RU"/>
        </w:rPr>
        <w:t xml:space="preserve"> дотримання принципів довіри, приватності та конфіденційності. Інформація використовується лише за згодою клієнта, окрім випадків небезпеки. Соціальний працівник поважає індивідуальність клієнта, сприяє його самостійності та допомагає реалізувати законні інтереси.</w:t>
      </w:r>
    </w:p>
    <w:p w14:paraId="75B80E0A"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w:t>
      </w:r>
      <w:r w:rsidRPr="00D97F1B">
        <w:rPr>
          <w:rFonts w:ascii="Times New Roman" w:hAnsi="Times New Roman" w:cs="Times New Roman"/>
          <w:sz w:val="28"/>
          <w:szCs w:val="28"/>
          <w:lang w:eastAsia="ru-RU"/>
        </w:rPr>
        <w:t xml:space="preserve"> Стандарти щодо організацій.</w:t>
      </w:r>
    </w:p>
    <w:p w14:paraId="30FF97E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 Працівники співпрацюють із установами, діяльність яких відповідає етичним принципам, сприяють розвитку ефективної політики та несуть відповідальність за якість послуг. </w:t>
      </w:r>
    </w:p>
    <w:p w14:paraId="587480DE" w14:textId="77777777" w:rsidR="00D97F1B" w:rsidRPr="00D97F1B" w:rsidRDefault="00D97F1B" w:rsidP="00D97F1B">
      <w:pPr>
        <w:spacing w:after="0" w:line="360" w:lineRule="auto"/>
        <w:ind w:firstLine="709"/>
        <w:jc w:val="both"/>
        <w:rPr>
          <w:rFonts w:ascii="Times New Roman" w:hAnsi="Times New Roman" w:cs="Times New Roman"/>
          <w:bCs/>
          <w:sz w:val="28"/>
          <w:szCs w:val="28"/>
          <w:lang w:val="uk-UA" w:eastAsia="ru-RU"/>
        </w:rPr>
      </w:pPr>
      <w:r w:rsidRPr="00D97F1B">
        <w:rPr>
          <w:rFonts w:ascii="Times New Roman" w:hAnsi="Times New Roman" w:cs="Times New Roman"/>
          <w:bCs/>
          <w:sz w:val="28"/>
          <w:szCs w:val="28"/>
          <w:lang w:val="uk-UA" w:eastAsia="ru-RU"/>
        </w:rPr>
        <w:t>-</w:t>
      </w:r>
      <w:r w:rsidRPr="00D97F1B">
        <w:rPr>
          <w:rFonts w:ascii="Times New Roman" w:hAnsi="Times New Roman" w:cs="Times New Roman"/>
          <w:bCs/>
          <w:sz w:val="28"/>
          <w:szCs w:val="28"/>
          <w:lang w:eastAsia="ru-RU"/>
        </w:rPr>
        <w:t xml:space="preserve"> Стандарти щодо колег</w:t>
      </w:r>
      <w:r w:rsidRPr="00D97F1B">
        <w:rPr>
          <w:rFonts w:ascii="Times New Roman" w:hAnsi="Times New Roman" w:cs="Times New Roman"/>
          <w:bCs/>
          <w:sz w:val="28"/>
          <w:szCs w:val="28"/>
          <w:lang w:val="uk-UA" w:eastAsia="ru-RU"/>
        </w:rPr>
        <w:t>.</w:t>
      </w:r>
    </w:p>
    <w:p w14:paraId="0880A4B6"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eastAsia="ru-RU"/>
        </w:rPr>
        <w:t xml:space="preserve"> Потрібно визнавати кваліфікацію колег, сприяти обміну знаннями, ко</w:t>
      </w:r>
      <w:r w:rsidRPr="00D97F1B">
        <w:rPr>
          <w:rFonts w:ascii="Times New Roman" w:hAnsi="Times New Roman" w:cs="Times New Roman"/>
          <w:sz w:val="28"/>
          <w:szCs w:val="28"/>
          <w:lang w:val="uk-UA" w:eastAsia="ru-RU"/>
        </w:rPr>
        <w:t>ректно</w:t>
      </w:r>
      <w:r w:rsidRPr="00D97F1B">
        <w:rPr>
          <w:rFonts w:ascii="Times New Roman" w:hAnsi="Times New Roman" w:cs="Times New Roman"/>
          <w:sz w:val="28"/>
          <w:szCs w:val="28"/>
          <w:lang w:eastAsia="ru-RU"/>
        </w:rPr>
        <w:t xml:space="preserve"> висловлювати критику, повідомляти про порушення етики й підтримувати колег у складних ситуаціях.</w:t>
      </w:r>
    </w:p>
    <w:p w14:paraId="4A3B885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 </w:t>
      </w:r>
      <w:r w:rsidRPr="00D97F1B">
        <w:rPr>
          <w:rFonts w:ascii="Times New Roman" w:hAnsi="Times New Roman" w:cs="Times New Roman"/>
          <w:sz w:val="28"/>
          <w:szCs w:val="28"/>
          <w:lang w:eastAsia="ru-RU"/>
        </w:rPr>
        <w:t>Стандарти щодо професії.</w:t>
      </w:r>
    </w:p>
    <w:p w14:paraId="68EA9AF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 Соціальні працівники зобов’язані підтримувати цінності та стандарти професії, сприяти її вдосконаленню, захищати від несправедливої критики й впроваджувати нові підходи відповідно до сучасних потреб.</w:t>
      </w:r>
    </w:p>
    <w:p w14:paraId="0B46FC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Обов’язково слід зазначити, що для виконання місії міжнародної організації </w:t>
      </w:r>
      <w:r w:rsidRPr="00D97F1B">
        <w:rPr>
          <w:rFonts w:ascii="Times New Roman" w:hAnsi="Times New Roman" w:cs="Times New Roman"/>
          <w:sz w:val="28"/>
          <w:szCs w:val="28"/>
          <w:lang w:val="en-US" w:eastAsia="ru-RU"/>
        </w:rPr>
        <w:t>HelpAge</w:t>
      </w:r>
      <w:r w:rsidRPr="00D97F1B">
        <w:rPr>
          <w:rFonts w:ascii="Times New Roman" w:hAnsi="Times New Roman" w:cs="Times New Roman"/>
          <w:sz w:val="28"/>
          <w:szCs w:val="28"/>
          <w:lang w:val="uk-UA" w:eastAsia="ru-RU"/>
        </w:rPr>
        <w:t xml:space="preserve"> в наданні ефективної допомоги літнім людям, які опинился в скрутному становищі, соціальний робітник має виконувати свої професійні функції. </w:t>
      </w:r>
    </w:p>
    <w:p w14:paraId="3D5FD160" w14:textId="0C04FDE8"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lastRenderedPageBreak/>
        <w:t>Олена Карпенко, спираючись на світовий досвід та свої наукові надбання пропонує використовувати наступну модель спеціаліста, який складається з наступних аспектов діяльності: функціональний, особистий та предметний.</w:t>
      </w:r>
    </w:p>
    <w:p w14:paraId="1FF02BF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Дана модель представлена на рисунку 2.9.</w:t>
      </w:r>
    </w:p>
    <w:p w14:paraId="56FAD14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p>
    <w:p w14:paraId="6F3B6A4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noProof/>
          <w:sz w:val="28"/>
          <w:szCs w:val="28"/>
          <w:lang w:eastAsia="ru-RU"/>
        </w:rPr>
        <w:drawing>
          <wp:inline distT="0" distB="0" distL="0" distR="0" wp14:anchorId="5CDF060F" wp14:editId="72F85F1D">
            <wp:extent cx="5551170" cy="23831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1170" cy="2383155"/>
                    </a:xfrm>
                    <a:prstGeom prst="rect">
                      <a:avLst/>
                    </a:prstGeom>
                    <a:noFill/>
                    <a:ln>
                      <a:noFill/>
                    </a:ln>
                  </pic:spPr>
                </pic:pic>
              </a:graphicData>
            </a:graphic>
          </wp:inline>
        </w:drawing>
      </w:r>
    </w:p>
    <w:p w14:paraId="55683B2B" w14:textId="368D5DC3"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eastAsia="ru-RU"/>
        </w:rPr>
        <w:t xml:space="preserve">Рисунок 2.9.  </w:t>
      </w:r>
      <w:r w:rsidRPr="00D97F1B">
        <w:rPr>
          <w:rFonts w:ascii="Times New Roman" w:hAnsi="Times New Roman" w:cs="Times New Roman"/>
          <w:sz w:val="28"/>
          <w:szCs w:val="28"/>
        </w:rPr>
        <w:t>Структура моделі соціального працівника</w:t>
      </w:r>
      <w:r w:rsidRPr="00D97F1B">
        <w:rPr>
          <w:rFonts w:ascii="Times New Roman" w:hAnsi="Times New Roman" w:cs="Times New Roman"/>
          <w:sz w:val="28"/>
          <w:szCs w:val="28"/>
          <w:lang w:val="uk-UA"/>
        </w:rPr>
        <w:t xml:space="preserve"> </w:t>
      </w:r>
    </w:p>
    <w:p w14:paraId="1AB2CEB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p>
    <w:p w14:paraId="58B02F9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Розглянемо більш детально всі аспекти моделі соціального працівника.</w:t>
      </w:r>
    </w:p>
    <w:p w14:paraId="7A1FC00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Функціональний аспект визначає цільову установку напрямку роботи соціального праівника, тому представимо базові професійні функції,  які необхідно реалізувати йому.</w:t>
      </w:r>
    </w:p>
    <w:p w14:paraId="2F15A6A7"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eastAsia="ru-RU"/>
        </w:rPr>
        <w:t xml:space="preserve">1. </w:t>
      </w:r>
      <w:r w:rsidRPr="00D97F1B">
        <w:rPr>
          <w:rFonts w:ascii="Times New Roman" w:hAnsi="Times New Roman" w:cs="Times New Roman"/>
          <w:sz w:val="28"/>
          <w:szCs w:val="28"/>
          <w:lang w:val="uk-UA"/>
        </w:rPr>
        <w:t xml:space="preserve">Діагностична функція визначає особливості бенефеціара, його сім’ї та оточення. </w:t>
      </w:r>
      <w:r w:rsidRPr="00D97F1B">
        <w:rPr>
          <w:rFonts w:ascii="Times New Roman" w:hAnsi="Times New Roman" w:cs="Times New Roman"/>
          <w:sz w:val="28"/>
          <w:szCs w:val="28"/>
        </w:rPr>
        <w:t>Соціальний працівник з’ясовує причини соціальних і особистих проблем</w:t>
      </w:r>
      <w:r w:rsidRPr="00D97F1B">
        <w:rPr>
          <w:rFonts w:ascii="Times New Roman" w:hAnsi="Times New Roman" w:cs="Times New Roman"/>
          <w:sz w:val="28"/>
          <w:szCs w:val="28"/>
          <w:lang w:val="uk-UA"/>
        </w:rPr>
        <w:t xml:space="preserve"> дял створення</w:t>
      </w:r>
      <w:r w:rsidRPr="00D97F1B">
        <w:rPr>
          <w:rFonts w:ascii="Times New Roman" w:hAnsi="Times New Roman" w:cs="Times New Roman"/>
          <w:sz w:val="28"/>
          <w:szCs w:val="28"/>
        </w:rPr>
        <w:t xml:space="preserve"> умов для їх вирішення. Результати діагностики визначають </w:t>
      </w:r>
      <w:r w:rsidRPr="00D97F1B">
        <w:rPr>
          <w:rFonts w:ascii="Times New Roman" w:hAnsi="Times New Roman" w:cs="Times New Roman"/>
          <w:sz w:val="28"/>
          <w:szCs w:val="28"/>
          <w:lang w:val="uk-UA"/>
        </w:rPr>
        <w:t xml:space="preserve">план </w:t>
      </w:r>
      <w:r w:rsidRPr="00D97F1B">
        <w:rPr>
          <w:rFonts w:ascii="Times New Roman" w:hAnsi="Times New Roman" w:cs="Times New Roman"/>
          <w:sz w:val="28"/>
          <w:szCs w:val="28"/>
        </w:rPr>
        <w:t>подальш</w:t>
      </w:r>
      <w:r w:rsidRPr="00D97F1B">
        <w:rPr>
          <w:rFonts w:ascii="Times New Roman" w:hAnsi="Times New Roman" w:cs="Times New Roman"/>
          <w:sz w:val="28"/>
          <w:szCs w:val="28"/>
          <w:lang w:val="uk-UA"/>
        </w:rPr>
        <w:t>ої</w:t>
      </w:r>
      <w:r w:rsidRPr="00D97F1B">
        <w:rPr>
          <w:rFonts w:ascii="Times New Roman" w:hAnsi="Times New Roman" w:cs="Times New Roman"/>
          <w:sz w:val="28"/>
          <w:szCs w:val="28"/>
        </w:rPr>
        <w:t xml:space="preserve"> робот</w:t>
      </w:r>
      <w:r w:rsidRPr="00D97F1B">
        <w:rPr>
          <w:rFonts w:ascii="Times New Roman" w:hAnsi="Times New Roman" w:cs="Times New Roman"/>
          <w:sz w:val="28"/>
          <w:szCs w:val="28"/>
          <w:lang w:val="uk-UA"/>
        </w:rPr>
        <w:t>и</w:t>
      </w:r>
      <w:r w:rsidRPr="00D97F1B">
        <w:rPr>
          <w:rFonts w:ascii="Times New Roman" w:hAnsi="Times New Roman" w:cs="Times New Roman"/>
          <w:sz w:val="28"/>
          <w:szCs w:val="28"/>
        </w:rPr>
        <w:t>.</w:t>
      </w:r>
    </w:p>
    <w:p w14:paraId="6CA728CF" w14:textId="4B023391"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rPr>
        <w:t>2. Прогностична функція</w:t>
      </w:r>
      <w:r w:rsidRPr="00D97F1B">
        <w:rPr>
          <w:rFonts w:ascii="Times New Roman" w:hAnsi="Times New Roman" w:cs="Times New Roman"/>
          <w:sz w:val="28"/>
          <w:szCs w:val="28"/>
          <w:lang w:eastAsia="ru-RU"/>
        </w:rPr>
        <w:t xml:space="preserve"> </w:t>
      </w:r>
      <w:r w:rsidR="001F72E0">
        <w:rPr>
          <w:rFonts w:ascii="Times New Roman" w:hAnsi="Times New Roman" w:cs="Times New Roman"/>
          <w:sz w:val="28"/>
          <w:szCs w:val="28"/>
          <w:lang w:val="uk-UA" w:eastAsia="ru-RU"/>
        </w:rPr>
        <w:t>−</w:t>
      </w:r>
      <w:r w:rsidRPr="00D97F1B">
        <w:rPr>
          <w:rFonts w:ascii="Times New Roman" w:hAnsi="Times New Roman" w:cs="Times New Roman"/>
          <w:sz w:val="28"/>
          <w:szCs w:val="28"/>
          <w:lang w:eastAsia="ru-RU"/>
        </w:rPr>
        <w:t xml:space="preserve"> це прогнозування розвитку клієнта, групи чи громади. Працівник формує програму особистісного зростання, обирає методи та прогнозує </w:t>
      </w:r>
      <w:r w:rsidRPr="00D97F1B">
        <w:rPr>
          <w:rFonts w:ascii="Times New Roman" w:hAnsi="Times New Roman" w:cs="Times New Roman"/>
          <w:sz w:val="28"/>
          <w:szCs w:val="28"/>
          <w:lang w:val="uk-UA" w:eastAsia="ru-RU"/>
        </w:rPr>
        <w:t xml:space="preserve">можливі </w:t>
      </w:r>
      <w:r w:rsidRPr="00D97F1B">
        <w:rPr>
          <w:rFonts w:ascii="Times New Roman" w:hAnsi="Times New Roman" w:cs="Times New Roman"/>
          <w:sz w:val="28"/>
          <w:szCs w:val="28"/>
          <w:lang w:eastAsia="ru-RU"/>
        </w:rPr>
        <w:t>результати, допомага</w:t>
      </w:r>
      <w:r w:rsidRPr="00D97F1B">
        <w:rPr>
          <w:rFonts w:ascii="Times New Roman" w:hAnsi="Times New Roman" w:cs="Times New Roman"/>
          <w:sz w:val="28"/>
          <w:szCs w:val="28"/>
          <w:lang w:val="uk-UA" w:eastAsia="ru-RU"/>
        </w:rPr>
        <w:t>є</w:t>
      </w:r>
      <w:r w:rsidRPr="00D97F1B">
        <w:rPr>
          <w:rFonts w:ascii="Times New Roman" w:hAnsi="Times New Roman" w:cs="Times New Roman"/>
          <w:sz w:val="28"/>
          <w:szCs w:val="28"/>
          <w:lang w:eastAsia="ru-RU"/>
        </w:rPr>
        <w:t xml:space="preserve"> клієнтам опанувати навички саморозвитку й самодопомоги.</w:t>
      </w:r>
    </w:p>
    <w:p w14:paraId="63D58CBA"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rPr>
        <w:lastRenderedPageBreak/>
        <w:t>3. Організаційна функція</w:t>
      </w:r>
      <w:r w:rsidRPr="00D97F1B">
        <w:rPr>
          <w:rFonts w:ascii="Times New Roman" w:hAnsi="Times New Roman" w:cs="Times New Roman"/>
          <w:sz w:val="28"/>
          <w:szCs w:val="28"/>
          <w:lang w:eastAsia="ru-RU"/>
        </w:rPr>
        <w:t xml:space="preserve"> спрямована на координацію соціальної діяльності, організацію дозвілля, праці, волонтерства й груп самодопомоги за участю </w:t>
      </w:r>
      <w:r w:rsidRPr="00D97F1B">
        <w:rPr>
          <w:rFonts w:ascii="Times New Roman" w:hAnsi="Times New Roman" w:cs="Times New Roman"/>
          <w:sz w:val="28"/>
          <w:szCs w:val="28"/>
          <w:lang w:val="uk-UA" w:eastAsia="ru-RU"/>
        </w:rPr>
        <w:t xml:space="preserve">різних </w:t>
      </w:r>
      <w:r w:rsidRPr="00D97F1B">
        <w:rPr>
          <w:rFonts w:ascii="Times New Roman" w:hAnsi="Times New Roman" w:cs="Times New Roman"/>
          <w:sz w:val="28"/>
          <w:szCs w:val="28"/>
          <w:lang w:eastAsia="ru-RU"/>
        </w:rPr>
        <w:t>установ і організацій.</w:t>
      </w:r>
    </w:p>
    <w:p w14:paraId="12849B68"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rPr>
        <w:t>4. Комунікативна функція</w:t>
      </w:r>
      <w:r w:rsidRPr="00D97F1B">
        <w:rPr>
          <w:rFonts w:ascii="Times New Roman" w:hAnsi="Times New Roman" w:cs="Times New Roman"/>
          <w:sz w:val="28"/>
          <w:szCs w:val="28"/>
          <w:lang w:eastAsia="ru-RU"/>
        </w:rPr>
        <w:t xml:space="preserve"> забезпечує взаємодію клієнтів, соціальних груп, волонтерів, спонсорів і партнерів.</w:t>
      </w:r>
    </w:p>
    <w:p w14:paraId="044AA479" w14:textId="2BCCB453"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 xml:space="preserve">5. Посередницька функція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це налагодження контактів між клієнтами та організаціями, психологами, медиками, юристами</w:t>
      </w:r>
      <w:r w:rsidRPr="00D97F1B">
        <w:rPr>
          <w:rFonts w:ascii="Times New Roman" w:hAnsi="Times New Roman" w:cs="Times New Roman"/>
          <w:sz w:val="28"/>
          <w:szCs w:val="28"/>
          <w:lang w:val="uk-UA"/>
        </w:rPr>
        <w:t>,</w:t>
      </w:r>
      <w:r w:rsidRPr="00D97F1B">
        <w:rPr>
          <w:rFonts w:ascii="Times New Roman" w:hAnsi="Times New Roman" w:cs="Times New Roman"/>
          <w:sz w:val="28"/>
          <w:szCs w:val="28"/>
        </w:rPr>
        <w:t xml:space="preserve"> благодійними структурами, узгодження соціальної допомоги.</w:t>
      </w:r>
    </w:p>
    <w:p w14:paraId="3E947892"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6. </w:t>
      </w:r>
      <w:r w:rsidRPr="00D97F1B">
        <w:rPr>
          <w:rFonts w:ascii="Times New Roman" w:hAnsi="Times New Roman" w:cs="Times New Roman"/>
          <w:sz w:val="28"/>
          <w:szCs w:val="28"/>
        </w:rPr>
        <w:t>Попереджувально-профілактична функція спрямована на запобігання правопорушенням, конфліктам, алкоголізму, наркоманії. Працівник проводить профілактичну та реабілітаційну роботу із залученням фахівців.</w:t>
      </w:r>
    </w:p>
    <w:p w14:paraId="60E23EDF" w14:textId="7FCB1502"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7. </w:t>
      </w:r>
      <w:r w:rsidRPr="00D97F1B">
        <w:rPr>
          <w:rFonts w:ascii="Times New Roman" w:hAnsi="Times New Roman" w:cs="Times New Roman"/>
          <w:sz w:val="28"/>
          <w:szCs w:val="28"/>
        </w:rPr>
        <w:t xml:space="preserve">Охоронно-захисна функція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захист прав і свобод громадян, інформування про законодавство та міжнародні норми.</w:t>
      </w:r>
    </w:p>
    <w:p w14:paraId="6292D5F0"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8. </w:t>
      </w:r>
      <w:r w:rsidRPr="00D97F1B">
        <w:rPr>
          <w:rFonts w:ascii="Times New Roman" w:hAnsi="Times New Roman" w:cs="Times New Roman"/>
          <w:sz w:val="28"/>
          <w:szCs w:val="28"/>
        </w:rPr>
        <w:t>Функція допомоги і підтримки забезпечує спільне вирішення особистих проблем клієнтів, сприяє саморозумінню, саморегуляції та ефективній життєдіяльності. Працівник консультує й використовує елементи терапії.</w:t>
      </w:r>
    </w:p>
    <w:p w14:paraId="36264BBA"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rPr>
        <w:t xml:space="preserve">9. </w:t>
      </w:r>
      <w:r w:rsidRPr="00D97F1B">
        <w:rPr>
          <w:rFonts w:ascii="Times New Roman" w:hAnsi="Times New Roman" w:cs="Times New Roman"/>
          <w:sz w:val="28"/>
          <w:szCs w:val="28"/>
        </w:rPr>
        <w:t>Медико-гігієнічна функція реалізується під час</w:t>
      </w:r>
      <w:r w:rsidRPr="00D97F1B">
        <w:rPr>
          <w:rFonts w:ascii="Times New Roman" w:hAnsi="Times New Roman" w:cs="Times New Roman"/>
          <w:sz w:val="28"/>
          <w:szCs w:val="28"/>
          <w:lang w:eastAsia="ru-RU"/>
        </w:rPr>
        <w:t xml:space="preserve"> догляду за хворими, включає навички надання першої допомоги та виконання нескладних процедур.</w:t>
      </w:r>
    </w:p>
    <w:p w14:paraId="7633FBDA"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rPr>
        <w:t xml:space="preserve">10. Аналітико-оцінювальна функція передбачає </w:t>
      </w:r>
      <w:r w:rsidRPr="00D97F1B">
        <w:rPr>
          <w:rFonts w:ascii="Times New Roman" w:hAnsi="Times New Roman" w:cs="Times New Roman"/>
          <w:sz w:val="28"/>
          <w:szCs w:val="28"/>
          <w:lang w:eastAsia="ru-RU"/>
        </w:rPr>
        <w:t>аналіз результатів роботи, визначення ефективності, узагальнення досвіду та підвищення кваліфікації.</w:t>
      </w:r>
    </w:p>
    <w:p w14:paraId="4351DFDE" w14:textId="6BA36023"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eastAsia="ru-RU"/>
        </w:rPr>
        <w:t xml:space="preserve">У практиці всі </w:t>
      </w:r>
      <w:r w:rsidRPr="00D97F1B">
        <w:rPr>
          <w:rFonts w:ascii="Times New Roman" w:hAnsi="Times New Roman" w:cs="Times New Roman"/>
          <w:sz w:val="28"/>
          <w:szCs w:val="28"/>
          <w:lang w:val="uk-UA" w:eastAsia="ru-RU"/>
        </w:rPr>
        <w:t xml:space="preserve">представлені </w:t>
      </w:r>
      <w:r w:rsidRPr="00D97F1B">
        <w:rPr>
          <w:rFonts w:ascii="Times New Roman" w:hAnsi="Times New Roman" w:cs="Times New Roman"/>
          <w:sz w:val="28"/>
          <w:szCs w:val="28"/>
          <w:lang w:eastAsia="ru-RU"/>
        </w:rPr>
        <w:t>функції взаємопов’язані й доповнюють одна одну</w:t>
      </w:r>
      <w:r w:rsidRPr="00D97F1B">
        <w:rPr>
          <w:rFonts w:ascii="Times New Roman" w:hAnsi="Times New Roman" w:cs="Times New Roman"/>
          <w:sz w:val="28"/>
          <w:szCs w:val="28"/>
          <w:lang w:val="uk-UA" w:eastAsia="ru-RU"/>
        </w:rPr>
        <w:t>. Фахівець має поєднувати ролі педагога, психолога, соціолога й консультанта, працюючи з клієнтами, сім’ями та громадами в різних соціальних установах</w:t>
      </w:r>
      <w:r w:rsidRPr="00D97F1B">
        <w:rPr>
          <w:rFonts w:ascii="Times New Roman" w:hAnsi="Times New Roman" w:cs="Times New Roman"/>
          <w:sz w:val="28"/>
          <w:szCs w:val="28"/>
          <w:lang w:eastAsia="ru-RU"/>
        </w:rPr>
        <w:t xml:space="preserve"> [</w:t>
      </w:r>
      <w:r w:rsidRPr="00D97F1B">
        <w:rPr>
          <w:rFonts w:ascii="Times New Roman" w:hAnsi="Times New Roman" w:cs="Times New Roman"/>
          <w:sz w:val="28"/>
          <w:szCs w:val="28"/>
          <w:lang w:eastAsia="ru-RU"/>
        </w:rPr>
        <w:fldChar w:fldCharType="begin"/>
      </w:r>
      <w:r w:rsidRPr="00D97F1B">
        <w:rPr>
          <w:rFonts w:ascii="Times New Roman" w:hAnsi="Times New Roman" w:cs="Times New Roman"/>
          <w:sz w:val="28"/>
          <w:szCs w:val="28"/>
          <w:lang w:eastAsia="ru-RU"/>
        </w:rPr>
        <w:instrText xml:space="preserve"> REF _Ref214484394 \r \h  \* MERGEFORMAT </w:instrText>
      </w:r>
      <w:r w:rsidRPr="00D97F1B">
        <w:rPr>
          <w:rFonts w:ascii="Times New Roman" w:hAnsi="Times New Roman" w:cs="Times New Roman"/>
          <w:sz w:val="28"/>
          <w:szCs w:val="28"/>
          <w:lang w:eastAsia="ru-RU"/>
        </w:rPr>
      </w:r>
      <w:r w:rsidRPr="00D97F1B">
        <w:rPr>
          <w:rFonts w:ascii="Times New Roman" w:hAnsi="Times New Roman" w:cs="Times New Roman"/>
          <w:sz w:val="28"/>
          <w:szCs w:val="28"/>
          <w:lang w:eastAsia="ru-RU"/>
        </w:rPr>
        <w:fldChar w:fldCharType="separate"/>
      </w:r>
      <w:r w:rsidRPr="00D97F1B">
        <w:rPr>
          <w:rFonts w:ascii="Times New Roman" w:hAnsi="Times New Roman" w:cs="Times New Roman"/>
          <w:sz w:val="28"/>
          <w:szCs w:val="28"/>
          <w:lang w:eastAsia="ru-RU"/>
        </w:rPr>
        <w:t>28</w:t>
      </w:r>
      <w:r w:rsidRPr="00D97F1B">
        <w:rPr>
          <w:rFonts w:ascii="Times New Roman" w:hAnsi="Times New Roman" w:cs="Times New Roman"/>
          <w:sz w:val="28"/>
          <w:szCs w:val="28"/>
          <w:lang w:eastAsia="ru-RU"/>
        </w:rPr>
        <w:fldChar w:fldCharType="end"/>
      </w:r>
      <w:r w:rsidRPr="00D97F1B">
        <w:rPr>
          <w:rFonts w:ascii="Times New Roman" w:hAnsi="Times New Roman" w:cs="Times New Roman"/>
          <w:sz w:val="28"/>
          <w:szCs w:val="28"/>
          <w:lang w:eastAsia="ru-RU"/>
        </w:rPr>
        <w:t>]</w:t>
      </w:r>
      <w:r w:rsidRPr="00D97F1B">
        <w:rPr>
          <w:rFonts w:ascii="Times New Roman" w:hAnsi="Times New Roman" w:cs="Times New Roman"/>
          <w:sz w:val="28"/>
          <w:szCs w:val="28"/>
          <w:lang w:val="uk-UA" w:eastAsia="ru-RU"/>
        </w:rPr>
        <w:t>.</w:t>
      </w:r>
    </w:p>
    <w:p w14:paraId="3706234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Розглянемо особистісний аспект діяльності соціального працівника. Він полягає у розвитку професійно-особистісних якостей, мотивів і цінностей у процесі взаємодії </w:t>
      </w:r>
      <w:r w:rsidRPr="00D97F1B">
        <w:rPr>
          <w:rFonts w:ascii="Times New Roman" w:hAnsi="Times New Roman" w:cs="Times New Roman"/>
          <w:sz w:val="28"/>
          <w:szCs w:val="28"/>
        </w:rPr>
        <w:t>в системі «людина – людина</w:t>
      </w:r>
      <w:r w:rsidRPr="00D97F1B">
        <w:rPr>
          <w:rFonts w:ascii="Times New Roman" w:hAnsi="Times New Roman" w:cs="Times New Roman"/>
          <w:sz w:val="28"/>
          <w:szCs w:val="28"/>
          <w:lang w:val="uk-UA"/>
        </w:rPr>
        <w:t>.</w:t>
      </w:r>
    </w:p>
    <w:p w14:paraId="018486FB"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На основі досліджень визначено три основні блоки особистісно-професійних якостей:</w:t>
      </w:r>
    </w:p>
    <w:p w14:paraId="543B0E65"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lastRenderedPageBreak/>
        <w:t>1. Ставлення до людей. Виявляється у гуманізмі, доброті, емпатії, милосерді, щирості, тактовності, комунікабельності, моральності, повазі до людини. Ці риси формують основу професійної етики соціального працівника.</w:t>
      </w:r>
    </w:p>
    <w:p w14:paraId="78A40FE8"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2. Ставлення до себе. Включає самоповагу, впевненість, самокритичність, адекватну самооцінку, вимогливість до себе, самоактуалізацію. Здатність розуміти себе є умовою розуміння інших. Цей блок формує позитивну «Я-концепцію» спеціаліста, що визначає його взаємодію з людьми.</w:t>
      </w:r>
    </w:p>
    <w:p w14:paraId="49032D11"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3. Ставлення до професії. Проявляється в інтересі до роботи, відповідальності, наполегливості, ініціативності, працездатності, терпінні, емоційній стабільності та почутті професійного обов’язку.</w:t>
      </w:r>
    </w:p>
    <w:p w14:paraId="19E4D3B3"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Кожен блок охоплює незалежні, але взаємопов’язані психологічні характеристики, значення яких залежить від ситуації. Багато якостей розвиваються або компенсуються в процесі професійного становлення, формуючи індивідуальний стиль роботи.</w:t>
      </w:r>
    </w:p>
    <w:p w14:paraId="7A9A2A6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rPr>
        <w:t>Ці характеристики визначають психологічну придатність до професії й можуть бути критерієм відбору майбутніх соціальних працівників.</w:t>
      </w:r>
    </w:p>
    <w:p w14:paraId="075AA4D7" w14:textId="59866685"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Розглянемо предметний аспект діяльності соціального працівника, який охоплює систему професійних знань, що переходять від кількісного рівня (факти, явища, процеси) до якісного </w:t>
      </w:r>
      <w:r w:rsidR="001F72E0">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розуміння принципів, методів і закономірностей соціальної роботи.</w:t>
      </w:r>
    </w:p>
    <w:p w14:paraId="3B728EB8" w14:textId="1417D064"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На основі праць вітчизняних і зарубіжних дослідників виділяють чотири основні групи знань [</w:t>
      </w:r>
      <w:r w:rsidRPr="00D97F1B">
        <w:rPr>
          <w:rFonts w:ascii="Times New Roman" w:hAnsi="Times New Roman" w:cs="Times New Roman"/>
          <w:sz w:val="28"/>
          <w:szCs w:val="28"/>
          <w:lang w:val="en-US"/>
        </w:rPr>
        <w:fldChar w:fldCharType="begin"/>
      </w:r>
      <w:r w:rsidRPr="00D97F1B">
        <w:rPr>
          <w:rFonts w:ascii="Times New Roman" w:hAnsi="Times New Roman" w:cs="Times New Roman"/>
          <w:sz w:val="28"/>
          <w:szCs w:val="28"/>
          <w:lang w:val="uk-UA"/>
        </w:rPr>
        <w:instrText xml:space="preserve"> </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lang w:val="uk-UA"/>
        </w:rPr>
        <w:instrText xml:space="preserve"> _</w:instrText>
      </w:r>
      <w:r w:rsidRPr="00D97F1B">
        <w:rPr>
          <w:rFonts w:ascii="Times New Roman" w:hAnsi="Times New Roman" w:cs="Times New Roman"/>
          <w:sz w:val="28"/>
          <w:szCs w:val="28"/>
          <w:lang w:val="en-US"/>
        </w:rPr>
        <w:instrText>Ref</w:instrText>
      </w:r>
      <w:r w:rsidRPr="00D97F1B">
        <w:rPr>
          <w:rFonts w:ascii="Times New Roman" w:hAnsi="Times New Roman" w:cs="Times New Roman"/>
          <w:sz w:val="28"/>
          <w:szCs w:val="28"/>
          <w:lang w:val="uk-UA"/>
        </w:rPr>
        <w:instrText>214484458 \</w:instrText>
      </w:r>
      <w:r w:rsidRPr="00D97F1B">
        <w:rPr>
          <w:rFonts w:ascii="Times New Roman" w:hAnsi="Times New Roman" w:cs="Times New Roman"/>
          <w:sz w:val="28"/>
          <w:szCs w:val="28"/>
          <w:lang w:val="en-US"/>
        </w:rPr>
        <w:instrText>r</w:instrText>
      </w:r>
      <w:r w:rsidRPr="00D97F1B">
        <w:rPr>
          <w:rFonts w:ascii="Times New Roman" w:hAnsi="Times New Roman" w:cs="Times New Roman"/>
          <w:sz w:val="28"/>
          <w:szCs w:val="28"/>
          <w:lang w:val="uk-UA"/>
        </w:rPr>
        <w:instrText xml:space="preserve"> \</w:instrText>
      </w:r>
      <w:r w:rsidRPr="00D97F1B">
        <w:rPr>
          <w:rFonts w:ascii="Times New Roman" w:hAnsi="Times New Roman" w:cs="Times New Roman"/>
          <w:sz w:val="28"/>
          <w:szCs w:val="28"/>
          <w:lang w:val="en-US"/>
        </w:rPr>
        <w:instrText>h</w:instrText>
      </w:r>
      <w:r w:rsidRPr="00D97F1B">
        <w:rPr>
          <w:rFonts w:ascii="Times New Roman" w:hAnsi="Times New Roman" w:cs="Times New Roman"/>
          <w:sz w:val="28"/>
          <w:szCs w:val="28"/>
          <w:lang w:val="uk-UA"/>
        </w:rPr>
        <w:instrText xml:space="preserve"> </w:instrText>
      </w:r>
      <w:r w:rsidRPr="00D97F1B">
        <w:rPr>
          <w:rFonts w:ascii="Times New Roman" w:hAnsi="Times New Roman" w:cs="Times New Roman"/>
          <w:sz w:val="28"/>
          <w:szCs w:val="28"/>
          <w:lang w:val="en-US"/>
        </w:rPr>
        <w:instrText xml:space="preserve"> \* MERGEFORMAT </w:instrText>
      </w:r>
      <w:r w:rsidRPr="00D97F1B">
        <w:rPr>
          <w:rFonts w:ascii="Times New Roman" w:hAnsi="Times New Roman" w:cs="Times New Roman"/>
          <w:sz w:val="28"/>
          <w:szCs w:val="28"/>
          <w:lang w:val="en-US"/>
        </w:rPr>
      </w:r>
      <w:r w:rsidRPr="00D97F1B">
        <w:rPr>
          <w:rFonts w:ascii="Times New Roman" w:hAnsi="Times New Roman" w:cs="Times New Roman"/>
          <w:sz w:val="28"/>
          <w:szCs w:val="28"/>
          <w:lang w:val="en-US"/>
        </w:rPr>
        <w:fldChar w:fldCharType="separate"/>
      </w:r>
      <w:r w:rsidRPr="00D97F1B">
        <w:rPr>
          <w:rFonts w:ascii="Times New Roman" w:hAnsi="Times New Roman" w:cs="Times New Roman"/>
          <w:sz w:val="28"/>
          <w:szCs w:val="28"/>
          <w:lang w:val="uk-UA"/>
        </w:rPr>
        <w:t>21</w:t>
      </w:r>
      <w:r w:rsidRPr="00D97F1B">
        <w:rPr>
          <w:rFonts w:ascii="Times New Roman" w:hAnsi="Times New Roman" w:cs="Times New Roman"/>
          <w:sz w:val="28"/>
          <w:szCs w:val="28"/>
          <w:lang w:val="en-US"/>
        </w:rPr>
        <w:fldChar w:fldCharType="end"/>
      </w:r>
      <w:r w:rsidRPr="00D97F1B">
        <w:rPr>
          <w:rFonts w:ascii="Times New Roman" w:hAnsi="Times New Roman" w:cs="Times New Roman"/>
          <w:sz w:val="28"/>
          <w:szCs w:val="28"/>
          <w:lang w:val="uk-UA"/>
        </w:rPr>
        <w:t>]:</w:t>
      </w:r>
    </w:p>
    <w:p w14:paraId="34D9EEAE" w14:textId="1A5160B4"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1. Методологічні </w:t>
      </w:r>
      <w:r w:rsidR="001F72E0">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знання принципів вивчення педагогічних і соціальних явищ, закономірностей розвитку особистості, чинників виховання та соціального становлення.</w:t>
      </w:r>
    </w:p>
    <w:p w14:paraId="27A647C7" w14:textId="399375F1"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2. Теоретичні </w:t>
      </w:r>
      <w:r w:rsidR="001F72E0">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знання змісту діяльності у сфері соціального захисту, цілей і завдань соціальної роботи, особливостей клієнтів, шляхів розв’язання конфліктів і організації допомоги.</w:t>
      </w:r>
    </w:p>
    <w:p w14:paraId="311C6A78" w14:textId="1DB1A643"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 xml:space="preserve">3. Методичні </w:t>
      </w:r>
      <w:r w:rsidR="001F72E0">
        <w:rPr>
          <w:rFonts w:ascii="Times New Roman" w:hAnsi="Times New Roman" w:cs="Times New Roman"/>
          <w:sz w:val="28"/>
          <w:szCs w:val="28"/>
          <w:lang w:val="uk-UA"/>
        </w:rPr>
        <w:t>−</w:t>
      </w:r>
      <w:r w:rsidRPr="00D97F1B">
        <w:rPr>
          <w:rFonts w:ascii="Times New Roman" w:hAnsi="Times New Roman" w:cs="Times New Roman"/>
          <w:sz w:val="28"/>
          <w:szCs w:val="28"/>
          <w:lang w:val="uk-UA"/>
        </w:rPr>
        <w:t xml:space="preserve"> розуміння способів проектування діяльності, прийомів соціально-педагогічного впливу, форм і методів підтримки клієнтів.</w:t>
      </w:r>
    </w:p>
    <w:p w14:paraId="2A2D5AE2" w14:textId="25B11526"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4. </w:t>
      </w:r>
      <w:r w:rsidRPr="00D97F1B">
        <w:rPr>
          <w:rFonts w:ascii="Times New Roman" w:hAnsi="Times New Roman" w:cs="Times New Roman"/>
          <w:bCs/>
          <w:sz w:val="28"/>
          <w:szCs w:val="28"/>
          <w:lang w:val="uk-UA"/>
        </w:rPr>
        <w:t>Технологічні</w:t>
      </w:r>
      <w:r w:rsidRPr="00D97F1B">
        <w:rPr>
          <w:rFonts w:ascii="Times New Roman" w:hAnsi="Times New Roman" w:cs="Times New Roman"/>
          <w:sz w:val="28"/>
          <w:szCs w:val="28"/>
        </w:rPr>
        <w:t xml:space="preserve">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володіння конкретними методами соціально-психологічного й педагогічного впливу в реальних ситуаціях.</w:t>
      </w:r>
    </w:p>
    <w:p w14:paraId="2904490C"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rPr>
        <w:t>Таким чином, професійна компетентність соціального працівника включає знання, уміння, навички та професійні позиції, що забезпечують успішне виконання його функцій. Цінність наукових знань проявляється лише тоді, коли фахівець уміє застосовувати їх у практиці.</w:t>
      </w:r>
    </w:p>
    <w:p w14:paraId="24732D00" w14:textId="64061354"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Також, </w:t>
      </w:r>
      <w:r w:rsidRPr="00D97F1B">
        <w:rPr>
          <w:rFonts w:ascii="Times New Roman" w:hAnsi="Times New Roman" w:cs="Times New Roman"/>
          <w:sz w:val="28"/>
          <w:szCs w:val="28"/>
        </w:rPr>
        <w:t>професійна діяльність соціального працівника є комплексним поєднанням етичних принципів, особистісних якостей та глибоких професійних знань. Ефективність його роботи визначається здатністю застосовувати теоретичні знання на практиці, дотримуючись принципів гуманізму, конфіденційності та соціальної справедливості [</w:t>
      </w:r>
      <w:r w:rsidRPr="00D97F1B">
        <w:rPr>
          <w:rFonts w:ascii="Times New Roman" w:hAnsi="Times New Roman" w:cs="Times New Roman"/>
          <w:sz w:val="28"/>
          <w:szCs w:val="28"/>
        </w:rPr>
        <w:fldChar w:fldCharType="begin"/>
      </w:r>
      <w:r w:rsidRPr="00D97F1B">
        <w:rPr>
          <w:rFonts w:ascii="Times New Roman" w:hAnsi="Times New Roman" w:cs="Times New Roman"/>
          <w:sz w:val="28"/>
          <w:szCs w:val="28"/>
        </w:rPr>
        <w:instrText xml:space="preserve"> REF _Ref214484555 \r \h  \* MERGEFORMAT </w:instrText>
      </w:r>
      <w:r w:rsidRPr="00D97F1B">
        <w:rPr>
          <w:rFonts w:ascii="Times New Roman" w:hAnsi="Times New Roman" w:cs="Times New Roman"/>
          <w:sz w:val="28"/>
          <w:szCs w:val="28"/>
        </w:rPr>
      </w:r>
      <w:r w:rsidRPr="00D97F1B">
        <w:rPr>
          <w:rFonts w:ascii="Times New Roman" w:hAnsi="Times New Roman" w:cs="Times New Roman"/>
          <w:sz w:val="28"/>
          <w:szCs w:val="28"/>
        </w:rPr>
        <w:fldChar w:fldCharType="separate"/>
      </w:r>
      <w:r w:rsidRPr="00D97F1B">
        <w:rPr>
          <w:rFonts w:ascii="Times New Roman" w:hAnsi="Times New Roman" w:cs="Times New Roman"/>
          <w:sz w:val="28"/>
          <w:szCs w:val="28"/>
        </w:rPr>
        <w:t>24</w:t>
      </w:r>
      <w:r w:rsidRPr="00D97F1B">
        <w:rPr>
          <w:rFonts w:ascii="Times New Roman" w:hAnsi="Times New Roman" w:cs="Times New Roman"/>
          <w:sz w:val="28"/>
          <w:szCs w:val="28"/>
        </w:rPr>
        <w:fldChar w:fldCharType="end"/>
      </w:r>
      <w:r w:rsidRPr="00D97F1B">
        <w:rPr>
          <w:rFonts w:ascii="Times New Roman" w:hAnsi="Times New Roman" w:cs="Times New Roman"/>
          <w:sz w:val="28"/>
          <w:szCs w:val="28"/>
        </w:rPr>
        <w:t>]. Саме компетентний і морально зрілий соціальний працівник забезпечує гідну підтримку людям похилого віку та сприяє сталому розвитку суспільства.</w:t>
      </w:r>
    </w:p>
    <w:p w14:paraId="7192121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Якісний аналіз результатів роботи, що включав закриття кейсів та фіксацію спостережень по 16 бенефіціарах, підтверджує багатоаспектну позитивну динаміку, досягнуту завдяки комплексному підходу проєкту </w:t>
      </w:r>
      <w:r w:rsidRPr="00D97F1B">
        <w:rPr>
          <w:rFonts w:ascii="Times New Roman" w:hAnsi="Times New Roman" w:cs="Times New Roman"/>
          <w:sz w:val="28"/>
          <w:szCs w:val="28"/>
        </w:rPr>
        <w:t>HelpAge</w:t>
      </w:r>
      <w:r w:rsidRPr="00D97F1B">
        <w:rPr>
          <w:rFonts w:ascii="Times New Roman" w:hAnsi="Times New Roman" w:cs="Times New Roman"/>
          <w:sz w:val="28"/>
          <w:szCs w:val="28"/>
          <w:lang w:val="uk-UA"/>
        </w:rPr>
        <w:t>.</w:t>
      </w:r>
    </w:p>
    <w:p w14:paraId="0BCD0C4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Представимо наступні ключові спостереження:</w:t>
      </w:r>
    </w:p>
    <w:p w14:paraId="545D708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1. Психоемоційний </w:t>
      </w:r>
      <w:r w:rsidRPr="00D97F1B">
        <w:rPr>
          <w:rFonts w:ascii="Times New Roman" w:hAnsi="Times New Roman" w:cs="Times New Roman"/>
          <w:sz w:val="28"/>
          <w:szCs w:val="28"/>
          <w:lang w:val="en-US"/>
        </w:rPr>
        <w:t>c</w:t>
      </w:r>
      <w:r w:rsidRPr="00D97F1B">
        <w:rPr>
          <w:rFonts w:ascii="Times New Roman" w:hAnsi="Times New Roman" w:cs="Times New Roman"/>
          <w:sz w:val="28"/>
          <w:szCs w:val="28"/>
          <w:lang w:val="uk-UA"/>
        </w:rPr>
        <w:t xml:space="preserve">тан та </w:t>
      </w:r>
      <w:r w:rsidRPr="00D97F1B">
        <w:rPr>
          <w:rFonts w:ascii="Times New Roman" w:hAnsi="Times New Roman" w:cs="Times New Roman"/>
          <w:sz w:val="28"/>
          <w:szCs w:val="28"/>
          <w:lang w:val="en-US"/>
        </w:rPr>
        <w:t>c</w:t>
      </w:r>
      <w:r w:rsidRPr="00D97F1B">
        <w:rPr>
          <w:rFonts w:ascii="Times New Roman" w:hAnsi="Times New Roman" w:cs="Times New Roman"/>
          <w:sz w:val="28"/>
          <w:szCs w:val="28"/>
          <w:lang w:val="uk-UA"/>
        </w:rPr>
        <w:t xml:space="preserve">оціальна </w:t>
      </w:r>
      <w:r w:rsidRPr="00D97F1B">
        <w:rPr>
          <w:rFonts w:ascii="Times New Roman" w:hAnsi="Times New Roman" w:cs="Times New Roman"/>
          <w:sz w:val="28"/>
          <w:szCs w:val="28"/>
          <w:lang w:val="en-US"/>
        </w:rPr>
        <w:t>c</w:t>
      </w:r>
      <w:r w:rsidRPr="00D97F1B">
        <w:rPr>
          <w:rFonts w:ascii="Times New Roman" w:hAnsi="Times New Roman" w:cs="Times New Roman"/>
          <w:sz w:val="28"/>
          <w:szCs w:val="28"/>
          <w:lang w:val="uk-UA"/>
        </w:rPr>
        <w:t>фера:</w:t>
      </w:r>
    </w:p>
    <w:p w14:paraId="1FB32910"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Відзначено значне зниження депресивності та ізоляції. У більшості бенефіціарів покращився настрій, з'явилося бажання до взає</w:t>
      </w:r>
      <w:r w:rsidRPr="00D97F1B">
        <w:rPr>
          <w:rFonts w:ascii="Times New Roman" w:hAnsi="Times New Roman" w:cs="Times New Roman"/>
          <w:sz w:val="28"/>
          <w:szCs w:val="28"/>
        </w:rPr>
        <w:t>модії.</w:t>
      </w:r>
    </w:p>
    <w:p w14:paraId="373B16DE" w14:textId="300053C5"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 xml:space="preserve">Спостерігалося успішне налагодження соціальних контактів </w:t>
      </w:r>
      <w:r w:rsidR="001F72E0">
        <w:rPr>
          <w:rFonts w:ascii="Times New Roman" w:hAnsi="Times New Roman" w:cs="Times New Roman"/>
          <w:sz w:val="28"/>
          <w:szCs w:val="28"/>
          <w:lang w:val="uk-UA"/>
        </w:rPr>
        <w:t>−</w:t>
      </w:r>
      <w:r w:rsidRPr="00D97F1B">
        <w:rPr>
          <w:rFonts w:ascii="Times New Roman" w:hAnsi="Times New Roman" w:cs="Times New Roman"/>
          <w:sz w:val="28"/>
          <w:szCs w:val="28"/>
        </w:rPr>
        <w:t xml:space="preserve"> як з волонтерами/персоналом, так і з оточуючими (сусідами, родичами), що сприяло відчуттю приналежності та підтримки.</w:t>
      </w:r>
    </w:p>
    <w:p w14:paraId="70E90422"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2. </w:t>
      </w:r>
      <w:r w:rsidRPr="00D97F1B">
        <w:rPr>
          <w:rFonts w:ascii="Times New Roman" w:hAnsi="Times New Roman" w:cs="Times New Roman"/>
          <w:sz w:val="28"/>
          <w:szCs w:val="28"/>
        </w:rPr>
        <w:t xml:space="preserve">Самостійність та </w:t>
      </w:r>
      <w:r w:rsidRPr="00D97F1B">
        <w:rPr>
          <w:rFonts w:ascii="Times New Roman" w:hAnsi="Times New Roman" w:cs="Times New Roman"/>
          <w:sz w:val="28"/>
          <w:szCs w:val="28"/>
          <w:lang w:val="uk-UA"/>
        </w:rPr>
        <w:t>ф</w:t>
      </w:r>
      <w:r w:rsidRPr="00D97F1B">
        <w:rPr>
          <w:rFonts w:ascii="Times New Roman" w:hAnsi="Times New Roman" w:cs="Times New Roman"/>
          <w:sz w:val="28"/>
          <w:szCs w:val="28"/>
        </w:rPr>
        <w:t>ункціональність</w:t>
      </w:r>
      <w:r w:rsidRPr="00D97F1B">
        <w:rPr>
          <w:rFonts w:ascii="Times New Roman" w:hAnsi="Times New Roman" w:cs="Times New Roman"/>
          <w:sz w:val="28"/>
          <w:szCs w:val="28"/>
          <w:lang w:val="uk-UA"/>
        </w:rPr>
        <w:t>.</w:t>
      </w:r>
    </w:p>
    <w:p w14:paraId="3650831D"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 xml:space="preserve">Фіксується помітне зростання рівня самостійності у повсякденній діяльності. Навіть у бенефіціарів із поганим здоров'ям (незважаючи на об'єктивні </w:t>
      </w:r>
      <w:r w:rsidRPr="00D97F1B">
        <w:rPr>
          <w:rFonts w:ascii="Times New Roman" w:hAnsi="Times New Roman" w:cs="Times New Roman"/>
          <w:sz w:val="28"/>
          <w:szCs w:val="28"/>
        </w:rPr>
        <w:lastRenderedPageBreak/>
        <w:t>обмеження), спостерігається краща адаптація завдяки активному користуванню допоміжними засобами (палиці, ходунки), наданими в рамках проєкту.</w:t>
      </w:r>
    </w:p>
    <w:p w14:paraId="49C2C5A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3. </w:t>
      </w:r>
      <w:r w:rsidRPr="00D97F1B">
        <w:rPr>
          <w:rFonts w:ascii="Times New Roman" w:hAnsi="Times New Roman" w:cs="Times New Roman"/>
          <w:sz w:val="28"/>
          <w:szCs w:val="28"/>
        </w:rPr>
        <w:t xml:space="preserve">Покращення </w:t>
      </w:r>
      <w:r w:rsidRPr="00D97F1B">
        <w:rPr>
          <w:rFonts w:ascii="Times New Roman" w:hAnsi="Times New Roman" w:cs="Times New Roman"/>
          <w:sz w:val="28"/>
          <w:szCs w:val="28"/>
          <w:lang w:val="uk-UA"/>
        </w:rPr>
        <w:t>у</w:t>
      </w:r>
      <w:r w:rsidRPr="00D97F1B">
        <w:rPr>
          <w:rFonts w:ascii="Times New Roman" w:hAnsi="Times New Roman" w:cs="Times New Roman"/>
          <w:sz w:val="28"/>
          <w:szCs w:val="28"/>
        </w:rPr>
        <w:t xml:space="preserve">мов </w:t>
      </w:r>
      <w:r w:rsidRPr="00D97F1B">
        <w:rPr>
          <w:rFonts w:ascii="Times New Roman" w:hAnsi="Times New Roman" w:cs="Times New Roman"/>
          <w:sz w:val="28"/>
          <w:szCs w:val="28"/>
          <w:lang w:val="uk-UA"/>
        </w:rPr>
        <w:t>ж</w:t>
      </w:r>
      <w:r w:rsidRPr="00D97F1B">
        <w:rPr>
          <w:rFonts w:ascii="Times New Roman" w:hAnsi="Times New Roman" w:cs="Times New Roman"/>
          <w:sz w:val="28"/>
          <w:szCs w:val="28"/>
        </w:rPr>
        <w:t xml:space="preserve">иття та </w:t>
      </w:r>
      <w:r w:rsidRPr="00D97F1B">
        <w:rPr>
          <w:rFonts w:ascii="Times New Roman" w:hAnsi="Times New Roman" w:cs="Times New Roman"/>
          <w:sz w:val="28"/>
          <w:szCs w:val="28"/>
          <w:lang w:val="uk-UA"/>
        </w:rPr>
        <w:t>з</w:t>
      </w:r>
      <w:r w:rsidRPr="00D97F1B">
        <w:rPr>
          <w:rFonts w:ascii="Times New Roman" w:hAnsi="Times New Roman" w:cs="Times New Roman"/>
          <w:sz w:val="28"/>
          <w:szCs w:val="28"/>
        </w:rPr>
        <w:t>доров'я</w:t>
      </w:r>
      <w:r w:rsidRPr="00D97F1B">
        <w:rPr>
          <w:rFonts w:ascii="Times New Roman" w:hAnsi="Times New Roman" w:cs="Times New Roman"/>
          <w:sz w:val="28"/>
          <w:szCs w:val="28"/>
          <w:lang w:val="uk-UA"/>
        </w:rPr>
        <w:t>.</w:t>
      </w:r>
    </w:p>
    <w:p w14:paraId="5024800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Цільове використання наданої матеріальної допомоги (фінансової та гуманітарної) забезпечило покращення побутових умов.</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Кошти були спрямовані на придбання ліків та необхідного медичного приладдя, що має прямий вплив на якість життя. Додатковою підтримкою стало забезпечення бенефіціарів тонометрами та глюкометрами, що дозволило їм самостійно здійснювати базовий контроль за станом здоров'я та підвищити його стабільність.</w:t>
      </w:r>
    </w:p>
    <w:p w14:paraId="234FDAB8"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Аналіз закриття кейсів підтверджує, що індивідуалізований комплексний підхід призвів до відчутних, якісних змін, які охопили не лише психологічну, а й побутову, функціональну та соціальну сфери життя людей похилого віку.</w:t>
      </w:r>
    </w:p>
    <w:p w14:paraId="4986805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Нам було важливо відслідкувати позитивну тенденцію ефективності комплексного підходу надання допомоги людям похилого віку в межах проекту HelpAge.</w:t>
      </w:r>
    </w:p>
    <w:p w14:paraId="47F6459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Тому ми провели після закінчення проекту опитування:</w:t>
      </w:r>
    </w:p>
    <w:p w14:paraId="4DD9D18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1. Геріатрична шкала депресії </w:t>
      </w:r>
      <w:r w:rsidRPr="00D97F1B">
        <w:rPr>
          <w:rFonts w:ascii="Times New Roman" w:hAnsi="Times New Roman" w:cs="Times New Roman"/>
          <w:sz w:val="28"/>
          <w:szCs w:val="28"/>
        </w:rPr>
        <w:t>GDS</w:t>
      </w:r>
      <w:r w:rsidRPr="00D97F1B">
        <w:rPr>
          <w:rFonts w:ascii="Times New Roman" w:hAnsi="Times New Roman" w:cs="Times New Roman"/>
          <w:sz w:val="28"/>
          <w:szCs w:val="28"/>
          <w:lang w:val="uk-UA"/>
        </w:rPr>
        <w:t>.</w:t>
      </w:r>
    </w:p>
    <w:p w14:paraId="0BAF87E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Порівняльний аналіз за Гериатричною шкалою депресії (</w:t>
      </w:r>
      <w:r w:rsidRPr="00D97F1B">
        <w:rPr>
          <w:rFonts w:ascii="Times New Roman" w:hAnsi="Times New Roman" w:cs="Times New Roman"/>
          <w:sz w:val="28"/>
          <w:szCs w:val="28"/>
          <w:lang w:val="en-US"/>
        </w:rPr>
        <w:t>GDS</w:t>
      </w:r>
      <w:r w:rsidRPr="00D97F1B">
        <w:rPr>
          <w:rFonts w:ascii="Times New Roman" w:hAnsi="Times New Roman" w:cs="Times New Roman"/>
          <w:sz w:val="28"/>
          <w:szCs w:val="28"/>
          <w:lang w:val="uk-UA"/>
        </w:rPr>
        <w:t>) до та після проєкту показав статистично значущу позитивну динаміку, що підтверджує ефективність комплексного підходу.</w:t>
      </w:r>
    </w:p>
    <w:p w14:paraId="67FDB8C7"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Кількість бенефіціарів у межах психологічної норми зросла втричі (з 3 до 9 осіб), охопивши більше половини вибірки.</w:t>
      </w:r>
    </w:p>
    <w:p w14:paraId="0BA6A0E8"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b/>
          <w:bCs/>
          <w:sz w:val="28"/>
          <w:szCs w:val="28"/>
          <w:lang w:val="uk-UA"/>
        </w:rPr>
        <w:t>-</w:t>
      </w:r>
      <w:r w:rsidRPr="00D97F1B">
        <w:rPr>
          <w:rFonts w:ascii="Times New Roman" w:hAnsi="Times New Roman" w:cs="Times New Roman"/>
          <w:sz w:val="28"/>
          <w:szCs w:val="28"/>
        </w:rPr>
        <w:t xml:space="preserve"> Загальна кількість осіб з ознаками депресії знизилася з 13 до 7. Зокрема, група важкої депресії скоротилася у три рази (з 3 до 1 особи).</w:t>
      </w:r>
    </w:p>
    <w:p w14:paraId="1277AC5E" w14:textId="1EA18FC4" w:rsidR="00D97F1B" w:rsidRPr="00D97F1B" w:rsidRDefault="00D97F1B" w:rsidP="00D97F1B">
      <w:pPr>
        <w:spacing w:after="0" w:line="360" w:lineRule="auto"/>
        <w:ind w:firstLine="709"/>
        <w:jc w:val="both"/>
        <w:rPr>
          <w:rFonts w:ascii="Times New Roman" w:hAnsi="Times New Roman" w:cs="Times New Roman"/>
          <w:b/>
          <w:bCs/>
          <w:sz w:val="28"/>
          <w:szCs w:val="28"/>
          <w:lang w:val="uk-UA"/>
        </w:rPr>
      </w:pPr>
      <w:r w:rsidRPr="00D97F1B">
        <w:rPr>
          <w:rFonts w:ascii="Times New Roman" w:hAnsi="Times New Roman" w:cs="Times New Roman"/>
          <w:sz w:val="28"/>
          <w:szCs w:val="28"/>
          <w:lang w:val="uk-UA" w:eastAsia="ru-RU"/>
        </w:rPr>
        <w:t>Висновок</w:t>
      </w:r>
      <w:r w:rsidR="001F72E0">
        <w:rPr>
          <w:rFonts w:ascii="Times New Roman" w:hAnsi="Times New Roman" w:cs="Times New Roman"/>
          <w:sz w:val="28"/>
          <w:szCs w:val="28"/>
          <w:lang w:val="uk-UA" w:eastAsia="ru-RU"/>
        </w:rPr>
        <w:t>.</w:t>
      </w:r>
      <w:r w:rsidRPr="00D97F1B">
        <w:rPr>
          <w:rFonts w:ascii="Times New Roman" w:hAnsi="Times New Roman" w:cs="Times New Roman"/>
          <w:sz w:val="28"/>
          <w:szCs w:val="28"/>
          <w:lang w:val="uk-UA" w:eastAsia="ru-RU"/>
        </w:rPr>
        <w:t xml:space="preserve"> </w:t>
      </w:r>
      <w:r w:rsidRPr="00D97F1B">
        <w:rPr>
          <w:rFonts w:ascii="Times New Roman" w:hAnsi="Times New Roman" w:cs="Times New Roman"/>
          <w:sz w:val="28"/>
          <w:szCs w:val="28"/>
          <w:lang w:eastAsia="ru-RU"/>
        </w:rPr>
        <w:t xml:space="preserve">Оскільки отримане значення </w:t>
      </w:r>
      <w:r w:rsidRPr="00D97F1B">
        <w:rPr>
          <w:rFonts w:ascii="Times New Roman" w:hAnsi="Times New Roman" w:cs="Times New Roman"/>
          <w:i/>
          <w:sz w:val="28"/>
          <w:szCs w:val="28"/>
          <w:lang w:eastAsia="ru-RU"/>
        </w:rPr>
        <w:t>p</w:t>
      </w:r>
      <w:r w:rsidRPr="00D97F1B">
        <w:rPr>
          <w:rFonts w:ascii="Times New Roman" w:hAnsi="Times New Roman" w:cs="Times New Roman"/>
          <w:sz w:val="28"/>
          <w:szCs w:val="28"/>
          <w:lang w:eastAsia="ru-RU"/>
        </w:rPr>
        <w:t xml:space="preserve"> значно менше за критичний рівень </w:t>
      </w:r>
      <w:r w:rsidRPr="00D97F1B">
        <w:rPr>
          <w:rFonts w:ascii="Times New Roman" w:hAnsi="Times New Roman" w:cs="Times New Roman"/>
          <w:i/>
          <w:sz w:val="28"/>
          <w:szCs w:val="28"/>
          <w:lang w:eastAsia="ru-RU"/>
        </w:rPr>
        <w:t>p = 0.05</w:t>
      </w:r>
      <w:r w:rsidRPr="00D97F1B">
        <w:rPr>
          <w:rFonts w:ascii="Times New Roman" w:hAnsi="Times New Roman" w:cs="Times New Roman"/>
          <w:sz w:val="28"/>
          <w:szCs w:val="28"/>
          <w:lang w:eastAsia="ru-RU"/>
        </w:rPr>
        <w:t xml:space="preserve">, нульова гіпотеза про відсутність змін відхиляється. Це доводить, що комплексний підхід до надання допомоги людям похилого віку є статистично значущим та ефективним інструментом для покращення їхнього психологічного благополуччя. </w:t>
      </w:r>
    </w:p>
    <w:p w14:paraId="141C3B9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Порівняльний аналіз отриманих даних показав:</w:t>
      </w:r>
    </w:p>
    <w:p w14:paraId="1A26AE21"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Кількість бенефіціарів із низьким рівнем задоволеності (НРЗ), які відчували найбільшу незадоволеність життям, скоротилася майже вдвічі: з 12 до 7 осіб (з 75% до 44%). </w:t>
      </w:r>
      <w:r w:rsidRPr="00D97F1B">
        <w:rPr>
          <w:rFonts w:ascii="Times New Roman" w:hAnsi="Times New Roman" w:cs="Times New Roman"/>
          <w:sz w:val="28"/>
          <w:szCs w:val="28"/>
        </w:rPr>
        <w:t>Це свідчить про виведення 5 осіб із зони критичного ризику.</w:t>
      </w:r>
    </w:p>
    <w:p w14:paraId="58F2EA26"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Група із середнім рівнем задоволеності (СРЗ) збільшилася вдвічі – з 4 до 8 осіб.</w:t>
      </w: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Це доводить, що надана допомога (психосоціальна підтримка, соціалізація, побутова допомога) дозволила половині вибірки відчути помірну або значну радість та задоволеність життям.</w:t>
      </w:r>
    </w:p>
    <w:p w14:paraId="7A0D9C8D"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На кінець проєкту 1 особа (6%) досягла високого рівня задоволеності. Хоча це лише одна особа, цей результат є якісним підтвердженням того, що комплексний підхід може призводити до повної психологічної реабілітації.</w:t>
      </w:r>
    </w:p>
    <w:p w14:paraId="773BCA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bCs/>
          <w:sz w:val="28"/>
          <w:szCs w:val="28"/>
          <w:lang w:val="uk-UA"/>
        </w:rPr>
        <w:t xml:space="preserve">Для отримання ефективності значущості порахуємо критерій </w:t>
      </w:r>
      <w:r w:rsidRPr="00D97F1B">
        <w:rPr>
          <w:rFonts w:ascii="Times New Roman" w:hAnsi="Times New Roman" w:cs="Times New Roman"/>
          <w:sz w:val="28"/>
          <w:szCs w:val="28"/>
        </w:rPr>
        <w:t>Вілкоксона (оскільки шкала задоволеності часто не має нормального розподілу) на індивідуальних балах</w:t>
      </w:r>
      <w:r w:rsidRPr="00D97F1B">
        <w:rPr>
          <w:rFonts w:ascii="Times New Roman" w:hAnsi="Times New Roman" w:cs="Times New Roman"/>
          <w:sz w:val="28"/>
          <w:szCs w:val="28"/>
          <w:lang w:val="uk-UA"/>
        </w:rPr>
        <w:t>.</w:t>
      </w:r>
    </w:p>
    <w:p w14:paraId="4BE2E4BE"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eastAsia="ru-RU"/>
        </w:rPr>
        <w:t>Результати аналізу динаміки за Критерієм Вілкоксона для показників Індексу життєвої задоволеності (LSIA) також підтвердили позитивну зміну.</w:t>
      </w:r>
    </w:p>
    <w:p w14:paraId="5A6E201E"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eastAsia="ru-RU"/>
        </w:rPr>
        <w:t xml:space="preserve">Отримане значення </w:t>
      </w:r>
      <w:r w:rsidRPr="00D97F1B">
        <w:rPr>
          <w:rFonts w:ascii="Times New Roman" w:hAnsi="Times New Roman" w:cs="Times New Roman"/>
          <w:sz w:val="28"/>
          <w:szCs w:val="28"/>
        </w:rPr>
        <w:t>рівня значущості p = 0.0032</w:t>
      </w:r>
      <w:r w:rsidRPr="00D97F1B">
        <w:rPr>
          <w:rFonts w:ascii="Times New Roman" w:hAnsi="Times New Roman" w:cs="Times New Roman"/>
          <w:b/>
          <w:bCs/>
          <w:sz w:val="28"/>
          <w:szCs w:val="28"/>
          <w:lang w:val="uk-UA" w:eastAsia="ru-RU"/>
        </w:rPr>
        <w:t>,</w:t>
      </w:r>
      <w:r w:rsidRPr="00D97F1B">
        <w:rPr>
          <w:rFonts w:ascii="Times New Roman" w:hAnsi="Times New Roman" w:cs="Times New Roman"/>
          <w:sz w:val="28"/>
          <w:szCs w:val="28"/>
          <w:lang w:eastAsia="ru-RU"/>
        </w:rPr>
        <w:t xml:space="preserve"> є значно меншим за </w:t>
      </w:r>
      <w:r w:rsidRPr="00D97F1B">
        <w:rPr>
          <w:rFonts w:ascii="Times New Roman" w:hAnsi="Times New Roman" w:cs="Times New Roman"/>
          <w:sz w:val="28"/>
          <w:szCs w:val="28"/>
          <w:lang w:val="en-US" w:eastAsia="ru-RU"/>
        </w:rPr>
        <w:t>l</w:t>
      </w:r>
      <w:r w:rsidRPr="00D97F1B">
        <w:rPr>
          <w:rFonts w:ascii="Times New Roman" w:hAnsi="Times New Roman" w:cs="Times New Roman"/>
          <w:sz w:val="28"/>
          <w:szCs w:val="28"/>
          <w:lang w:eastAsia="ru-RU"/>
        </w:rPr>
        <w:t xml:space="preserve"> = 0.05.</w:t>
      </w:r>
    </w:p>
    <w:p w14:paraId="4DD30999" w14:textId="37150FB8" w:rsidR="00D97F1B" w:rsidRPr="001F72E0"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rPr>
        <w:t>Це свідчить про статистично значуще покращення рівня задоволеності життям бенефіціарів</w:t>
      </w:r>
      <w:r w:rsidRPr="00D97F1B">
        <w:rPr>
          <w:rFonts w:ascii="Times New Roman" w:hAnsi="Times New Roman" w:cs="Times New Roman"/>
          <w:sz w:val="28"/>
          <w:szCs w:val="28"/>
          <w:lang w:eastAsia="ru-RU"/>
        </w:rPr>
        <w:t xml:space="preserve">. Нульова гіпотеза про відсутність впливу проєкту відхиляється. Збільшення частки людей із середнім та високим рівнем задоволеності </w:t>
      </w:r>
      <w:r w:rsidRPr="00D97F1B">
        <w:rPr>
          <w:rFonts w:ascii="Times New Roman" w:hAnsi="Times New Roman" w:cs="Times New Roman"/>
          <w:sz w:val="28"/>
          <w:szCs w:val="28"/>
        </w:rPr>
        <w:t>доведено.</w:t>
      </w:r>
    </w:p>
    <w:p w14:paraId="3423FF3C"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Таким чином, </w:t>
      </w:r>
      <w:r w:rsidRPr="00D97F1B">
        <w:rPr>
          <w:rFonts w:ascii="Times New Roman" w:hAnsi="Times New Roman" w:cs="Times New Roman"/>
          <w:sz w:val="28"/>
          <w:szCs w:val="28"/>
        </w:rPr>
        <w:t>аналіз результатів проєкту HelpAge статистично підтвердив високу ефективність застосованого комплексного підходу надання допомоги людям похилого віку.</w:t>
      </w:r>
    </w:p>
    <w:p w14:paraId="640373AA"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 xml:space="preserve">Подолання </w:t>
      </w:r>
      <w:r w:rsidRPr="00D97F1B">
        <w:rPr>
          <w:rFonts w:ascii="Times New Roman" w:hAnsi="Times New Roman" w:cs="Times New Roman"/>
          <w:sz w:val="28"/>
          <w:szCs w:val="28"/>
          <w:lang w:val="uk-UA"/>
        </w:rPr>
        <w:t>д</w:t>
      </w:r>
      <w:r w:rsidRPr="00D97F1B">
        <w:rPr>
          <w:rFonts w:ascii="Times New Roman" w:hAnsi="Times New Roman" w:cs="Times New Roman"/>
          <w:sz w:val="28"/>
          <w:szCs w:val="28"/>
        </w:rPr>
        <w:t>епресії (GDS)</w:t>
      </w:r>
      <w:r w:rsidRPr="00D97F1B">
        <w:rPr>
          <w:rFonts w:ascii="Times New Roman" w:hAnsi="Times New Roman" w:cs="Times New Roman"/>
          <w:sz w:val="28"/>
          <w:szCs w:val="28"/>
          <w:lang w:val="uk-UA"/>
        </w:rPr>
        <w:t xml:space="preserve"> - к</w:t>
      </w:r>
      <w:r w:rsidRPr="00D97F1B">
        <w:rPr>
          <w:rFonts w:ascii="Times New Roman" w:hAnsi="Times New Roman" w:cs="Times New Roman"/>
          <w:sz w:val="28"/>
          <w:szCs w:val="28"/>
        </w:rPr>
        <w:t>ількість бенефіціарів у межах психологічної норми зросла втричі – з 3 до 9 осіб (56,25% вибірки).</w:t>
      </w:r>
    </w:p>
    <w:p w14:paraId="73793CE9" w14:textId="77777777" w:rsidR="00D97F1B" w:rsidRPr="00D97F1B" w:rsidRDefault="00D97F1B" w:rsidP="00D97F1B">
      <w:pPr>
        <w:spacing w:after="0" w:line="360" w:lineRule="auto"/>
        <w:ind w:firstLine="709"/>
        <w:jc w:val="both"/>
        <w:rPr>
          <w:rFonts w:ascii="Times New Roman" w:hAnsi="Times New Roman" w:cs="Times New Roman"/>
          <w:sz w:val="28"/>
          <w:szCs w:val="28"/>
        </w:rPr>
      </w:pPr>
      <w:r w:rsidRPr="00D97F1B">
        <w:rPr>
          <w:rFonts w:ascii="Times New Roman" w:hAnsi="Times New Roman" w:cs="Times New Roman"/>
          <w:sz w:val="28"/>
          <w:szCs w:val="28"/>
          <w:lang w:val="uk-UA"/>
        </w:rPr>
        <w:t xml:space="preserve">- </w:t>
      </w:r>
      <w:r w:rsidRPr="00D97F1B">
        <w:rPr>
          <w:rFonts w:ascii="Times New Roman" w:hAnsi="Times New Roman" w:cs="Times New Roman"/>
          <w:sz w:val="28"/>
          <w:szCs w:val="28"/>
        </w:rPr>
        <w:t xml:space="preserve">Зростання </w:t>
      </w:r>
      <w:r w:rsidRPr="00D97F1B">
        <w:rPr>
          <w:rFonts w:ascii="Times New Roman" w:hAnsi="Times New Roman" w:cs="Times New Roman"/>
          <w:sz w:val="28"/>
          <w:szCs w:val="28"/>
          <w:lang w:val="uk-UA"/>
        </w:rPr>
        <w:t>з</w:t>
      </w:r>
      <w:r w:rsidRPr="00D97F1B">
        <w:rPr>
          <w:rFonts w:ascii="Times New Roman" w:hAnsi="Times New Roman" w:cs="Times New Roman"/>
          <w:sz w:val="28"/>
          <w:szCs w:val="28"/>
        </w:rPr>
        <w:t xml:space="preserve">адоволеності </w:t>
      </w:r>
      <w:r w:rsidRPr="00D97F1B">
        <w:rPr>
          <w:rFonts w:ascii="Times New Roman" w:hAnsi="Times New Roman" w:cs="Times New Roman"/>
          <w:sz w:val="28"/>
          <w:szCs w:val="28"/>
          <w:lang w:val="uk-UA"/>
        </w:rPr>
        <w:t>ж</w:t>
      </w:r>
      <w:r w:rsidRPr="00D97F1B">
        <w:rPr>
          <w:rFonts w:ascii="Times New Roman" w:hAnsi="Times New Roman" w:cs="Times New Roman"/>
          <w:sz w:val="28"/>
          <w:szCs w:val="28"/>
        </w:rPr>
        <w:t>иттям (LSIA)</w:t>
      </w:r>
      <w:r w:rsidRPr="00D97F1B">
        <w:rPr>
          <w:rFonts w:ascii="Times New Roman" w:hAnsi="Times New Roman" w:cs="Times New Roman"/>
          <w:sz w:val="28"/>
          <w:szCs w:val="28"/>
          <w:lang w:val="uk-UA"/>
        </w:rPr>
        <w:t xml:space="preserve"> - к</w:t>
      </w:r>
      <w:r w:rsidRPr="00D97F1B">
        <w:rPr>
          <w:rFonts w:ascii="Times New Roman" w:hAnsi="Times New Roman" w:cs="Times New Roman"/>
          <w:sz w:val="28"/>
          <w:szCs w:val="28"/>
        </w:rPr>
        <w:t>ількість осіб із задовільним або високим рівнем задоволеності зросла з 4 до 9 осіб (з 25% до 56,25%).</w:t>
      </w:r>
    </w:p>
    <w:p w14:paraId="0D22B60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Комплексний підхід до надання допомоги довів свою ефективність, забезпечивши значне покращення психологічного благополуччя та емоційного стану цільової групи, що підтверджує необхідність інтеграції психосоціальної допомоги у роботу з людьми похилого віку.</w:t>
      </w:r>
    </w:p>
    <w:p w14:paraId="07ADD5EE"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eastAsia="ru-RU"/>
        </w:rPr>
        <w:t>Незважаючи на доведену статистичну ефективність базового пакету послуг, якісний та кількісний аналіз показав, що для досягнення максимальної ефекту позитивних змін необхідно звернути увагу на наступні аспекти:</w:t>
      </w:r>
    </w:p>
    <w:p w14:paraId="32F4C575"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1. Постійна соціальна ізоляція.</w:t>
      </w:r>
    </w:p>
    <w:p w14:paraId="7347E39B"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Проведений аналіз (за шкалою LSIA), анкет та суб'єктивні спостереження підтвердили високий рівень самотності та нестачі соціальних контактів серед людей похилого віку, що є значним фактором ризику рецидиву депресії.</w:t>
      </w:r>
    </w:p>
    <w:p w14:paraId="27F3A3C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2. Ризик погіршення психоемоційного стану.</w:t>
      </w:r>
    </w:p>
    <w:p w14:paraId="48DFB7E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Проведенйи аналіз (тест </w:t>
      </w:r>
      <w:r w:rsidRPr="00D97F1B">
        <w:rPr>
          <w:rFonts w:ascii="Times New Roman" w:hAnsi="Times New Roman" w:cs="Times New Roman"/>
          <w:sz w:val="28"/>
          <w:szCs w:val="28"/>
          <w:lang w:val="en-US" w:eastAsia="ru-RU"/>
        </w:rPr>
        <w:t>GDS</w:t>
      </w:r>
      <w:r w:rsidRPr="00D97F1B">
        <w:rPr>
          <w:rFonts w:ascii="Times New Roman" w:hAnsi="Times New Roman" w:cs="Times New Roman"/>
          <w:sz w:val="28"/>
          <w:szCs w:val="28"/>
          <w:lang w:val="uk-UA" w:eastAsia="ru-RU"/>
        </w:rPr>
        <w:t>), суб'єктивні спостереження підтвердили зниження рівня депресії серед бенефеціарів, наявність осіб з помірною та тяжкою депресією потребує продуктивного механізму підтримки для уникнення кризовим станам.</w:t>
      </w:r>
    </w:p>
    <w:p w14:paraId="499FF1BD" w14:textId="3E08E48E"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3. Низький рівень функціональност</w:t>
      </w:r>
      <w:r w:rsidR="001F72E0">
        <w:rPr>
          <w:rFonts w:ascii="Times New Roman" w:hAnsi="Times New Roman" w:cs="Times New Roman"/>
          <w:sz w:val="28"/>
          <w:szCs w:val="28"/>
          <w:lang w:val="uk-UA" w:eastAsia="ru-RU"/>
        </w:rPr>
        <w:t>і</w:t>
      </w:r>
      <w:r w:rsidRPr="00D97F1B">
        <w:rPr>
          <w:rFonts w:ascii="Times New Roman" w:hAnsi="Times New Roman" w:cs="Times New Roman"/>
          <w:sz w:val="28"/>
          <w:szCs w:val="28"/>
          <w:lang w:val="uk-UA" w:eastAsia="ru-RU"/>
        </w:rPr>
        <w:t>.</w:t>
      </w:r>
    </w:p>
    <w:p w14:paraId="1809B60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 У маломобільних бенефіціарів, незважаючи на забезпечення допоміжними засобами, є нагальна потреба у кваліфікованій, систематичній фізичній реабілітації для збереження самостійності.</w:t>
      </w:r>
    </w:p>
    <w:p w14:paraId="4799FB1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4. Інформаційна та правова неграмотність.</w:t>
      </w:r>
    </w:p>
    <w:p w14:paraId="7943AB66" w14:textId="7634E5D6"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Складність питань для людей зі статусом ВПО, питання доступу до медичних послуг/ліків/пільг створюють додаткове стресове навантаження</w:t>
      </w:r>
      <w:r w:rsidRPr="00D97F1B">
        <w:rPr>
          <w:rFonts w:ascii="Times New Roman" w:hAnsi="Times New Roman" w:cs="Times New Roman"/>
          <w:sz w:val="28"/>
          <w:szCs w:val="28"/>
          <w:lang w:eastAsia="ru-RU"/>
        </w:rPr>
        <w:t xml:space="preserve"> [</w:t>
      </w:r>
      <w:r w:rsidRPr="00D97F1B">
        <w:rPr>
          <w:rFonts w:ascii="Times New Roman" w:hAnsi="Times New Roman" w:cs="Times New Roman"/>
          <w:sz w:val="28"/>
          <w:szCs w:val="28"/>
          <w:lang w:eastAsia="ru-RU"/>
        </w:rPr>
        <w:fldChar w:fldCharType="begin"/>
      </w:r>
      <w:r w:rsidRPr="00D97F1B">
        <w:rPr>
          <w:rFonts w:ascii="Times New Roman" w:hAnsi="Times New Roman" w:cs="Times New Roman"/>
          <w:sz w:val="28"/>
          <w:szCs w:val="28"/>
          <w:lang w:eastAsia="ru-RU"/>
        </w:rPr>
        <w:instrText xml:space="preserve"> REF _Ref214482135 \r \h  \* MERGEFORMAT </w:instrText>
      </w:r>
      <w:r w:rsidRPr="00D97F1B">
        <w:rPr>
          <w:rFonts w:ascii="Times New Roman" w:hAnsi="Times New Roman" w:cs="Times New Roman"/>
          <w:sz w:val="28"/>
          <w:szCs w:val="28"/>
          <w:lang w:eastAsia="ru-RU"/>
        </w:rPr>
      </w:r>
      <w:r w:rsidRPr="00D97F1B">
        <w:rPr>
          <w:rFonts w:ascii="Times New Roman" w:hAnsi="Times New Roman" w:cs="Times New Roman"/>
          <w:sz w:val="28"/>
          <w:szCs w:val="28"/>
          <w:lang w:eastAsia="ru-RU"/>
        </w:rPr>
        <w:fldChar w:fldCharType="separate"/>
      </w:r>
      <w:r w:rsidRPr="00D97F1B">
        <w:rPr>
          <w:rFonts w:ascii="Times New Roman" w:hAnsi="Times New Roman" w:cs="Times New Roman"/>
          <w:sz w:val="28"/>
          <w:szCs w:val="28"/>
          <w:lang w:eastAsia="ru-RU"/>
        </w:rPr>
        <w:t>15</w:t>
      </w:r>
      <w:r w:rsidRPr="00D97F1B">
        <w:rPr>
          <w:rFonts w:ascii="Times New Roman" w:hAnsi="Times New Roman" w:cs="Times New Roman"/>
          <w:sz w:val="28"/>
          <w:szCs w:val="28"/>
          <w:lang w:eastAsia="ru-RU"/>
        </w:rPr>
        <w:fldChar w:fldCharType="end"/>
      </w:r>
      <w:r w:rsidRPr="00D97F1B">
        <w:rPr>
          <w:rFonts w:ascii="Times New Roman" w:hAnsi="Times New Roman" w:cs="Times New Roman"/>
          <w:sz w:val="28"/>
          <w:szCs w:val="28"/>
          <w:lang w:eastAsia="ru-RU"/>
        </w:rPr>
        <w:t>]</w:t>
      </w:r>
      <w:r w:rsidRPr="00D97F1B">
        <w:rPr>
          <w:rFonts w:ascii="Times New Roman" w:hAnsi="Times New Roman" w:cs="Times New Roman"/>
          <w:sz w:val="28"/>
          <w:szCs w:val="28"/>
          <w:lang w:val="uk-UA" w:eastAsia="ru-RU"/>
        </w:rPr>
        <w:t>.</w:t>
      </w:r>
    </w:p>
    <w:p w14:paraId="341371C6"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5. Обмежена соціальна взаємодія зі суспільством.</w:t>
      </w:r>
    </w:p>
    <w:p w14:paraId="69008D5F"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Буденність життя та обмеженість у пересуванні призводять до зниження мотивації та низького показника задоволеності життям.</w:t>
      </w:r>
    </w:p>
    <w:p w14:paraId="553C6A8C" w14:textId="6D33FF2D"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eastAsia="ru-RU"/>
        </w:rPr>
        <w:t>Зважаючи на виявлені виклики ми сформували стратегічни пропозиції, спрямовані на поглиблення та закріплення досягнутої ефективності проекту</w:t>
      </w:r>
      <w:r w:rsidRPr="00D97F1B">
        <w:rPr>
          <w:rFonts w:ascii="Times New Roman" w:hAnsi="Times New Roman" w:cs="Times New Roman"/>
          <w:sz w:val="28"/>
          <w:szCs w:val="28"/>
          <w:lang w:eastAsia="ru-RU"/>
        </w:rPr>
        <w:t xml:space="preserve"> [</w:t>
      </w:r>
      <w:r w:rsidRPr="00D97F1B">
        <w:rPr>
          <w:rFonts w:ascii="Times New Roman" w:hAnsi="Times New Roman" w:cs="Times New Roman"/>
          <w:sz w:val="28"/>
          <w:szCs w:val="28"/>
          <w:lang w:eastAsia="ru-RU"/>
        </w:rPr>
        <w:fldChar w:fldCharType="begin"/>
      </w:r>
      <w:r w:rsidRPr="00D97F1B">
        <w:rPr>
          <w:rFonts w:ascii="Times New Roman" w:hAnsi="Times New Roman" w:cs="Times New Roman"/>
          <w:sz w:val="28"/>
          <w:szCs w:val="28"/>
          <w:lang w:eastAsia="ru-RU"/>
        </w:rPr>
        <w:instrText xml:space="preserve"> REF _Ref214485304 \r \h  \* MERGEFORMAT </w:instrText>
      </w:r>
      <w:r w:rsidRPr="00D97F1B">
        <w:rPr>
          <w:rFonts w:ascii="Times New Roman" w:hAnsi="Times New Roman" w:cs="Times New Roman"/>
          <w:sz w:val="28"/>
          <w:szCs w:val="28"/>
          <w:lang w:eastAsia="ru-RU"/>
        </w:rPr>
      </w:r>
      <w:r w:rsidRPr="00D97F1B">
        <w:rPr>
          <w:rFonts w:ascii="Times New Roman" w:hAnsi="Times New Roman" w:cs="Times New Roman"/>
          <w:sz w:val="28"/>
          <w:szCs w:val="28"/>
          <w:lang w:eastAsia="ru-RU"/>
        </w:rPr>
        <w:fldChar w:fldCharType="separate"/>
      </w:r>
      <w:r w:rsidRPr="00D97F1B">
        <w:rPr>
          <w:rFonts w:ascii="Times New Roman" w:hAnsi="Times New Roman" w:cs="Times New Roman"/>
          <w:sz w:val="28"/>
          <w:szCs w:val="28"/>
          <w:lang w:eastAsia="ru-RU"/>
        </w:rPr>
        <w:t>29</w:t>
      </w:r>
      <w:r w:rsidRPr="00D97F1B">
        <w:rPr>
          <w:rFonts w:ascii="Times New Roman" w:hAnsi="Times New Roman" w:cs="Times New Roman"/>
          <w:sz w:val="28"/>
          <w:szCs w:val="28"/>
          <w:lang w:eastAsia="ru-RU"/>
        </w:rPr>
        <w:fldChar w:fldCharType="end"/>
      </w:r>
      <w:r w:rsidRPr="00D97F1B">
        <w:rPr>
          <w:rFonts w:ascii="Times New Roman" w:hAnsi="Times New Roman" w:cs="Times New Roman"/>
          <w:sz w:val="28"/>
          <w:szCs w:val="28"/>
          <w:lang w:eastAsia="ru-RU"/>
        </w:rPr>
        <w:t>]</w:t>
      </w:r>
      <w:r w:rsidRPr="00D97F1B">
        <w:rPr>
          <w:rFonts w:ascii="Times New Roman" w:hAnsi="Times New Roman" w:cs="Times New Roman"/>
          <w:sz w:val="28"/>
          <w:szCs w:val="28"/>
          <w:lang w:val="uk-UA" w:eastAsia="ru-RU"/>
        </w:rPr>
        <w:t>.</w:t>
      </w:r>
    </w:p>
    <w:p w14:paraId="1CC272DA" w14:textId="77777777" w:rsidR="00D97F1B" w:rsidRPr="00D97F1B" w:rsidRDefault="00D97F1B" w:rsidP="00D97F1B">
      <w:pPr>
        <w:spacing w:after="0" w:line="360" w:lineRule="auto"/>
        <w:ind w:firstLine="709"/>
        <w:jc w:val="both"/>
        <w:rPr>
          <w:rFonts w:ascii="Times New Roman" w:hAnsi="Times New Roman" w:cs="Times New Roman"/>
          <w:sz w:val="28"/>
          <w:szCs w:val="28"/>
          <w:lang w:eastAsia="ru-RU"/>
        </w:rPr>
      </w:pPr>
      <w:r w:rsidRPr="00D97F1B">
        <w:rPr>
          <w:rFonts w:ascii="Times New Roman" w:hAnsi="Times New Roman" w:cs="Times New Roman"/>
          <w:sz w:val="28"/>
          <w:szCs w:val="28"/>
          <w:lang w:val="uk-UA" w:eastAsia="ru-RU"/>
        </w:rPr>
        <w:lastRenderedPageBreak/>
        <w:t xml:space="preserve">Однією з перспективних ідей для підсилення роботи з бенефіціарами є розширення співпраці </w:t>
      </w:r>
      <w:r w:rsidRPr="00D97F1B">
        <w:rPr>
          <w:rFonts w:ascii="Times New Roman" w:hAnsi="Times New Roman" w:cs="Times New Roman"/>
          <w:sz w:val="28"/>
          <w:szCs w:val="28"/>
          <w:lang w:eastAsia="ru-RU"/>
        </w:rPr>
        <w:t>HelpAge</w:t>
      </w:r>
      <w:r w:rsidRPr="00D97F1B">
        <w:rPr>
          <w:rFonts w:ascii="Times New Roman" w:hAnsi="Times New Roman" w:cs="Times New Roman"/>
          <w:sz w:val="28"/>
          <w:szCs w:val="28"/>
          <w:lang w:val="uk-UA" w:eastAsia="ru-RU"/>
        </w:rPr>
        <w:t xml:space="preserve"> з іншими профільними організаціями. </w:t>
      </w:r>
      <w:r w:rsidRPr="00D97F1B">
        <w:rPr>
          <w:rFonts w:ascii="Times New Roman" w:hAnsi="Times New Roman" w:cs="Times New Roman"/>
          <w:sz w:val="28"/>
          <w:szCs w:val="28"/>
          <w:lang w:eastAsia="ru-RU"/>
        </w:rPr>
        <w:t>Такий підхід може стати важливим кроком до підвищення ефективності підтримки, адже він дозволить перейти від формального виконання завдань до надання справді якісних, комплексних послуг.</w:t>
      </w:r>
    </w:p>
    <w:p w14:paraId="6ABCD1F6" w14:textId="064D5EB8"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eastAsia="ru-RU"/>
        </w:rPr>
        <w:t xml:space="preserve">Оскільки жодна організація не може бути однаково сильною у всіх напрямках </w:t>
      </w:r>
      <w:r w:rsidR="001F72E0">
        <w:rPr>
          <w:rFonts w:ascii="Times New Roman" w:hAnsi="Times New Roman" w:cs="Times New Roman"/>
          <w:sz w:val="28"/>
          <w:szCs w:val="28"/>
          <w:lang w:val="uk-UA" w:eastAsia="ru-RU"/>
        </w:rPr>
        <w:t>−</w:t>
      </w:r>
      <w:r w:rsidRPr="00D97F1B">
        <w:rPr>
          <w:rFonts w:ascii="Times New Roman" w:hAnsi="Times New Roman" w:cs="Times New Roman"/>
          <w:sz w:val="28"/>
          <w:szCs w:val="28"/>
          <w:lang w:eastAsia="ru-RU"/>
        </w:rPr>
        <w:t xml:space="preserve"> психологічній допомозі, юридичному супроводі, реабілітаційних послугах чи соціальній роботі </w:t>
      </w:r>
      <w:r w:rsidR="001F72E0">
        <w:rPr>
          <w:rFonts w:ascii="Times New Roman" w:hAnsi="Times New Roman" w:cs="Times New Roman"/>
          <w:sz w:val="28"/>
          <w:szCs w:val="28"/>
          <w:lang w:val="uk-UA" w:eastAsia="ru-RU"/>
        </w:rPr>
        <w:t>−</w:t>
      </w:r>
      <w:r w:rsidRPr="00D97F1B">
        <w:rPr>
          <w:rFonts w:ascii="Times New Roman" w:hAnsi="Times New Roman" w:cs="Times New Roman"/>
          <w:sz w:val="28"/>
          <w:szCs w:val="28"/>
          <w:lang w:eastAsia="ru-RU"/>
        </w:rPr>
        <w:t xml:space="preserve"> партнерство може стати природним шляхом для зміцнення цих компонентів. </w:t>
      </w:r>
    </w:p>
    <w:p w14:paraId="68CFB01E" w14:textId="7ED14453"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Залучення спеціалізованих установ та фахівців значно розширить можливості підтримки та зробить її більш адресною, професійною і корисною для людей, які цього потребують [</w:t>
      </w:r>
      <w:r w:rsidRPr="00D97F1B">
        <w:rPr>
          <w:rFonts w:ascii="Times New Roman" w:hAnsi="Times New Roman" w:cs="Times New Roman"/>
          <w:sz w:val="28"/>
          <w:szCs w:val="28"/>
          <w:lang w:val="uk-UA" w:eastAsia="ru-RU"/>
        </w:rPr>
        <w:fldChar w:fldCharType="begin"/>
      </w:r>
      <w:r w:rsidRPr="00D97F1B">
        <w:rPr>
          <w:rFonts w:ascii="Times New Roman" w:hAnsi="Times New Roman" w:cs="Times New Roman"/>
          <w:sz w:val="28"/>
          <w:szCs w:val="28"/>
          <w:lang w:val="uk-UA" w:eastAsia="ru-RU"/>
        </w:rPr>
        <w:instrText xml:space="preserve"> REF _Ref214485349 \r \h  \* MERGEFORMAT </w:instrText>
      </w:r>
      <w:r w:rsidRPr="00D97F1B">
        <w:rPr>
          <w:rFonts w:ascii="Times New Roman" w:hAnsi="Times New Roman" w:cs="Times New Roman"/>
          <w:sz w:val="28"/>
          <w:szCs w:val="28"/>
          <w:lang w:val="uk-UA" w:eastAsia="ru-RU"/>
        </w:rPr>
      </w:r>
      <w:r w:rsidRPr="00D97F1B">
        <w:rPr>
          <w:rFonts w:ascii="Times New Roman" w:hAnsi="Times New Roman" w:cs="Times New Roman"/>
          <w:sz w:val="28"/>
          <w:szCs w:val="28"/>
          <w:lang w:val="uk-UA" w:eastAsia="ru-RU"/>
        </w:rPr>
        <w:fldChar w:fldCharType="separate"/>
      </w:r>
      <w:r w:rsidRPr="00D97F1B">
        <w:rPr>
          <w:rFonts w:ascii="Times New Roman" w:hAnsi="Times New Roman" w:cs="Times New Roman"/>
          <w:sz w:val="28"/>
          <w:szCs w:val="28"/>
          <w:lang w:val="uk-UA" w:eastAsia="ru-RU"/>
        </w:rPr>
        <w:t>26</w:t>
      </w:r>
      <w:r w:rsidRPr="00D97F1B">
        <w:rPr>
          <w:rFonts w:ascii="Times New Roman" w:hAnsi="Times New Roman" w:cs="Times New Roman"/>
          <w:sz w:val="28"/>
          <w:szCs w:val="28"/>
          <w:lang w:val="uk-UA" w:eastAsia="ru-RU"/>
        </w:rPr>
        <w:fldChar w:fldCharType="end"/>
      </w:r>
      <w:r w:rsidRPr="00D97F1B">
        <w:rPr>
          <w:rFonts w:ascii="Times New Roman" w:hAnsi="Times New Roman" w:cs="Times New Roman"/>
          <w:sz w:val="28"/>
          <w:szCs w:val="28"/>
          <w:lang w:val="uk-UA" w:eastAsia="ru-RU"/>
        </w:rPr>
        <w:t>].</w:t>
      </w:r>
    </w:p>
    <w:p w14:paraId="02A4625E"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eastAsia="ru-RU"/>
        </w:rPr>
      </w:pPr>
      <w:r w:rsidRPr="00D97F1B">
        <w:rPr>
          <w:rFonts w:ascii="Times New Roman" w:hAnsi="Times New Roman" w:cs="Times New Roman"/>
          <w:sz w:val="28"/>
          <w:szCs w:val="28"/>
          <w:lang w:val="uk-UA" w:eastAsia="ru-RU"/>
        </w:rPr>
        <w:t xml:space="preserve">Таким чином, запропонована система заходів у поєднанні зі стратегією міжорганізаційної співпраці здатна якісно підвищити ефективність проєкту </w:t>
      </w:r>
      <w:r w:rsidRPr="00D97F1B">
        <w:rPr>
          <w:rFonts w:ascii="Times New Roman" w:hAnsi="Times New Roman" w:cs="Times New Roman"/>
          <w:sz w:val="28"/>
          <w:szCs w:val="28"/>
          <w:lang w:eastAsia="ru-RU"/>
        </w:rPr>
        <w:t>HelpAge</w:t>
      </w:r>
      <w:r w:rsidRPr="00D97F1B">
        <w:rPr>
          <w:rFonts w:ascii="Times New Roman" w:hAnsi="Times New Roman" w:cs="Times New Roman"/>
          <w:sz w:val="28"/>
          <w:szCs w:val="28"/>
          <w:lang w:val="uk-UA" w:eastAsia="ru-RU"/>
        </w:rPr>
        <w:t>, зробити підтримку комплексною, стійкою та орієнтованою на реальні потреби людей.</w:t>
      </w:r>
    </w:p>
    <w:p w14:paraId="775E6019"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Професійна компетентність соціального працівника має поєднувати знання та етичні принципи, що виступає обов’язковою умовою успішної підтримки людей похилого віку.</w:t>
      </w:r>
    </w:p>
    <w:p w14:paraId="7A99A8E0"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Проведений аналіз кейсів, проведениї тестів довів, що комплексний підхід до надання допомоги є статистично ефективним, забезпечивши значне покращення психологічного благополуччя, а саме: зниження депресії, зростання задоволеності життям цільової групи.</w:t>
      </w:r>
    </w:p>
    <w:p w14:paraId="73F08BA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Для досягнення максимальної стійкості позитивних змін комплексного підхода проведеної роботи з бенефеціарами необхідно вирішити п'ять ключових викликів: соціальна ізоляція, психоемоційні ризики, низький рівень функціональності, інформаційна неграмотність, монотонність життя.</w:t>
      </w:r>
    </w:p>
    <w:p w14:paraId="6E29EC91"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xml:space="preserve">Зважаючи на виявлені виклики, для підвищення ефективності комплексного підходу рекомендовано запровадити наступні напрямки: </w:t>
      </w:r>
    </w:p>
    <w:p w14:paraId="5965565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lastRenderedPageBreak/>
        <w:t>- о</w:t>
      </w:r>
      <w:r w:rsidRPr="00D97F1B">
        <w:rPr>
          <w:rFonts w:ascii="Times New Roman" w:hAnsi="Times New Roman" w:cs="Times New Roman"/>
          <w:sz w:val="28"/>
          <w:szCs w:val="28"/>
        </w:rPr>
        <w:t>рганізація та проведення групових психосоціальних заходів</w:t>
      </w:r>
      <w:r w:rsidRPr="00D97F1B">
        <w:rPr>
          <w:rFonts w:ascii="Times New Roman" w:hAnsi="Times New Roman" w:cs="Times New Roman"/>
          <w:sz w:val="28"/>
          <w:szCs w:val="28"/>
          <w:lang w:val="uk-UA"/>
        </w:rPr>
        <w:t>;</w:t>
      </w:r>
    </w:p>
    <w:p w14:paraId="1FAEDF9D"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с</w:t>
      </w:r>
      <w:r w:rsidRPr="00D97F1B">
        <w:rPr>
          <w:rFonts w:ascii="Times New Roman" w:hAnsi="Times New Roman" w:cs="Times New Roman"/>
          <w:sz w:val="28"/>
          <w:szCs w:val="28"/>
        </w:rPr>
        <w:t xml:space="preserve">творення </w:t>
      </w:r>
      <w:r w:rsidRPr="00D97F1B">
        <w:rPr>
          <w:rFonts w:ascii="Times New Roman" w:hAnsi="Times New Roman" w:cs="Times New Roman"/>
          <w:sz w:val="28"/>
          <w:szCs w:val="28"/>
          <w:lang w:val="uk-UA"/>
        </w:rPr>
        <w:t>с</w:t>
      </w:r>
      <w:r w:rsidRPr="00D97F1B">
        <w:rPr>
          <w:rFonts w:ascii="Times New Roman" w:hAnsi="Times New Roman" w:cs="Times New Roman"/>
          <w:sz w:val="28"/>
          <w:szCs w:val="28"/>
        </w:rPr>
        <w:t xml:space="preserve">лужби </w:t>
      </w:r>
      <w:r w:rsidRPr="00D97F1B">
        <w:rPr>
          <w:rFonts w:ascii="Times New Roman" w:hAnsi="Times New Roman" w:cs="Times New Roman"/>
          <w:sz w:val="28"/>
          <w:szCs w:val="28"/>
          <w:lang w:val="uk-UA"/>
        </w:rPr>
        <w:t>п</w:t>
      </w:r>
      <w:r w:rsidRPr="00D97F1B">
        <w:rPr>
          <w:rFonts w:ascii="Times New Roman" w:hAnsi="Times New Roman" w:cs="Times New Roman"/>
          <w:sz w:val="28"/>
          <w:szCs w:val="28"/>
        </w:rPr>
        <w:t xml:space="preserve">сихологічної </w:t>
      </w:r>
      <w:r w:rsidRPr="00D97F1B">
        <w:rPr>
          <w:rFonts w:ascii="Times New Roman" w:hAnsi="Times New Roman" w:cs="Times New Roman"/>
          <w:sz w:val="28"/>
          <w:szCs w:val="28"/>
          <w:lang w:val="uk-UA"/>
        </w:rPr>
        <w:t>п</w:t>
      </w:r>
      <w:r w:rsidRPr="00D97F1B">
        <w:rPr>
          <w:rFonts w:ascii="Times New Roman" w:hAnsi="Times New Roman" w:cs="Times New Roman"/>
          <w:sz w:val="28"/>
          <w:szCs w:val="28"/>
        </w:rPr>
        <w:t>ідтримки</w:t>
      </w:r>
      <w:r w:rsidRPr="00D97F1B">
        <w:rPr>
          <w:rFonts w:ascii="Times New Roman" w:hAnsi="Times New Roman" w:cs="Times New Roman"/>
          <w:sz w:val="28"/>
          <w:szCs w:val="28"/>
          <w:lang w:val="uk-UA"/>
        </w:rPr>
        <w:t>;</w:t>
      </w:r>
    </w:p>
    <w:p w14:paraId="12C55BDC"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о</w:t>
      </w:r>
      <w:r w:rsidRPr="00D97F1B">
        <w:rPr>
          <w:rFonts w:ascii="Times New Roman" w:hAnsi="Times New Roman" w:cs="Times New Roman"/>
          <w:sz w:val="28"/>
          <w:szCs w:val="28"/>
        </w:rPr>
        <w:t>рганізація культурно-спортивних і оздоровчих турів</w:t>
      </w:r>
      <w:r w:rsidRPr="00D97F1B">
        <w:rPr>
          <w:rFonts w:ascii="Times New Roman" w:hAnsi="Times New Roman" w:cs="Times New Roman"/>
          <w:sz w:val="28"/>
          <w:szCs w:val="28"/>
          <w:lang w:val="uk-UA"/>
        </w:rPr>
        <w:t>;</w:t>
      </w:r>
    </w:p>
    <w:p w14:paraId="3861C7E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реалізація індивідуальних програм фізичної реабілітації;</w:t>
      </w:r>
    </w:p>
    <w:p w14:paraId="1A3E1573"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rPr>
        <w:t>- організація багатопрофільних консультаційних пунктів;</w:t>
      </w:r>
    </w:p>
    <w:p w14:paraId="5AC9A947" w14:textId="77777777" w:rsidR="00D97F1B" w:rsidRPr="00D97F1B" w:rsidRDefault="00D97F1B" w:rsidP="00D97F1B">
      <w:pPr>
        <w:spacing w:after="0" w:line="360" w:lineRule="auto"/>
        <w:ind w:firstLine="709"/>
        <w:jc w:val="both"/>
        <w:rPr>
          <w:rFonts w:ascii="Times New Roman" w:hAnsi="Times New Roman" w:cs="Times New Roman"/>
          <w:sz w:val="28"/>
          <w:szCs w:val="28"/>
          <w:lang w:val="uk-UA"/>
        </w:rPr>
      </w:pPr>
      <w:r w:rsidRPr="00D97F1B">
        <w:rPr>
          <w:rFonts w:ascii="Times New Roman" w:hAnsi="Times New Roman" w:cs="Times New Roman"/>
          <w:sz w:val="28"/>
          <w:szCs w:val="28"/>
          <w:lang w:val="uk-UA" w:eastAsia="ru-RU"/>
        </w:rPr>
        <w:t xml:space="preserve">- розширення співпраці </w:t>
      </w:r>
      <w:r w:rsidRPr="00D97F1B">
        <w:rPr>
          <w:rFonts w:ascii="Times New Roman" w:hAnsi="Times New Roman" w:cs="Times New Roman"/>
          <w:sz w:val="28"/>
          <w:szCs w:val="28"/>
          <w:lang w:eastAsia="ru-RU"/>
        </w:rPr>
        <w:t>HelpAge</w:t>
      </w:r>
      <w:r w:rsidRPr="00D97F1B">
        <w:rPr>
          <w:rFonts w:ascii="Times New Roman" w:hAnsi="Times New Roman" w:cs="Times New Roman"/>
          <w:sz w:val="28"/>
          <w:szCs w:val="28"/>
          <w:lang w:val="uk-UA" w:eastAsia="ru-RU"/>
        </w:rPr>
        <w:t xml:space="preserve"> з іншими профільними організаціями.</w:t>
      </w:r>
    </w:p>
    <w:p w14:paraId="1DD3092F" w14:textId="77777777" w:rsidR="00746AF2" w:rsidRDefault="00746AF2" w:rsidP="007C58F4">
      <w:pPr>
        <w:spacing w:line="360" w:lineRule="auto"/>
        <w:contextualSpacing/>
        <w:jc w:val="both"/>
        <w:rPr>
          <w:noProof/>
          <w:sz w:val="28"/>
          <w:szCs w:val="28"/>
          <w:lang w:val="uk-UA"/>
        </w:rPr>
      </w:pPr>
    </w:p>
    <w:p w14:paraId="74991052" w14:textId="4ED80DE6" w:rsidR="00715097" w:rsidRPr="00715097" w:rsidRDefault="00715097" w:rsidP="00715097">
      <w:pPr>
        <w:spacing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2.3.</w:t>
      </w:r>
      <w:r w:rsidRPr="00715097">
        <w:rPr>
          <w:rFonts w:ascii="Times New Roman" w:hAnsi="Times New Roman" w:cs="Times New Roman"/>
          <w:b/>
          <w:bCs/>
          <w:sz w:val="28"/>
          <w:szCs w:val="28"/>
          <w:lang w:val="uk-UA"/>
        </w:rPr>
        <w:t xml:space="preserve"> Специфіка вітчизняних реалій щодо використання соціального потенціалу</w:t>
      </w:r>
    </w:p>
    <w:p w14:paraId="307DFF4C" w14:textId="77777777" w:rsidR="00715097" w:rsidRPr="00715097" w:rsidRDefault="00715097" w:rsidP="00715097">
      <w:pPr>
        <w:spacing w:line="360" w:lineRule="auto"/>
        <w:contextualSpacing/>
        <w:jc w:val="both"/>
        <w:rPr>
          <w:rFonts w:ascii="Times New Roman" w:hAnsi="Times New Roman" w:cs="Times New Roman"/>
          <w:b/>
          <w:bCs/>
          <w:sz w:val="28"/>
          <w:szCs w:val="28"/>
          <w:lang w:val="uk-UA"/>
        </w:rPr>
      </w:pPr>
    </w:p>
    <w:p w14:paraId="6CB7E22B" w14:textId="77777777" w:rsidR="00715097" w:rsidRPr="00715097" w:rsidRDefault="00715097" w:rsidP="00715097">
      <w:pPr>
        <w:tabs>
          <w:tab w:val="left" w:pos="4466"/>
        </w:tab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«Потенційність» соціальних суб’єктів повинна розглядатися не лише з позиції їхньої корисності для представників інших груп, а й корисності для себе, можливості самозабезпечення і самозбереження. Останнє стає передумовою того, що загальні ресурси не будуть відтягуватися на «дотаційні» групи. Отже, можливі такі варіанти розподілу соціальних ресурсів:</w:t>
      </w:r>
    </w:p>
    <w:p w14:paraId="656C8A79" w14:textId="286E1E81" w:rsidR="00715097" w:rsidRPr="00715097" w:rsidRDefault="001F72E0" w:rsidP="00715097">
      <w:pPr>
        <w:tabs>
          <w:tab w:val="left" w:pos="4466"/>
        </w:tabs>
        <w:spacing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715097" w:rsidRPr="00715097">
        <w:rPr>
          <w:rFonts w:ascii="Times New Roman" w:hAnsi="Times New Roman" w:cs="Times New Roman"/>
          <w:sz w:val="28"/>
          <w:szCs w:val="28"/>
          <w:lang w:val="uk-UA"/>
        </w:rPr>
        <w:t xml:space="preserve"> коли соціальні суб’єкти стають виробниками ресурсів, достатніх не лише для їх забезпечення, а й для забезпечення інших. Ресурси виробляються з «запасом»;</w:t>
      </w:r>
    </w:p>
    <w:p w14:paraId="100931BB" w14:textId="2500E056" w:rsidR="00715097" w:rsidRPr="00715097" w:rsidRDefault="001F72E0" w:rsidP="00715097">
      <w:pPr>
        <w:tabs>
          <w:tab w:val="left" w:pos="4466"/>
        </w:tabs>
        <w:spacing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715097" w:rsidRPr="00715097">
        <w:rPr>
          <w:rFonts w:ascii="Times New Roman" w:hAnsi="Times New Roman" w:cs="Times New Roman"/>
          <w:sz w:val="28"/>
          <w:szCs w:val="28"/>
          <w:lang w:val="uk-UA"/>
        </w:rPr>
        <w:t xml:space="preserve"> коли соціальні суб’єкти виробляють ресурси, достатні для їх самозабезпечення, проте недостатні для створення запасів чи допомоги іншим групам;</w:t>
      </w:r>
    </w:p>
    <w:p w14:paraId="4BC58A61" w14:textId="180BE5DD" w:rsidR="00715097" w:rsidRPr="00715097" w:rsidRDefault="001F72E0" w:rsidP="00715097">
      <w:pPr>
        <w:tabs>
          <w:tab w:val="left" w:pos="4466"/>
        </w:tabs>
        <w:spacing w:line="360" w:lineRule="auto"/>
        <w:ind w:firstLine="709"/>
        <w:contextualSpacing/>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r w:rsidR="00715097" w:rsidRPr="00715097">
        <w:rPr>
          <w:rFonts w:ascii="Times New Roman" w:hAnsi="Times New Roman" w:cs="Times New Roman"/>
          <w:sz w:val="28"/>
          <w:szCs w:val="28"/>
          <w:lang w:val="uk-UA"/>
        </w:rPr>
        <w:t xml:space="preserve"> коли соціальні суб’єкти не здатні за рахунок власних зусиль забезпечувати себе та потребують зовнішніх дотацій.</w:t>
      </w:r>
    </w:p>
    <w:p w14:paraId="745A94F6" w14:textId="77777777" w:rsidR="00715097" w:rsidRPr="00715097" w:rsidRDefault="00715097" w:rsidP="00715097">
      <w:pPr>
        <w:tabs>
          <w:tab w:val="left" w:pos="4466"/>
        </w:tab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 xml:space="preserve">Щодо людей старшого віку можливі усі три варіанти, однак традиційно типовим вважається саме третій, і якщо вести мову про соціальний потенціал старшого покоління як групи, то, на нашу думку, він стосується того, як можливо розширити використання двох перших варіантів: можливості самозабезпечення та створення ресурсних запасів і допомоги іншим; можливості самозабезпечення (без необхідності відтягувати ресурси зовнішніх груп). Зокрема, йдеться про ті види </w:t>
      </w:r>
      <w:r w:rsidRPr="00715097">
        <w:rPr>
          <w:rFonts w:ascii="Times New Roman" w:hAnsi="Times New Roman" w:cs="Times New Roman"/>
          <w:sz w:val="28"/>
          <w:szCs w:val="28"/>
          <w:lang w:val="uk-UA"/>
        </w:rPr>
        <w:lastRenderedPageBreak/>
        <w:t>активності, які притаманні саме старшим і в яких їх роль з позиції накопиченого досвіду є незамінною.</w:t>
      </w:r>
    </w:p>
    <w:p w14:paraId="5C31F508" w14:textId="32D0FF70"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Тематика конгресів Міжнародної соціологічної асоціації (ISA) та Європейської соціологічної асоціації (ESA) у XXI ст. в якості епіцентру досліджень має теми невизначеності, криз, насильства, турбулентності, нерівності. Вітчизняні дослідники також зазначають: </w:t>
      </w:r>
      <w:r w:rsidR="001F72E0">
        <w:rPr>
          <w:rFonts w:ascii="Times New Roman" w:hAnsi="Times New Roman" w:cs="Times New Roman"/>
          <w:noProof/>
          <w:sz w:val="28"/>
          <w:szCs w:val="28"/>
          <w:lang w:val="uk-UA"/>
        </w:rPr>
        <w:t>т</w:t>
      </w:r>
      <w:r w:rsidRPr="00715097">
        <w:rPr>
          <w:rFonts w:ascii="Times New Roman" w:hAnsi="Times New Roman" w:cs="Times New Roman"/>
          <w:noProof/>
          <w:sz w:val="28"/>
          <w:szCs w:val="28"/>
          <w:lang w:val="uk-UA"/>
        </w:rPr>
        <w:t xml:space="preserve">ри поняття у спеціальній літературі залучаються для опису того стану, в який перейшли окремі суспільства і світ у цілому </w:t>
      </w:r>
      <w:r w:rsidR="001F72E0">
        <w:rPr>
          <w:rFonts w:ascii="Times New Roman" w:hAnsi="Times New Roman" w:cs="Times New Roman"/>
          <w:noProof/>
          <w:sz w:val="28"/>
          <w:szCs w:val="28"/>
          <w:lang w:val="uk-UA"/>
        </w:rPr>
        <w:t>−</w:t>
      </w:r>
      <w:r w:rsidRPr="00715097">
        <w:rPr>
          <w:rFonts w:ascii="Times New Roman" w:hAnsi="Times New Roman" w:cs="Times New Roman"/>
          <w:noProof/>
          <w:sz w:val="28"/>
          <w:szCs w:val="28"/>
          <w:lang w:val="uk-UA"/>
        </w:rPr>
        <w:t xml:space="preserve"> криза, надзвичайність (emergency), виключеність</w:t>
      </w:r>
      <w:r w:rsidR="00746AF2">
        <w:rPr>
          <w:rFonts w:ascii="Times New Roman" w:hAnsi="Times New Roman" w:cs="Times New Roman"/>
          <w:noProof/>
          <w:sz w:val="28"/>
          <w:szCs w:val="28"/>
          <w:lang w:val="uk-UA"/>
        </w:rPr>
        <w:t>.</w:t>
      </w:r>
      <w:r w:rsidRPr="00715097">
        <w:rPr>
          <w:rFonts w:ascii="Times New Roman" w:hAnsi="Times New Roman" w:cs="Times New Roman"/>
          <w:noProof/>
          <w:sz w:val="28"/>
          <w:szCs w:val="28"/>
          <w:lang w:val="uk-UA"/>
        </w:rPr>
        <w:t xml:space="preserve"> </w:t>
      </w:r>
    </w:p>
    <w:p w14:paraId="1C0EAC43" w14:textId="4AABA77D"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Що стосується України, то її соціальний простір є важливим, з погляду зазначених тем, об’єктом досліджень, оскільки являє собою, на думку одних фахівців, </w:t>
      </w:r>
      <w:r w:rsidRPr="00715097">
        <w:rPr>
          <w:rFonts w:ascii="Times New Roman" w:eastAsia="Calibri" w:hAnsi="Times New Roman" w:cs="Times New Roman"/>
          <w:sz w:val="28"/>
          <w:szCs w:val="28"/>
          <w:lang w:val="uk-UA"/>
        </w:rPr>
        <w:t xml:space="preserve"> </w:t>
      </w:r>
      <w:r w:rsidRPr="00715097">
        <w:rPr>
          <w:rFonts w:ascii="Times New Roman" w:hAnsi="Times New Roman" w:cs="Times New Roman"/>
          <w:noProof/>
          <w:sz w:val="28"/>
          <w:szCs w:val="28"/>
          <w:lang w:val="uk-UA"/>
        </w:rPr>
        <w:t>трансформаційне поле, на думку інших  своєрідну «сіру зону»</w:t>
      </w:r>
      <w:r w:rsidR="00746AF2">
        <w:rPr>
          <w:rFonts w:ascii="Times New Roman" w:hAnsi="Times New Roman" w:cs="Times New Roman"/>
          <w:noProof/>
          <w:sz w:val="28"/>
          <w:szCs w:val="28"/>
          <w:lang w:val="uk-UA"/>
        </w:rPr>
        <w:t>.</w:t>
      </w:r>
      <w:r w:rsidRPr="00715097">
        <w:rPr>
          <w:rFonts w:ascii="Times New Roman" w:hAnsi="Times New Roman" w:cs="Times New Roman"/>
          <w:noProof/>
          <w:sz w:val="28"/>
          <w:szCs w:val="28"/>
          <w:lang w:val="uk-UA"/>
        </w:rPr>
        <w:t xml:space="preserve"> </w:t>
      </w:r>
    </w:p>
    <w:p w14:paraId="52118685" w14:textId="0BCD6960"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Показовою характеристикою є те, що «в Україні практично всі охоплені режимом скорочення доступу до споживчих та культурних благ у результаті зниження купівельної спроможності національної валюти, зростання тарифів на послуги та збільшення податків... вступає в силу «індивідуалістичний атомізм» </w:t>
      </w:r>
      <w:r w:rsidR="001F72E0">
        <w:rPr>
          <w:rFonts w:ascii="Times New Roman" w:hAnsi="Times New Roman" w:cs="Times New Roman"/>
          <w:noProof/>
          <w:sz w:val="28"/>
          <w:szCs w:val="28"/>
          <w:lang w:val="uk-UA"/>
        </w:rPr>
        <w:t xml:space="preserve">             </w:t>
      </w:r>
      <w:r w:rsidRPr="00715097">
        <w:rPr>
          <w:rFonts w:ascii="Times New Roman" w:hAnsi="Times New Roman" w:cs="Times New Roman"/>
          <w:noProof/>
          <w:sz w:val="28"/>
          <w:szCs w:val="28"/>
          <w:lang w:val="uk-UA"/>
        </w:rPr>
        <w:t>М. Вебера»</w:t>
      </w:r>
      <w:r w:rsidR="00746AF2">
        <w:rPr>
          <w:rFonts w:ascii="Times New Roman" w:hAnsi="Times New Roman" w:cs="Times New Roman"/>
          <w:noProof/>
          <w:sz w:val="28"/>
          <w:szCs w:val="28"/>
          <w:lang w:val="uk-UA"/>
        </w:rPr>
        <w:t>.</w:t>
      </w:r>
    </w:p>
    <w:p w14:paraId="05627E8D" w14:textId="3BC53493"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Таким чином, соціокультурний і соціоструктурний простір України та використання ресурсів і актуалізації потенціалу різних груп, зокрема, вікових, у ньому наділені своєрідністю не лише внаслідок низки трансформацій. Займаючи межове становище між «супергігантами»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Сходом і Заходом та намагаючись віднайти власні ідентичності, українці постають перед великим спектром альтернатив</w:t>
      </w:r>
      <w:r w:rsidR="00746AF2">
        <w:rPr>
          <w:rFonts w:ascii="Times New Roman" w:hAnsi="Times New Roman" w:cs="Times New Roman"/>
          <w:noProof/>
          <w:sz w:val="28"/>
          <w:szCs w:val="28"/>
          <w:lang w:val="uk-UA"/>
        </w:rPr>
        <w:t xml:space="preserve">. </w:t>
      </w:r>
      <w:r w:rsidRPr="00715097">
        <w:rPr>
          <w:rFonts w:ascii="Times New Roman" w:hAnsi="Times New Roman" w:cs="Times New Roman"/>
          <w:noProof/>
          <w:sz w:val="28"/>
          <w:szCs w:val="28"/>
          <w:lang w:val="uk-UA"/>
        </w:rPr>
        <w:t>У ситуації стабільної нестабільності як в окремих громадян, так і у цілих соціальних груп відсутня чітка оцінка змін, що відбуваються; втрачаються не лише ціннісні орієнтації, а й самі цінності, що визначає непередбачуваність «парадоксальність» поведінки.</w:t>
      </w:r>
    </w:p>
    <w:p w14:paraId="2E9D9FB8" w14:textId="73900225"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В умовах трансформації українського суспільства також відбуваються активні процеси розмивання традиційних груп суспільства. Натомість постають нові форми міжгрупової інтеграції. Особливості цих процесів зумовлюватимуться новоствореними особливостями соціальної взаємодії. Зокрема, оскільки в </w:t>
      </w:r>
      <w:r w:rsidRPr="00715097">
        <w:rPr>
          <w:rFonts w:ascii="Times New Roman" w:hAnsi="Times New Roman" w:cs="Times New Roman"/>
          <w:noProof/>
          <w:sz w:val="28"/>
          <w:szCs w:val="28"/>
          <w:lang w:val="uk-UA"/>
        </w:rPr>
        <w:lastRenderedPageBreak/>
        <w:t xml:space="preserve">суспільстві традиційна класова диференціація уже не так чітко виражена, на перший план виступатимуть інші чинники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в індивідуалізованому суспільстві вище цінуватимуться суб’єкти, що не лише вимагатимуть менших затрат ресурсів для свого розвитку, а й самі зможуть зробити внесок у розвиток суспільства за рахунок власної творчості. Отже, класова і групова ідентифікація, що були ознаками свідомості людей раніше, витісняються індивідуальною, або ж внутрішньогруповою. Відповідно головним чинником диференціації сучасного українського суспільства постають уже не аскриптивні, а ресурсні характеристики індивідів.</w:t>
      </w:r>
    </w:p>
    <w:p w14:paraId="60010776"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Соціальний простір України продукує певні загальні зразки до розгортання життя свого активу. Це полягає в наявності й перерозподілі сукупності ресурсів, необхідних для ефективної життєвої реалізації, а також спрямованості суспільного тиску, рамок і обмежень у бік бажаних форм суспільної інтеграції (консервативної чи інноваційної)</w:t>
      </w:r>
      <w:r w:rsidR="00746AF2">
        <w:rPr>
          <w:rFonts w:ascii="Times New Roman" w:hAnsi="Times New Roman" w:cs="Times New Roman"/>
          <w:noProof/>
          <w:sz w:val="28"/>
          <w:szCs w:val="28"/>
          <w:lang w:val="uk-UA"/>
        </w:rPr>
        <w:t>.</w:t>
      </w:r>
    </w:p>
    <w:p w14:paraId="70052E08" w14:textId="3D428145"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Інтеграція шляхом конформізму чи інноваційної діяльності фактично визначатимуть також ступінь соціальної активності людей. Актори змушені розпочинати становлення як суб’єкти як власного, так і суспільного життя </w:t>
      </w:r>
      <w:r w:rsidRPr="00715097">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маючи змогу обирати соціально продуктивні моделі життєдіяльності або ж обираючи шлях відчуження. Особливості виборів та особливості соціального впливу детермінуються як глобальними тенденціями розвитку суспільства, так і конкретними соціокультурними умовами</w:t>
      </w:r>
      <w:r w:rsidR="00746AF2">
        <w:rPr>
          <w:rFonts w:ascii="Times New Roman" w:hAnsi="Times New Roman" w:cs="Times New Roman"/>
          <w:noProof/>
          <w:sz w:val="28"/>
          <w:szCs w:val="28"/>
          <w:lang w:val="uk-UA"/>
        </w:rPr>
        <w:t xml:space="preserve">, </w:t>
      </w:r>
      <w:r w:rsidRPr="00715097">
        <w:rPr>
          <w:rFonts w:ascii="Times New Roman" w:hAnsi="Times New Roman" w:cs="Times New Roman"/>
          <w:noProof/>
          <w:sz w:val="28"/>
          <w:szCs w:val="28"/>
          <w:lang w:val="uk-UA"/>
        </w:rPr>
        <w:t>проте завжди, коли ставиться питання вибору, поряд з ним постає питання ризику, пов’язаного з вибором.</w:t>
      </w:r>
    </w:p>
    <w:p w14:paraId="543ED9D1" w14:textId="7D363784"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Ризик має прямий стосунок до ресурсів: матеріальних, соціальних, енергетичних. Він проявляється у двох формах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це ризик «не набути», тобто залишитися на попередніх ресурсних позиціях, або ж «втратити»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понизити власні ресурсні позиції (що є більш типовим для представників старшої вікової групи). Отже, вибір та ризик виявляються тісно пов’язаними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у випадку обрання шляху не конформної, а самостійної, інноваційної інтеграції у суспільство особистість </w:t>
      </w:r>
      <w:r w:rsidRPr="00715097">
        <w:rPr>
          <w:rFonts w:ascii="Times New Roman" w:hAnsi="Times New Roman" w:cs="Times New Roman"/>
          <w:noProof/>
          <w:sz w:val="28"/>
          <w:szCs w:val="28"/>
          <w:lang w:val="uk-UA"/>
        </w:rPr>
        <w:lastRenderedPageBreak/>
        <w:t xml:space="preserve">залишається без потенційної підтримки та допомоги, будучи змушеною нести усю відповідальність за наслідки на собі. </w:t>
      </w:r>
    </w:p>
    <w:p w14:paraId="2A3BBA85" w14:textId="34AF1212"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Підсилення цих моментів відбувається і за рахунок загальної глобалізації ризику у світі та вимог до індивідуалізації кожної людини</w:t>
      </w:r>
      <w:r w:rsidR="00746AF2">
        <w:rPr>
          <w:rFonts w:ascii="Times New Roman" w:hAnsi="Times New Roman" w:cs="Times New Roman"/>
          <w:noProof/>
          <w:sz w:val="28"/>
          <w:szCs w:val="28"/>
          <w:lang w:val="uk-UA"/>
        </w:rPr>
        <w:t xml:space="preserve">. </w:t>
      </w:r>
      <w:r w:rsidRPr="00715097">
        <w:rPr>
          <w:rFonts w:ascii="Times New Roman" w:hAnsi="Times New Roman" w:cs="Times New Roman"/>
          <w:noProof/>
          <w:sz w:val="28"/>
          <w:szCs w:val="28"/>
          <w:lang w:val="uk-UA"/>
        </w:rPr>
        <w:t xml:space="preserve">Необхідність доводити свою спроможність до самостійного прийняття рішень і непевність та нестача знань для цих рішень підсилюють напруженість становища акторів у сучасному світі, надто похилого віку, адаптаційні можливості яких порівняно обмежені. Спектр можливих альтернатив реалізації соціального потенціалу обмежується суспільством, з одного боку, з другого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баченням можливих варіантів розвитку суспільства та власної подальшої затребуваності у ньому. </w:t>
      </w:r>
    </w:p>
    <w:p w14:paraId="585E9F2C"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Труднощі розробки та реалізації життєвих планів і стратегій пояснюються необхідністю наявності у людей стратегічного мислення, котре даватиме змогу здійснити стратегічне бачення, приймати стратегічні рішення (на основі осмислення й аналізу ситуації). Відтак, стратегічне мислення базується на розвинених рефлексивних здібностях, навичках. </w:t>
      </w:r>
    </w:p>
    <w:p w14:paraId="11C3E118" w14:textId="47B61687"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Продукуються певні симулякри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символи, що не отримують свого відображення у реальному житті. І досягнення, і пошук інших шляхів пов’язані з ризиком. Найперше це визначається обмеженими можливостями, що надаються суспільством для вертикальної мобільності.</w:t>
      </w:r>
    </w:p>
    <w:p w14:paraId="32FB10F6"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У різних вікових когортах ризик, крім того, набуває власної специфіки. Молодь, яка не має значних власних ресурсних активів, здебільшого ризикує «не набуттям» позицій. Люди середнього віку орієнтуються на втримування та підвищення позицій. Останнє, проте, має вже більш поступовий характер. Вони перебувають у найбільш міцних соціальних лещатах норм та експектацій. Люди старшого віку постають здебільшого перед ризиком втрат ресурсів, адже зазвичай максима в соціальному та матеріальному благополуччі досягається до досягнення пенсійного віку. Надалі цих людей традиційно очікує поступова втрата ресурсів. </w:t>
      </w:r>
    </w:p>
    <w:p w14:paraId="229F16AF" w14:textId="11BFBB46"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Ризик при цьому може каталізувати процеси інволюції, а от потенційне їх примноження перебуває під питанням. Ризик втрати суттєво перевищує </w:t>
      </w:r>
      <w:r w:rsidRPr="00715097">
        <w:rPr>
          <w:rFonts w:ascii="Times New Roman" w:hAnsi="Times New Roman" w:cs="Times New Roman"/>
          <w:noProof/>
          <w:sz w:val="28"/>
          <w:szCs w:val="28"/>
          <w:lang w:val="uk-UA"/>
        </w:rPr>
        <w:lastRenderedPageBreak/>
        <w:t xml:space="preserve">можливість надбання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чи то здоров’я, чи фінансів, чи соціальних позицій. Крім того, найстарші люди суттєво більше тяжіють до збереження існуючого </w:t>
      </w:r>
      <w:r w:rsidR="001F72E0">
        <w:rPr>
          <w:rFonts w:ascii="Times New Roman" w:eastAsia="Calibri" w:hAnsi="Times New Roman" w:cs="Times New Roman"/>
          <w:sz w:val="28"/>
          <w:szCs w:val="28"/>
          <w:lang w:val="uk-UA"/>
        </w:rPr>
        <w:t>−</w:t>
      </w:r>
      <w:r w:rsidRPr="00715097">
        <w:rPr>
          <w:rFonts w:ascii="Times New Roman" w:hAnsi="Times New Roman" w:cs="Times New Roman"/>
          <w:noProof/>
          <w:sz w:val="28"/>
          <w:szCs w:val="28"/>
          <w:lang w:val="uk-UA"/>
        </w:rPr>
        <w:t xml:space="preserve"> вважається, що чим далі з віком, тим дужче переважають консервативні тенденції. Таким чином, старші постають як найменш мобільна соціальна група. Водночас ці показники в різних країнах відрізняються. Так, у розвинених країнах, де тривалість життя значно довша і історично закріпилися індивідуалістичні тенденції, рівень мобільності населення похилого віку помітно вищий, аніж у країнах, що розвиваються, в тому числі в Україні</w:t>
      </w:r>
      <w:r w:rsidR="001F72E0">
        <w:rPr>
          <w:rFonts w:ascii="Times New Roman" w:hAnsi="Times New Roman" w:cs="Times New Roman"/>
          <w:noProof/>
          <w:sz w:val="28"/>
          <w:szCs w:val="28"/>
          <w:lang w:val="uk-UA"/>
        </w:rPr>
        <w:t>.</w:t>
      </w:r>
    </w:p>
    <w:p w14:paraId="1E2D9BEA"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Одним із найбільш характерних показників, що вирізняє соціокультурний простір цивілізованих країн, є система пенсійного забезпечення. У різних країнах вона організована різним чином, а подекуди (наприклад, у Індії, Таїланді, Іраку) взагалі відсутня чи має вибірковий характер</w:t>
      </w:r>
      <w:r w:rsidR="00746AF2">
        <w:rPr>
          <w:rFonts w:ascii="Times New Roman" w:hAnsi="Times New Roman" w:cs="Times New Roman"/>
          <w:noProof/>
          <w:sz w:val="28"/>
          <w:szCs w:val="28"/>
          <w:lang w:val="uk-UA"/>
        </w:rPr>
        <w:t>.</w:t>
      </w:r>
    </w:p>
    <w:p w14:paraId="4B922C10"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noProof/>
          <w:sz w:val="28"/>
          <w:szCs w:val="28"/>
          <w:lang w:val="uk-UA"/>
        </w:rPr>
        <w:t>За певних відмінностей у розмірі та джерелах формування система пенсійного забезпечення покликана створити гідні умови для існування тієї частини населення, яка за віком елімінується з виробничих практик, однак за іншими показниками користується рівними правами або навіть має певні пільги. В</w:t>
      </w:r>
      <w:r w:rsidRPr="00715097">
        <w:rPr>
          <w:rFonts w:ascii="Times New Roman" w:hAnsi="Times New Roman" w:cs="Times New Roman"/>
          <w:sz w:val="28"/>
          <w:szCs w:val="28"/>
          <w:lang w:val="uk-UA"/>
        </w:rPr>
        <w:t xml:space="preserve"> просторі України ситуація зі старшою групою доволі неоднозначна і не менш гостра попри визначену в бюджеті мізерність пенсійного забезпечення</w:t>
      </w:r>
      <w:r w:rsidR="00746AF2">
        <w:rPr>
          <w:rFonts w:ascii="Times New Roman" w:hAnsi="Times New Roman" w:cs="Times New Roman"/>
          <w:sz w:val="28"/>
          <w:szCs w:val="28"/>
          <w:lang w:val="uk-UA"/>
        </w:rPr>
        <w:t>.</w:t>
      </w:r>
    </w:p>
    <w:p w14:paraId="2C15B07E" w14:textId="77777777" w:rsidR="00746AF2" w:rsidRDefault="00715097" w:rsidP="00715097">
      <w:pPr>
        <w:tabs>
          <w:tab w:val="left" w:pos="-567"/>
        </w:tabs>
        <w:suppressAutoHyphen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Наявні в українських старих матеріальні ресурси загалом нижчі за відповідні у їхніх західних ровесників</w:t>
      </w:r>
      <w:r w:rsidRPr="00715097">
        <w:rPr>
          <w:rFonts w:ascii="Times New Roman" w:hAnsi="Times New Roman" w:cs="Times New Roman"/>
          <w:sz w:val="28"/>
          <w:szCs w:val="28"/>
        </w:rPr>
        <w:t xml:space="preserve">. </w:t>
      </w:r>
      <w:r w:rsidRPr="00715097">
        <w:rPr>
          <w:rFonts w:ascii="Times New Roman" w:hAnsi="Times New Roman" w:cs="Times New Roman"/>
          <w:sz w:val="28"/>
          <w:szCs w:val="28"/>
          <w:lang w:val="uk-UA"/>
        </w:rPr>
        <w:t xml:space="preserve">Середня тривалість життя в Україні суттєво нижча порівняно з іншими країнами Європи, модель старіння має вигляд старіння знизу </w:t>
      </w:r>
      <w:r w:rsidRPr="00715097">
        <w:rPr>
          <w:rFonts w:ascii="Times New Roman" w:eastAsia="Calibri" w:hAnsi="Times New Roman" w:cs="Times New Roman"/>
          <w:sz w:val="28"/>
          <w:szCs w:val="28"/>
          <w:lang w:val="uk-UA"/>
        </w:rPr>
        <w:t>—</w:t>
      </w:r>
      <w:r w:rsidRPr="00715097">
        <w:rPr>
          <w:rFonts w:ascii="Times New Roman" w:hAnsi="Times New Roman" w:cs="Times New Roman"/>
          <w:sz w:val="28"/>
          <w:szCs w:val="28"/>
          <w:lang w:val="uk-UA"/>
        </w:rPr>
        <w:t xml:space="preserve"> за рахунок високої смертності людей працездатного віку. Тобто для актуалізації потенціалу, по-перше, уже необхідні вищі стартові дотації в групу, порівняно з такими в розвинених країнах; наші програми соціального розвитку не повинні орієнтуватися та відштовхуватися від таких у розвинених країнах, а мають бути адекватними суспільній ситуації. По-друге, внаслідок ряду криз, з якими протягом останніх десятиліть зіткнулося українське суспільство, функціонування соціальних інститутів є малоефективним, тож населення не може розраховувати на суттєву допомогу з боку держави. </w:t>
      </w:r>
    </w:p>
    <w:p w14:paraId="17C73998" w14:textId="64CADF29" w:rsidR="00746AF2" w:rsidRDefault="00715097" w:rsidP="00715097">
      <w:pPr>
        <w:tabs>
          <w:tab w:val="left" w:pos="-567"/>
        </w:tabs>
        <w:suppressAutoHyphen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lastRenderedPageBreak/>
        <w:t xml:space="preserve">Особливо коли йдеться про групи, що потребують допомоги чи суттєвих вкладень </w:t>
      </w:r>
      <w:r w:rsidR="001F72E0">
        <w:rPr>
          <w:rFonts w:ascii="Times New Roman" w:eastAsia="Calibri" w:hAnsi="Times New Roman" w:cs="Times New Roman"/>
          <w:sz w:val="28"/>
          <w:szCs w:val="28"/>
          <w:lang w:val="uk-UA"/>
        </w:rPr>
        <w:t>−</w:t>
      </w:r>
      <w:r w:rsidRPr="00715097">
        <w:rPr>
          <w:rFonts w:ascii="Times New Roman" w:hAnsi="Times New Roman" w:cs="Times New Roman"/>
          <w:sz w:val="28"/>
          <w:szCs w:val="28"/>
          <w:lang w:val="uk-UA"/>
        </w:rPr>
        <w:t xml:space="preserve"> людей з обмеженими фізичними можливостями, людей старшого віку тощо, то вони опиняються в ситуації «тришкіного кафтану», коли «залатуються» (в першу чергу фінансово) найбільш проблемні сфери, необхідні для виживання суспільства в даний конкретний час, а мови про перспективний розвиток і майбутнє практично не ведеться</w:t>
      </w:r>
      <w:r w:rsidR="00746AF2">
        <w:rPr>
          <w:rFonts w:ascii="Times New Roman" w:hAnsi="Times New Roman" w:cs="Times New Roman"/>
          <w:sz w:val="28"/>
          <w:szCs w:val="28"/>
          <w:lang w:val="uk-UA"/>
        </w:rPr>
        <w:t>.</w:t>
      </w:r>
    </w:p>
    <w:p w14:paraId="4C35FD8F" w14:textId="0E841167" w:rsidR="00715097" w:rsidRPr="00715097" w:rsidRDefault="00715097" w:rsidP="00746AF2">
      <w:pPr>
        <w:tabs>
          <w:tab w:val="left" w:pos="-567"/>
        </w:tabs>
        <w:suppressAutoHyphens/>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За таких умов виправданим видається розрахунок на реалізацію внутрішніх потенцій самої групи, але, по-перше, частково він уже задіяний (у нашому суспільстві після виходу на пенсію лише офіційно</w:t>
      </w:r>
      <w:r w:rsidR="001F72E0">
        <w:rPr>
          <w:rFonts w:ascii="Times New Roman" w:hAnsi="Times New Roman" w:cs="Times New Roman"/>
          <w:sz w:val="28"/>
          <w:szCs w:val="28"/>
          <w:lang w:val="uk-UA"/>
        </w:rPr>
        <w:t xml:space="preserve"> </w:t>
      </w:r>
      <w:r w:rsidRPr="00715097">
        <w:rPr>
          <w:rFonts w:ascii="Times New Roman" w:hAnsi="Times New Roman" w:cs="Times New Roman"/>
          <w:sz w:val="28"/>
          <w:szCs w:val="28"/>
          <w:lang w:val="uk-UA"/>
        </w:rPr>
        <w:t>39,3% жінок і 35% чоловіків віком 60-70 років продовжували працювати, а ще 4,8% жінок та 5,7% чоловіків віком 60-70 років були неформально зайняті</w:t>
      </w:r>
      <w:r w:rsidR="00746AF2">
        <w:rPr>
          <w:rFonts w:ascii="Times New Roman" w:hAnsi="Times New Roman" w:cs="Times New Roman"/>
          <w:sz w:val="28"/>
          <w:szCs w:val="28"/>
          <w:lang w:val="uk-UA"/>
        </w:rPr>
        <w:t>,</w:t>
      </w:r>
      <w:r w:rsidRPr="00715097">
        <w:rPr>
          <w:rFonts w:ascii="Times New Roman" w:hAnsi="Times New Roman" w:cs="Times New Roman"/>
          <w:sz w:val="28"/>
          <w:szCs w:val="28"/>
          <w:lang w:val="uk-UA"/>
        </w:rPr>
        <w:t xml:space="preserve"> по-друге, вимагає відновлення кредиту довіри до владних інститутів. Це доволі проблемно, тому сподіватися на щось інше, окрім внутрішнього соціального потенціалу, насамперед старшої вікової групи, не доводиться. Принаймні такі резерви, на нашу думку, існують</w:t>
      </w:r>
      <w:r w:rsidR="00746AF2">
        <w:rPr>
          <w:rFonts w:ascii="Times New Roman" w:hAnsi="Times New Roman" w:cs="Times New Roman"/>
          <w:sz w:val="28"/>
          <w:szCs w:val="28"/>
          <w:lang w:val="uk-UA"/>
        </w:rPr>
        <w:t>.</w:t>
      </w:r>
    </w:p>
    <w:p w14:paraId="4E4D2373" w14:textId="77777777"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b/>
          <w:sz w:val="28"/>
          <w:szCs w:val="28"/>
          <w:lang w:val="uk-UA"/>
        </w:rPr>
      </w:pPr>
      <w:r w:rsidRPr="00715097">
        <w:rPr>
          <w:rFonts w:ascii="Times New Roman" w:hAnsi="Times New Roman" w:cs="Times New Roman"/>
          <w:noProof/>
          <w:sz w:val="28"/>
          <w:szCs w:val="28"/>
          <w:lang w:val="uk-UA"/>
        </w:rPr>
        <w:t>Підсумовуючи, зауважимо, що соціокультурний і соціоструктурний простір України вирізняється високим рівнем інтенсивності, багатогранністю й багатоаспектністю взаємодій, значним динамізмом життєвих колізій. Розглянуті тенденції розвитку сучасного українського суспільства створюють широкі можливості для самоздійснення, самореалізації людини, однак можуть стати значною перешкодою формуванню адекватного образу майбутнього життя.</w:t>
      </w:r>
    </w:p>
    <w:p w14:paraId="0055DE14" w14:textId="77777777" w:rsidR="00715097" w:rsidRPr="00715097" w:rsidRDefault="00715097" w:rsidP="00715097">
      <w:pPr>
        <w:tabs>
          <w:tab w:val="left" w:pos="-567"/>
        </w:tabs>
        <w:suppressAutoHyphens/>
        <w:spacing w:line="360" w:lineRule="auto"/>
        <w:ind w:firstLine="709"/>
        <w:contextualSpacing/>
        <w:jc w:val="both"/>
        <w:rPr>
          <w:rFonts w:ascii="Times New Roman" w:hAnsi="Times New Roman" w:cs="Times New Roman"/>
          <w:noProof/>
          <w:sz w:val="28"/>
          <w:szCs w:val="28"/>
          <w:lang w:val="uk-UA"/>
        </w:rPr>
      </w:pPr>
      <w:r w:rsidRPr="00715097">
        <w:rPr>
          <w:rFonts w:ascii="Times New Roman" w:hAnsi="Times New Roman" w:cs="Times New Roman"/>
          <w:noProof/>
          <w:sz w:val="28"/>
          <w:szCs w:val="28"/>
          <w:lang w:val="uk-UA"/>
        </w:rPr>
        <w:t xml:space="preserve">Скованість соціально-економічними бар’єрами та загальна невизначеність подальшого розвитку соціальної структури зумовлюють складнощі у прогнозуванні майбутнього, котре постає як актуальна необхідність саме на етапі, коли відбувається перехід до реальних оновлених соціальних практик. Насиченість соціального життя кризами, змінами та радикальними перетвореннями не дає можливості зорієнтуватися на усталені соціальні норми та зразки побудови життя. </w:t>
      </w:r>
    </w:p>
    <w:p w14:paraId="79355CEF" w14:textId="639EF718" w:rsidR="00715097" w:rsidRPr="00715097" w:rsidRDefault="00715097" w:rsidP="00715097">
      <w:pPr>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 xml:space="preserve">Насправді, збереження перспектив на життєвому шляху посилює попереджувальний аспект програми активного старіння, оскільки в процесі старіння потрібні стратегії, спрямовані на покращення здоров’я та добробуту з </w:t>
      </w:r>
      <w:r w:rsidRPr="00715097">
        <w:rPr>
          <w:rFonts w:ascii="Times New Roman" w:hAnsi="Times New Roman" w:cs="Times New Roman"/>
          <w:sz w:val="28"/>
          <w:szCs w:val="28"/>
          <w:lang w:val="uk-UA"/>
        </w:rPr>
        <w:lastRenderedPageBreak/>
        <w:t>досягненням старшого віку. Нова активна парадигма старіння, виходячи з українських реалій, має бути спрямована на полегшення збереження як фізичних, так і розумових здібностей, орієнтована на надання можливостей літнім людям за потреби працювати довше, а також забезпечити більш здорові та більш продуктивні роки після закінчення робочого життя</w:t>
      </w:r>
      <w:r w:rsidR="00746AF2">
        <w:rPr>
          <w:rFonts w:ascii="Times New Roman" w:hAnsi="Times New Roman" w:cs="Times New Roman"/>
          <w:sz w:val="28"/>
          <w:szCs w:val="28"/>
          <w:lang w:val="uk-UA"/>
        </w:rPr>
        <w:t>.</w:t>
      </w:r>
    </w:p>
    <w:p w14:paraId="6A893F94" w14:textId="5AE4CC8B" w:rsidR="00746AF2" w:rsidRDefault="00715097" w:rsidP="00715097">
      <w:pPr>
        <w:spacing w:line="360" w:lineRule="auto"/>
        <w:ind w:firstLine="709"/>
        <w:contextualSpacing/>
        <w:jc w:val="both"/>
        <w:rPr>
          <w:rFonts w:ascii="Times New Roman" w:hAnsi="Times New Roman" w:cs="Times New Roman"/>
          <w:sz w:val="28"/>
          <w:szCs w:val="28"/>
          <w:lang w:val="uk-UA"/>
        </w:rPr>
      </w:pPr>
      <w:r w:rsidRPr="00715097">
        <w:rPr>
          <w:rFonts w:ascii="Times New Roman" w:hAnsi="Times New Roman" w:cs="Times New Roman"/>
          <w:sz w:val="28"/>
          <w:szCs w:val="28"/>
          <w:lang w:val="uk-UA"/>
        </w:rPr>
        <w:t>В Україні, де можливості допомоги з боку суспільства реалізації соціального потенціалу старшого покоління є доволі обмеженими з огляду на значну кількість економічних, соціальних і політичних причин, тим не менше є певні передумови для збільшення частки практик реалізації соціального потенціалу старшої вікової групи. По-перше, існує частка соціально активних людей похилого віку, хоча вона відносно невелика порівняно з пасивною більшістю; по-друге, є напрацювання типу «університету третього віку», що можуть стати зародком розгортання масових загальносуспільних програм та рухів; по-третє, створена унікальна наукова школа життєтворчості</w:t>
      </w:r>
      <w:r w:rsidR="00746AF2">
        <w:rPr>
          <w:rFonts w:ascii="Times New Roman" w:hAnsi="Times New Roman" w:cs="Times New Roman"/>
          <w:sz w:val="28"/>
          <w:szCs w:val="28"/>
          <w:lang w:val="uk-UA"/>
        </w:rPr>
        <w:t>.</w:t>
      </w:r>
    </w:p>
    <w:p w14:paraId="1E216E63" w14:textId="77777777" w:rsidR="00715097" w:rsidRDefault="00715097" w:rsidP="007C58F4">
      <w:pPr>
        <w:spacing w:line="360" w:lineRule="auto"/>
        <w:contextualSpacing/>
        <w:jc w:val="both"/>
        <w:rPr>
          <w:rFonts w:ascii="Times New Roman" w:hAnsi="Times New Roman" w:cs="Times New Roman"/>
          <w:sz w:val="28"/>
          <w:szCs w:val="28"/>
          <w:lang w:val="uk-UA"/>
        </w:rPr>
      </w:pPr>
    </w:p>
    <w:p w14:paraId="4974AEF0" w14:textId="77777777" w:rsidR="001F72E0" w:rsidRDefault="001F72E0" w:rsidP="007C58F4">
      <w:pPr>
        <w:spacing w:line="360" w:lineRule="auto"/>
        <w:contextualSpacing/>
        <w:jc w:val="both"/>
        <w:rPr>
          <w:rFonts w:ascii="Times New Roman" w:hAnsi="Times New Roman" w:cs="Times New Roman"/>
          <w:sz w:val="28"/>
          <w:szCs w:val="28"/>
          <w:lang w:val="uk-UA"/>
        </w:rPr>
      </w:pPr>
    </w:p>
    <w:p w14:paraId="60ED662A" w14:textId="77777777" w:rsidR="001F72E0" w:rsidRDefault="001F72E0" w:rsidP="007C58F4">
      <w:pPr>
        <w:spacing w:line="360" w:lineRule="auto"/>
        <w:contextualSpacing/>
        <w:jc w:val="both"/>
        <w:rPr>
          <w:rFonts w:ascii="Times New Roman" w:hAnsi="Times New Roman" w:cs="Times New Roman"/>
          <w:sz w:val="28"/>
          <w:szCs w:val="28"/>
          <w:lang w:val="uk-UA"/>
        </w:rPr>
      </w:pPr>
    </w:p>
    <w:p w14:paraId="4640BDB0" w14:textId="77777777" w:rsidR="001F72E0" w:rsidRDefault="001F72E0" w:rsidP="007C58F4">
      <w:pPr>
        <w:spacing w:line="360" w:lineRule="auto"/>
        <w:contextualSpacing/>
        <w:jc w:val="both"/>
        <w:rPr>
          <w:rFonts w:ascii="Times New Roman" w:hAnsi="Times New Roman" w:cs="Times New Roman"/>
          <w:sz w:val="28"/>
          <w:szCs w:val="28"/>
          <w:lang w:val="uk-UA"/>
        </w:rPr>
      </w:pPr>
    </w:p>
    <w:p w14:paraId="40D66E21" w14:textId="77777777" w:rsidR="001F72E0" w:rsidRDefault="001F72E0" w:rsidP="007C58F4">
      <w:pPr>
        <w:spacing w:line="360" w:lineRule="auto"/>
        <w:contextualSpacing/>
        <w:jc w:val="both"/>
        <w:rPr>
          <w:rFonts w:ascii="Times New Roman" w:hAnsi="Times New Roman" w:cs="Times New Roman"/>
          <w:sz w:val="28"/>
          <w:szCs w:val="28"/>
          <w:lang w:val="uk-UA"/>
        </w:rPr>
      </w:pPr>
    </w:p>
    <w:p w14:paraId="60BBF824" w14:textId="77777777" w:rsidR="001F72E0" w:rsidRDefault="001F72E0" w:rsidP="007C58F4">
      <w:pPr>
        <w:spacing w:line="360" w:lineRule="auto"/>
        <w:contextualSpacing/>
        <w:jc w:val="both"/>
        <w:rPr>
          <w:rFonts w:ascii="Times New Roman" w:hAnsi="Times New Roman" w:cs="Times New Roman"/>
          <w:sz w:val="28"/>
          <w:szCs w:val="28"/>
          <w:lang w:val="uk-UA"/>
        </w:rPr>
      </w:pPr>
    </w:p>
    <w:p w14:paraId="68533FCC" w14:textId="77777777" w:rsidR="001F72E0" w:rsidRPr="00BD628E" w:rsidRDefault="001F72E0" w:rsidP="007C58F4">
      <w:pPr>
        <w:spacing w:line="360" w:lineRule="auto"/>
        <w:contextualSpacing/>
        <w:jc w:val="both"/>
        <w:rPr>
          <w:noProof/>
          <w:sz w:val="28"/>
          <w:szCs w:val="28"/>
          <w:lang w:val="uk-UA"/>
        </w:rPr>
      </w:pPr>
    </w:p>
    <w:p w14:paraId="56EA4882" w14:textId="77777777" w:rsidR="007C58F4" w:rsidRDefault="007C58F4" w:rsidP="006C5E8E">
      <w:pPr>
        <w:spacing w:after="0" w:line="360" w:lineRule="auto"/>
        <w:ind w:firstLine="709"/>
        <w:jc w:val="both"/>
        <w:rPr>
          <w:rFonts w:ascii="Times New Roman" w:hAnsi="Times New Roman"/>
          <w:bCs/>
          <w:sz w:val="28"/>
          <w:szCs w:val="28"/>
          <w:lang w:val="uk-UA"/>
        </w:rPr>
      </w:pPr>
    </w:p>
    <w:p w14:paraId="26A66696" w14:textId="77777777" w:rsidR="00B50B25" w:rsidRDefault="00B50B25" w:rsidP="006C5E8E">
      <w:pPr>
        <w:spacing w:after="0" w:line="360" w:lineRule="auto"/>
        <w:ind w:firstLine="709"/>
        <w:jc w:val="both"/>
        <w:rPr>
          <w:rFonts w:ascii="Times New Roman" w:hAnsi="Times New Roman"/>
          <w:bCs/>
          <w:sz w:val="28"/>
          <w:szCs w:val="28"/>
          <w:lang w:val="uk-UA"/>
        </w:rPr>
      </w:pPr>
    </w:p>
    <w:p w14:paraId="36EB5347" w14:textId="77777777" w:rsidR="001F72E0" w:rsidRDefault="001F72E0" w:rsidP="006C5E8E">
      <w:pPr>
        <w:spacing w:after="0" w:line="360" w:lineRule="auto"/>
        <w:ind w:firstLine="709"/>
        <w:jc w:val="both"/>
        <w:rPr>
          <w:rFonts w:ascii="Times New Roman" w:hAnsi="Times New Roman"/>
          <w:bCs/>
          <w:sz w:val="28"/>
          <w:szCs w:val="28"/>
          <w:lang w:val="uk-UA"/>
        </w:rPr>
      </w:pPr>
    </w:p>
    <w:p w14:paraId="3660B6DF" w14:textId="77777777" w:rsidR="001F72E0" w:rsidRDefault="001F72E0" w:rsidP="006C5E8E">
      <w:pPr>
        <w:spacing w:after="0" w:line="360" w:lineRule="auto"/>
        <w:ind w:firstLine="709"/>
        <w:jc w:val="both"/>
        <w:rPr>
          <w:rFonts w:ascii="Times New Roman" w:hAnsi="Times New Roman"/>
          <w:bCs/>
          <w:sz w:val="28"/>
          <w:szCs w:val="28"/>
          <w:lang w:val="uk-UA"/>
        </w:rPr>
      </w:pPr>
    </w:p>
    <w:p w14:paraId="38FFB249" w14:textId="77777777" w:rsidR="001F72E0" w:rsidRDefault="001F72E0" w:rsidP="006C5E8E">
      <w:pPr>
        <w:spacing w:after="0" w:line="360" w:lineRule="auto"/>
        <w:ind w:firstLine="709"/>
        <w:jc w:val="both"/>
        <w:rPr>
          <w:rFonts w:ascii="Times New Roman" w:hAnsi="Times New Roman"/>
          <w:bCs/>
          <w:sz w:val="28"/>
          <w:szCs w:val="28"/>
          <w:lang w:val="uk-UA"/>
        </w:rPr>
      </w:pPr>
    </w:p>
    <w:p w14:paraId="4E890EDF" w14:textId="77777777" w:rsidR="001F72E0" w:rsidRDefault="001F72E0" w:rsidP="006C5E8E">
      <w:pPr>
        <w:spacing w:after="0" w:line="360" w:lineRule="auto"/>
        <w:ind w:firstLine="709"/>
        <w:jc w:val="both"/>
        <w:rPr>
          <w:rFonts w:ascii="Times New Roman" w:hAnsi="Times New Roman"/>
          <w:bCs/>
          <w:sz w:val="28"/>
          <w:szCs w:val="28"/>
          <w:lang w:val="uk-UA"/>
        </w:rPr>
      </w:pPr>
    </w:p>
    <w:p w14:paraId="11E0842A" w14:textId="77777777" w:rsidR="00A57340" w:rsidRDefault="00A57340" w:rsidP="006C5E8E">
      <w:pPr>
        <w:spacing w:after="0" w:line="360" w:lineRule="auto"/>
        <w:ind w:firstLine="709"/>
        <w:jc w:val="both"/>
        <w:rPr>
          <w:rFonts w:ascii="Times New Roman" w:hAnsi="Times New Roman"/>
          <w:bCs/>
          <w:sz w:val="28"/>
          <w:szCs w:val="28"/>
          <w:lang w:val="uk-UA"/>
        </w:rPr>
      </w:pPr>
    </w:p>
    <w:p w14:paraId="0B5EF260" w14:textId="77777777" w:rsidR="00A57340" w:rsidRDefault="00A57340" w:rsidP="006C5E8E">
      <w:pPr>
        <w:spacing w:after="0" w:line="360" w:lineRule="auto"/>
        <w:ind w:firstLine="709"/>
        <w:jc w:val="both"/>
        <w:rPr>
          <w:rFonts w:ascii="Times New Roman" w:hAnsi="Times New Roman"/>
          <w:bCs/>
          <w:sz w:val="28"/>
          <w:szCs w:val="28"/>
          <w:lang w:val="uk-UA"/>
        </w:rPr>
      </w:pPr>
    </w:p>
    <w:bookmarkEnd w:id="0"/>
    <w:p w14:paraId="61EBE221" w14:textId="162CFDD0" w:rsidR="005D7F10" w:rsidRPr="005D7F10" w:rsidRDefault="005D7F10" w:rsidP="00832A68">
      <w:pPr>
        <w:pStyle w:val="a8"/>
        <w:spacing w:after="0" w:line="360" w:lineRule="auto"/>
        <w:ind w:left="426"/>
        <w:jc w:val="both"/>
        <w:rPr>
          <w:rFonts w:ascii="Times New Roman" w:hAnsi="Times New Roman" w:cs="Times New Roman"/>
          <w:sz w:val="28"/>
          <w:szCs w:val="28"/>
          <w:lang w:val="uk-UA"/>
        </w:rPr>
      </w:pPr>
    </w:p>
    <w:sectPr w:rsidR="005D7F10" w:rsidRPr="005D7F10" w:rsidSect="00B87217">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EBDE" w14:textId="77777777" w:rsidR="004A0BBC" w:rsidRDefault="004A0BBC" w:rsidP="00202B69">
      <w:pPr>
        <w:spacing w:after="0" w:line="240" w:lineRule="auto"/>
      </w:pPr>
      <w:r>
        <w:separator/>
      </w:r>
    </w:p>
  </w:endnote>
  <w:endnote w:type="continuationSeparator" w:id="0">
    <w:p w14:paraId="751B0CC9" w14:textId="77777777" w:rsidR="004A0BBC" w:rsidRDefault="004A0BBC"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4257C" w14:textId="77777777" w:rsidR="004A0BBC" w:rsidRDefault="004A0BBC" w:rsidP="00202B69">
      <w:pPr>
        <w:spacing w:after="0" w:line="240" w:lineRule="auto"/>
      </w:pPr>
      <w:r>
        <w:separator/>
      </w:r>
    </w:p>
  </w:footnote>
  <w:footnote w:type="continuationSeparator" w:id="0">
    <w:p w14:paraId="273DF647" w14:textId="77777777" w:rsidR="004A0BBC" w:rsidRDefault="004A0BBC"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DD96EBB"/>
    <w:multiLevelType w:val="hybridMultilevel"/>
    <w:tmpl w:val="C9B4B91C"/>
    <w:lvl w:ilvl="0" w:tplc="98E4D8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747573"/>
    <w:multiLevelType w:val="hybridMultilevel"/>
    <w:tmpl w:val="4274D840"/>
    <w:lvl w:ilvl="0" w:tplc="98E4D8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BF46A5"/>
    <w:multiLevelType w:val="hybridMultilevel"/>
    <w:tmpl w:val="31F61A68"/>
    <w:lvl w:ilvl="0" w:tplc="8C9A93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4746D2"/>
    <w:multiLevelType w:val="hybridMultilevel"/>
    <w:tmpl w:val="590C7908"/>
    <w:lvl w:ilvl="0" w:tplc="98E4D8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0F4390"/>
    <w:multiLevelType w:val="hybridMultilevel"/>
    <w:tmpl w:val="325A0FB0"/>
    <w:lvl w:ilvl="0" w:tplc="98E4D8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96329F"/>
    <w:multiLevelType w:val="hybridMultilevel"/>
    <w:tmpl w:val="5BF07890"/>
    <w:lvl w:ilvl="0" w:tplc="98E4D80C">
      <w:start w:val="2"/>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315775A"/>
    <w:multiLevelType w:val="hybridMultilevel"/>
    <w:tmpl w:val="A9964A0E"/>
    <w:lvl w:ilvl="0" w:tplc="98E4D80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A155D53"/>
    <w:multiLevelType w:val="hybridMultilevel"/>
    <w:tmpl w:val="6698727A"/>
    <w:lvl w:ilvl="0" w:tplc="98E4D80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AB671D3"/>
    <w:multiLevelType w:val="hybridMultilevel"/>
    <w:tmpl w:val="39F84F36"/>
    <w:lvl w:ilvl="0" w:tplc="98E4D80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34526F"/>
    <w:multiLevelType w:val="hybridMultilevel"/>
    <w:tmpl w:val="EE2ED9B4"/>
    <w:lvl w:ilvl="0" w:tplc="98E4D80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17B0973"/>
    <w:multiLevelType w:val="hybridMultilevel"/>
    <w:tmpl w:val="5FA26854"/>
    <w:lvl w:ilvl="0" w:tplc="98E4D80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15:restartNumberingAfterBreak="0">
    <w:nsid w:val="7EEF73D0"/>
    <w:multiLevelType w:val="hybridMultilevel"/>
    <w:tmpl w:val="A560F3B6"/>
    <w:lvl w:ilvl="0" w:tplc="38DA96F6">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1838063">
    <w:abstractNumId w:val="13"/>
  </w:num>
  <w:num w:numId="2" w16cid:durableId="1985887036">
    <w:abstractNumId w:val="1"/>
  </w:num>
  <w:num w:numId="3" w16cid:durableId="1340884756">
    <w:abstractNumId w:val="0"/>
  </w:num>
  <w:num w:numId="4" w16cid:durableId="1035736106">
    <w:abstractNumId w:val="11"/>
  </w:num>
  <w:num w:numId="5" w16cid:durableId="1439564142">
    <w:abstractNumId w:val="8"/>
  </w:num>
  <w:num w:numId="6" w16cid:durableId="150148261">
    <w:abstractNumId w:val="12"/>
  </w:num>
  <w:num w:numId="7" w16cid:durableId="988241340">
    <w:abstractNumId w:val="2"/>
  </w:num>
  <w:num w:numId="8" w16cid:durableId="815296689">
    <w:abstractNumId w:val="10"/>
  </w:num>
  <w:num w:numId="9" w16cid:durableId="132909054">
    <w:abstractNumId w:val="3"/>
  </w:num>
  <w:num w:numId="10" w16cid:durableId="1130057425">
    <w:abstractNumId w:val="5"/>
  </w:num>
  <w:num w:numId="11" w16cid:durableId="3367003">
    <w:abstractNumId w:val="6"/>
  </w:num>
  <w:num w:numId="12" w16cid:durableId="1060831846">
    <w:abstractNumId w:val="7"/>
  </w:num>
  <w:num w:numId="13" w16cid:durableId="1106120174">
    <w:abstractNumId w:val="9"/>
  </w:num>
  <w:num w:numId="14" w16cid:durableId="1282959137">
    <w:abstractNumId w:val="14"/>
  </w:num>
  <w:num w:numId="15" w16cid:durableId="28046100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CB6"/>
    <w:rsid w:val="00011DCD"/>
    <w:rsid w:val="00012447"/>
    <w:rsid w:val="000156E2"/>
    <w:rsid w:val="00016E1C"/>
    <w:rsid w:val="000201A9"/>
    <w:rsid w:val="0002026B"/>
    <w:rsid w:val="00022C65"/>
    <w:rsid w:val="00023B2A"/>
    <w:rsid w:val="00023CAB"/>
    <w:rsid w:val="00024D95"/>
    <w:rsid w:val="0002500E"/>
    <w:rsid w:val="000255F2"/>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3A30"/>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26CB"/>
    <w:rsid w:val="000A40D5"/>
    <w:rsid w:val="000A4177"/>
    <w:rsid w:val="000A561C"/>
    <w:rsid w:val="000A56DF"/>
    <w:rsid w:val="000A6A1E"/>
    <w:rsid w:val="000A6E59"/>
    <w:rsid w:val="000A7C55"/>
    <w:rsid w:val="000B220B"/>
    <w:rsid w:val="000B2A35"/>
    <w:rsid w:val="000B35D3"/>
    <w:rsid w:val="000B36C9"/>
    <w:rsid w:val="000B3955"/>
    <w:rsid w:val="000B3DCA"/>
    <w:rsid w:val="000B419F"/>
    <w:rsid w:val="000B4223"/>
    <w:rsid w:val="000B5907"/>
    <w:rsid w:val="000B5A89"/>
    <w:rsid w:val="000C0DE0"/>
    <w:rsid w:val="000C1249"/>
    <w:rsid w:val="000C213D"/>
    <w:rsid w:val="000C31BF"/>
    <w:rsid w:val="000C405E"/>
    <w:rsid w:val="000D03E9"/>
    <w:rsid w:val="000D22DB"/>
    <w:rsid w:val="000D293B"/>
    <w:rsid w:val="000D35F4"/>
    <w:rsid w:val="000D585E"/>
    <w:rsid w:val="000D5E74"/>
    <w:rsid w:val="000D6F31"/>
    <w:rsid w:val="000D70D5"/>
    <w:rsid w:val="000E1603"/>
    <w:rsid w:val="000E16C1"/>
    <w:rsid w:val="000E18B2"/>
    <w:rsid w:val="000E2E56"/>
    <w:rsid w:val="000E338F"/>
    <w:rsid w:val="000E4178"/>
    <w:rsid w:val="000E55E6"/>
    <w:rsid w:val="000E6BF9"/>
    <w:rsid w:val="000F0C5B"/>
    <w:rsid w:val="000F1701"/>
    <w:rsid w:val="000F4229"/>
    <w:rsid w:val="00100913"/>
    <w:rsid w:val="00100FB4"/>
    <w:rsid w:val="00101606"/>
    <w:rsid w:val="00101A59"/>
    <w:rsid w:val="001032DE"/>
    <w:rsid w:val="001057C0"/>
    <w:rsid w:val="00105AA0"/>
    <w:rsid w:val="00105BD0"/>
    <w:rsid w:val="00105C99"/>
    <w:rsid w:val="001060A1"/>
    <w:rsid w:val="00106CFC"/>
    <w:rsid w:val="001114DC"/>
    <w:rsid w:val="00115189"/>
    <w:rsid w:val="00115B4B"/>
    <w:rsid w:val="00115C62"/>
    <w:rsid w:val="0011696C"/>
    <w:rsid w:val="001209BB"/>
    <w:rsid w:val="0012309F"/>
    <w:rsid w:val="00124785"/>
    <w:rsid w:val="0012497F"/>
    <w:rsid w:val="00126788"/>
    <w:rsid w:val="00126E40"/>
    <w:rsid w:val="0012759A"/>
    <w:rsid w:val="001318A9"/>
    <w:rsid w:val="00132A15"/>
    <w:rsid w:val="00132CE9"/>
    <w:rsid w:val="00132D08"/>
    <w:rsid w:val="00134566"/>
    <w:rsid w:val="0013471B"/>
    <w:rsid w:val="001351B3"/>
    <w:rsid w:val="001413AF"/>
    <w:rsid w:val="0014163E"/>
    <w:rsid w:val="00142296"/>
    <w:rsid w:val="0014456F"/>
    <w:rsid w:val="00145729"/>
    <w:rsid w:val="0014572C"/>
    <w:rsid w:val="00145932"/>
    <w:rsid w:val="00146748"/>
    <w:rsid w:val="00147AD1"/>
    <w:rsid w:val="001509AE"/>
    <w:rsid w:val="00152642"/>
    <w:rsid w:val="00152C44"/>
    <w:rsid w:val="0015303B"/>
    <w:rsid w:val="001538E1"/>
    <w:rsid w:val="00153CAB"/>
    <w:rsid w:val="00154207"/>
    <w:rsid w:val="001547CA"/>
    <w:rsid w:val="001554D4"/>
    <w:rsid w:val="001568B8"/>
    <w:rsid w:val="0016108C"/>
    <w:rsid w:val="00161E4B"/>
    <w:rsid w:val="001627CE"/>
    <w:rsid w:val="00163A98"/>
    <w:rsid w:val="00163BD7"/>
    <w:rsid w:val="001656EC"/>
    <w:rsid w:val="0016619D"/>
    <w:rsid w:val="00170546"/>
    <w:rsid w:val="00172492"/>
    <w:rsid w:val="001769C4"/>
    <w:rsid w:val="00177390"/>
    <w:rsid w:val="00177A20"/>
    <w:rsid w:val="0018175B"/>
    <w:rsid w:val="00183F46"/>
    <w:rsid w:val="001900A5"/>
    <w:rsid w:val="00190BE6"/>
    <w:rsid w:val="00191868"/>
    <w:rsid w:val="00193AC1"/>
    <w:rsid w:val="0019594B"/>
    <w:rsid w:val="00195CF8"/>
    <w:rsid w:val="00195F51"/>
    <w:rsid w:val="001966D6"/>
    <w:rsid w:val="001976C8"/>
    <w:rsid w:val="001A0F37"/>
    <w:rsid w:val="001A1C11"/>
    <w:rsid w:val="001A7DF0"/>
    <w:rsid w:val="001B011E"/>
    <w:rsid w:val="001B049B"/>
    <w:rsid w:val="001B091F"/>
    <w:rsid w:val="001B108B"/>
    <w:rsid w:val="001B251E"/>
    <w:rsid w:val="001B33AB"/>
    <w:rsid w:val="001B35A9"/>
    <w:rsid w:val="001B5F57"/>
    <w:rsid w:val="001B72F1"/>
    <w:rsid w:val="001C0438"/>
    <w:rsid w:val="001C176B"/>
    <w:rsid w:val="001C1C6C"/>
    <w:rsid w:val="001C5DA0"/>
    <w:rsid w:val="001C6B8E"/>
    <w:rsid w:val="001C7BE8"/>
    <w:rsid w:val="001D06A9"/>
    <w:rsid w:val="001D10D2"/>
    <w:rsid w:val="001D12DB"/>
    <w:rsid w:val="001D252D"/>
    <w:rsid w:val="001D4122"/>
    <w:rsid w:val="001D4B24"/>
    <w:rsid w:val="001D4DA1"/>
    <w:rsid w:val="001D5103"/>
    <w:rsid w:val="001D515C"/>
    <w:rsid w:val="001D6BAC"/>
    <w:rsid w:val="001E1F60"/>
    <w:rsid w:val="001E24A5"/>
    <w:rsid w:val="001F3354"/>
    <w:rsid w:val="001F348A"/>
    <w:rsid w:val="001F40B6"/>
    <w:rsid w:val="001F4BCA"/>
    <w:rsid w:val="001F72E0"/>
    <w:rsid w:val="0020042D"/>
    <w:rsid w:val="002009A1"/>
    <w:rsid w:val="00202107"/>
    <w:rsid w:val="00202B69"/>
    <w:rsid w:val="00202B9A"/>
    <w:rsid w:val="0020391F"/>
    <w:rsid w:val="002049E7"/>
    <w:rsid w:val="00204CCE"/>
    <w:rsid w:val="00207B57"/>
    <w:rsid w:val="002105CA"/>
    <w:rsid w:val="002111E6"/>
    <w:rsid w:val="00211B3B"/>
    <w:rsid w:val="002124CD"/>
    <w:rsid w:val="002150AC"/>
    <w:rsid w:val="00215D3D"/>
    <w:rsid w:val="00223F6B"/>
    <w:rsid w:val="002242B2"/>
    <w:rsid w:val="0022545C"/>
    <w:rsid w:val="00226813"/>
    <w:rsid w:val="002327D1"/>
    <w:rsid w:val="00234707"/>
    <w:rsid w:val="00235DBF"/>
    <w:rsid w:val="0023663B"/>
    <w:rsid w:val="00237784"/>
    <w:rsid w:val="00237AE1"/>
    <w:rsid w:val="00240285"/>
    <w:rsid w:val="00240A19"/>
    <w:rsid w:val="00240AD8"/>
    <w:rsid w:val="002414E6"/>
    <w:rsid w:val="00243693"/>
    <w:rsid w:val="00247A98"/>
    <w:rsid w:val="0025018D"/>
    <w:rsid w:val="002506E7"/>
    <w:rsid w:val="00252833"/>
    <w:rsid w:val="00252C74"/>
    <w:rsid w:val="00253CE4"/>
    <w:rsid w:val="00255959"/>
    <w:rsid w:val="002566C6"/>
    <w:rsid w:val="002575D4"/>
    <w:rsid w:val="00257F7F"/>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87A"/>
    <w:rsid w:val="002A4CF6"/>
    <w:rsid w:val="002A567E"/>
    <w:rsid w:val="002A57CC"/>
    <w:rsid w:val="002A5BC8"/>
    <w:rsid w:val="002A6601"/>
    <w:rsid w:val="002A71B9"/>
    <w:rsid w:val="002A73C6"/>
    <w:rsid w:val="002A7EEE"/>
    <w:rsid w:val="002B3FC2"/>
    <w:rsid w:val="002B44F8"/>
    <w:rsid w:val="002B4F4E"/>
    <w:rsid w:val="002B54B9"/>
    <w:rsid w:val="002B57FF"/>
    <w:rsid w:val="002B5BCF"/>
    <w:rsid w:val="002C363C"/>
    <w:rsid w:val="002C44E4"/>
    <w:rsid w:val="002C53A1"/>
    <w:rsid w:val="002C682E"/>
    <w:rsid w:val="002C77D2"/>
    <w:rsid w:val="002D08B3"/>
    <w:rsid w:val="002D130E"/>
    <w:rsid w:val="002D2825"/>
    <w:rsid w:val="002D4B10"/>
    <w:rsid w:val="002D528B"/>
    <w:rsid w:val="002D7871"/>
    <w:rsid w:val="002E14E9"/>
    <w:rsid w:val="002E1B1E"/>
    <w:rsid w:val="002E2801"/>
    <w:rsid w:val="002E3246"/>
    <w:rsid w:val="002E443C"/>
    <w:rsid w:val="002E5EB4"/>
    <w:rsid w:val="002E6F90"/>
    <w:rsid w:val="002E6FFB"/>
    <w:rsid w:val="002E7847"/>
    <w:rsid w:val="002F3546"/>
    <w:rsid w:val="002F46DA"/>
    <w:rsid w:val="002F76AA"/>
    <w:rsid w:val="003020DE"/>
    <w:rsid w:val="00302EA7"/>
    <w:rsid w:val="003030FA"/>
    <w:rsid w:val="003058C6"/>
    <w:rsid w:val="00305F5A"/>
    <w:rsid w:val="003064F7"/>
    <w:rsid w:val="00310155"/>
    <w:rsid w:val="00310C4F"/>
    <w:rsid w:val="00310F1E"/>
    <w:rsid w:val="0031170C"/>
    <w:rsid w:val="00313923"/>
    <w:rsid w:val="00315001"/>
    <w:rsid w:val="003168C3"/>
    <w:rsid w:val="00316CA5"/>
    <w:rsid w:val="00317A10"/>
    <w:rsid w:val="00320941"/>
    <w:rsid w:val="00325848"/>
    <w:rsid w:val="00326C77"/>
    <w:rsid w:val="00331BD8"/>
    <w:rsid w:val="00332A0E"/>
    <w:rsid w:val="00334BAD"/>
    <w:rsid w:val="00334E39"/>
    <w:rsid w:val="003354FB"/>
    <w:rsid w:val="00335F4A"/>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758"/>
    <w:rsid w:val="00356B82"/>
    <w:rsid w:val="00356BBB"/>
    <w:rsid w:val="00361AA5"/>
    <w:rsid w:val="003626A7"/>
    <w:rsid w:val="00362719"/>
    <w:rsid w:val="00365134"/>
    <w:rsid w:val="00366393"/>
    <w:rsid w:val="003672D7"/>
    <w:rsid w:val="0037398F"/>
    <w:rsid w:val="00373F63"/>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37BA"/>
    <w:rsid w:val="003F541C"/>
    <w:rsid w:val="003F5F06"/>
    <w:rsid w:val="003F615D"/>
    <w:rsid w:val="003F6DD6"/>
    <w:rsid w:val="004009CC"/>
    <w:rsid w:val="00401A50"/>
    <w:rsid w:val="00401EDE"/>
    <w:rsid w:val="00403694"/>
    <w:rsid w:val="00404E7B"/>
    <w:rsid w:val="0040575B"/>
    <w:rsid w:val="0041076E"/>
    <w:rsid w:val="00411D88"/>
    <w:rsid w:val="00412AA4"/>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157"/>
    <w:rsid w:val="00444FB0"/>
    <w:rsid w:val="004470A9"/>
    <w:rsid w:val="0044759D"/>
    <w:rsid w:val="00450BEB"/>
    <w:rsid w:val="00450F56"/>
    <w:rsid w:val="00451810"/>
    <w:rsid w:val="00453030"/>
    <w:rsid w:val="00453681"/>
    <w:rsid w:val="0045384C"/>
    <w:rsid w:val="0045418B"/>
    <w:rsid w:val="00455E94"/>
    <w:rsid w:val="004560F5"/>
    <w:rsid w:val="004561B8"/>
    <w:rsid w:val="0046427C"/>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517E"/>
    <w:rsid w:val="00486231"/>
    <w:rsid w:val="0049041C"/>
    <w:rsid w:val="0049044B"/>
    <w:rsid w:val="00493654"/>
    <w:rsid w:val="004940F8"/>
    <w:rsid w:val="00496DDB"/>
    <w:rsid w:val="004972A7"/>
    <w:rsid w:val="00497CF9"/>
    <w:rsid w:val="00497FDE"/>
    <w:rsid w:val="004A0516"/>
    <w:rsid w:val="004A0BBC"/>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047D"/>
    <w:rsid w:val="004D3757"/>
    <w:rsid w:val="004D382D"/>
    <w:rsid w:val="004D4431"/>
    <w:rsid w:val="004D4829"/>
    <w:rsid w:val="004D71E8"/>
    <w:rsid w:val="004D757C"/>
    <w:rsid w:val="004E49ED"/>
    <w:rsid w:val="004E55D8"/>
    <w:rsid w:val="004E5EA1"/>
    <w:rsid w:val="004E6703"/>
    <w:rsid w:val="004E6770"/>
    <w:rsid w:val="004E7D52"/>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3E77"/>
    <w:rsid w:val="00507E42"/>
    <w:rsid w:val="00511E32"/>
    <w:rsid w:val="00515AEB"/>
    <w:rsid w:val="005166D0"/>
    <w:rsid w:val="0051698D"/>
    <w:rsid w:val="00517086"/>
    <w:rsid w:val="00520728"/>
    <w:rsid w:val="00524DA1"/>
    <w:rsid w:val="005271ED"/>
    <w:rsid w:val="005312B1"/>
    <w:rsid w:val="00533ED4"/>
    <w:rsid w:val="00534B78"/>
    <w:rsid w:val="00536893"/>
    <w:rsid w:val="00536B3B"/>
    <w:rsid w:val="00537D16"/>
    <w:rsid w:val="00540945"/>
    <w:rsid w:val="005431EB"/>
    <w:rsid w:val="00546333"/>
    <w:rsid w:val="00546981"/>
    <w:rsid w:val="00547517"/>
    <w:rsid w:val="00547CE7"/>
    <w:rsid w:val="00547FA9"/>
    <w:rsid w:val="00547FB2"/>
    <w:rsid w:val="0055008B"/>
    <w:rsid w:val="0055015C"/>
    <w:rsid w:val="00550AB1"/>
    <w:rsid w:val="005516C1"/>
    <w:rsid w:val="00552C1F"/>
    <w:rsid w:val="005576FB"/>
    <w:rsid w:val="005622B1"/>
    <w:rsid w:val="0056300F"/>
    <w:rsid w:val="00564562"/>
    <w:rsid w:val="005660BD"/>
    <w:rsid w:val="00567250"/>
    <w:rsid w:val="00567652"/>
    <w:rsid w:val="00570960"/>
    <w:rsid w:val="00571AD9"/>
    <w:rsid w:val="00572522"/>
    <w:rsid w:val="0057307E"/>
    <w:rsid w:val="005738AB"/>
    <w:rsid w:val="00574813"/>
    <w:rsid w:val="00575151"/>
    <w:rsid w:val="00576054"/>
    <w:rsid w:val="005801FB"/>
    <w:rsid w:val="005806E9"/>
    <w:rsid w:val="00580E13"/>
    <w:rsid w:val="0058101C"/>
    <w:rsid w:val="005812B6"/>
    <w:rsid w:val="00584B77"/>
    <w:rsid w:val="005930E1"/>
    <w:rsid w:val="005937FC"/>
    <w:rsid w:val="00595642"/>
    <w:rsid w:val="00595A87"/>
    <w:rsid w:val="00597F94"/>
    <w:rsid w:val="005A04BF"/>
    <w:rsid w:val="005A0A78"/>
    <w:rsid w:val="005A4756"/>
    <w:rsid w:val="005A5BE5"/>
    <w:rsid w:val="005A626A"/>
    <w:rsid w:val="005B0D3B"/>
    <w:rsid w:val="005B479A"/>
    <w:rsid w:val="005B526F"/>
    <w:rsid w:val="005B5891"/>
    <w:rsid w:val="005C1DCE"/>
    <w:rsid w:val="005C25A7"/>
    <w:rsid w:val="005C46FC"/>
    <w:rsid w:val="005C4F9D"/>
    <w:rsid w:val="005C55C5"/>
    <w:rsid w:val="005C5CE9"/>
    <w:rsid w:val="005C7D8D"/>
    <w:rsid w:val="005C7F76"/>
    <w:rsid w:val="005D1BEC"/>
    <w:rsid w:val="005D1F6C"/>
    <w:rsid w:val="005D3130"/>
    <w:rsid w:val="005D31E4"/>
    <w:rsid w:val="005D510F"/>
    <w:rsid w:val="005D7205"/>
    <w:rsid w:val="005D7B2A"/>
    <w:rsid w:val="005D7F10"/>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2D88"/>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4975"/>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623B8"/>
    <w:rsid w:val="006673B9"/>
    <w:rsid w:val="006722A8"/>
    <w:rsid w:val="00672B73"/>
    <w:rsid w:val="00674A86"/>
    <w:rsid w:val="006752D8"/>
    <w:rsid w:val="006761D6"/>
    <w:rsid w:val="006763BC"/>
    <w:rsid w:val="00676519"/>
    <w:rsid w:val="00676607"/>
    <w:rsid w:val="00676712"/>
    <w:rsid w:val="00676AF1"/>
    <w:rsid w:val="0067703D"/>
    <w:rsid w:val="00677B29"/>
    <w:rsid w:val="00681DEA"/>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5E8E"/>
    <w:rsid w:val="006C721D"/>
    <w:rsid w:val="006C7D95"/>
    <w:rsid w:val="006D00B7"/>
    <w:rsid w:val="006D0A38"/>
    <w:rsid w:val="006D0AF5"/>
    <w:rsid w:val="006D14F2"/>
    <w:rsid w:val="006D389C"/>
    <w:rsid w:val="006D3A6C"/>
    <w:rsid w:val="006D3E4F"/>
    <w:rsid w:val="006D4BFC"/>
    <w:rsid w:val="006D4C39"/>
    <w:rsid w:val="006D58CE"/>
    <w:rsid w:val="006D614B"/>
    <w:rsid w:val="006D6700"/>
    <w:rsid w:val="006D7E9F"/>
    <w:rsid w:val="006E0D11"/>
    <w:rsid w:val="006E19B5"/>
    <w:rsid w:val="006E2F59"/>
    <w:rsid w:val="006E2F7B"/>
    <w:rsid w:val="006E30EE"/>
    <w:rsid w:val="006E379B"/>
    <w:rsid w:val="006E475B"/>
    <w:rsid w:val="006E5C85"/>
    <w:rsid w:val="006E6C4D"/>
    <w:rsid w:val="006E6D62"/>
    <w:rsid w:val="006E6DB3"/>
    <w:rsid w:val="006E726A"/>
    <w:rsid w:val="006E761E"/>
    <w:rsid w:val="006E76D5"/>
    <w:rsid w:val="006F041C"/>
    <w:rsid w:val="006F1D86"/>
    <w:rsid w:val="006F2977"/>
    <w:rsid w:val="006F2A75"/>
    <w:rsid w:val="006F33DA"/>
    <w:rsid w:val="006F3AF3"/>
    <w:rsid w:val="006F4268"/>
    <w:rsid w:val="006F4936"/>
    <w:rsid w:val="006F5099"/>
    <w:rsid w:val="006F6B17"/>
    <w:rsid w:val="007030D4"/>
    <w:rsid w:val="00705995"/>
    <w:rsid w:val="00706E7E"/>
    <w:rsid w:val="007103F0"/>
    <w:rsid w:val="00713D6E"/>
    <w:rsid w:val="00715097"/>
    <w:rsid w:val="0071569E"/>
    <w:rsid w:val="00716032"/>
    <w:rsid w:val="00716780"/>
    <w:rsid w:val="0071775C"/>
    <w:rsid w:val="00717993"/>
    <w:rsid w:val="00717DE5"/>
    <w:rsid w:val="00721995"/>
    <w:rsid w:val="00723311"/>
    <w:rsid w:val="007235BC"/>
    <w:rsid w:val="00725C65"/>
    <w:rsid w:val="00726051"/>
    <w:rsid w:val="00730A8F"/>
    <w:rsid w:val="00730F04"/>
    <w:rsid w:val="007310B1"/>
    <w:rsid w:val="007341F6"/>
    <w:rsid w:val="00735C5B"/>
    <w:rsid w:val="0073681D"/>
    <w:rsid w:val="00736862"/>
    <w:rsid w:val="007412FC"/>
    <w:rsid w:val="007416FE"/>
    <w:rsid w:val="007424EF"/>
    <w:rsid w:val="00745104"/>
    <w:rsid w:val="00745577"/>
    <w:rsid w:val="0074576C"/>
    <w:rsid w:val="00746AF2"/>
    <w:rsid w:val="00750676"/>
    <w:rsid w:val="0075253C"/>
    <w:rsid w:val="0075307F"/>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3DAC"/>
    <w:rsid w:val="00774798"/>
    <w:rsid w:val="00775D6F"/>
    <w:rsid w:val="007809E7"/>
    <w:rsid w:val="00780A57"/>
    <w:rsid w:val="0078317E"/>
    <w:rsid w:val="007843C6"/>
    <w:rsid w:val="00786BF7"/>
    <w:rsid w:val="00786EB5"/>
    <w:rsid w:val="007872B4"/>
    <w:rsid w:val="00793515"/>
    <w:rsid w:val="00793F03"/>
    <w:rsid w:val="00795120"/>
    <w:rsid w:val="007A01DA"/>
    <w:rsid w:val="007A0A6D"/>
    <w:rsid w:val="007A1574"/>
    <w:rsid w:val="007A4630"/>
    <w:rsid w:val="007A4FE2"/>
    <w:rsid w:val="007A62BB"/>
    <w:rsid w:val="007B175B"/>
    <w:rsid w:val="007B1BD5"/>
    <w:rsid w:val="007B4668"/>
    <w:rsid w:val="007B67D5"/>
    <w:rsid w:val="007B6B93"/>
    <w:rsid w:val="007B6E2B"/>
    <w:rsid w:val="007C00B1"/>
    <w:rsid w:val="007C40E6"/>
    <w:rsid w:val="007C58F4"/>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E7077"/>
    <w:rsid w:val="007F00F1"/>
    <w:rsid w:val="007F0370"/>
    <w:rsid w:val="007F2517"/>
    <w:rsid w:val="007F6549"/>
    <w:rsid w:val="007F6E87"/>
    <w:rsid w:val="0080061A"/>
    <w:rsid w:val="00801C1E"/>
    <w:rsid w:val="008044A9"/>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0B6F"/>
    <w:rsid w:val="00832A68"/>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3B58"/>
    <w:rsid w:val="00875DDB"/>
    <w:rsid w:val="0087633F"/>
    <w:rsid w:val="0087684C"/>
    <w:rsid w:val="00880242"/>
    <w:rsid w:val="008818D1"/>
    <w:rsid w:val="00883C2A"/>
    <w:rsid w:val="00884589"/>
    <w:rsid w:val="00885CEF"/>
    <w:rsid w:val="00886C19"/>
    <w:rsid w:val="00887DE3"/>
    <w:rsid w:val="00887E96"/>
    <w:rsid w:val="00890FD5"/>
    <w:rsid w:val="008940BF"/>
    <w:rsid w:val="00895BF9"/>
    <w:rsid w:val="00895CA2"/>
    <w:rsid w:val="008A10FC"/>
    <w:rsid w:val="008A3AD7"/>
    <w:rsid w:val="008A5129"/>
    <w:rsid w:val="008A53E6"/>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3F5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2C1B"/>
    <w:rsid w:val="00924B01"/>
    <w:rsid w:val="00925743"/>
    <w:rsid w:val="00927B24"/>
    <w:rsid w:val="00930067"/>
    <w:rsid w:val="00930518"/>
    <w:rsid w:val="00930790"/>
    <w:rsid w:val="00930AC7"/>
    <w:rsid w:val="00931264"/>
    <w:rsid w:val="009315E4"/>
    <w:rsid w:val="009316E4"/>
    <w:rsid w:val="0093206C"/>
    <w:rsid w:val="009356D0"/>
    <w:rsid w:val="009363F4"/>
    <w:rsid w:val="00937971"/>
    <w:rsid w:val="00940CF4"/>
    <w:rsid w:val="00940D7B"/>
    <w:rsid w:val="00945B29"/>
    <w:rsid w:val="00946994"/>
    <w:rsid w:val="00946E07"/>
    <w:rsid w:val="00946F1F"/>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A0D"/>
    <w:rsid w:val="00984B9A"/>
    <w:rsid w:val="0098661B"/>
    <w:rsid w:val="00987324"/>
    <w:rsid w:val="00987ACD"/>
    <w:rsid w:val="009945F4"/>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1CB"/>
    <w:rsid w:val="009B2E4B"/>
    <w:rsid w:val="009B376A"/>
    <w:rsid w:val="009B5557"/>
    <w:rsid w:val="009B6941"/>
    <w:rsid w:val="009C076A"/>
    <w:rsid w:val="009C0DED"/>
    <w:rsid w:val="009C14C8"/>
    <w:rsid w:val="009C1B76"/>
    <w:rsid w:val="009C1FAF"/>
    <w:rsid w:val="009C316B"/>
    <w:rsid w:val="009C3A4E"/>
    <w:rsid w:val="009C4E02"/>
    <w:rsid w:val="009C5B1A"/>
    <w:rsid w:val="009D1E86"/>
    <w:rsid w:val="009D447D"/>
    <w:rsid w:val="009D470B"/>
    <w:rsid w:val="009E196A"/>
    <w:rsid w:val="009E24E6"/>
    <w:rsid w:val="009E3E0A"/>
    <w:rsid w:val="009E41B5"/>
    <w:rsid w:val="009E5317"/>
    <w:rsid w:val="009F1026"/>
    <w:rsid w:val="009F3A5E"/>
    <w:rsid w:val="009F3B01"/>
    <w:rsid w:val="009F4655"/>
    <w:rsid w:val="00A0217B"/>
    <w:rsid w:val="00A022DF"/>
    <w:rsid w:val="00A02BBA"/>
    <w:rsid w:val="00A03CC4"/>
    <w:rsid w:val="00A05D97"/>
    <w:rsid w:val="00A075F8"/>
    <w:rsid w:val="00A11C5A"/>
    <w:rsid w:val="00A1274F"/>
    <w:rsid w:val="00A14B55"/>
    <w:rsid w:val="00A166C0"/>
    <w:rsid w:val="00A17BBE"/>
    <w:rsid w:val="00A17EF2"/>
    <w:rsid w:val="00A20135"/>
    <w:rsid w:val="00A24576"/>
    <w:rsid w:val="00A24E1C"/>
    <w:rsid w:val="00A25EF8"/>
    <w:rsid w:val="00A268AA"/>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1F56"/>
    <w:rsid w:val="00A55289"/>
    <w:rsid w:val="00A5560C"/>
    <w:rsid w:val="00A55698"/>
    <w:rsid w:val="00A55D7B"/>
    <w:rsid w:val="00A57340"/>
    <w:rsid w:val="00A5755B"/>
    <w:rsid w:val="00A612AB"/>
    <w:rsid w:val="00A634C7"/>
    <w:rsid w:val="00A63996"/>
    <w:rsid w:val="00A63D86"/>
    <w:rsid w:val="00A650A3"/>
    <w:rsid w:val="00A65278"/>
    <w:rsid w:val="00A65DA9"/>
    <w:rsid w:val="00A66583"/>
    <w:rsid w:val="00A7192F"/>
    <w:rsid w:val="00A72506"/>
    <w:rsid w:val="00A729CF"/>
    <w:rsid w:val="00A733C4"/>
    <w:rsid w:val="00A73F2D"/>
    <w:rsid w:val="00A766CA"/>
    <w:rsid w:val="00A77BCF"/>
    <w:rsid w:val="00A77E65"/>
    <w:rsid w:val="00A83E05"/>
    <w:rsid w:val="00A8404C"/>
    <w:rsid w:val="00A84A83"/>
    <w:rsid w:val="00A85648"/>
    <w:rsid w:val="00A86FE0"/>
    <w:rsid w:val="00A873AA"/>
    <w:rsid w:val="00A914F8"/>
    <w:rsid w:val="00A9318C"/>
    <w:rsid w:val="00A932B5"/>
    <w:rsid w:val="00A965FC"/>
    <w:rsid w:val="00A9681A"/>
    <w:rsid w:val="00A9752E"/>
    <w:rsid w:val="00A97E10"/>
    <w:rsid w:val="00AA182A"/>
    <w:rsid w:val="00AA26D7"/>
    <w:rsid w:val="00AA2F5C"/>
    <w:rsid w:val="00AA5643"/>
    <w:rsid w:val="00AB1F17"/>
    <w:rsid w:val="00AB26B8"/>
    <w:rsid w:val="00AB292D"/>
    <w:rsid w:val="00AB2A7D"/>
    <w:rsid w:val="00AB6FBC"/>
    <w:rsid w:val="00AB725D"/>
    <w:rsid w:val="00AB75C4"/>
    <w:rsid w:val="00AB762B"/>
    <w:rsid w:val="00AB7D42"/>
    <w:rsid w:val="00AC07E9"/>
    <w:rsid w:val="00AC32E0"/>
    <w:rsid w:val="00AC33EF"/>
    <w:rsid w:val="00AC3966"/>
    <w:rsid w:val="00AC6A36"/>
    <w:rsid w:val="00AD0230"/>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2435"/>
    <w:rsid w:val="00B431DF"/>
    <w:rsid w:val="00B43AED"/>
    <w:rsid w:val="00B4400E"/>
    <w:rsid w:val="00B441D0"/>
    <w:rsid w:val="00B46575"/>
    <w:rsid w:val="00B50B2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1B42"/>
    <w:rsid w:val="00BD4337"/>
    <w:rsid w:val="00BD4619"/>
    <w:rsid w:val="00BD4E94"/>
    <w:rsid w:val="00BD54AD"/>
    <w:rsid w:val="00BD5584"/>
    <w:rsid w:val="00BD770A"/>
    <w:rsid w:val="00BE0861"/>
    <w:rsid w:val="00BE1311"/>
    <w:rsid w:val="00BE14BF"/>
    <w:rsid w:val="00BE1A49"/>
    <w:rsid w:val="00BE2447"/>
    <w:rsid w:val="00BE3AA0"/>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2932"/>
    <w:rsid w:val="00C32F9F"/>
    <w:rsid w:val="00C34D0B"/>
    <w:rsid w:val="00C37721"/>
    <w:rsid w:val="00C425E8"/>
    <w:rsid w:val="00C43172"/>
    <w:rsid w:val="00C434BE"/>
    <w:rsid w:val="00C442F5"/>
    <w:rsid w:val="00C45F25"/>
    <w:rsid w:val="00C47C0F"/>
    <w:rsid w:val="00C50015"/>
    <w:rsid w:val="00C50FE4"/>
    <w:rsid w:val="00C51AB1"/>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A602D"/>
    <w:rsid w:val="00CB0D94"/>
    <w:rsid w:val="00CB21D4"/>
    <w:rsid w:val="00CB21FB"/>
    <w:rsid w:val="00CB5052"/>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195F"/>
    <w:rsid w:val="00CF2F5B"/>
    <w:rsid w:val="00CF5401"/>
    <w:rsid w:val="00CF70A0"/>
    <w:rsid w:val="00CF712A"/>
    <w:rsid w:val="00D02A84"/>
    <w:rsid w:val="00D03997"/>
    <w:rsid w:val="00D044AA"/>
    <w:rsid w:val="00D044DB"/>
    <w:rsid w:val="00D06598"/>
    <w:rsid w:val="00D073CA"/>
    <w:rsid w:val="00D07541"/>
    <w:rsid w:val="00D11547"/>
    <w:rsid w:val="00D124B3"/>
    <w:rsid w:val="00D150A1"/>
    <w:rsid w:val="00D16C93"/>
    <w:rsid w:val="00D17ACB"/>
    <w:rsid w:val="00D224E7"/>
    <w:rsid w:val="00D22FA8"/>
    <w:rsid w:val="00D23878"/>
    <w:rsid w:val="00D23A05"/>
    <w:rsid w:val="00D248FA"/>
    <w:rsid w:val="00D24B8B"/>
    <w:rsid w:val="00D27E98"/>
    <w:rsid w:val="00D30BAD"/>
    <w:rsid w:val="00D30E0E"/>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86072"/>
    <w:rsid w:val="00D90723"/>
    <w:rsid w:val="00D92BDD"/>
    <w:rsid w:val="00D9534B"/>
    <w:rsid w:val="00D95DE6"/>
    <w:rsid w:val="00D97247"/>
    <w:rsid w:val="00D97F1B"/>
    <w:rsid w:val="00DA0826"/>
    <w:rsid w:val="00DA1E0C"/>
    <w:rsid w:val="00DA1E28"/>
    <w:rsid w:val="00DA4BB9"/>
    <w:rsid w:val="00DA6064"/>
    <w:rsid w:val="00DA6E51"/>
    <w:rsid w:val="00DA73E7"/>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2AC"/>
    <w:rsid w:val="00DD6A81"/>
    <w:rsid w:val="00DD6E1A"/>
    <w:rsid w:val="00DE05AF"/>
    <w:rsid w:val="00DE18F4"/>
    <w:rsid w:val="00DE207B"/>
    <w:rsid w:val="00DE3CC3"/>
    <w:rsid w:val="00DE4825"/>
    <w:rsid w:val="00DE5C7E"/>
    <w:rsid w:val="00DE6B3C"/>
    <w:rsid w:val="00DF356E"/>
    <w:rsid w:val="00DF4178"/>
    <w:rsid w:val="00DF5EA6"/>
    <w:rsid w:val="00E00164"/>
    <w:rsid w:val="00E0120D"/>
    <w:rsid w:val="00E018C0"/>
    <w:rsid w:val="00E02237"/>
    <w:rsid w:val="00E03025"/>
    <w:rsid w:val="00E03309"/>
    <w:rsid w:val="00E03C92"/>
    <w:rsid w:val="00E049C9"/>
    <w:rsid w:val="00E06FD8"/>
    <w:rsid w:val="00E15675"/>
    <w:rsid w:val="00E15DA8"/>
    <w:rsid w:val="00E17318"/>
    <w:rsid w:val="00E175F1"/>
    <w:rsid w:val="00E1776B"/>
    <w:rsid w:val="00E210FF"/>
    <w:rsid w:val="00E21440"/>
    <w:rsid w:val="00E21632"/>
    <w:rsid w:val="00E2296B"/>
    <w:rsid w:val="00E2471D"/>
    <w:rsid w:val="00E24D82"/>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0E4C"/>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88D"/>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3B"/>
    <w:rsid w:val="00F232DE"/>
    <w:rsid w:val="00F2413D"/>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4F5"/>
    <w:rsid w:val="00F61A14"/>
    <w:rsid w:val="00F61E14"/>
    <w:rsid w:val="00F62A20"/>
    <w:rsid w:val="00F643EA"/>
    <w:rsid w:val="00F646CD"/>
    <w:rsid w:val="00F64B96"/>
    <w:rsid w:val="00F66DFD"/>
    <w:rsid w:val="00F67535"/>
    <w:rsid w:val="00F67C4F"/>
    <w:rsid w:val="00F67EF7"/>
    <w:rsid w:val="00F70BDB"/>
    <w:rsid w:val="00F7173A"/>
    <w:rsid w:val="00F725EC"/>
    <w:rsid w:val="00F739A9"/>
    <w:rsid w:val="00F84A31"/>
    <w:rsid w:val="00F85CDA"/>
    <w:rsid w:val="00F86005"/>
    <w:rsid w:val="00F878B4"/>
    <w:rsid w:val="00F91CE3"/>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uiPriority w:val="99"/>
    <w:qFormat/>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uiPriority w:val="99"/>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iPriority w:val="99"/>
    <w:unhideWhenUsed/>
    <w:rsid w:val="001F4BCA"/>
    <w:rPr>
      <w:color w:val="0000FF"/>
      <w:u w:val="single"/>
    </w:rPr>
  </w:style>
  <w:style w:type="paragraph" w:customStyle="1" w:styleId="Default">
    <w:name w:val="Default"/>
    <w:uiPriority w:val="99"/>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iPriority w:val="99"/>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iPriority w:val="99"/>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uiPriority w:val="99"/>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uiPriority w:val="99"/>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uiPriority w:val="99"/>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uiPriority w:val="99"/>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uiPriority w:val="99"/>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 w:type="paragraph" w:customStyle="1" w:styleId="TableParagraph">
    <w:name w:val="Table Paragraph"/>
    <w:basedOn w:val="a0"/>
    <w:uiPriority w:val="1"/>
    <w:qFormat/>
    <w:rsid w:val="00AD0230"/>
    <w:pPr>
      <w:widowControl w:val="0"/>
      <w:autoSpaceDE w:val="0"/>
      <w:autoSpaceDN w:val="0"/>
      <w:spacing w:after="0" w:line="240" w:lineRule="auto"/>
    </w:pPr>
    <w:rPr>
      <w:rFonts w:ascii="Times New Roman" w:eastAsia="Times New Roman" w:hAnsi="Times New Roman" w:cs="Times New Roman"/>
    </w:rPr>
  </w:style>
  <w:style w:type="paragraph" w:customStyle="1" w:styleId="affffd">
    <w:basedOn w:val="a0"/>
    <w:next w:val="af0"/>
    <w:uiPriority w:val="99"/>
    <w:unhideWhenUsed/>
    <w:rsid w:val="00CB5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e">
    <w:name w:val="footnote reference"/>
    <w:uiPriority w:val="99"/>
    <w:semiHidden/>
    <w:rsid w:val="00832A68"/>
    <w:rPr>
      <w:vertAlign w:val="superscript"/>
    </w:rPr>
  </w:style>
  <w:style w:type="character" w:customStyle="1" w:styleId="1fb">
    <w:name w:val="Заголовок Знак1"/>
    <w:rsid w:val="004D047D"/>
    <w:rPr>
      <w:rFonts w:ascii="Cambria" w:eastAsia="Times New Roman" w:hAnsi="Cambria" w:cs="Times New Roman"/>
      <w:b/>
      <w:bCs/>
      <w:kern w:val="28"/>
      <w:sz w:val="32"/>
      <w:szCs w:val="32"/>
    </w:rPr>
  </w:style>
  <w:style w:type="paragraph" w:customStyle="1" w:styleId="afffff">
    <w:basedOn w:val="a0"/>
    <w:next w:val="af0"/>
    <w:uiPriority w:val="99"/>
    <w:unhideWhenUsed/>
    <w:rsid w:val="004D047D"/>
    <w:pPr>
      <w:spacing w:after="0" w:line="240" w:lineRule="auto"/>
    </w:pPr>
    <w:rPr>
      <w:rFonts w:ascii="Times New Roman" w:eastAsia="Times New Roman" w:hAnsi="Times New Roman" w:cs="Times New Roman"/>
      <w:sz w:val="24"/>
      <w:szCs w:val="24"/>
      <w:lang w:eastAsia="ru-RU"/>
    </w:rPr>
  </w:style>
  <w:style w:type="character" w:customStyle="1" w:styleId="w">
    <w:name w:val="w"/>
    <w:basedOn w:val="a1"/>
    <w:rsid w:val="004D047D"/>
  </w:style>
  <w:style w:type="character" w:styleId="HTML1">
    <w:name w:val="HTML Cite"/>
    <w:uiPriority w:val="99"/>
    <w:semiHidden/>
    <w:rsid w:val="004D047D"/>
    <w:rPr>
      <w:i/>
      <w:iCs/>
    </w:rPr>
  </w:style>
  <w:style w:type="table" w:customStyle="1" w:styleId="218">
    <w:name w:val="Таблица простая 21"/>
    <w:basedOn w:val="a2"/>
    <w:uiPriority w:val="42"/>
    <w:rsid w:val="004D047D"/>
    <w:pPr>
      <w:spacing w:after="0" w:line="240" w:lineRule="auto"/>
    </w:pPr>
    <w:rPr>
      <w:rFonts w:ascii="Calibri" w:eastAsia="Calibri" w:hAnsi="Calibri" w:cs="Times New Roman"/>
      <w:sz w:val="20"/>
      <w:szCs w:val="20"/>
      <w:lang w:val="uk-UA" w:eastAsia="uk-U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fc">
    <w:name w:val="Сетка таблицы1"/>
    <w:basedOn w:val="a2"/>
    <w:next w:val="afb"/>
    <w:uiPriority w:val="59"/>
    <w:rsid w:val="004D047D"/>
    <w:pPr>
      <w:spacing w:after="0" w:line="240" w:lineRule="auto"/>
    </w:pPr>
    <w:rPr>
      <w:rFonts w:ascii="Calibri" w:eastAsia="Calibri" w:hAnsi="Calibri" w:cs="Times New Roman"/>
      <w:lang w:val="ru-UA"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
    <w:name w:val="z1"/>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d">
    <w:name w:val="Нет списка2"/>
    <w:next w:val="a3"/>
    <w:uiPriority w:val="99"/>
    <w:semiHidden/>
    <w:unhideWhenUsed/>
    <w:rsid w:val="004D047D"/>
  </w:style>
  <w:style w:type="paragraph" w:customStyle="1" w:styleId="rtecenter">
    <w:name w:val="rtecenter"/>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6">
    <w:name w:val="Заголовок 11"/>
    <w:basedOn w:val="a0"/>
    <w:next w:val="a0"/>
    <w:uiPriority w:val="9"/>
    <w:qFormat/>
    <w:rsid w:val="004D047D"/>
    <w:pPr>
      <w:keepNext/>
      <w:keepLines/>
      <w:spacing w:before="480"/>
      <w:outlineLvl w:val="0"/>
    </w:pPr>
    <w:rPr>
      <w:rFonts w:ascii="Cambria" w:eastAsia="Times New Roman" w:hAnsi="Cambria" w:cs="Times New Roman"/>
      <w:b/>
      <w:bCs/>
      <w:color w:val="AE9638"/>
      <w:sz w:val="20"/>
      <w:szCs w:val="20"/>
    </w:rPr>
  </w:style>
  <w:style w:type="paragraph" w:customStyle="1" w:styleId="219">
    <w:name w:val="Заголовок 21"/>
    <w:basedOn w:val="a0"/>
    <w:next w:val="a0"/>
    <w:semiHidden/>
    <w:unhideWhenUsed/>
    <w:qFormat/>
    <w:rsid w:val="004D047D"/>
    <w:pPr>
      <w:keepNext/>
      <w:keepLines/>
      <w:spacing w:before="200" w:after="0"/>
      <w:outlineLvl w:val="1"/>
    </w:pPr>
    <w:rPr>
      <w:rFonts w:ascii="Cambria" w:eastAsia="Times New Roman" w:hAnsi="Cambria" w:cs="Times New Roman"/>
      <w:b/>
      <w:bCs/>
      <w:color w:val="CEB966"/>
      <w:sz w:val="26"/>
      <w:szCs w:val="26"/>
    </w:rPr>
  </w:style>
  <w:style w:type="paragraph" w:customStyle="1" w:styleId="316">
    <w:name w:val="Заголовок 31"/>
    <w:basedOn w:val="a0"/>
    <w:next w:val="a0"/>
    <w:semiHidden/>
    <w:unhideWhenUsed/>
    <w:qFormat/>
    <w:rsid w:val="004D047D"/>
    <w:pPr>
      <w:keepNext/>
      <w:keepLines/>
      <w:spacing w:before="200" w:after="0" w:line="240" w:lineRule="auto"/>
      <w:outlineLvl w:val="2"/>
    </w:pPr>
    <w:rPr>
      <w:rFonts w:ascii="Cambria" w:eastAsia="Times New Roman" w:hAnsi="Cambria" w:cs="Times New Roman"/>
      <w:b/>
      <w:bCs/>
      <w:color w:val="CEB966"/>
      <w:sz w:val="20"/>
      <w:szCs w:val="20"/>
      <w:lang w:eastAsia="ru-RU"/>
    </w:rPr>
  </w:style>
  <w:style w:type="character" w:customStyle="1" w:styleId="1fd">
    <w:name w:val="Гиперссылка1"/>
    <w:uiPriority w:val="99"/>
    <w:unhideWhenUsed/>
    <w:rsid w:val="004D047D"/>
    <w:rPr>
      <w:color w:val="410082"/>
      <w:u w:val="single"/>
    </w:rPr>
  </w:style>
  <w:style w:type="table" w:customStyle="1" w:styleId="2fe">
    <w:name w:val="Сетка таблицы2"/>
    <w:basedOn w:val="a2"/>
    <w:next w:val="afb"/>
    <w:uiPriority w:val="59"/>
    <w:rsid w:val="004D047D"/>
    <w:pPr>
      <w:spacing w:after="0" w:line="240" w:lineRule="auto"/>
    </w:pPr>
    <w:rPr>
      <w:rFonts w:ascii="Times New Roman" w:eastAsia="Times New Roman" w:hAnsi="Times New Roman" w:cs="Times New Roman"/>
      <w:sz w:val="20"/>
      <w:szCs w:val="20"/>
      <w:lang w:val="ru-UA"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rsid w:val="004D047D"/>
    <w:rPr>
      <w:rFonts w:ascii="Cambria" w:eastAsia="Times New Roman" w:hAnsi="Cambria" w:cs="Times New Roman"/>
      <w:b/>
      <w:bCs/>
      <w:color w:val="365F91"/>
      <w:lang w:eastAsia="ru-RU"/>
    </w:rPr>
  </w:style>
  <w:style w:type="character" w:customStyle="1" w:styleId="317">
    <w:name w:val="Заголовок 3 Знак1"/>
    <w:semiHidden/>
    <w:rsid w:val="004D047D"/>
    <w:rPr>
      <w:rFonts w:ascii="Cambria" w:eastAsia="Times New Roman" w:hAnsi="Cambria" w:cs="Times New Roman"/>
      <w:b/>
      <w:bCs/>
      <w:color w:val="4F81BD"/>
      <w:lang w:eastAsia="ru-RU"/>
    </w:rPr>
  </w:style>
  <w:style w:type="table" w:customStyle="1" w:styleId="TableNormal">
    <w:name w:val="Table Normal"/>
    <w:uiPriority w:val="2"/>
    <w:semiHidden/>
    <w:unhideWhenUsed/>
    <w:qFormat/>
    <w:rsid w:val="004D047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nsimpactfig">
    <w:name w:val="ns_impact__fig"/>
    <w:rsid w:val="004D047D"/>
  </w:style>
  <w:style w:type="paragraph" w:styleId="afffff0">
    <w:name w:val="endnote text"/>
    <w:basedOn w:val="a0"/>
    <w:link w:val="afffff1"/>
    <w:uiPriority w:val="99"/>
    <w:unhideWhenUsed/>
    <w:rsid w:val="004D047D"/>
    <w:pPr>
      <w:spacing w:after="0" w:line="240" w:lineRule="auto"/>
    </w:pPr>
    <w:rPr>
      <w:rFonts w:ascii="Times New Roman" w:eastAsia="Times New Roman" w:hAnsi="Times New Roman" w:cs="Times New Roman"/>
      <w:sz w:val="20"/>
      <w:szCs w:val="20"/>
      <w:lang w:eastAsia="ru-RU"/>
    </w:rPr>
  </w:style>
  <w:style w:type="character" w:customStyle="1" w:styleId="afffff1">
    <w:name w:val="Текст концевой сноски Знак"/>
    <w:basedOn w:val="a1"/>
    <w:link w:val="afffff0"/>
    <w:uiPriority w:val="99"/>
    <w:rsid w:val="004D047D"/>
    <w:rPr>
      <w:rFonts w:ascii="Times New Roman" w:eastAsia="Times New Roman" w:hAnsi="Times New Roman" w:cs="Times New Roman"/>
      <w:sz w:val="20"/>
      <w:szCs w:val="20"/>
      <w:lang w:eastAsia="ru-RU"/>
    </w:rPr>
  </w:style>
  <w:style w:type="character" w:styleId="afffff2">
    <w:name w:val="endnote reference"/>
    <w:uiPriority w:val="99"/>
    <w:semiHidden/>
    <w:unhideWhenUsed/>
    <w:rsid w:val="004D047D"/>
    <w:rPr>
      <w:vertAlign w:val="superscript"/>
    </w:rPr>
  </w:style>
  <w:style w:type="character" w:customStyle="1" w:styleId="stressed">
    <w:name w:val="stressed"/>
    <w:rsid w:val="004D047D"/>
  </w:style>
  <w:style w:type="character" w:customStyle="1" w:styleId="stress">
    <w:name w:val="stress"/>
    <w:rsid w:val="004D047D"/>
  </w:style>
  <w:style w:type="numbering" w:customStyle="1" w:styleId="3f">
    <w:name w:val="Нет списка3"/>
    <w:next w:val="a3"/>
    <w:uiPriority w:val="99"/>
    <w:semiHidden/>
    <w:unhideWhenUsed/>
    <w:rsid w:val="004D047D"/>
  </w:style>
  <w:style w:type="table" w:customStyle="1" w:styleId="3f0">
    <w:name w:val="Сетка таблицы3"/>
    <w:basedOn w:val="a2"/>
    <w:next w:val="afb"/>
    <w:uiPriority w:val="39"/>
    <w:rsid w:val="004D047D"/>
    <w:pPr>
      <w:spacing w:after="0" w:line="240" w:lineRule="auto"/>
    </w:pPr>
    <w:rPr>
      <w:rFonts w:ascii="Calibri" w:eastAsia="Calibri" w:hAnsi="Calibri" w:cs="Times New Roman"/>
      <w:lang w:val="ru-UA"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2"/>
    <w:next w:val="afb"/>
    <w:uiPriority w:val="59"/>
    <w:rsid w:val="004D047D"/>
    <w:pPr>
      <w:spacing w:after="0" w:line="240" w:lineRule="auto"/>
    </w:pPr>
    <w:rPr>
      <w:rFonts w:ascii="Calibri" w:eastAsia="Calibri" w:hAnsi="Calibri" w:cs="Times New Roman"/>
      <w:sz w:val="20"/>
      <w:szCs w:val="20"/>
      <w:lang w:val="ru-UA"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
    <w:basedOn w:val="a2"/>
    <w:next w:val="afb"/>
    <w:uiPriority w:val="39"/>
    <w:rsid w:val="004D047D"/>
    <w:pPr>
      <w:spacing w:after="0" w:line="240" w:lineRule="auto"/>
    </w:pPr>
    <w:rPr>
      <w:rFonts w:ascii="Calibri" w:eastAsia="Calibri" w:hAnsi="Calibri" w:cs="Times New Roman"/>
      <w:sz w:val="20"/>
      <w:szCs w:val="20"/>
      <w:lang w:val="ru-UA"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proc-author">
    <w:name w:val="citeproc-author"/>
    <w:rsid w:val="004D047D"/>
  </w:style>
  <w:style w:type="character" w:customStyle="1" w:styleId="citeproc-issued">
    <w:name w:val="citeproc-issued"/>
    <w:rsid w:val="004D047D"/>
  </w:style>
  <w:style w:type="character" w:customStyle="1" w:styleId="citeproc-title-plus-extra">
    <w:name w:val="citeproc-title-plus-extra"/>
    <w:rsid w:val="004D047D"/>
  </w:style>
  <w:style w:type="character" w:customStyle="1" w:styleId="citeproc-container">
    <w:name w:val="citeproc-container"/>
    <w:rsid w:val="004D047D"/>
  </w:style>
  <w:style w:type="character" w:customStyle="1" w:styleId="citeproc-container-title">
    <w:name w:val="citeproc-container-title"/>
    <w:rsid w:val="004D047D"/>
  </w:style>
  <w:style w:type="character" w:customStyle="1" w:styleId="citeproc-publisher">
    <w:name w:val="citeproc-publisher"/>
    <w:rsid w:val="004D047D"/>
  </w:style>
  <w:style w:type="character" w:customStyle="1" w:styleId="ref-title">
    <w:name w:val="ref-title"/>
    <w:rsid w:val="004D047D"/>
  </w:style>
  <w:style w:type="character" w:customStyle="1" w:styleId="ref-journal">
    <w:name w:val="ref-journal"/>
    <w:rsid w:val="004D047D"/>
  </w:style>
  <w:style w:type="character" w:customStyle="1" w:styleId="ref-vol">
    <w:name w:val="ref-vol"/>
    <w:rsid w:val="004D047D"/>
  </w:style>
  <w:style w:type="character" w:customStyle="1" w:styleId="citeproc-locators">
    <w:name w:val="citeproc-locators"/>
    <w:rsid w:val="004D047D"/>
  </w:style>
  <w:style w:type="character" w:customStyle="1" w:styleId="citeproc-volume">
    <w:name w:val="citeproc-volume"/>
    <w:rsid w:val="004D047D"/>
  </w:style>
  <w:style w:type="character" w:customStyle="1" w:styleId="citeproc-page">
    <w:name w:val="citeproc-page"/>
    <w:rsid w:val="004D047D"/>
  </w:style>
  <w:style w:type="character" w:customStyle="1" w:styleId="isbn">
    <w:name w:val="isbn"/>
    <w:rsid w:val="004D047D"/>
  </w:style>
  <w:style w:type="table" w:customStyle="1" w:styleId="4c">
    <w:name w:val="Сетка таблицы4"/>
    <w:basedOn w:val="a2"/>
    <w:next w:val="afb"/>
    <w:uiPriority w:val="59"/>
    <w:rsid w:val="004D047D"/>
    <w:pPr>
      <w:spacing w:after="0" w:line="240" w:lineRule="auto"/>
    </w:pPr>
    <w:rPr>
      <w:rFonts w:ascii="Times New Roman" w:eastAsia="Times New Roman" w:hAnsi="Times New Roman" w:cs="Times New Roman"/>
      <w:color w:val="FF0000"/>
      <w:sz w:val="28"/>
      <w:szCs w:val="28"/>
      <w:lang w:val="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rsid w:val="004D047D"/>
  </w:style>
  <w:style w:type="paragraph" w:customStyle="1" w:styleId="rvps2">
    <w:name w:val="rvps2"/>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8796674042745695337gmail-msonormal">
    <w:name w:val="m_-8796674042745695337gmail-msonormal"/>
    <w:basedOn w:val="a0"/>
    <w:rsid w:val="004D04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2;&#1086;&#1083;&#1082;&#1086;&#1074;&#1099;\Desktop\&#1054;&#1041;&#1059;&#1063;&#1045;&#1053;&#1048;&#1045;\&#1052;&#1045;&#1058;&#1054;&#1044;&#1054;&#1051;&#1054;&#1043;&#1030;&#1071;\&#1076;&#1080;&#1072;&#1075;&#1088;&#1072;&#1084;&#1084;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2;&#1086;&#1083;&#1082;&#1086;&#1074;&#1099;\Desktop\&#1044;&#1048;&#1055;&#1051;&#1054;&#1052;%20&#1052;&#1054;&#1049;\&#1050;&#1085;&#1080;&#1075;&#1072;1%20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ltDnDiag">
              <a:fgClr>
                <a:schemeClr val="tx1"/>
              </a:fgClr>
              <a:bgClr>
                <a:schemeClr val="bg1"/>
              </a:bgClr>
            </a:pattFill>
          </c:spPr>
          <c:dPt>
            <c:idx val="0"/>
            <c:bubble3D val="0"/>
            <c:spPr>
              <a:pattFill prst="ltDnDiag">
                <a:fgClr>
                  <a:schemeClr val="tx1"/>
                </a:fgClr>
                <a:bgClr>
                  <a:schemeClr val="bg1"/>
                </a:bgClr>
              </a:pattFill>
              <a:ln>
                <a:solidFill>
                  <a:schemeClr val="tx1"/>
                </a:solidFill>
              </a:ln>
            </c:spPr>
            <c:extLst>
              <c:ext xmlns:c16="http://schemas.microsoft.com/office/drawing/2014/chart" uri="{C3380CC4-5D6E-409C-BE32-E72D297353CC}">
                <c16:uniqueId val="{00000001-37EC-4D9A-80A7-A715638A12DC}"/>
              </c:ext>
            </c:extLst>
          </c:dPt>
          <c:dPt>
            <c:idx val="1"/>
            <c:bubble3D val="0"/>
            <c:spPr>
              <a:pattFill prst="dashHorz">
                <a:fgClr>
                  <a:schemeClr val="tx1"/>
                </a:fgClr>
                <a:bgClr>
                  <a:schemeClr val="bg1"/>
                </a:bgClr>
              </a:pattFill>
              <a:ln>
                <a:solidFill>
                  <a:schemeClr val="tx1"/>
                </a:solidFill>
              </a:ln>
            </c:spPr>
            <c:extLst>
              <c:ext xmlns:c16="http://schemas.microsoft.com/office/drawing/2014/chart" uri="{C3380CC4-5D6E-409C-BE32-E72D297353CC}">
                <c16:uniqueId val="{00000003-37EC-4D9A-80A7-A715638A12DC}"/>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Лист1!$H$8:$H$9</c:f>
              <c:strCache>
                <c:ptCount val="2"/>
                <c:pt idx="0">
                  <c:v>жінки</c:v>
                </c:pt>
                <c:pt idx="1">
                  <c:v>чоловіки</c:v>
                </c:pt>
              </c:strCache>
            </c:strRef>
          </c:cat>
          <c:val>
            <c:numRef>
              <c:f>Лист1!$I$8:$I$9</c:f>
              <c:numCache>
                <c:formatCode>General</c:formatCode>
                <c:ptCount val="2"/>
                <c:pt idx="0">
                  <c:v>14</c:v>
                </c:pt>
                <c:pt idx="1">
                  <c:v>2</c:v>
                </c:pt>
              </c:numCache>
            </c:numRef>
          </c:val>
          <c:extLst>
            <c:ext xmlns:c16="http://schemas.microsoft.com/office/drawing/2014/chart" uri="{C3380CC4-5D6E-409C-BE32-E72D297353CC}">
              <c16:uniqueId val="{00000004-37EC-4D9A-80A7-A715638A12D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pct5">
              <a:fgClr>
                <a:schemeClr val="tx1"/>
              </a:fgClr>
              <a:bgClr>
                <a:schemeClr val="bg1"/>
              </a:bgClr>
            </a:pattFill>
            <a:ln>
              <a:solidFill>
                <a:schemeClr val="tx1"/>
              </a:solidFill>
            </a:ln>
          </c:spPr>
          <c:dPt>
            <c:idx val="0"/>
            <c:bubble3D val="0"/>
            <c:spPr>
              <a:pattFill prst="dashVert">
                <a:fgClr>
                  <a:schemeClr val="tx1"/>
                </a:fgClr>
                <a:bgClr>
                  <a:schemeClr val="bg1"/>
                </a:bgClr>
              </a:pattFill>
              <a:ln>
                <a:solidFill>
                  <a:schemeClr val="tx1"/>
                </a:solidFill>
              </a:ln>
            </c:spPr>
            <c:extLst>
              <c:ext xmlns:c16="http://schemas.microsoft.com/office/drawing/2014/chart" uri="{C3380CC4-5D6E-409C-BE32-E72D297353CC}">
                <c16:uniqueId val="{00000001-1204-4255-847E-1E6904B04778}"/>
              </c:ext>
            </c:extLst>
          </c:dPt>
          <c:dPt>
            <c:idx val="1"/>
            <c:bubble3D val="0"/>
            <c:spPr>
              <a:pattFill prst="ltUpDiag">
                <a:fgClr>
                  <a:schemeClr val="tx1"/>
                </a:fgClr>
                <a:bgClr>
                  <a:schemeClr val="bg1"/>
                </a:bgClr>
              </a:pattFill>
              <a:ln>
                <a:solidFill>
                  <a:schemeClr val="tx1"/>
                </a:solidFill>
              </a:ln>
            </c:spPr>
            <c:extLst>
              <c:ext xmlns:c16="http://schemas.microsoft.com/office/drawing/2014/chart" uri="{C3380CC4-5D6E-409C-BE32-E72D297353CC}">
                <c16:uniqueId val="{00000003-1204-4255-847E-1E6904B04778}"/>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Лист1!$G$33:$G$35</c:f>
              <c:strCache>
                <c:ptCount val="3"/>
                <c:pt idx="0">
                  <c:v>Іноді</c:v>
                </c:pt>
                <c:pt idx="1">
                  <c:v>Часто</c:v>
                </c:pt>
                <c:pt idx="2">
                  <c:v>Щодня</c:v>
                </c:pt>
              </c:strCache>
            </c:strRef>
          </c:cat>
          <c:val>
            <c:numRef>
              <c:f>Лист1!$H$33:$H$35</c:f>
              <c:numCache>
                <c:formatCode>General</c:formatCode>
                <c:ptCount val="3"/>
                <c:pt idx="0">
                  <c:v>12</c:v>
                </c:pt>
                <c:pt idx="1">
                  <c:v>2</c:v>
                </c:pt>
                <c:pt idx="2">
                  <c:v>2</c:v>
                </c:pt>
              </c:numCache>
            </c:numRef>
          </c:val>
          <c:extLst>
            <c:ext xmlns:c16="http://schemas.microsoft.com/office/drawing/2014/chart" uri="{C3380CC4-5D6E-409C-BE32-E72D297353CC}">
              <c16:uniqueId val="{00000004-1204-4255-847E-1E6904B0477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20163954505686787"/>
          <c:y val="0.10185185185185185"/>
          <c:w val="0.53888888888888886"/>
          <c:h val="0.89814814814814814"/>
        </c:manualLayout>
      </c:layout>
      <c:pieChart>
        <c:varyColors val="1"/>
        <c:ser>
          <c:idx val="0"/>
          <c:order val="0"/>
          <c:spPr>
            <a:pattFill prst="dkDnDiag">
              <a:fgClr>
                <a:schemeClr val="tx1"/>
              </a:fgClr>
              <a:bgClr>
                <a:schemeClr val="bg1"/>
              </a:bgClr>
            </a:pattFill>
            <a:ln>
              <a:solidFill>
                <a:schemeClr val="tx1"/>
              </a:solidFill>
            </a:ln>
          </c:spPr>
          <c:dPt>
            <c:idx val="0"/>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1-93E9-43FD-93A8-96D7465DE649}"/>
              </c:ext>
            </c:extLst>
          </c:dPt>
          <c:dPt>
            <c:idx val="1"/>
            <c:bubble3D val="0"/>
            <c:spPr>
              <a:pattFill prst="smConfetti">
                <a:fgClr>
                  <a:schemeClr val="tx1"/>
                </a:fgClr>
                <a:bgClr>
                  <a:schemeClr val="bg1"/>
                </a:bgClr>
              </a:pattFill>
              <a:ln>
                <a:solidFill>
                  <a:schemeClr val="tx1"/>
                </a:solidFill>
              </a:ln>
            </c:spPr>
            <c:extLst>
              <c:ext xmlns:c16="http://schemas.microsoft.com/office/drawing/2014/chart" uri="{C3380CC4-5D6E-409C-BE32-E72D297353CC}">
                <c16:uniqueId val="{00000003-93E9-43FD-93A8-96D7465DE649}"/>
              </c:ext>
            </c:extLst>
          </c:dPt>
          <c:dLbls>
            <c:dLbl>
              <c:idx val="0"/>
              <c:layout>
                <c:manualLayout>
                  <c:x val="4.4444444444444446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3E9-43FD-93A8-96D7465DE649}"/>
                </c:ext>
              </c:extLst>
            </c:dLbl>
            <c:dLbl>
              <c:idx val="1"/>
              <c:layout>
                <c:manualLayout>
                  <c:x val="3.888888888888889E-2"/>
                  <c:y val="2.31481481481481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3E9-43FD-93A8-96D7465DE649}"/>
                </c:ext>
              </c:extLst>
            </c:dLbl>
            <c:dLbl>
              <c:idx val="2"/>
              <c:layout>
                <c:manualLayout>
                  <c:x val="-3.0555555555555555E-2"/>
                  <c:y val="-0.1157407407407408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3E9-43FD-93A8-96D7465DE649}"/>
                </c:ext>
              </c:extLst>
            </c:dLbl>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Лист1!$G$38:$G$40</c:f>
              <c:strCache>
                <c:ptCount val="3"/>
                <c:pt idx="0">
                  <c:v>Іноді</c:v>
                </c:pt>
                <c:pt idx="1">
                  <c:v>Часто</c:v>
                </c:pt>
                <c:pt idx="2">
                  <c:v>Щодня</c:v>
                </c:pt>
              </c:strCache>
            </c:strRef>
          </c:cat>
          <c:val>
            <c:numRef>
              <c:f>Лист1!$H$38:$H$40</c:f>
              <c:numCache>
                <c:formatCode>General</c:formatCode>
                <c:ptCount val="3"/>
                <c:pt idx="0">
                  <c:v>3</c:v>
                </c:pt>
                <c:pt idx="1">
                  <c:v>4</c:v>
                </c:pt>
                <c:pt idx="2">
                  <c:v>9</c:v>
                </c:pt>
              </c:numCache>
            </c:numRef>
          </c:val>
          <c:extLst>
            <c:ext xmlns:c16="http://schemas.microsoft.com/office/drawing/2014/chart" uri="{C3380CC4-5D6E-409C-BE32-E72D297353CC}">
              <c16:uniqueId val="{00000005-93E9-43FD-93A8-96D7465DE64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pct5">
              <a:fgClr>
                <a:schemeClr val="tx1"/>
              </a:fgClr>
              <a:bgClr>
                <a:schemeClr val="bg1"/>
              </a:bgClr>
            </a:pattFill>
          </c:spPr>
          <c:dPt>
            <c:idx val="0"/>
            <c:bubble3D val="0"/>
            <c:spPr>
              <a:pattFill prst="dashHorz">
                <a:fgClr>
                  <a:schemeClr val="tx1"/>
                </a:fgClr>
                <a:bgClr>
                  <a:schemeClr val="bg1"/>
                </a:bgClr>
              </a:pattFill>
              <a:ln>
                <a:solidFill>
                  <a:schemeClr val="tx1"/>
                </a:solidFill>
              </a:ln>
            </c:spPr>
            <c:extLst>
              <c:ext xmlns:c16="http://schemas.microsoft.com/office/drawing/2014/chart" uri="{C3380CC4-5D6E-409C-BE32-E72D297353CC}">
                <c16:uniqueId val="{00000001-4786-48F9-8A51-262CF704B64D}"/>
              </c:ext>
            </c:extLst>
          </c:dPt>
          <c:dPt>
            <c:idx val="1"/>
            <c:bubble3D val="0"/>
            <c:spPr>
              <a:pattFill prst="dashDnDiag">
                <a:fgClr>
                  <a:schemeClr val="tx1"/>
                </a:fgClr>
                <a:bgClr>
                  <a:schemeClr val="bg1"/>
                </a:bgClr>
              </a:pattFill>
              <a:ln>
                <a:solidFill>
                  <a:schemeClr val="tx1"/>
                </a:solidFill>
              </a:ln>
            </c:spPr>
            <c:extLst>
              <c:ext xmlns:c16="http://schemas.microsoft.com/office/drawing/2014/chart" uri="{C3380CC4-5D6E-409C-BE32-E72D297353CC}">
                <c16:uniqueId val="{00000003-4786-48F9-8A51-262CF704B64D}"/>
              </c:ext>
            </c:extLst>
          </c:dPt>
          <c:dPt>
            <c:idx val="2"/>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5-4786-48F9-8A51-262CF704B64D}"/>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Лист1!$G$45:$G$47</c:f>
              <c:strCache>
                <c:ptCount val="3"/>
                <c:pt idx="0">
                  <c:v>Іноді</c:v>
                </c:pt>
                <c:pt idx="1">
                  <c:v>Часто</c:v>
                </c:pt>
                <c:pt idx="2">
                  <c:v>Щодня</c:v>
                </c:pt>
              </c:strCache>
            </c:strRef>
          </c:cat>
          <c:val>
            <c:numRef>
              <c:f>Лист1!$H$45:$H$47</c:f>
              <c:numCache>
                <c:formatCode>General</c:formatCode>
                <c:ptCount val="3"/>
                <c:pt idx="0">
                  <c:v>4</c:v>
                </c:pt>
                <c:pt idx="1">
                  <c:v>5</c:v>
                </c:pt>
                <c:pt idx="2">
                  <c:v>7</c:v>
                </c:pt>
              </c:numCache>
            </c:numRef>
          </c:val>
          <c:extLst>
            <c:ext xmlns:c16="http://schemas.microsoft.com/office/drawing/2014/chart" uri="{C3380CC4-5D6E-409C-BE32-E72D297353CC}">
              <c16:uniqueId val="{00000006-4786-48F9-8A51-262CF704B64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pct50">
              <a:fgClr>
                <a:schemeClr val="tx1"/>
              </a:fgClr>
              <a:bgClr>
                <a:schemeClr val="bg1"/>
              </a:bgClr>
            </a:pattFill>
          </c:spPr>
          <c:dPt>
            <c:idx val="0"/>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1-C014-490A-879A-1AD557CD44F7}"/>
              </c:ext>
            </c:extLst>
          </c:dPt>
          <c:dPt>
            <c:idx val="1"/>
            <c:bubble3D val="0"/>
            <c:spPr>
              <a:pattFill prst="dashUpDiag">
                <a:fgClr>
                  <a:schemeClr val="tx1"/>
                </a:fgClr>
                <a:bgClr>
                  <a:schemeClr val="bg1"/>
                </a:bgClr>
              </a:pattFill>
              <a:ln>
                <a:solidFill>
                  <a:schemeClr val="tx1"/>
                </a:solidFill>
              </a:ln>
            </c:spPr>
            <c:extLst>
              <c:ext xmlns:c16="http://schemas.microsoft.com/office/drawing/2014/chart" uri="{C3380CC4-5D6E-409C-BE32-E72D297353CC}">
                <c16:uniqueId val="{00000003-C014-490A-879A-1AD557CD44F7}"/>
              </c:ext>
            </c:extLst>
          </c:dPt>
          <c:dPt>
            <c:idx val="2"/>
            <c:bubble3D val="0"/>
            <c:spPr>
              <a:pattFill prst="dashVert">
                <a:fgClr>
                  <a:schemeClr val="tx1"/>
                </a:fgClr>
                <a:bgClr>
                  <a:schemeClr val="bg1"/>
                </a:bgClr>
              </a:pattFill>
              <a:ln>
                <a:solidFill>
                  <a:schemeClr val="tx1"/>
                </a:solidFill>
              </a:ln>
            </c:spPr>
            <c:extLst>
              <c:ext xmlns:c16="http://schemas.microsoft.com/office/drawing/2014/chart" uri="{C3380CC4-5D6E-409C-BE32-E72D297353CC}">
                <c16:uniqueId val="{00000005-C014-490A-879A-1AD557CD44F7}"/>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Лист1!$I$52:$I$54</c:f>
              <c:strCache>
                <c:ptCount val="3"/>
                <c:pt idx="0">
                  <c:v>Іноді</c:v>
                </c:pt>
                <c:pt idx="1">
                  <c:v>Часто</c:v>
                </c:pt>
                <c:pt idx="2">
                  <c:v>Щодня</c:v>
                </c:pt>
              </c:strCache>
            </c:strRef>
          </c:cat>
          <c:val>
            <c:numRef>
              <c:f>Лист1!$J$52:$J$54</c:f>
              <c:numCache>
                <c:formatCode>General</c:formatCode>
                <c:ptCount val="3"/>
                <c:pt idx="0">
                  <c:v>5</c:v>
                </c:pt>
                <c:pt idx="1">
                  <c:v>5</c:v>
                </c:pt>
                <c:pt idx="2">
                  <c:v>6</c:v>
                </c:pt>
              </c:numCache>
            </c:numRef>
          </c:val>
          <c:extLst>
            <c:ext xmlns:c16="http://schemas.microsoft.com/office/drawing/2014/chart" uri="{C3380CC4-5D6E-409C-BE32-E72D297353CC}">
              <c16:uniqueId val="{00000006-C014-490A-879A-1AD557CD44F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Лист1!$H$20</c:f>
              <c:strCache>
                <c:ptCount val="1"/>
                <c:pt idx="0">
                  <c:v>Кількість</c:v>
                </c:pt>
              </c:strCache>
            </c:strRef>
          </c:tx>
          <c:spPr>
            <a:pattFill prst="pct50">
              <a:fgClr>
                <a:schemeClr val="tx1"/>
              </a:fgClr>
              <a:bgClr>
                <a:schemeClr val="bg1"/>
              </a:bgClr>
            </a:pattFill>
            <a:ln>
              <a:solidFill>
                <a:schemeClr val="tx1"/>
              </a:solidFill>
            </a:ln>
          </c:spPr>
          <c:invertIfNegative val="0"/>
          <c:dPt>
            <c:idx val="0"/>
            <c:invertIfNegative val="0"/>
            <c:bubble3D val="0"/>
            <c:spPr>
              <a:pattFill prst="dotGrid">
                <a:fgClr>
                  <a:schemeClr val="tx1"/>
                </a:fgClr>
                <a:bgClr>
                  <a:schemeClr val="bg1"/>
                </a:bgClr>
              </a:pattFill>
              <a:ln>
                <a:solidFill>
                  <a:schemeClr val="tx1"/>
                </a:solidFill>
              </a:ln>
            </c:spPr>
            <c:extLst>
              <c:ext xmlns:c16="http://schemas.microsoft.com/office/drawing/2014/chart" uri="{C3380CC4-5D6E-409C-BE32-E72D297353CC}">
                <c16:uniqueId val="{00000001-A055-41F2-A786-1227DB5C5B87}"/>
              </c:ext>
            </c:extLst>
          </c:dPt>
          <c:dPt>
            <c:idx val="1"/>
            <c:invertIfNegative val="0"/>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3-A055-41F2-A786-1227DB5C5B87}"/>
              </c:ext>
            </c:extLst>
          </c:dPt>
          <c:dPt>
            <c:idx val="2"/>
            <c:invertIfNegative val="0"/>
            <c:bubble3D val="0"/>
            <c:spPr>
              <a:pattFill prst="dkUpDiag">
                <a:fgClr>
                  <a:schemeClr val="tx1"/>
                </a:fgClr>
                <a:bgClr>
                  <a:schemeClr val="bg1"/>
                </a:bgClr>
              </a:pattFill>
              <a:ln>
                <a:solidFill>
                  <a:schemeClr val="tx1"/>
                </a:solidFill>
              </a:ln>
            </c:spPr>
            <c:extLst>
              <c:ext xmlns:c16="http://schemas.microsoft.com/office/drawing/2014/chart" uri="{C3380CC4-5D6E-409C-BE32-E72D297353CC}">
                <c16:uniqueId val="{00000005-A055-41F2-A786-1227DB5C5B87}"/>
              </c:ext>
            </c:extLst>
          </c:dPt>
          <c:dPt>
            <c:idx val="3"/>
            <c:invertIfNegative val="0"/>
            <c:bubble3D val="0"/>
            <c:spPr>
              <a:pattFill prst="dkHorz">
                <a:fgClr>
                  <a:schemeClr val="tx1"/>
                </a:fgClr>
                <a:bgClr>
                  <a:schemeClr val="bg1"/>
                </a:bgClr>
              </a:pattFill>
              <a:ln>
                <a:solidFill>
                  <a:schemeClr val="tx1"/>
                </a:solidFill>
              </a:ln>
            </c:spPr>
            <c:extLst>
              <c:ext xmlns:c16="http://schemas.microsoft.com/office/drawing/2014/chart" uri="{C3380CC4-5D6E-409C-BE32-E72D297353CC}">
                <c16:uniqueId val="{00000007-A055-41F2-A786-1227DB5C5B87}"/>
              </c:ext>
            </c:extLst>
          </c:dPt>
          <c:dPt>
            <c:idx val="5"/>
            <c:invertIfNegative val="0"/>
            <c:bubble3D val="0"/>
            <c:spPr>
              <a:pattFill prst="dashUpDiag">
                <a:fgClr>
                  <a:schemeClr val="tx1"/>
                </a:fgClr>
                <a:bgClr>
                  <a:schemeClr val="bg1"/>
                </a:bgClr>
              </a:pattFill>
              <a:ln>
                <a:solidFill>
                  <a:schemeClr val="tx1"/>
                </a:solidFill>
              </a:ln>
            </c:spPr>
            <c:extLst>
              <c:ext xmlns:c16="http://schemas.microsoft.com/office/drawing/2014/chart" uri="{C3380CC4-5D6E-409C-BE32-E72D297353CC}">
                <c16:uniqueId val="{00000009-A055-41F2-A786-1227DB5C5B87}"/>
              </c:ext>
            </c:extLst>
          </c:dPt>
          <c:dPt>
            <c:idx val="6"/>
            <c:invertIfNegative val="0"/>
            <c:bubble3D val="0"/>
            <c:spPr>
              <a:pattFill prst="openDmnd">
                <a:fgClr>
                  <a:schemeClr val="tx1"/>
                </a:fgClr>
                <a:bgClr>
                  <a:schemeClr val="bg1"/>
                </a:bgClr>
              </a:pattFill>
              <a:ln>
                <a:solidFill>
                  <a:schemeClr val="tx1"/>
                </a:solidFill>
              </a:ln>
            </c:spPr>
            <c:extLst>
              <c:ext xmlns:c16="http://schemas.microsoft.com/office/drawing/2014/chart" uri="{C3380CC4-5D6E-409C-BE32-E72D297353CC}">
                <c16:uniqueId val="{0000000B-A055-41F2-A786-1227DB5C5B87}"/>
              </c:ext>
            </c:extLst>
          </c:dPt>
          <c:dPt>
            <c:idx val="7"/>
            <c:invertIfNegative val="0"/>
            <c:bubble3D val="0"/>
            <c:spPr>
              <a:pattFill prst="pct30">
                <a:fgClr>
                  <a:schemeClr val="tx1"/>
                </a:fgClr>
                <a:bgClr>
                  <a:schemeClr val="bg1"/>
                </a:bgClr>
              </a:pattFill>
              <a:ln>
                <a:solidFill>
                  <a:schemeClr val="tx1"/>
                </a:solidFill>
              </a:ln>
            </c:spPr>
            <c:extLst>
              <c:ext xmlns:c16="http://schemas.microsoft.com/office/drawing/2014/chart" uri="{C3380CC4-5D6E-409C-BE32-E72D297353CC}">
                <c16:uniqueId val="{0000000D-A055-41F2-A786-1227DB5C5B87}"/>
              </c:ext>
            </c:extLst>
          </c:dPt>
          <c:cat>
            <c:strRef>
              <c:f>Лист1!$G$21:$G$28</c:f>
              <c:strCache>
                <c:ptCount val="8"/>
                <c:pt idx="0">
                  <c:v>Мп</c:v>
                </c:pt>
                <c:pt idx="1">
                  <c:v>І/Р</c:v>
                </c:pt>
                <c:pt idx="2">
                  <c:v>Пп</c:v>
                </c:pt>
                <c:pt idx="3">
                  <c:v>Пр</c:v>
                </c:pt>
                <c:pt idx="4">
                  <c:v>Юд</c:v>
                </c:pt>
                <c:pt idx="5">
                  <c:v>Х</c:v>
                </c:pt>
                <c:pt idx="6">
                  <c:v>Нт</c:v>
                </c:pt>
                <c:pt idx="7">
                  <c:v>Зі</c:v>
                </c:pt>
              </c:strCache>
            </c:strRef>
          </c:cat>
          <c:val>
            <c:numRef>
              <c:f>Лист1!$H$21:$H$28</c:f>
              <c:numCache>
                <c:formatCode>General</c:formatCode>
                <c:ptCount val="8"/>
                <c:pt idx="0">
                  <c:v>10</c:v>
                </c:pt>
                <c:pt idx="1">
                  <c:v>4</c:v>
                </c:pt>
                <c:pt idx="2">
                  <c:v>16</c:v>
                </c:pt>
                <c:pt idx="3">
                  <c:v>2</c:v>
                </c:pt>
                <c:pt idx="4">
                  <c:v>3</c:v>
                </c:pt>
                <c:pt idx="5">
                  <c:v>16</c:v>
                </c:pt>
                <c:pt idx="6">
                  <c:v>16</c:v>
                </c:pt>
                <c:pt idx="7">
                  <c:v>16</c:v>
                </c:pt>
              </c:numCache>
            </c:numRef>
          </c:val>
          <c:extLst>
            <c:ext xmlns:c16="http://schemas.microsoft.com/office/drawing/2014/chart" uri="{C3380CC4-5D6E-409C-BE32-E72D297353CC}">
              <c16:uniqueId val="{0000000E-A055-41F2-A786-1227DB5C5B87}"/>
            </c:ext>
          </c:extLst>
        </c:ser>
        <c:dLbls>
          <c:showLegendKey val="0"/>
          <c:showVal val="0"/>
          <c:showCatName val="0"/>
          <c:showSerName val="0"/>
          <c:showPercent val="0"/>
          <c:showBubbleSize val="0"/>
        </c:dLbls>
        <c:gapWidth val="150"/>
        <c:axId val="289488896"/>
        <c:axId val="289490432"/>
      </c:barChart>
      <c:catAx>
        <c:axId val="289488896"/>
        <c:scaling>
          <c:orientation val="minMax"/>
        </c:scaling>
        <c:delete val="0"/>
        <c:axPos val="b"/>
        <c:numFmt formatCode="General" sourceLinked="0"/>
        <c:majorTickMark val="out"/>
        <c:minorTickMark val="none"/>
        <c:tickLblPos val="nextTo"/>
        <c:crossAx val="289490432"/>
        <c:crosses val="autoZero"/>
        <c:auto val="1"/>
        <c:lblAlgn val="ctr"/>
        <c:lblOffset val="100"/>
        <c:noMultiLvlLbl val="0"/>
      </c:catAx>
      <c:valAx>
        <c:axId val="289490432"/>
        <c:scaling>
          <c:orientation val="minMax"/>
        </c:scaling>
        <c:delete val="0"/>
        <c:axPos val="l"/>
        <c:majorGridlines/>
        <c:numFmt formatCode="General" sourceLinked="1"/>
        <c:majorTickMark val="out"/>
        <c:minorTickMark val="none"/>
        <c:tickLblPos val="nextTo"/>
        <c:crossAx val="2894888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dashVert">
              <a:fgClr>
                <a:schemeClr val="tx1"/>
              </a:fgClr>
              <a:bgClr>
                <a:schemeClr val="bg1"/>
              </a:bgClr>
            </a:pattFill>
            <a:ln>
              <a:solidFill>
                <a:schemeClr val="tx1"/>
              </a:solidFill>
            </a:ln>
          </c:spPr>
          <c:dPt>
            <c:idx val="0"/>
            <c:bubble3D val="0"/>
            <c:spPr>
              <a:pattFill prst="ltUpDiag">
                <a:fgClr>
                  <a:schemeClr val="tx1"/>
                </a:fgClr>
                <a:bgClr>
                  <a:schemeClr val="bg1"/>
                </a:bgClr>
              </a:pattFill>
              <a:ln>
                <a:solidFill>
                  <a:schemeClr val="tx1"/>
                </a:solidFill>
              </a:ln>
            </c:spPr>
            <c:extLst>
              <c:ext xmlns:c16="http://schemas.microsoft.com/office/drawing/2014/chart" uri="{C3380CC4-5D6E-409C-BE32-E72D297353CC}">
                <c16:uniqueId val="{00000001-5E1D-4CE4-A7A6-E659AE3D7E99}"/>
              </c:ext>
            </c:extLst>
          </c:dPt>
          <c:dPt>
            <c:idx val="1"/>
            <c:bubble3D val="0"/>
            <c:spPr>
              <a:pattFill prst="diagBrick">
                <a:fgClr>
                  <a:schemeClr val="tx1"/>
                </a:fgClr>
                <a:bgClr>
                  <a:schemeClr val="bg1"/>
                </a:bgClr>
              </a:pattFill>
              <a:ln>
                <a:solidFill>
                  <a:schemeClr val="tx1"/>
                </a:solidFill>
              </a:ln>
            </c:spPr>
            <c:extLst>
              <c:ext xmlns:c16="http://schemas.microsoft.com/office/drawing/2014/chart" uri="{C3380CC4-5D6E-409C-BE32-E72D297353CC}">
                <c16:uniqueId val="{00000003-5E1D-4CE4-A7A6-E659AE3D7E99}"/>
              </c:ext>
            </c:extLst>
          </c:dPt>
          <c:dLbls>
            <c:dLbl>
              <c:idx val="0"/>
              <c:layout>
                <c:manualLayout>
                  <c:x val="5.8333333333333334E-2"/>
                  <c:y val="-2.31481481481481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1D-4CE4-A7A6-E659AE3D7E99}"/>
                </c:ext>
              </c:extLst>
            </c:dLbl>
            <c:dLbl>
              <c:idx val="1"/>
              <c:layout>
                <c:manualLayout>
                  <c:x val="-0.17499999999999999"/>
                  <c:y val="-3.703703703703703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E1D-4CE4-A7A6-E659AE3D7E99}"/>
                </c:ext>
              </c:extLst>
            </c:dLbl>
            <c:dLbl>
              <c:idx val="2"/>
              <c:layout>
                <c:manualLayout>
                  <c:x val="-5.2777777777777778E-2"/>
                  <c:y val="-1.8518518518518517E-2"/>
                </c:manualLayout>
              </c:layout>
              <c:spPr>
                <a:noFill/>
              </c:spPr>
              <c:txPr>
                <a:bodyPr/>
                <a:lstStyle/>
                <a:p>
                  <a:pPr>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E1D-4CE4-A7A6-E659AE3D7E99}"/>
                </c:ext>
              </c:extLst>
            </c:dLbl>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Лист1!$H$10:$H$12</c:f>
              <c:strCache>
                <c:ptCount val="3"/>
                <c:pt idx="0">
                  <c:v>норма</c:v>
                </c:pt>
                <c:pt idx="1">
                  <c:v>помірна депресія</c:v>
                </c:pt>
                <c:pt idx="2">
                  <c:v>важка депресія</c:v>
                </c:pt>
              </c:strCache>
            </c:strRef>
          </c:cat>
          <c:val>
            <c:numRef>
              <c:f>Лист1!$I$10:$I$12</c:f>
              <c:numCache>
                <c:formatCode>General</c:formatCode>
                <c:ptCount val="3"/>
                <c:pt idx="0">
                  <c:v>3</c:v>
                </c:pt>
                <c:pt idx="1">
                  <c:v>10</c:v>
                </c:pt>
                <c:pt idx="2">
                  <c:v>3</c:v>
                </c:pt>
              </c:numCache>
            </c:numRef>
          </c:val>
          <c:extLst>
            <c:ext xmlns:c16="http://schemas.microsoft.com/office/drawing/2014/chart" uri="{C3380CC4-5D6E-409C-BE32-E72D297353CC}">
              <c16:uniqueId val="{00000005-5E1D-4CE4-A7A6-E659AE3D7E9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pattFill prst="dashDnDiag">
              <a:fgClr>
                <a:schemeClr val="tx1"/>
              </a:fgClr>
              <a:bgClr>
                <a:schemeClr val="bg1"/>
              </a:bgClr>
            </a:pattFill>
          </c:spPr>
          <c:dPt>
            <c:idx val="0"/>
            <c:bubble3D val="0"/>
            <c:spPr>
              <a:pattFill prst="dashVert">
                <a:fgClr>
                  <a:schemeClr val="tx1"/>
                </a:fgClr>
                <a:bgClr>
                  <a:schemeClr val="bg1"/>
                </a:bgClr>
              </a:pattFill>
              <a:ln>
                <a:solidFill>
                  <a:schemeClr val="tx1"/>
                </a:solidFill>
              </a:ln>
            </c:spPr>
            <c:extLst>
              <c:ext xmlns:c16="http://schemas.microsoft.com/office/drawing/2014/chart" uri="{C3380CC4-5D6E-409C-BE32-E72D297353CC}">
                <c16:uniqueId val="{00000001-3C66-456E-A878-DFBA82ECB3EC}"/>
              </c:ext>
            </c:extLst>
          </c:dPt>
          <c:dPt>
            <c:idx val="1"/>
            <c:bubble3D val="0"/>
            <c:spPr>
              <a:pattFill prst="dashDnDiag">
                <a:fgClr>
                  <a:schemeClr val="tx1"/>
                </a:fgClr>
                <a:bgClr>
                  <a:schemeClr val="bg1"/>
                </a:bgClr>
              </a:pattFill>
              <a:ln>
                <a:solidFill>
                  <a:schemeClr val="tx1"/>
                </a:solidFill>
              </a:ln>
            </c:spPr>
            <c:extLst>
              <c:ext xmlns:c16="http://schemas.microsoft.com/office/drawing/2014/chart" uri="{C3380CC4-5D6E-409C-BE32-E72D297353CC}">
                <c16:uniqueId val="{00000003-3C66-456E-A878-DFBA82ECB3EC}"/>
              </c:ext>
            </c:extLst>
          </c:dPt>
          <c:dLbls>
            <c:dLbl>
              <c:idx val="0"/>
              <c:layout>
                <c:manualLayout>
                  <c:x val="9.4444444444444442E-2"/>
                  <c:y val="-1.851851851851851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C66-456E-A878-DFBA82ECB3EC}"/>
                </c:ext>
              </c:extLst>
            </c:dLbl>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Лист1!$G$27:$G$28</c:f>
              <c:strCache>
                <c:ptCount val="2"/>
                <c:pt idx="0">
                  <c:v>СРЗ</c:v>
                </c:pt>
                <c:pt idx="1">
                  <c:v>НРЗ</c:v>
                </c:pt>
              </c:strCache>
            </c:strRef>
          </c:cat>
          <c:val>
            <c:numRef>
              <c:f>Лист1!$H$27:$H$28</c:f>
              <c:numCache>
                <c:formatCode>General</c:formatCode>
                <c:ptCount val="2"/>
                <c:pt idx="0">
                  <c:v>4</c:v>
                </c:pt>
                <c:pt idx="1">
                  <c:v>12</c:v>
                </c:pt>
              </c:numCache>
            </c:numRef>
          </c:val>
          <c:extLst>
            <c:ext xmlns:c16="http://schemas.microsoft.com/office/drawing/2014/chart" uri="{C3380CC4-5D6E-409C-BE32-E72D297353CC}">
              <c16:uniqueId val="{00000004-3C66-456E-A878-DFBA82ECB3E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17080</Words>
  <Characters>97360</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2026-06-20T15:26:00Z</dcterms:created>
  <dcterms:modified xsi:type="dcterms:W3CDTF">2026-06-20T15:26:00Z</dcterms:modified>
</cp:coreProperties>
</file>