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AC5B" w14:textId="048E0DAC" w:rsidR="00335F4A" w:rsidRPr="00D44897" w:rsidRDefault="00D44897" w:rsidP="00D44897">
      <w:pPr>
        <w:spacing w:after="0" w:line="360" w:lineRule="auto"/>
        <w:ind w:firstLine="709"/>
        <w:jc w:val="center"/>
        <w:rPr>
          <w:rFonts w:ascii="Times New Roman" w:hAnsi="Times New Roman"/>
          <w:b/>
          <w:bCs/>
          <w:sz w:val="28"/>
          <w:szCs w:val="28"/>
          <w:lang w:val="uk-UA"/>
        </w:rPr>
      </w:pPr>
      <w:bookmarkStart w:id="0" w:name="_Hlk169558854"/>
      <w:r w:rsidRPr="00D44897">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D44897">
        <w:rPr>
          <w:rFonts w:ascii="Times New Roman" w:hAnsi="Times New Roman" w:cs="Times New Roman"/>
          <w:b/>
          <w:bCs/>
          <w:iCs/>
          <w:sz w:val="28"/>
          <w:szCs w:val="28"/>
          <w:lang w:val="uk-UA"/>
        </w:rPr>
        <w:t xml:space="preserve"> </w:t>
      </w:r>
      <w:r w:rsidRPr="00D44897">
        <w:rPr>
          <w:rFonts w:ascii="Times New Roman" w:hAnsi="Times New Roman" w:cs="Times New Roman"/>
          <w:b/>
          <w:bCs/>
          <w:iCs/>
          <w:caps/>
          <w:sz w:val="28"/>
          <w:szCs w:val="28"/>
          <w:lang w:val="uk-UA"/>
        </w:rPr>
        <w:t>соціальної адаптації вимушених переселенців в умовах сучасного соціуму</w:t>
      </w:r>
    </w:p>
    <w:p w14:paraId="11C8ABD6" w14:textId="77777777" w:rsidR="00335F4A" w:rsidRDefault="00335F4A" w:rsidP="00A02BBA">
      <w:pPr>
        <w:spacing w:after="0" w:line="360" w:lineRule="auto"/>
        <w:ind w:firstLine="709"/>
        <w:jc w:val="both"/>
        <w:rPr>
          <w:rFonts w:ascii="Times New Roman" w:hAnsi="Times New Roman"/>
          <w:sz w:val="28"/>
          <w:szCs w:val="28"/>
          <w:lang w:val="uk-UA"/>
        </w:rPr>
      </w:pPr>
    </w:p>
    <w:p w14:paraId="5FA3FB70" w14:textId="3AA80051" w:rsidR="00C1346A" w:rsidRPr="00C1346A" w:rsidRDefault="00C1346A" w:rsidP="00A02BBA">
      <w:pPr>
        <w:spacing w:after="0" w:line="360" w:lineRule="auto"/>
        <w:ind w:firstLine="709"/>
        <w:jc w:val="both"/>
        <w:rPr>
          <w:rFonts w:ascii="Times New Roman" w:hAnsi="Times New Roman"/>
          <w:b/>
          <w:bCs/>
          <w:sz w:val="28"/>
          <w:szCs w:val="28"/>
          <w:lang w:val="uk-UA"/>
        </w:rPr>
      </w:pPr>
      <w:r w:rsidRPr="00C1346A">
        <w:rPr>
          <w:rFonts w:ascii="Times New Roman" w:hAnsi="Times New Roman"/>
          <w:b/>
          <w:bCs/>
          <w:sz w:val="28"/>
          <w:szCs w:val="28"/>
        </w:rPr>
        <w:t>1.1.</w:t>
      </w:r>
      <w:r w:rsidRPr="00C1346A">
        <w:rPr>
          <w:rFonts w:ascii="Times New Roman" w:hAnsi="Times New Roman"/>
          <w:b/>
          <w:bCs/>
          <w:sz w:val="28"/>
          <w:szCs w:val="28"/>
          <w:lang w:val="uk-UA"/>
        </w:rPr>
        <w:t xml:space="preserve"> </w:t>
      </w:r>
      <w:r w:rsidRPr="00C1346A">
        <w:rPr>
          <w:rFonts w:ascii="Times New Roman" w:hAnsi="Times New Roman"/>
          <w:b/>
          <w:bCs/>
          <w:sz w:val="28"/>
          <w:szCs w:val="28"/>
        </w:rPr>
        <w:t>Сутність феномену соці</w:t>
      </w:r>
      <w:r w:rsidRPr="00C1346A">
        <w:rPr>
          <w:rFonts w:ascii="Times New Roman" w:hAnsi="Times New Roman"/>
          <w:b/>
          <w:bCs/>
          <w:sz w:val="28"/>
          <w:szCs w:val="28"/>
          <w:lang w:val="uk-UA"/>
        </w:rPr>
        <w:t>альної</w:t>
      </w:r>
      <w:r w:rsidRPr="00C1346A">
        <w:rPr>
          <w:rFonts w:ascii="Times New Roman" w:hAnsi="Times New Roman"/>
          <w:b/>
          <w:bCs/>
          <w:sz w:val="28"/>
          <w:szCs w:val="28"/>
        </w:rPr>
        <w:t xml:space="preserve"> адаптації </w:t>
      </w:r>
    </w:p>
    <w:p w14:paraId="1D1DA142" w14:textId="77777777" w:rsidR="00C1346A" w:rsidRDefault="00C1346A" w:rsidP="00A02BBA">
      <w:pPr>
        <w:spacing w:after="0" w:line="360" w:lineRule="auto"/>
        <w:ind w:firstLine="709"/>
        <w:jc w:val="both"/>
        <w:rPr>
          <w:rFonts w:ascii="Times New Roman" w:hAnsi="Times New Roman"/>
          <w:sz w:val="28"/>
          <w:szCs w:val="28"/>
          <w:lang w:val="uk-UA"/>
        </w:rPr>
      </w:pPr>
    </w:p>
    <w:p w14:paraId="1AF2F84C"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У сучасному світі, що характеризується глобалізаційними процесами, інтенсифікацією міжкультурних контактів і зростанням мобільності населення, проблема соціокультурної адаптації набуває особливої актуальності. </w:t>
      </w:r>
    </w:p>
    <w:p w14:paraId="1959222F"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Вона стосується не лише окремих осіб, які змінюють середовище проживання, але й цілих соціальних груп, що опиняються в умовах нового культурного контексту, який вимагає перегляду усталених моделей поведінки, цінностей, норм та способів взаємодії. </w:t>
      </w:r>
    </w:p>
    <w:p w14:paraId="725E2D7A"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Соціокультурна адаптація є складним і багатогранним феноменом, що охоплює процес пристосування індивіда або спільноти до нових соціальних і культурних умов з метою досягнення гармонійного співіснування з оточуючим середовищем. Цей процес включає не лише зовнішню поведінкову зміну, але й глибокі внутрішні трансформації у сфері самосприйняття, ідентичності та міжособистісного спілкування. </w:t>
      </w:r>
    </w:p>
    <w:p w14:paraId="012C214E"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У дослідженнях соціокультурна адаптація трактується як динамічний процес, а також як його результат, що полягає у входженні мігранта в нове соціокультурне середовище. Цей процес охоплює як прийняття, так і можливе відторгнення нових соціальних і культурних стандартів, норм, цінностей і моделей поведінки, характерних для культури приймаючої спільноти. </w:t>
      </w:r>
    </w:p>
    <w:p w14:paraId="7943EADC" w14:textId="39F36A2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Водночас він охоплює дві ключові складові: по-перше, це збереження індивідом елементів власної культурної ідентичності, тобто рівень підтримки рідної культури в іншокультурному середовищі; по-друге ‒ активність у міжкультурних взаємодіях, ступінь інтеграції в культуру суспільства, що приймає [11, 12].</w:t>
      </w:r>
    </w:p>
    <w:p w14:paraId="0148320D"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lastRenderedPageBreak/>
        <w:t xml:space="preserve">Один із перших науковців, який системно звернувся до проблеми соціокультурної адаптації, американський антрополог К. Оберг, підкреслював, що кожне культурне середовище ‒ це складна структура, що охоплює систему ціннісних орієнтацій, знань, вірувань і як формалізованих, так і неформальних норм, які відображаються в культурних кодах і символах. </w:t>
      </w:r>
    </w:p>
    <w:p w14:paraId="388FE71B" w14:textId="03A1D226"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Ці елементи виявляються у щоденній практиці ‒ через моделі поведінки, способи спілкування (словесного і позасловесного), манери, одяг, харчові вподобання, обряди, звичаї, а також форми організації міжособистісних, родинних, трудових і дружніх стосунків, які формують наше орієнтування в соціальному просторі [9]. </w:t>
      </w:r>
    </w:p>
    <w:p w14:paraId="562042F9"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Потрапляючи в новий культурний контекст, мігрант часто стикається з втратою знайомих орієнтирів, що призводить до дезорієнтації та емоційного напруження. Це явище відоме в науковій літературі як «культурний шок». Уперше поняття було введене антропологинею К. Дюбуа для опису стану культурної розгубленості й суперечливих відчуттів, які переживали дослідники під час взаємодії з представниками інших культур. </w:t>
      </w:r>
    </w:p>
    <w:p w14:paraId="4F509BBF"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К. Оберг розширив сферу застосування цього терміна, поширивши його на всіх, хто перебуває в новому культурному середовищі протягом тривалого часу. Згідно з його концепцією, культурний шок виникає внаслідок внутрішнього зіткнення індивіда між попередніми культурними установками та новими нормами, і проходить чотири послідовні стадії: </w:t>
      </w:r>
    </w:p>
    <w:p w14:paraId="123943B0"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«медовий місяць» ‒ період ідеалізації нового середовища; </w:t>
      </w:r>
    </w:p>
    <w:p w14:paraId="43A5D872"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регресія ‒ усвідомлення труднощів, дратівливість і культурне відчуження; </w:t>
      </w:r>
    </w:p>
    <w:p w14:paraId="5AB211F8" w14:textId="7C682D7C"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поступове пристосування до нових умов; </w:t>
      </w:r>
    </w:p>
    <w:p w14:paraId="1BB77EF2" w14:textId="698DB7D8"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стабілізація й формування нової гармонійної адаптації [8]. </w:t>
      </w:r>
    </w:p>
    <w:p w14:paraId="3C32787B"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Початкова фаза соціокультурної адаптації, яку К. Оберг описав як період «медового місяця», характеризується емоційним піднесенням та зацікавленістю новою культурною дійсністю. </w:t>
      </w:r>
    </w:p>
    <w:p w14:paraId="26A84174"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lastRenderedPageBreak/>
        <w:t xml:space="preserve">У цей час ‒ зазвичай протягом перших днів або тижнів ‒ більшість новоприбулих активно досліджують нове середовище, захоплюючись його особливостями, відкрито сприймають відмінності і бачать у них позитив. </w:t>
      </w:r>
    </w:p>
    <w:p w14:paraId="2831C396" w14:textId="3058EDB3"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Тривалість цієї стадії може коливатися ‒ від кількох днів до декількох місяців. Проте, якщо особа залишається в чужому культурному середовищі на триваліший період, з’являються виклики, пов’язані з побутовими незручностями, мовним бар’єром, юридичними труднощами та нестачею підтримки.</w:t>
      </w:r>
    </w:p>
    <w:p w14:paraId="7DE08236" w14:textId="28F05D23"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 Це знаменує початок другої фази ‒ регресивної або кризової, яка проявляється у зростаючій критичності до країни проживання та її громадян.</w:t>
      </w:r>
    </w:p>
    <w:p w14:paraId="002A4245"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 Людина може відчувати ізоляцію, фрустрацію й розчарування. Якщо вона здатна подолати ці труднощі, процес адаптації продовжується; в іншому разі особа ризикує застрягнути на цьому етапі надовго або навіть повернутися до країни походження. </w:t>
      </w:r>
    </w:p>
    <w:p w14:paraId="5C355CAC"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У разі успішного проходження попередньої стадії настає третя ‒ адаптивна фаза. Вона починається тоді, коли індивід починає опановувати базові знання про мову, суспільні правила, культурні особливості нового середовища. </w:t>
      </w:r>
    </w:p>
    <w:p w14:paraId="71E982E3" w14:textId="4612D9AB"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Незважаючи на те, що проблеми ще існують, до них формується більш раціональне ставлення. </w:t>
      </w:r>
    </w:p>
    <w:p w14:paraId="0BC2AA7B"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На цьому етапі людина вже не відкидає нову реальність, а намагається її зрозуміти, інтерпретувати та інтегрувати у власний досвід. </w:t>
      </w:r>
    </w:p>
    <w:p w14:paraId="22DADC04" w14:textId="748D5658"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Заключна стадія, яку </w:t>
      </w:r>
      <w:r w:rsidR="002D0F85">
        <w:rPr>
          <w:rFonts w:ascii="Times New Roman" w:hAnsi="Times New Roman"/>
          <w:sz w:val="28"/>
          <w:szCs w:val="28"/>
          <w:lang w:val="uk-UA"/>
        </w:rPr>
        <w:t xml:space="preserve">К. </w:t>
      </w:r>
      <w:r w:rsidRPr="00C1346A">
        <w:rPr>
          <w:rFonts w:ascii="Times New Roman" w:hAnsi="Times New Roman"/>
          <w:sz w:val="28"/>
          <w:szCs w:val="28"/>
        </w:rPr>
        <w:t xml:space="preserve">Оберг визначив як «фаза відновлення», характеризується значним зменшенням впливу культурного шоку. Мігрант починає сприймати місцеві традиції, норми й стиль життя не як чужі або ворожі, а як інший ‒ але легітимний ‒ спосіб існування. </w:t>
      </w:r>
    </w:p>
    <w:p w14:paraId="43008AA0" w14:textId="77777777"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З’являється повага до нової культури, бажання краще її пізнати, і врешті ‒ почуття приналежності до нового соціуму [9]. Основна думка К. Оберга полягає в тому, що культурний шок є наслідком нездатності адекватно інтерпретувати поведінку оточення, що, своєю чергою, породжує дезорієнтацію.</w:t>
      </w:r>
    </w:p>
    <w:p w14:paraId="0FD70E5B" w14:textId="484E6710" w:rsid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lastRenderedPageBreak/>
        <w:t xml:space="preserve"> Проте ця реакція не є нездоланною ‒ вона може бути подолана через поступове занурення в нову культурну систему, осмислення її символів та значень [12]. </w:t>
      </w:r>
    </w:p>
    <w:p w14:paraId="3422C32B"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Протягом останніх років концепція культурного шоку стала підґрунтям для значної кількості наукових досліджень, які присвячені вивченню адаптаційного процесу мігрантів у нових культурних умовах. На основі цих праць були сформовані різноманітні теоретичні моделі ‒ так звані «адаптаційні криві», які в графічній формі демонструють зміну емоційного стану, настанов і реакцій мігрантів у часі протягом усього періоду їх адаптації. </w:t>
      </w:r>
    </w:p>
    <w:p w14:paraId="5214E9B8" w14:textId="34A60E75"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У енциклопедичному контексті термін «динаміка» трактується як процес змін того чи іншого явища під впливом як зовнішніх, так і внутрішніх чинників або рушійних сил, що визначають його спрямованість, природу та наслідки [13]. </w:t>
      </w:r>
    </w:p>
    <w:p w14:paraId="545048B7"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Відповідно, динаміку соціокультурної адаптації можна охарактеризувати як процес поступових трансформацій у психоемоційному стані та настановах мігранта протягом періоду адаптації до нового соціокультурного середовища, яке є для нього незвичним. </w:t>
      </w:r>
    </w:p>
    <w:p w14:paraId="23D34B84"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Однією з перших фундаментальних і широко визнаних теоретичних моделей, що описують таку динаміку, є концепція U-подібної кривої адаптації, запропонована норвезьким соціологом С. Лісгаардом. </w:t>
      </w:r>
    </w:p>
    <w:p w14:paraId="5CB5DC87"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Базуючись на серії емпіричних досліджень серед короткотермінових і довготермінових мігрантів із Норвегії у Сполучених Штатах Америки, С. Лісгаард дійшов висновку, що адаптаційний процес має часову послідовність і підпорядковується U-подібній кривій, яка охоплює три основні фази: </w:t>
      </w:r>
    </w:p>
    <w:p w14:paraId="13C2145C"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Фаза позитивної початкової адаптації; </w:t>
      </w:r>
    </w:p>
    <w:p w14:paraId="1B983B01"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Фаза адаптаційної кризи; </w:t>
      </w:r>
    </w:p>
    <w:p w14:paraId="6B202665"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Фаза повторного набуття позитивної адаптації. У початковий період перебування за кордоном більшість мігрантів демонструють оптимістичний настрій та ентузіазм.</w:t>
      </w:r>
    </w:p>
    <w:p w14:paraId="511331B8"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lastRenderedPageBreak/>
        <w:t xml:space="preserve"> Вони відкриті до пізнання нової культури, прагнуть налагодити соціальні контакти та інтегруватися в нове середовище, очікуючи на успішну взаємодію в нових умовах. Згодом, після певного часу (тривалість якого індивідуальна для кожної особи), настає друга стадія ‒ фаза культурного та емоційного напруження, або 12 адаптаційна криза.</w:t>
      </w:r>
    </w:p>
    <w:p w14:paraId="5998B1B4"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 Міграційна реальність виявляється значно складнішою, ніж здавалося на початку: соціальні норми, правила та культурні коди країни перебування здаються незрозумілими або навіть ворожими. </w:t>
      </w:r>
    </w:p>
    <w:p w14:paraId="0740C8A6"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Мігрант може відчувати ізольованість, емоційний дискомфорт, нерозуміння та нездатність адаптуватися. У третій фазі, яка настає за умови тривалого контакту з новим культурним середовищем, відбувається поступове відновлення позитивного ставлення. </w:t>
      </w:r>
    </w:p>
    <w:p w14:paraId="494D97A6" w14:textId="40BF857C"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Із часом особа краще знайомиться з особливостями нового соціального устрою, починає краще орієнтуватися у правилах, поведінкових моделях та мові, а також відчуває себе частиною нового соціуму. Це сприяє зростанню внутрішнього прийняття нової культури та поверненню мотивації до інтеграції в неї [13]. </w:t>
      </w:r>
    </w:p>
    <w:p w14:paraId="3EA192F2"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С. Лісгаард висунув ключове положення, згідно з яким адаптаційний процес є часово зумовленим і має пряму залежність від тривалості перебування мігранта в новому соціокультурному просторі. Іншими словами, чим довше мігрант перебуває у взаємодії з представниками іншої культури, тим більша вірогідність того, що його інтеграція у нові умови життєдіяльності відбуватиметься більш успішно та поступово [18]. </w:t>
      </w:r>
    </w:p>
    <w:p w14:paraId="23FEC894"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П. Адлер у своїй роботі «Перехідний досвід: альтернативне бачення культурного шоку» охарактеризував соціокультурну адаптацію як перехідний шлях ‒ від початкового етапу з обмеженим розумінням себе та іншої культури до стану глибокого усвідомлення і власної ідентичності, і культурного різноманіття навколо. </w:t>
      </w:r>
    </w:p>
    <w:p w14:paraId="54C68C9D" w14:textId="5644DA74"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Він запропонував модель трирівневого підходу до вивчення адаптаційної динаміки, в якій виокремив когнітивний (сприйняття), емоційний (переживання) та </w:t>
      </w:r>
      <w:r w:rsidRPr="00C1346A">
        <w:rPr>
          <w:rFonts w:ascii="Times New Roman" w:hAnsi="Times New Roman"/>
          <w:sz w:val="28"/>
          <w:szCs w:val="28"/>
        </w:rPr>
        <w:lastRenderedPageBreak/>
        <w:t>поведінковий (соціальні дії) рівні. У межах цієї моделі</w:t>
      </w:r>
      <w:r w:rsidR="002D0F85">
        <w:rPr>
          <w:rFonts w:ascii="Times New Roman" w:hAnsi="Times New Roman"/>
          <w:sz w:val="28"/>
          <w:szCs w:val="28"/>
          <w:lang w:val="uk-UA"/>
        </w:rPr>
        <w:t xml:space="preserve"> </w:t>
      </w:r>
      <w:r w:rsidRPr="00C1346A">
        <w:rPr>
          <w:rFonts w:ascii="Times New Roman" w:hAnsi="Times New Roman"/>
          <w:sz w:val="28"/>
          <w:szCs w:val="28"/>
        </w:rPr>
        <w:t xml:space="preserve">Адлер виділив п’ять ключових етапів адаптаційного процесу: </w:t>
      </w:r>
    </w:p>
    <w:p w14:paraId="4FD3F5BF"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стадія контакту; </w:t>
      </w:r>
    </w:p>
    <w:p w14:paraId="14EA5A6F"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стадія дезінтеграції; </w:t>
      </w:r>
    </w:p>
    <w:p w14:paraId="6A0025CF"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стадія реінтеграції; </w:t>
      </w:r>
    </w:p>
    <w:p w14:paraId="45D5FA1D" w14:textId="7D9C2338"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sym w:font="Symbol" w:char="F02D"/>
      </w:r>
      <w:r w:rsidRPr="00C1346A">
        <w:rPr>
          <w:rFonts w:ascii="Times New Roman" w:hAnsi="Times New Roman"/>
          <w:sz w:val="28"/>
          <w:szCs w:val="28"/>
        </w:rPr>
        <w:t xml:space="preserve"> стадія автономії; </w:t>
      </w:r>
    </w:p>
    <w:p w14:paraId="75A8FD45" w14:textId="1794F3AB"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 </w:t>
      </w:r>
      <w:r w:rsidRPr="00C1346A">
        <w:rPr>
          <w:rFonts w:ascii="Times New Roman" w:hAnsi="Times New Roman"/>
          <w:sz w:val="28"/>
          <w:szCs w:val="28"/>
        </w:rPr>
        <w:sym w:font="Symbol" w:char="F02D"/>
      </w:r>
      <w:r w:rsidRPr="00C1346A">
        <w:rPr>
          <w:rFonts w:ascii="Times New Roman" w:hAnsi="Times New Roman"/>
          <w:sz w:val="28"/>
          <w:szCs w:val="28"/>
        </w:rPr>
        <w:t xml:space="preserve"> стадія незалежності. </w:t>
      </w:r>
    </w:p>
    <w:p w14:paraId="75227E8E"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Початковий етап, який Адлер називає контактним, супроводжується зацікавленням мігранта новим середовищем. Особа виявляє захоплення культурними відмінностями, які вона самостійно ідентифікує та інтерпретує як позитивні. Емоційно людина відчуває мотивацію до пізнання незнайомого, а в соціальному аспекті активно шукає шляхи до включення в нову спільноту. </w:t>
      </w:r>
    </w:p>
    <w:p w14:paraId="7D919825" w14:textId="519DE5EC"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За словами П. Адлера, в цей період особа ще тісно прив’язана до своєї рідної культури і оцінює нове середовище крізь призму етноцентричного бачення. Вона схильна концентрувати увагу на культурних схожостях, ніж на розбіжностях, що зміцнює її впевненість у потенційному прийнятті новим соціумом і підтримує прагнення до особистісного та культурного розвитку [1]. </w:t>
      </w:r>
    </w:p>
    <w:p w14:paraId="24A9EEC9"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У фазі дезінтеграції культурні контрасти між мігрантом і приймаючим суспільством стають дедалі очевиднішими внаслідок розбіжностей у моделях поведінки. Емоційно людина переживає внутрішню дезорієнтацію, нерозуміння нових вимог і невпевненість у власній здатності реагувати на ситуації відповідно до нових норм. </w:t>
      </w:r>
    </w:p>
    <w:p w14:paraId="2723E8FB"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Соціально ж ‒ вона почувається ізольованою, виключеною з приймаючого середовища, чужою. П. Адлер вважає, що саме в цей період відбувається формування основ для нової ідентичності особи. Посилення культурних контрастів спричиняє негативні реакції ‒ роздратування, відчуження, а інколи й депресивні настрої. </w:t>
      </w:r>
    </w:p>
    <w:p w14:paraId="4BDD0503" w14:textId="79161E3A"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lastRenderedPageBreak/>
        <w:t xml:space="preserve">Через зниження здатності орієнтуватися в соціальних сигналах нової культури, знайомі культурні орієнтири втрачають свою ефективність, що підштовхує до необхідності опанування нових форм культурного кодування та комунікації. Відбувається руйнування попередніх особистісних структур і паралельне формування нових знань та поведінкових моделей, які відповідають іншим культурним умовам [1]. </w:t>
      </w:r>
    </w:p>
    <w:p w14:paraId="6FF66A73" w14:textId="2CF8F96E"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На стадії реінтеграції особа починає з обережністю сприймати культурні особливості нової спільноти (когнітивний рівень), переживає тривожність,  розчарування (емоційна сфера), а її поведінка набуває критичних, часто упереджених форм по відношенню до місцевої культури (соціальна площина). Цей етап позначений несприйняттям культурних символів і норм приймаючого середовища. </w:t>
      </w:r>
    </w:p>
    <w:p w14:paraId="5D3DB169"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Мігрант узагальнює культурні явища, використовуючи стереотипні уявлення, що часто супроводжуються негативною оцінкою. У цей період він, зазвичай, обмежується спілкуванням переважно з представниками власної етнокультурної групи. </w:t>
      </w:r>
    </w:p>
    <w:p w14:paraId="0214D7A1" w14:textId="6685B4B2"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Незрозумілі або незвичні культурні елементи викликають у нього внутрішню боротьбу, суперечливі емоції ‒ знак поступового зростання культурної рефлексії. Мігрант опиняється перед вибором: залишитися на рівні попереднього досвіду, повертаючись до моделей дезінтеграції, або рухатися вперед, шукаючи нові способи взаємодії з оточенням, розвиваючи альтернативне культурне бачення [1</w:t>
      </w:r>
      <w:r w:rsidR="002D0F85">
        <w:rPr>
          <w:rFonts w:ascii="Times New Roman" w:hAnsi="Times New Roman"/>
          <w:sz w:val="28"/>
          <w:szCs w:val="28"/>
          <w:lang w:val="uk-UA"/>
        </w:rPr>
        <w:t>3</w:t>
      </w:r>
      <w:r w:rsidRPr="00C1346A">
        <w:rPr>
          <w:rFonts w:ascii="Times New Roman" w:hAnsi="Times New Roman"/>
          <w:sz w:val="28"/>
          <w:szCs w:val="28"/>
        </w:rPr>
        <w:t xml:space="preserve">]. </w:t>
      </w:r>
    </w:p>
    <w:p w14:paraId="08B1127C" w14:textId="77777777" w:rsidR="00734BA8"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Четверта фаза, яка визначається як етап автономії, характеризується тим, що особа на когнітивному рівні визнає наявність і право на існування як культурних подібностей, так і відмінностей між своєю культурною ідентичністю та тією, яка домінує в новому середовищі. У плані емоцій, з’являється впевненість, стабільність і внутрішній комфорт.</w:t>
      </w:r>
    </w:p>
    <w:p w14:paraId="3F0D0722" w14:textId="3271F24C" w:rsidR="00C1346A" w:rsidRPr="00C1346A" w:rsidRDefault="00C1346A" w:rsidP="00A02BBA">
      <w:pPr>
        <w:spacing w:after="0" w:line="360" w:lineRule="auto"/>
        <w:ind w:firstLine="709"/>
        <w:jc w:val="both"/>
        <w:rPr>
          <w:rFonts w:ascii="Times New Roman" w:hAnsi="Times New Roman"/>
          <w:sz w:val="28"/>
          <w:szCs w:val="28"/>
          <w:lang w:val="uk-UA"/>
        </w:rPr>
      </w:pPr>
      <w:r w:rsidRPr="00C1346A">
        <w:rPr>
          <w:rFonts w:ascii="Times New Roman" w:hAnsi="Times New Roman"/>
          <w:sz w:val="28"/>
          <w:szCs w:val="28"/>
        </w:rPr>
        <w:t xml:space="preserve"> На соціальному рівні особа демонструє готовність активно включатися в різні аспекти життя суспільства, оскільки вже опанувала важливі навички культурної інтерпретації, починає краще розуміти інші культурні коди й норми. Це </w:t>
      </w:r>
      <w:r w:rsidRPr="00C1346A">
        <w:rPr>
          <w:rFonts w:ascii="Times New Roman" w:hAnsi="Times New Roman"/>
          <w:sz w:val="28"/>
          <w:szCs w:val="28"/>
        </w:rPr>
        <w:lastRenderedPageBreak/>
        <w:t>свідчить про глибший рівень соціальної інтеграції та здатність особи до ефективної участі в міжкультурній взаємодії [2</w:t>
      </w:r>
      <w:r w:rsidR="002D0F85">
        <w:rPr>
          <w:rFonts w:ascii="Times New Roman" w:hAnsi="Times New Roman"/>
          <w:sz w:val="28"/>
          <w:szCs w:val="28"/>
          <w:lang w:val="uk-UA"/>
        </w:rPr>
        <w:t>4</w:t>
      </w:r>
      <w:r w:rsidRPr="00C1346A">
        <w:rPr>
          <w:rFonts w:ascii="Times New Roman" w:hAnsi="Times New Roman"/>
          <w:sz w:val="28"/>
          <w:szCs w:val="28"/>
        </w:rPr>
        <w:t>].</w:t>
      </w:r>
    </w:p>
    <w:p w14:paraId="6468BCF8" w14:textId="77777777" w:rsidR="00C1346A" w:rsidRDefault="00C1346A" w:rsidP="00734BA8">
      <w:pPr>
        <w:spacing w:after="0" w:line="360" w:lineRule="auto"/>
        <w:jc w:val="both"/>
        <w:rPr>
          <w:rFonts w:ascii="Times New Roman" w:hAnsi="Times New Roman"/>
          <w:b/>
          <w:bCs/>
          <w:sz w:val="28"/>
          <w:szCs w:val="28"/>
          <w:lang w:val="uk-UA"/>
        </w:rPr>
      </w:pPr>
    </w:p>
    <w:p w14:paraId="2A768B5A" w14:textId="3D5E4423" w:rsidR="00631B5A" w:rsidRPr="00631B5A" w:rsidRDefault="00631B5A" w:rsidP="00A02BBA">
      <w:pPr>
        <w:spacing w:after="0" w:line="360" w:lineRule="auto"/>
        <w:ind w:firstLine="709"/>
        <w:jc w:val="both"/>
        <w:rPr>
          <w:rFonts w:ascii="Times New Roman" w:hAnsi="Times New Roman"/>
          <w:b/>
          <w:bCs/>
          <w:sz w:val="28"/>
          <w:szCs w:val="28"/>
          <w:lang w:val="uk-UA"/>
        </w:rPr>
      </w:pPr>
      <w:r w:rsidRPr="00631B5A">
        <w:rPr>
          <w:rFonts w:ascii="Times New Roman" w:hAnsi="Times New Roman"/>
          <w:b/>
          <w:bCs/>
          <w:sz w:val="28"/>
          <w:szCs w:val="28"/>
          <w:lang w:val="uk-UA"/>
        </w:rPr>
        <w:t>1.</w:t>
      </w:r>
      <w:r w:rsidR="00C1346A">
        <w:rPr>
          <w:rFonts w:ascii="Times New Roman" w:hAnsi="Times New Roman"/>
          <w:b/>
          <w:bCs/>
          <w:sz w:val="28"/>
          <w:szCs w:val="28"/>
          <w:lang w:val="uk-UA"/>
        </w:rPr>
        <w:t>2</w:t>
      </w:r>
      <w:r w:rsidRPr="00631B5A">
        <w:rPr>
          <w:rFonts w:ascii="Times New Roman" w:hAnsi="Times New Roman"/>
          <w:b/>
          <w:bCs/>
          <w:sz w:val="28"/>
          <w:szCs w:val="28"/>
          <w:lang w:val="uk-UA"/>
        </w:rPr>
        <w:t>. О</w:t>
      </w:r>
      <w:r w:rsidRPr="00631B5A">
        <w:rPr>
          <w:rFonts w:ascii="Times New Roman" w:hAnsi="Times New Roman"/>
          <w:b/>
          <w:bCs/>
          <w:sz w:val="28"/>
          <w:szCs w:val="28"/>
        </w:rPr>
        <w:t>сновні проблеми соціально</w:t>
      </w:r>
      <w:r w:rsidRPr="00631B5A">
        <w:rPr>
          <w:rFonts w:ascii="Times New Roman" w:hAnsi="Times New Roman"/>
          <w:b/>
          <w:bCs/>
          <w:sz w:val="28"/>
          <w:szCs w:val="28"/>
          <w:lang w:val="uk-UA"/>
        </w:rPr>
        <w:t xml:space="preserve">ї </w:t>
      </w:r>
      <w:r w:rsidRPr="00631B5A">
        <w:rPr>
          <w:rFonts w:ascii="Times New Roman" w:hAnsi="Times New Roman"/>
          <w:b/>
          <w:bCs/>
          <w:sz w:val="28"/>
          <w:szCs w:val="28"/>
        </w:rPr>
        <w:t>адаптації вимушених переселенців в Україні</w:t>
      </w:r>
    </w:p>
    <w:p w14:paraId="67904540" w14:textId="77777777" w:rsidR="00631B5A" w:rsidRDefault="00631B5A" w:rsidP="00A02BBA">
      <w:pPr>
        <w:spacing w:after="0" w:line="360" w:lineRule="auto"/>
        <w:ind w:firstLine="709"/>
        <w:jc w:val="both"/>
        <w:rPr>
          <w:rFonts w:ascii="Times New Roman" w:hAnsi="Times New Roman"/>
          <w:sz w:val="28"/>
          <w:szCs w:val="28"/>
          <w:lang w:val="uk-UA"/>
        </w:rPr>
      </w:pPr>
    </w:p>
    <w:p w14:paraId="4211CC5D"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Внаслідок інтенсифікації міжетнічних контактів недавнім часом відбулось потужне зіткнення різних культур. Часто суперечливі одна одній картини світу, різні системи цінностей зумовили необхідність їх інтегрування на рівні індивідуальної свідо мості до психологічної адаптації до іншої системи смислів і цінностей. </w:t>
      </w:r>
    </w:p>
    <w:p w14:paraId="78DC3647"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Необхідність вивчення психологічної адаптації до іншого соціо культурного середовища пов’язана з недостатньою розробленістю проблеми: точуться дискусії щодо тлумачення поняття психологічної адаптації до іншого соціокультурного середовища, сутності цього явища, компонентів структури, критеріїв адаптованості/дезадап- тованості. </w:t>
      </w:r>
    </w:p>
    <w:p w14:paraId="418C7044"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Різним аспектам проблеми психологічної адаптації в іншому соціокультурному середовищі присвятили свої на укові пошуки дослідники різних галузей науки</w:t>
      </w:r>
      <w:r>
        <w:rPr>
          <w:rFonts w:ascii="Times New Roman" w:hAnsi="Times New Roman"/>
          <w:sz w:val="28"/>
          <w:szCs w:val="28"/>
          <w:lang w:val="uk-UA"/>
        </w:rPr>
        <w:t xml:space="preserve">. </w:t>
      </w:r>
    </w:p>
    <w:p w14:paraId="555A6CEC"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Однак, незважаючи на значний інтерес науковців до неї, певні аспекти проблеми залишаються малодослідженими. Це стосується особливостей соціально-психологічної адаптації до нового соціокультурного середовища. </w:t>
      </w:r>
    </w:p>
    <w:p w14:paraId="7F23CDB5"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Психологічна адаптація до іншого культурного середовища є однією зі сфер теоретичного та емпіричного дослідження процесів акультурації. </w:t>
      </w:r>
    </w:p>
    <w:p w14:paraId="204CD257" w14:textId="3E2E24FA"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Приміром, з початку 50-х років XX століття в руслі дос ліджень адаптації до нового культурного середовища переважають дослідження, присвячені вивченню психологічного потрясіння, пере житого при зіткненні з іншим соціокультурним контекстом, – «культурного шоку», «шоку переходу» або «культурної стомлюваності». </w:t>
      </w:r>
    </w:p>
    <w:p w14:paraId="349CA7BD"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lastRenderedPageBreak/>
        <w:t xml:space="preserve">Ці поняття об’єднують виражені патологічні феномени (симптоми), що виникають у психічному, фізичному і психологічному самопочутті людей, спричиненому входженням до нового, а значить – певною мірою стресогенного середовища, виявами якого є фіксованість на стані здоров’я, підвищена чутливість, загальна тривожність, дратівли вість, психосоматичні розлади, депресія, вразливість у міжособистіс них відносинах, відчуття втрати контролю над ситуацією, власна не компетентність і глобальне відчуття втрати сенсу життя [5; 12]. </w:t>
      </w:r>
    </w:p>
    <w:p w14:paraId="22913613"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Виникнення негативних змін у психічному, фізичному і психо логічному самопочутті вчені намагалися пояснити, досліджуючи особ ливості самої ситуації. Відповідно, класичною вже стала теорія страж дання (горя) і позбавлення (втрати). Часто поспішна та недостатньо підготовлена міграція супроводжується значною втратою часу, соціа льного статусу і майна, руйнування емоційних зв’язків з близькими і рідними людьми. </w:t>
      </w:r>
    </w:p>
    <w:p w14:paraId="635906AA"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Звідси і великий набір патологічних симптомів, які супроводжують «шок переходу». Ці психологічні наслідки травматич ного досвіду досліджуються в руслі робіт, присвячених діагностиці та терапії посттравматичних розладів (ПТСР) [5]. </w:t>
      </w:r>
    </w:p>
    <w:p w14:paraId="7750DE3E" w14:textId="77777777"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Відповідно, завданнями стали розробка теоретичного концепту адаптації до іншого соціо культурного середовища, розкриття сутності поняття та динаміки її протікання; емпіричне вивчення стадій та структури протікання адаптації, співвідношення адаптації/дезадаптації до іншого соціокультурного середовища і особливостей міжгрупового сприйняття мігрантів і місцевого населення, а також виявлення емпіричним шляхом компенсаторних механізмів, що зумовлюють  успішність адаптації до іншого соціокультурного середовища.</w:t>
      </w:r>
    </w:p>
    <w:p w14:paraId="0966DD6D" w14:textId="77777777"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Оскільки об’єктом нашого дослідження стала адаптація до іншого соціокультурного середовища, відбір досліджуваних здійснювався за двома ознаками: регіональною – необхідність перехо ду з однієї регіональної культури в іншу для респондентів, які прожи вали до вступу до ЗВО всередині своєї </w:t>
      </w:r>
      <w:r w:rsidRPr="00631B5A">
        <w:rPr>
          <w:rFonts w:ascii="Times New Roman" w:hAnsi="Times New Roman"/>
          <w:sz w:val="28"/>
          <w:szCs w:val="28"/>
        </w:rPr>
        <w:lastRenderedPageBreak/>
        <w:t xml:space="preserve">регіональної групи; соціаль ною – адаптація до іншого соціального середовища для респондентів, які живуть поза великими містами. </w:t>
      </w:r>
    </w:p>
    <w:p w14:paraId="42CC37D1" w14:textId="26FA4033"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Місцеві респонденти</w:t>
      </w:r>
      <w:r w:rsidR="00583631">
        <w:rPr>
          <w:rFonts w:ascii="Times New Roman" w:hAnsi="Times New Roman"/>
          <w:sz w:val="28"/>
          <w:szCs w:val="28"/>
          <w:lang w:val="uk-UA"/>
        </w:rPr>
        <w:t xml:space="preserve"> </w:t>
      </w:r>
      <w:r w:rsidRPr="00631B5A">
        <w:rPr>
          <w:rFonts w:ascii="Times New Roman" w:hAnsi="Times New Roman"/>
          <w:sz w:val="28"/>
          <w:szCs w:val="28"/>
        </w:rPr>
        <w:t xml:space="preserve">стали контрольною вибіркою. Дослідження проводилось у формі групової тестової діагности ки широкого спектру індивідуальних особливостей з використанням восьми методик: методики діагностики рівня розвитку етнічної самосвідомості (ЕСС); методики «Психосемантичний аналіз стереотипів характеру»; багаторівневого особистісного опитувальника «Адаптивність» (МЛО-АМ), методики «Ціннісні орієнтації» </w:t>
      </w:r>
      <w:r w:rsidR="002D0F85">
        <w:rPr>
          <w:rFonts w:ascii="Times New Roman" w:hAnsi="Times New Roman"/>
          <w:sz w:val="28"/>
          <w:szCs w:val="28"/>
          <w:lang w:val="uk-UA"/>
        </w:rPr>
        <w:t xml:space="preserve">                      </w:t>
      </w:r>
      <w:r w:rsidRPr="00631B5A">
        <w:rPr>
          <w:rFonts w:ascii="Times New Roman" w:hAnsi="Times New Roman"/>
          <w:sz w:val="28"/>
          <w:szCs w:val="28"/>
        </w:rPr>
        <w:t xml:space="preserve">М. Рокіча; опитувальника для вимірювання базових культурних цінностей </w:t>
      </w:r>
      <w:r w:rsidR="002D0F85">
        <w:rPr>
          <w:rFonts w:ascii="Times New Roman" w:hAnsi="Times New Roman"/>
          <w:sz w:val="28"/>
          <w:szCs w:val="28"/>
          <w:lang w:val="uk-UA"/>
        </w:rPr>
        <w:t xml:space="preserve">                         </w:t>
      </w:r>
      <w:r w:rsidRPr="00631B5A">
        <w:rPr>
          <w:rFonts w:ascii="Times New Roman" w:hAnsi="Times New Roman"/>
          <w:sz w:val="28"/>
          <w:szCs w:val="28"/>
        </w:rPr>
        <w:t xml:space="preserve">(С. Шварц); методики діагностики властивостей нервової системи Я. Стреляу; опитувальника структури темпераменту (ОСТ). </w:t>
      </w:r>
    </w:p>
    <w:p w14:paraId="3C2997A2" w14:textId="697DBE5D"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Первинна обробка даних відбувалась на основі самозвітів про приналежність до регіональної групи. За вираженістю показника адаптивних здібностей (методика МЛО-АМ) у переселенців з різних регіонів були створені вісім полярних груп. За результатами дослідження у всіх етнічних групах було виявлено загальні тенденції</w:t>
      </w:r>
      <w:r w:rsidR="00583631">
        <w:rPr>
          <w:rFonts w:ascii="Times New Roman" w:hAnsi="Times New Roman"/>
          <w:sz w:val="28"/>
          <w:szCs w:val="28"/>
          <w:lang w:val="uk-UA"/>
        </w:rPr>
        <w:t>.</w:t>
      </w:r>
    </w:p>
    <w:p w14:paraId="0DE7BE41" w14:textId="5D3C6AAD"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У групі високоадаптованих студентів усіх груп порівняно з групою низькоадаптованих більш виражені показники нервово психічної стійкості (т = 43,62; p ≤ 0,001), комунікативних особливостей (t = 20,88; p ≤ 0,001), моральної нормативності (T = 11,84; p ≤ 0,001). </w:t>
      </w:r>
    </w:p>
    <w:p w14:paraId="47ECAF1B" w14:textId="71D5636F"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Порівняльний аналіз середніх значень за t-критерієм в регіональній групі студентів-переселенців з </w:t>
      </w:r>
      <w:r w:rsidR="00583631">
        <w:rPr>
          <w:rFonts w:ascii="Times New Roman" w:hAnsi="Times New Roman"/>
          <w:sz w:val="28"/>
          <w:szCs w:val="28"/>
          <w:lang w:val="uk-UA"/>
        </w:rPr>
        <w:t xml:space="preserve">Луганської </w:t>
      </w:r>
      <w:r w:rsidRPr="00631B5A">
        <w:rPr>
          <w:rFonts w:ascii="Times New Roman" w:hAnsi="Times New Roman"/>
          <w:sz w:val="28"/>
          <w:szCs w:val="28"/>
        </w:rPr>
        <w:t xml:space="preserve">області виявив такі важливі відмінності між групами з високими та низькими показниками адаптивних можливостей: у групі високоадаптованих донеччан порівняно з групою низькоадаптованих більш виражені показники нервово-психічної стійкості (T = 23,70; p ≤ 0,001), комуніка тивних особливостей (t = 11,62; p ≤ 0,001), моральної нормативності (t = 5,78; p ≤ 0,001). </w:t>
      </w:r>
    </w:p>
    <w:p w14:paraId="4DAD712C" w14:textId="22548B71"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Порівняльний аналіз середніх значень за t-критерієм в регіональній групі студентів-переселенців з Луганської області показав такі значущі відмінності між групами з високими та низькими показниками адаптивних можливостей у групі </w:t>
      </w:r>
      <w:r w:rsidRPr="00631B5A">
        <w:rPr>
          <w:rFonts w:ascii="Times New Roman" w:hAnsi="Times New Roman"/>
          <w:sz w:val="28"/>
          <w:szCs w:val="28"/>
        </w:rPr>
        <w:lastRenderedPageBreak/>
        <w:t xml:space="preserve">високоадаптованих студентів-луганців порівняно з групою низькоадаптованих більш вираже них показників нервово-психічної стійкості (t = 17,33; p ≤ 0,001), ко мунікативних особливостей (t = 8,45; p ≤ 0,001), моральної норматив ності (t = 5,00; p ≤ 0,001). </w:t>
      </w:r>
    </w:p>
    <w:p w14:paraId="29C2AE40" w14:textId="77777777"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Порівняльний аналіз середніх значень за т-критерієм у місцевій групі студентів Львівської області виявив такі значущі відмінності між групами з високими і низькими показниками адаптивних здібностей</w:t>
      </w:r>
      <w:r w:rsidR="00583631">
        <w:rPr>
          <w:rFonts w:ascii="Times New Roman" w:hAnsi="Times New Roman"/>
          <w:sz w:val="28"/>
          <w:szCs w:val="28"/>
          <w:lang w:val="uk-UA"/>
        </w:rPr>
        <w:t>.</w:t>
      </w:r>
    </w:p>
    <w:p w14:paraId="03179608" w14:textId="7A463701"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У групі високоадаптованих місцевих студентів Львівшини порівняно з групою низькоадаптованих більш виражені показни ки нервово-психічної стійкості (т = 31,46; p ≤ 0,001), комунікативні особливості (т = 14,95; p ≤ 0,001), моральна нормативність (т = 9,18; p ≤ 0,001) (опитувальник «Адаптивність» МЛО-АМ), моя близькість з моїм етносом (т = 2,49; p ≤ 0,05), етнічна самовизна ченість (т = 2,26; p ≤ 0,05), (методика діагностики рівня розвитку етнічної самосвідомості). </w:t>
      </w:r>
    </w:p>
    <w:p w14:paraId="3E418FCA" w14:textId="77777777"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Отже, у всіх етнічних групах виявлені загальні тенденції: у групі високоадаптованих (донеччан, луганців і львів’ян) порівняно з групою низькоадаптованих більш виражені показники нервово психічної стійкості, комунікативності та моральної нормативності. </w:t>
      </w:r>
    </w:p>
    <w:p w14:paraId="0E4136A6" w14:textId="1DC1FC80"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Результати дисперсійного аналізу впливу фактора тривалості на полімодальну Я у новому студентському середовищі наведено для донецької вибірки, для луганської вибірки і для львівської вибірки. </w:t>
      </w:r>
    </w:p>
    <w:p w14:paraId="2C52B037" w14:textId="49F51C94"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Статистичні порівняння засвідчили, що показники «Я-Авторського» значно зростають між 1 і 4 курсами (p ≤ 0,01) і значно знижуються між 1, 2, 3, 4 курсами і 5 курсом (p1 ≤ 0,000; p2 ≤ 0,000; p3 ≤ 0,000; p4 ≤ 0,000). Показники «Я-Перетвореного» значно зростають між 1, 2 кур сами та 4 курсами (p1 ≤ 0,001, p2 ≤ 0,05). </w:t>
      </w:r>
    </w:p>
    <w:p w14:paraId="2A531A2B" w14:textId="5B563002"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Немає значних ефектів фактора тривалості у новій культурі для субмодальності «Я-Перетворене» і «Я-Втілене», що виконують функцію злиття. </w:t>
      </w:r>
    </w:p>
    <w:p w14:paraId="449284A4" w14:textId="77777777"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Статистичні порівняння свідчили, що показники «Я-Авторське» значно зростають між кур- сами 1, 2 і 3 (p1 ≤ 0,003; p2 ≤ 0,02) і значно знижуються між 3 і </w:t>
      </w:r>
      <w:r w:rsidRPr="00631B5A">
        <w:rPr>
          <w:rFonts w:ascii="Times New Roman" w:hAnsi="Times New Roman"/>
          <w:sz w:val="28"/>
          <w:szCs w:val="28"/>
        </w:rPr>
        <w:lastRenderedPageBreak/>
        <w:t xml:space="preserve">5 курсом (p3 ≤ 0,05). Немає значних ефектів від тривалості існування в новій культурі у субмодальностях «Я-Перетворене», «Я-Втілене» і «Я-Перетворююче». Як видно з таблиці 7, фактор тривалості перебування цієї когорти в новій культурі вагомо не проявився у субмодальності «Я-Авторське», «Я-Втілене», Я-Перетворене», «Я-Перетворююче» у вибірці студентів Львівської області. </w:t>
      </w:r>
    </w:p>
    <w:p w14:paraId="201F622F" w14:textId="086AABA4"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Показники фактора впливу адаптивних можливостей до нового соціокультурного середовища на полімодальну Я наведено для донецької вибірки, для луганської вибірки</w:t>
      </w:r>
      <w:r w:rsidR="002D0F85">
        <w:rPr>
          <w:rFonts w:ascii="Times New Roman" w:hAnsi="Times New Roman"/>
          <w:sz w:val="28"/>
          <w:szCs w:val="28"/>
          <w:lang w:val="uk-UA"/>
        </w:rPr>
        <w:t xml:space="preserve"> </w:t>
      </w:r>
      <w:r w:rsidRPr="00631B5A">
        <w:rPr>
          <w:rFonts w:ascii="Times New Roman" w:hAnsi="Times New Roman"/>
          <w:sz w:val="28"/>
          <w:szCs w:val="28"/>
        </w:rPr>
        <w:t xml:space="preserve">і для львівської вибірки. </w:t>
      </w:r>
    </w:p>
    <w:p w14:paraId="71B59229" w14:textId="77777777" w:rsidR="002D0F85" w:rsidRDefault="00583631" w:rsidP="00A02BB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w:t>
      </w:r>
      <w:r w:rsidR="00631B5A" w:rsidRPr="00631B5A">
        <w:rPr>
          <w:rFonts w:ascii="Times New Roman" w:hAnsi="Times New Roman"/>
          <w:sz w:val="28"/>
          <w:szCs w:val="28"/>
        </w:rPr>
        <w:t xml:space="preserve">актор «адаптивних здібностей» ефектив но проявився в «Я-Авторському» у вибірці донецьких студентів, F (1,161) = 4,895, p ≤ 0,03 і в якості тенденції – у «Я-Перетвореному», F (1,161) = 3,362, p ≤ 0,07. </w:t>
      </w:r>
    </w:p>
    <w:p w14:paraId="27485B6E" w14:textId="7F4769DF"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Ці показники свідчать про те, що в групі високоадапто- ваних студентів-переселенців з Донецької області до львівського студентського урбанізованого середовища значно вищі показники «Я-Авторського» (p ≤ 0,03) і – на рівні тенденції – показники «Я-Перетворюючого» (p ≤ 0,07). </w:t>
      </w:r>
    </w:p>
    <w:p w14:paraId="080E042A" w14:textId="77777777" w:rsidR="002D0F85"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Показники «Я-Перетворене», навпаки, значно вищі в групі низькоадаптованих студентів Львова (p ≤ 0,01). </w:t>
      </w:r>
    </w:p>
    <w:p w14:paraId="4D2E234F" w14:textId="5DB51C5D"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Всупереч припущенням про те, що на початкових етапах психо логічної адаптації до іншого соціокультурного середовища найбільше буде виражена субмодальність «Я-Втілене», що зумовить спрямова ність на дружелюбність, залежність, з’ясувалося, що ця субмодаль ність вільна від впливу фактора тривалості існування у новому середо вищі у студентів-переселенців з Донецької та Луганської областей.</w:t>
      </w:r>
    </w:p>
    <w:p w14:paraId="02EE4DB9" w14:textId="77777777" w:rsidR="002D0F85"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 Отже, можемо говорити про входження студентів і з Донецької, і з Луганської області у Львівське урбанізоване студентське середовище. </w:t>
      </w:r>
    </w:p>
    <w:p w14:paraId="638EE7B3" w14:textId="5B706C0E" w:rsidR="00583631"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Причому для студентів-переселенців з Донецької області ха рактерне входження в інше середовище не як злиття (субмодальності «Я-Авторське» і «Я-Перетворене» виконують функцію відокремлення «Я» від «Інший»), а входження як встановлення певної дистанції – дистанції збереження себе, своєї ідентичності </w:t>
      </w:r>
      <w:r w:rsidRPr="00631B5A">
        <w:rPr>
          <w:rFonts w:ascii="Times New Roman" w:hAnsi="Times New Roman"/>
          <w:sz w:val="28"/>
          <w:szCs w:val="28"/>
        </w:rPr>
        <w:lastRenderedPageBreak/>
        <w:t>та дистанції терпимості (толерантність) до львівського студентського середовища з боку сту дентів з Донеччини.</w:t>
      </w:r>
    </w:p>
    <w:p w14:paraId="491CC270" w14:textId="0B28769F" w:rsidR="00631B5A" w:rsidRDefault="00631B5A" w:rsidP="00A02BBA">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 Ці результати збігаються з раніше отриманими фактами про ак тивне збереження східноукраїнськими регіонами своїх регіональних (культурних) цінностей і про деяку подвійність у самовизначенні сту дентів-донеччан: прагнення до злиття з українським етносом і водно час відокремлення від нього. Тобто студенти-переселенці з Донецької області знаходяться наче «поза» і в той же час «всередині» студентського співтовариства.</w:t>
      </w:r>
    </w:p>
    <w:p w14:paraId="0D75DA2B" w14:textId="0B41C755" w:rsidR="002D0F85" w:rsidRDefault="00631B5A" w:rsidP="002D0F85">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 xml:space="preserve">Теоретичний концепт динаміки психологічної адап тації до іншого соціокультурного середовища як змінних уявлень лю дини про свою метаіндивідуальну світобудову при залученні до іншо го соціокультурного середовища набув емпіричного підтвердження: входження в іншу культуру супроводжується значимим зростанням показників «Я-Авторське» і «Я-Перетворене» у вибірці студентів переселенців з Донецької області та показників «Я-Авторське» у вибірці студентів-переселенців з Луганської області. </w:t>
      </w:r>
    </w:p>
    <w:p w14:paraId="51C51581" w14:textId="39263EBE" w:rsidR="00631B5A" w:rsidRDefault="00631B5A" w:rsidP="002D0F85">
      <w:pPr>
        <w:spacing w:after="0" w:line="360" w:lineRule="auto"/>
        <w:ind w:firstLine="709"/>
        <w:jc w:val="both"/>
        <w:rPr>
          <w:rFonts w:ascii="Times New Roman" w:hAnsi="Times New Roman"/>
          <w:sz w:val="28"/>
          <w:szCs w:val="28"/>
          <w:lang w:val="uk-UA"/>
        </w:rPr>
      </w:pPr>
      <w:r w:rsidRPr="00631B5A">
        <w:rPr>
          <w:rFonts w:ascii="Times New Roman" w:hAnsi="Times New Roman"/>
          <w:sz w:val="28"/>
          <w:szCs w:val="28"/>
        </w:rPr>
        <w:t>Ці субмодальності вказують на самостійність (відособлення), автономність, самовизна чення, незалежність, креативність («Я-Авторське») і самостійність (відособлення), терпимість («Я-Перетворене»).</w:t>
      </w:r>
    </w:p>
    <w:p w14:paraId="048B1E56" w14:textId="77777777" w:rsidR="002D0F85" w:rsidRDefault="002D0F85" w:rsidP="002D0F85">
      <w:pPr>
        <w:spacing w:after="0" w:line="360" w:lineRule="auto"/>
        <w:ind w:firstLine="709"/>
        <w:jc w:val="both"/>
        <w:rPr>
          <w:rFonts w:ascii="Times New Roman" w:hAnsi="Times New Roman"/>
          <w:sz w:val="28"/>
          <w:szCs w:val="28"/>
          <w:lang w:val="uk-UA"/>
        </w:rPr>
      </w:pPr>
    </w:p>
    <w:p w14:paraId="68632D27" w14:textId="77777777" w:rsidR="002D0F85" w:rsidRDefault="002D0F85" w:rsidP="002D0F85">
      <w:pPr>
        <w:spacing w:after="0" w:line="360" w:lineRule="auto"/>
        <w:ind w:firstLine="709"/>
        <w:jc w:val="both"/>
        <w:rPr>
          <w:rFonts w:ascii="Times New Roman" w:hAnsi="Times New Roman"/>
          <w:sz w:val="28"/>
          <w:szCs w:val="28"/>
          <w:lang w:val="uk-UA"/>
        </w:rPr>
      </w:pPr>
    </w:p>
    <w:p w14:paraId="797A9076" w14:textId="77777777" w:rsidR="002D0F85" w:rsidRDefault="002D0F85" w:rsidP="002D0F85">
      <w:pPr>
        <w:spacing w:after="0" w:line="360" w:lineRule="auto"/>
        <w:ind w:firstLine="709"/>
        <w:jc w:val="both"/>
        <w:rPr>
          <w:rFonts w:ascii="Times New Roman" w:hAnsi="Times New Roman"/>
          <w:sz w:val="28"/>
          <w:szCs w:val="28"/>
          <w:lang w:val="uk-UA"/>
        </w:rPr>
      </w:pPr>
    </w:p>
    <w:p w14:paraId="522456FD" w14:textId="77777777" w:rsidR="002D0F85" w:rsidRDefault="002D0F85" w:rsidP="002D0F85">
      <w:pPr>
        <w:spacing w:after="0" w:line="360" w:lineRule="auto"/>
        <w:ind w:firstLine="709"/>
        <w:jc w:val="both"/>
        <w:rPr>
          <w:rFonts w:ascii="Times New Roman" w:hAnsi="Times New Roman"/>
          <w:sz w:val="28"/>
          <w:szCs w:val="28"/>
          <w:lang w:val="uk-UA"/>
        </w:rPr>
      </w:pPr>
    </w:p>
    <w:p w14:paraId="053B0A44" w14:textId="77777777" w:rsidR="002D0F85" w:rsidRDefault="002D0F85" w:rsidP="002D0F85">
      <w:pPr>
        <w:spacing w:after="0" w:line="360" w:lineRule="auto"/>
        <w:ind w:firstLine="709"/>
        <w:jc w:val="both"/>
        <w:rPr>
          <w:rFonts w:ascii="Times New Roman" w:hAnsi="Times New Roman"/>
          <w:sz w:val="28"/>
          <w:szCs w:val="28"/>
          <w:lang w:val="uk-UA"/>
        </w:rPr>
      </w:pPr>
    </w:p>
    <w:p w14:paraId="1B2930FB" w14:textId="77777777" w:rsidR="002D0F85" w:rsidRDefault="002D0F85" w:rsidP="002D0F85">
      <w:pPr>
        <w:spacing w:after="0" w:line="360" w:lineRule="auto"/>
        <w:ind w:firstLine="709"/>
        <w:jc w:val="both"/>
        <w:rPr>
          <w:rFonts w:ascii="Times New Roman" w:hAnsi="Times New Roman"/>
          <w:sz w:val="28"/>
          <w:szCs w:val="28"/>
          <w:lang w:val="uk-UA"/>
        </w:rPr>
      </w:pPr>
    </w:p>
    <w:p w14:paraId="027549A7" w14:textId="77777777" w:rsidR="002D0F85" w:rsidRDefault="002D0F85" w:rsidP="002D0F85">
      <w:pPr>
        <w:spacing w:after="0" w:line="360" w:lineRule="auto"/>
        <w:ind w:firstLine="709"/>
        <w:jc w:val="both"/>
        <w:rPr>
          <w:rFonts w:ascii="Times New Roman" w:hAnsi="Times New Roman"/>
          <w:sz w:val="28"/>
          <w:szCs w:val="28"/>
          <w:lang w:val="uk-UA"/>
        </w:rPr>
      </w:pPr>
    </w:p>
    <w:p w14:paraId="0E9A71E5" w14:textId="77777777" w:rsidR="002D0F85" w:rsidRDefault="002D0F85" w:rsidP="002D0F85">
      <w:pPr>
        <w:spacing w:after="0" w:line="360" w:lineRule="auto"/>
        <w:ind w:firstLine="709"/>
        <w:jc w:val="both"/>
        <w:rPr>
          <w:rFonts w:ascii="Times New Roman" w:hAnsi="Times New Roman"/>
          <w:sz w:val="28"/>
          <w:szCs w:val="28"/>
          <w:lang w:val="uk-UA"/>
        </w:rPr>
      </w:pPr>
    </w:p>
    <w:p w14:paraId="7FCB6673" w14:textId="77777777" w:rsidR="002D0F85" w:rsidRPr="002D0F85" w:rsidRDefault="002D0F85" w:rsidP="002D0F85">
      <w:pPr>
        <w:spacing w:after="0" w:line="360" w:lineRule="auto"/>
        <w:ind w:firstLine="709"/>
        <w:jc w:val="both"/>
        <w:rPr>
          <w:rFonts w:ascii="Times New Roman" w:hAnsi="Times New Roman"/>
          <w:sz w:val="28"/>
          <w:szCs w:val="28"/>
          <w:lang w:val="uk-UA"/>
        </w:rPr>
      </w:pPr>
    </w:p>
    <w:p w14:paraId="537EBD56" w14:textId="31C145A5" w:rsidR="00D44897" w:rsidRDefault="00D44897" w:rsidP="00D44897">
      <w:pPr>
        <w:spacing w:after="0" w:line="360" w:lineRule="auto"/>
        <w:ind w:firstLine="709"/>
        <w:jc w:val="center"/>
        <w:rPr>
          <w:rFonts w:ascii="Times New Roman" w:hAnsi="Times New Roman" w:cs="Times New Roman"/>
          <w:b/>
          <w:bCs/>
          <w:iCs/>
          <w:caps/>
          <w:sz w:val="28"/>
          <w:szCs w:val="28"/>
          <w:lang w:val="uk-UA"/>
        </w:rPr>
      </w:pPr>
      <w:r w:rsidRPr="00D44897">
        <w:rPr>
          <w:rFonts w:ascii="Times New Roman" w:hAnsi="Times New Roman" w:cs="Times New Roman"/>
          <w:b/>
          <w:bCs/>
          <w:color w:val="000000"/>
          <w:sz w:val="28"/>
          <w:szCs w:val="28"/>
          <w:lang w:val="uk-UA"/>
        </w:rPr>
        <w:lastRenderedPageBreak/>
        <w:t xml:space="preserve">РОЗДІЛ 2. ДОСЛІДЖЕННЯ </w:t>
      </w:r>
      <w:r w:rsidRPr="00D44897">
        <w:rPr>
          <w:rFonts w:ascii="Times New Roman" w:hAnsi="Times New Roman" w:cs="Times New Roman"/>
          <w:b/>
          <w:bCs/>
          <w:iCs/>
          <w:caps/>
          <w:sz w:val="28"/>
          <w:szCs w:val="28"/>
          <w:lang w:val="uk-UA"/>
        </w:rPr>
        <w:t>особливостей соціальної адаптації вимушених переселенців в умовах сучасного соціуму</w:t>
      </w:r>
    </w:p>
    <w:p w14:paraId="6FC8325C" w14:textId="77777777" w:rsidR="00E04F0A" w:rsidRPr="00AD040E" w:rsidRDefault="00E04F0A" w:rsidP="00E04F0A">
      <w:pPr>
        <w:pStyle w:val="afe"/>
        <w:spacing w:line="360" w:lineRule="auto"/>
        <w:jc w:val="both"/>
        <w:rPr>
          <w:rFonts w:ascii="Times New Roman" w:eastAsiaTheme="majorEastAsia" w:hAnsi="Times New Roman" w:cs="Times New Roman"/>
          <w:b/>
          <w:bCs/>
          <w:color w:val="000000" w:themeColor="text1"/>
          <w:kern w:val="2"/>
          <w:sz w:val="28"/>
          <w:szCs w:val="28"/>
          <w:lang w:val="ru-UA" w:eastAsia="uk-UA"/>
          <w14:ligatures w14:val="standardContextual"/>
        </w:rPr>
      </w:pPr>
      <w:bookmarkStart w:id="1" w:name="_Toc215605396"/>
    </w:p>
    <w:p w14:paraId="6E40DDF8" w14:textId="77777777" w:rsidR="00E04F0A" w:rsidRPr="009455E0" w:rsidRDefault="00E04F0A" w:rsidP="00E04F0A">
      <w:pPr>
        <w:pStyle w:val="20"/>
        <w:spacing w:before="0" w:line="360" w:lineRule="auto"/>
        <w:jc w:val="both"/>
        <w:rPr>
          <w:rFonts w:ascii="Times New Roman" w:hAnsi="Times New Roman" w:cs="Times New Roman"/>
          <w:b w:val="0"/>
          <w:bCs w:val="0"/>
          <w:color w:val="000000" w:themeColor="text1"/>
          <w:sz w:val="28"/>
          <w:szCs w:val="28"/>
          <w:lang w:eastAsia="uk-UA"/>
        </w:rPr>
      </w:pPr>
      <w:bookmarkStart w:id="2" w:name="_Toc215605391"/>
      <w:r>
        <w:rPr>
          <w:rFonts w:ascii="Times New Roman" w:hAnsi="Times New Roman" w:cs="Times New Roman"/>
          <w:b w:val="0"/>
          <w:bCs w:val="0"/>
          <w:color w:val="000000" w:themeColor="text1"/>
          <w:sz w:val="28"/>
          <w:szCs w:val="28"/>
          <w:lang w:val="uk-UA" w:eastAsia="uk-UA"/>
        </w:rPr>
        <w:t xml:space="preserve">          </w:t>
      </w:r>
      <w:r w:rsidRPr="009455E0">
        <w:rPr>
          <w:rFonts w:ascii="Times New Roman" w:hAnsi="Times New Roman" w:cs="Times New Roman"/>
          <w:color w:val="000000" w:themeColor="text1"/>
          <w:sz w:val="28"/>
          <w:szCs w:val="28"/>
          <w:lang w:eastAsia="uk-UA"/>
        </w:rPr>
        <w:t>2.</w:t>
      </w:r>
      <w:r w:rsidRPr="002D0F85">
        <w:rPr>
          <w:rFonts w:ascii="Times New Roman" w:hAnsi="Times New Roman" w:cs="Times New Roman"/>
          <w:color w:val="000000" w:themeColor="text1"/>
          <w:sz w:val="28"/>
          <w:szCs w:val="28"/>
          <w:lang w:val="uk-UA" w:eastAsia="uk-UA"/>
        </w:rPr>
        <w:t>1</w:t>
      </w:r>
      <w:r w:rsidRPr="002D0F85">
        <w:rPr>
          <w:rFonts w:ascii="Times New Roman" w:hAnsi="Times New Roman" w:cs="Times New Roman"/>
          <w:color w:val="000000" w:themeColor="text1"/>
          <w:sz w:val="28"/>
          <w:szCs w:val="28"/>
          <w:lang w:eastAsia="uk-UA"/>
        </w:rPr>
        <w:t>.</w:t>
      </w:r>
      <w:r w:rsidRPr="009455E0">
        <w:rPr>
          <w:rFonts w:ascii="Times New Roman" w:hAnsi="Times New Roman" w:cs="Times New Roman"/>
          <w:color w:val="000000" w:themeColor="text1"/>
          <w:sz w:val="28"/>
          <w:szCs w:val="28"/>
          <w:lang w:eastAsia="uk-UA"/>
        </w:rPr>
        <w:t xml:space="preserve"> Механізми підвищення ефективності</w:t>
      </w:r>
      <w:r w:rsidRPr="002D0F85">
        <w:rPr>
          <w:rFonts w:ascii="Times New Roman" w:hAnsi="Times New Roman" w:cs="Times New Roman"/>
          <w:color w:val="000000" w:themeColor="text1"/>
          <w:sz w:val="28"/>
          <w:szCs w:val="28"/>
          <w:lang w:eastAsia="uk-UA"/>
        </w:rPr>
        <w:t xml:space="preserve"> соціальних послуг </w:t>
      </w:r>
      <w:r w:rsidRPr="002D0F85">
        <w:rPr>
          <w:rFonts w:ascii="Times New Roman" w:hAnsi="Times New Roman" w:cs="Times New Roman"/>
          <w:color w:val="000000" w:themeColor="text1"/>
          <w:sz w:val="28"/>
          <w:szCs w:val="28"/>
          <w:lang w:val="ru-UA" w:eastAsia="uk-UA"/>
        </w:rPr>
        <w:t xml:space="preserve">для вимушених переселенців </w:t>
      </w:r>
      <w:bookmarkEnd w:id="2"/>
    </w:p>
    <w:p w14:paraId="49905852"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p>
    <w:p w14:paraId="41992AEA"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Підвищення ефективності діяльності центрів надання соціальних послуг у сучасних умовах нерозривно пов’язане з упровадженням інноваційних механізмів, які здатні забезпечити стійкі якісні зміни в управлінні, організації роботи та наданні послуг. </w:t>
      </w:r>
    </w:p>
    <w:p w14:paraId="2C1026C7"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Інновації в соціальній сфері не обмежуються технологічними рішеннями – вони охоплюють розвиток людського капіталу, модернізацію внутрішніх процесів, підвищення фінансової гнучкості та активізацію соціального потенціалу громади. Сукупність цих механізмів формує цілісну модель адаптивної соціальної установи, що здатна відповідати на виклики, які постають унаслідок демографічних, соціально-економічних і політичних трансформацій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_Ref214990144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44</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02AC7CFC"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Одним із ключових напрямів підвищення ефективності є розвиток професійного потенціалу персоналу, адже саме працівники центрів соціальних послуг визначають якість і результативність соціальних втручань. У межах сучасних інноваційних підходів професійний розвиток розглядається не як разове підвищення кваліфікації, а як безперервний процес, що поєднує формальне навчання, практичні тренінги, супервізію, наставництво та внутрішньоорганізаційний обмін досвідом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p>
    <w:p w14:paraId="2E43771C"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Такий підхід відповідає концепції lifelong learning і орієнтує фахівців на постійне вдосконалення компетентностей, необхідних для роботи в умовах змінного соціального середовища.</w:t>
      </w:r>
    </w:p>
    <w:p w14:paraId="6D3D436A"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Центральне місце займає супервізія як доказовий інструмент розвитку практичних навичок. Супервізійні сесії сприяють усвідомленню складних </w:t>
      </w:r>
      <w:r w:rsidRPr="00A130F6">
        <w:rPr>
          <w:rFonts w:ascii="Times New Roman" w:hAnsi="Times New Roman" w:cs="Times New Roman"/>
          <w:sz w:val="28"/>
          <w:szCs w:val="28"/>
          <w:lang w:eastAsia="uk-UA"/>
        </w:rPr>
        <w:lastRenderedPageBreak/>
        <w:t xml:space="preserve">професійних ситуацій, аналізу рішень і формуванню навичок рефлексії, які є критично важливими для запобігання професійному вигоранню та підвищення якості клієнтоорієнтованих послуг. </w:t>
      </w:r>
    </w:p>
    <w:p w14:paraId="62502CF8"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За даними досліджень, супервізія забезпечує формування безпечного професійного середовища, у якому фахівці можуть отримувати зворотний зв’язок, узгоджувати підходи до роботи та виробляти спільні стандарти взаємодії з клієнтами.</w:t>
      </w:r>
    </w:p>
    <w:p w14:paraId="38DA22DA"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Поряд із супервізією все більшого значення набувають коучинг і менторинг, які спрямовані на розвиток індивідуального потенціалу працівника, зміцнення його здатності приймати самостійні рішення та формувати професійне бачення складних ситуацій. </w:t>
      </w:r>
    </w:p>
    <w:p w14:paraId="2377C93B"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Коучинг забезпечує підтримку в досягненні конкретних професійних цілей, тоді як менторинг передбачає передачу знань від досвідчених спеціалістів новим співробітникам, що сприяє формуванню стійкої професійної культури в установі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_Ref214990211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18</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456FB393"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Важливим інноваційним механізмом професійного розвитку є оволодіння працівниками сучасними технологіями соціальної роботи, серед яких провідне місце займають цифрові інструменти, доказові практики та міждисциплінарні методики. </w:t>
      </w:r>
    </w:p>
    <w:p w14:paraId="6948F1C1"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Сучасний фахівець соціальної сфери повинен володіти навичками роботи з CRM-системами, цифровими платформами комунікації, системами електронного документообігу, а також ознайомлений із травма-інформованим підходом, когнітивно-поведінковими моделями втручання та технологіями сімейного консультування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_Ref214990177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33</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_Ref214990275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42</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Уміння працювати з такими інструментами підвищує якість діагностики, забезпечує індивідуалізацію послуг і покращує координацію між учасниками соціального процесу.</w:t>
      </w:r>
    </w:p>
    <w:p w14:paraId="2E6F73C6"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Паралельно з розвитком фахових компетентностей важливого значення набуває формування організаційної культури інновацій, яка передбачає створення </w:t>
      </w:r>
      <w:r w:rsidRPr="00A130F6">
        <w:rPr>
          <w:rFonts w:ascii="Times New Roman" w:hAnsi="Times New Roman" w:cs="Times New Roman"/>
          <w:sz w:val="28"/>
          <w:szCs w:val="28"/>
          <w:lang w:eastAsia="uk-UA"/>
        </w:rPr>
        <w:lastRenderedPageBreak/>
        <w:t xml:space="preserve">внутрішнього середовища, сприятливого для творчості, ініціативності та генерації нових ідей. </w:t>
      </w:r>
    </w:p>
    <w:p w14:paraId="04B933AC"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Організаційна культура інновацій передбачає відкритість до експериментів, толерантність до помилок, підтримку працівників у реалізації новаторських рішень і заохочення командної взаємодії. Формування такої культури забезпечує не лише зростання мотивації персоналу, а й створює умови для сталого розвитку організації, здатної швидко адаптуватися до зовнішніх викликів.</w:t>
      </w:r>
    </w:p>
    <w:p w14:paraId="4FFFFE90"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У практиці інноваційного управління ефективними є системи внутрішнього стимулювання персоналу, що включають преміювання за успішне впровадження інновацій, конкурси професійної майстерності, підтримку участі працівників у конференціях, освітніх програмах і грантових ініціативах. Такі механізми сприяють утриманню талантів, посиленню мотивації та формуванню в колективі атмосфери професійної активності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_Ref214990250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49</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2AD5B32E"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Таким чином, розвиток професійного потенціалу персоналу виступає базовим механізмом підвищення ефективності діяльності центрів надання соціальних послуг. </w:t>
      </w:r>
    </w:p>
    <w:p w14:paraId="6347AF85"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Цей процес ґрунтується на поєднанні сучасних освітніх технологій, доказових практик, цифрових інструментів і сприятливої організаційної культури, що у комплексі забезпечує підвищення якості соціальних послуг та зміцнення інституційної спроможності центрів.</w:t>
      </w:r>
    </w:p>
    <w:p w14:paraId="502569EA"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Другим важливим напрямом інноваційного підвищення ефективності діяльності центрів надання соціальних послуг є зміцнення їхньої фінансової стійкості через упровадження нових економічних механізмів та форм взаємодії з громадою. </w:t>
      </w:r>
    </w:p>
    <w:p w14:paraId="465D25BA"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Традиційна практика повної залежності від бюджетного фінансування обмежує можливості розвитку, модернізації інфраструктури, впровадження нових технологій та розширення спектра послуг. Інноваційні фінансові підходи дають змогу не лише оптимізувати використання наявних ресурсів, а й залучати додаткові, що підвищує автономність та адаптивність установи.</w:t>
      </w:r>
    </w:p>
    <w:p w14:paraId="7E7D23BD"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lastRenderedPageBreak/>
        <w:t>Одним із ключових механізмів фінансового розвитку є соціальне підприємництво, яке поєднує соціальну місію з економічною активністю та орієнтується на створення соціальної цінності.</w:t>
      </w:r>
    </w:p>
    <w:p w14:paraId="21D0FB54"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 Соціальні підприємства, що функціонують на базі або у співпраці з ЦНСП, можуть надавати послуги або виробляти продукцію із залученням уразливих категорій населення – осіб з інвалідністю, внутрішньо переміщених осіб, безробітних, осіб із залежностями, молоді групи ризику тощо. Прибуток у таких моделях реінвестується у соціальні програми, що дозволяє розширювати можливості установи без збільшення бюджетних видатків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_Ref214990211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18</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69468E1E"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Міжнародний досвід демонструє, що соціальне підприємництво створює додаткові механізми соціальної інтеграції клієнтів, формує нові робочі місця, сприяє розвитку місцевої економіки та зміцнює зв’язок між соціальною установою й громадою. </w:t>
      </w:r>
    </w:p>
    <w:p w14:paraId="52C71579"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Дослідження показують, що моделі підприємництва, інтегровані в соціальні служби, дозволяють поєднувати професійну реабілітацію клієнтів із формуванням їхніх трудових навичок, що особливо важливо для груп, які мають труднощі з працевлаштуванням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_Ref214990710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8</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У поєднанні з програмами зайнятості та освітніми ініціативами соціальне підприємництво перетворюється на інструмент довгострокового впливу.</w:t>
      </w:r>
    </w:p>
    <w:p w14:paraId="3A8FB779"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Поруч із соціальним підприємництвом важливу роль відіграє розвиток державно-громадських партнерств, що є однією з найефективніших моделей співпраці у сфері соціальних послуг. </w:t>
      </w:r>
    </w:p>
    <w:p w14:paraId="367E61BE"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Такі партнерства забезпечують синергію ресурсів, експертизи, інноваційності та гнучкості громадських організацій із інституційною стабільністю державного сектору. Форма партнерства може включати соціальне замовлення, грантові програми, спільне фінансування проєктів, координацію діяльності з благодійними фондами та міжнародними агенціями, аутсорсинг окремих соціальних послуг або управлінських функцій.</w:t>
      </w:r>
    </w:p>
    <w:p w14:paraId="29788620"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lastRenderedPageBreak/>
        <w:t xml:space="preserve">Модель соціального замовлення, що активно застосовується в європейських країнах, дозволяє передавати частину послуг недержавним організаціям, які здатні надати їх швидше, гнучкіше й інноваційніше. Для центрів соціальних послуг це означає можливість зосередитися на стратегічному управлінні, моніторингу якості та </w:t>
      </w:r>
      <w:r w:rsidRPr="0067737C">
        <w:rPr>
          <w:rFonts w:ascii="Times New Roman" w:hAnsi="Times New Roman" w:cs="Times New Roman"/>
          <w:sz w:val="28"/>
          <w:szCs w:val="28"/>
          <w:lang w:eastAsia="uk-UA"/>
        </w:rPr>
        <w:t xml:space="preserve">координації соціальних процесів громади. </w:t>
      </w:r>
    </w:p>
    <w:p w14:paraId="0FBE33C6"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67737C">
        <w:rPr>
          <w:rFonts w:ascii="Times New Roman" w:hAnsi="Times New Roman" w:cs="Times New Roman"/>
          <w:sz w:val="28"/>
          <w:szCs w:val="28"/>
          <w:lang w:eastAsia="uk-UA"/>
        </w:rPr>
        <w:t>При цьому конкуренція між постачальниками послуг підвищує якість і стимулює інноваційність. Дослідження науковців підтверджують, що партнерства публічного й недержавного секторів сприяють</w:t>
      </w:r>
      <w:r w:rsidRPr="00A130F6">
        <w:rPr>
          <w:rFonts w:ascii="Times New Roman" w:hAnsi="Times New Roman" w:cs="Times New Roman"/>
          <w:sz w:val="28"/>
          <w:szCs w:val="28"/>
          <w:lang w:eastAsia="uk-UA"/>
        </w:rPr>
        <w:t xml:space="preserve"> прискоренню інституційних реформ і розширенню доступності послуг уразливим групам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_Ref214990640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40</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0ED4E49C"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Суттєве значення для підвищення ефективності має також участь міжнародних організацій, які забезпечують методологічну, ресурсну та експертну підтримку. </w:t>
      </w:r>
    </w:p>
    <w:p w14:paraId="1852F88F"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Міжнародні донорські програми дозволяють запроваджувати інноваційні моделі, недоступні у звичайних бюджетних умовах, включаючи цифрові рішення, підготовку персоналу, розробку нових стандартів послуг, а також модернізацію матеріально-технічної бази. Участь у таких програмах підвищує інституційну спроможність ЦНСП, розширює можливості для впровадження доказових практик і сприяє інтеграції українських соціальних установ у глобальний простір соціальних інновацій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42164F28"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Окремим напрямом інноваційного фінансування стає залучення громади до підтримки установи через інструменти благодійності, волонтерства, локальних фондів розвитку та програм громадської участі. Така модель зміцнює соціальний діалог і формує спільну відповідальність за добробут громади.</w:t>
      </w:r>
    </w:p>
    <w:p w14:paraId="6CE776C3"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 Інструменти громадської участі, зокрема громадські бюджети, збір коштів на соціальні ініціативи, партнерські акції з бізнесом або спільні інфраструктурні проєкти, створюють додаткові канали підтримки, які сприяють адаптивності та гнучкості установи у періоди соціальних викликів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_Ref214990222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12</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06C410C1"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Інноваційні фінансові механізми дають змогу не лише розширювати ресурсну базу, а й перетворювати центр соціальних послуг на активного учасника </w:t>
      </w:r>
      <w:r w:rsidRPr="00A130F6">
        <w:rPr>
          <w:rFonts w:ascii="Times New Roman" w:hAnsi="Times New Roman" w:cs="Times New Roman"/>
          <w:sz w:val="28"/>
          <w:szCs w:val="28"/>
          <w:lang w:eastAsia="uk-UA"/>
        </w:rPr>
        <w:lastRenderedPageBreak/>
        <w:t>економічного та соціального розвитку громади. Вони сприяють формуванню моделі, у якій фінансова стійкість, соціальна відповідальність і інноваційність стають взаємопов’язаними елементами стратегії розвитку.</w:t>
      </w:r>
    </w:p>
    <w:p w14:paraId="2AC35D9C"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Третім ключовим механізмом підвищення ефективності діяльності центрів надання соціальних послуг є посилення соціальної участі громади та створення інклюзивної моделі співуправління, яка забезпечує прозорість, підзвітність та відповідність послуг реальним потребам населення. </w:t>
      </w:r>
    </w:p>
    <w:p w14:paraId="23EAE491"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Сучасні соціальні установи розглядають громаду не лише як отримувача послуг, а як активного учасника процесу формування соціальної політики, що сприяє розвитку партнерських стосунків і підсилює легітимність управлінських рішень.</w:t>
      </w:r>
    </w:p>
    <w:p w14:paraId="054F5FAD"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Одним із центральних аспектів соціальної участі є партисипативне управління, яке передбачає залучення громадян, представників організацій громадянського суспільства, волонтерів та клієнтів установи до процесів стратегічного планування, оцінювання якості послуг і розроблення нових програм. </w:t>
      </w:r>
    </w:p>
    <w:p w14:paraId="511630E2"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Формування наглядових, громадських чи опікунських рад при центрах соціальних послуг створює умови для узгодження рішень, прозорості діяльності та системної взаємодії з місцевими спільнотами. Як свідчать сучасні методичні рекомендації, партисипативні механізми сприяють підвищенню довіри до соціальних установ і покращують якість прийнятих рішень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_Ref214991405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45</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5B5E416A"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Важливою інноваційною практикою стає спільне створення послуг (co-creation) - інструмент, що дозволяє громаді виступати рівноправним партнером у розробленні нових сервісів. Цей підхід базується на тому, що користувачі соціальних послуг мають унікальні знання про власні потреби та можуть запропонувати ідеї, які не завжди очевидні для фахівців чи управлінців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_Ref214990250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49</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4A006E40"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 Спільне створення послуг реалізується через фокус-групи, консультаційні зустрічі, громадські форуми та проєктні лабораторії, де клієнти, працівники та експерти розробляють інноваційні рішення разом. Це підвищує релевантність </w:t>
      </w:r>
      <w:r w:rsidRPr="00A130F6">
        <w:rPr>
          <w:rFonts w:ascii="Times New Roman" w:hAnsi="Times New Roman" w:cs="Times New Roman"/>
          <w:sz w:val="28"/>
          <w:szCs w:val="28"/>
          <w:lang w:eastAsia="uk-UA"/>
        </w:rPr>
        <w:lastRenderedPageBreak/>
        <w:t>програм, зменшує ризики неефективного впровадження та сприяє стійкості інновацій.</w:t>
      </w:r>
    </w:p>
    <w:p w14:paraId="0D9278ED"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Невід’ємним інструментом інноваційних механізмів участі громади є волонтерський рух, який забезпечує установи додатковим людським ресурсом, підтримує розвиток соціального капіталу та стимулює громадянську активність. </w:t>
      </w:r>
    </w:p>
    <w:p w14:paraId="4735D03F"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Волонтери сприяють реалізації соціальних програм, організації подій, наданню допомоги окремим групам клієнтів, а також виконують роль соціальних амбасадорів, поширюючи інформацію про діяльність ЦНСП. У багатьох громадах волонтерські програми стали основою інноваційних практик – зокрема, у сфері догляду за людьми похилого віку, підтримки ВПО, соціальної інклюзії осіб з інвалідністю та молодіжного наставництва.</w:t>
      </w:r>
    </w:p>
    <w:p w14:paraId="7682EAE8" w14:textId="052BCEC0"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Залучення громади до управління неможливе без належної комунікації та транспарентності, які забезпечують відкритий доступ до інформації про діяльність установи, її пріоритети та результати роботи. Використання цифрових каналів комунікації – офіційних сайтів, соціальних мереж, чат-ботів, платформ е-демократії – розширює можливості громадської участі та сприяє доступності зворотного зв’язку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_Ref214990222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12</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003A534D">
        <w:rPr>
          <w:rFonts w:ascii="Times New Roman" w:hAnsi="Times New Roman" w:cs="Times New Roman"/>
          <w:sz w:val="28"/>
          <w:szCs w:val="28"/>
          <w:lang w:val="uk-UA" w:eastAsia="uk-UA"/>
        </w:rPr>
        <w:t>2</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_Ref214990261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5</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p>
    <w:p w14:paraId="177AC750"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Такі інструменти дозволяють оперативно інформувати населення про зміни в наданні послуг, збирати відгуки, аналізувати потреби та реагувати на запити громади.</w:t>
      </w:r>
    </w:p>
    <w:p w14:paraId="5C3CF372"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Інноваційні механізми також включають розвиток локальних партнерських мереж, які посилюють можливості центрів соціальних послуг через інтеграцію ресурсів різних суб’єктів. До таких партнерств входять заклади охорони здоров’я, освітні установи, громадські організації, ініціативні групи, місцеві підприємці та міжнародні проєкти. </w:t>
      </w:r>
    </w:p>
    <w:p w14:paraId="29543CC6"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Партнерські мережі формують комплексний підхід до вирішення соціальних проблем, уникаючи їх фрагментації та дублювання функцій. Як засвідчує аналіз інноваційних практик, мережеві моделі управління підвищують гнучкість установ, </w:t>
      </w:r>
      <w:r w:rsidRPr="00A130F6">
        <w:rPr>
          <w:rFonts w:ascii="Times New Roman" w:hAnsi="Times New Roman" w:cs="Times New Roman"/>
          <w:sz w:val="28"/>
          <w:szCs w:val="28"/>
          <w:lang w:eastAsia="uk-UA"/>
        </w:rPr>
        <w:lastRenderedPageBreak/>
        <w:t>сприяють швидшому впровадженню нових методик і створюють умови для масштабування успішних рішень.</w:t>
      </w:r>
    </w:p>
    <w:p w14:paraId="1FAC4209"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Особливого значення в інноваційних механізмах підвищення ефективності набуває інституційна спроможність громади, яка визначається рівнем її організованості, соціальною згуртованістю та готовністю до співпраці з установами. </w:t>
      </w:r>
    </w:p>
    <w:p w14:paraId="2E6E1F66"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Інновації у сфері управління громадою </w:t>
      </w:r>
      <w:r>
        <w:rPr>
          <w:rFonts w:ascii="Times New Roman" w:hAnsi="Times New Roman" w:cs="Times New Roman"/>
          <w:sz w:val="28"/>
          <w:szCs w:val="28"/>
          <w:lang w:eastAsia="uk-UA"/>
        </w:rPr>
        <w:t>–</w:t>
      </w:r>
      <w:r w:rsidRPr="00A130F6">
        <w:rPr>
          <w:rFonts w:ascii="Times New Roman" w:hAnsi="Times New Roman" w:cs="Times New Roman"/>
          <w:sz w:val="28"/>
          <w:szCs w:val="28"/>
          <w:lang w:eastAsia="uk-UA"/>
        </w:rPr>
        <w:t xml:space="preserve"> зокрема публічні консультації, бюджети участі, громадські стратегії </w:t>
      </w:r>
      <w:r>
        <w:rPr>
          <w:rFonts w:ascii="Times New Roman" w:hAnsi="Times New Roman" w:cs="Times New Roman"/>
          <w:sz w:val="28"/>
          <w:szCs w:val="28"/>
          <w:lang w:eastAsia="uk-UA"/>
        </w:rPr>
        <w:t>–</w:t>
      </w:r>
      <w:r w:rsidRPr="00A130F6">
        <w:rPr>
          <w:rFonts w:ascii="Times New Roman" w:hAnsi="Times New Roman" w:cs="Times New Roman"/>
          <w:sz w:val="28"/>
          <w:szCs w:val="28"/>
          <w:lang w:eastAsia="uk-UA"/>
        </w:rPr>
        <w:t xml:space="preserve"> створюють поле для системної взаємодії та забезпечують сталість соціальних реформ. Завдяки таким механізмам громада перетворюється з пасивного отримувача підтримки на активного співтворця системи соціального забезпечення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_Ref214991405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45</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_Ref214990250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49</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51B75482" w14:textId="77777777" w:rsidR="00E04F0A" w:rsidRPr="00A130F6" w:rsidRDefault="00E04F0A" w:rsidP="00E04F0A">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Таким чином, інноваційні механізми залучення громади охоплюють широкий спектр підходів </w:t>
      </w:r>
      <w:r>
        <w:rPr>
          <w:rFonts w:ascii="Times New Roman" w:hAnsi="Times New Roman" w:cs="Times New Roman"/>
          <w:sz w:val="28"/>
          <w:szCs w:val="28"/>
          <w:lang w:eastAsia="uk-UA"/>
        </w:rPr>
        <w:t>–</w:t>
      </w:r>
      <w:r w:rsidRPr="00A130F6">
        <w:rPr>
          <w:rFonts w:ascii="Times New Roman" w:hAnsi="Times New Roman" w:cs="Times New Roman"/>
          <w:sz w:val="28"/>
          <w:szCs w:val="28"/>
          <w:lang w:eastAsia="uk-UA"/>
        </w:rPr>
        <w:t xml:space="preserve"> від партисипативного управління до ко-креації послуг та мережевих партнерств. Вони сприяють формуванню моделі соціального забезпечення, у якій центр соціальних послуг виступає інтегратором інтересів, координатором соціальних процесів і платформою для співтворення інновацій, що забезпечують стійкий соціальний розвиток.</w:t>
      </w:r>
    </w:p>
    <w:p w14:paraId="0131F1DF" w14:textId="77777777" w:rsidR="00E04F0A" w:rsidRPr="0026358F"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Комплексний аналіз інноваційних підходів до підвищення ефективності діяльності центрів надання соціальних послуг (ЦНСП) дозволяє стверджувати, що інновації виступають ключовим системоутворюючим чинником трансформації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сучасної моделі соціального забезпечення. Вони визначають зміст, організацію та стратегічні орієнтири соціальної роботи, формуючи засади переходу до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людиноцентричної, інтегрованої та результативної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системи соціальної підтримки, яка відповідає вимогам сучасного суспільства та викликам розвитку територіальних громад.</w:t>
      </w:r>
    </w:p>
    <w:p w14:paraId="7418A80A" w14:textId="77777777" w:rsidR="00E04F0A" w:rsidRPr="0026358F"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У процесі дослідження було обґрунтовано, що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соціальні інновації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є не просто новими методами чи технологічними рішеннями, а механізмом глибоких соціальних трансформацій</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Інноваційний підхід як методологічна основа діяльності ЦНСП сприяє переходу від</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реактивної моделі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 xml:space="preserve">реагування на проблеми </w:t>
      </w:r>
      <w:r w:rsidRPr="0026358F">
        <w:rPr>
          <w:rFonts w:ascii="Times New Roman" w:hAnsi="Times New Roman" w:cs="Times New Roman"/>
          <w:sz w:val="28"/>
          <w:szCs w:val="28"/>
          <w:lang w:eastAsia="uk-UA"/>
        </w:rPr>
        <w:lastRenderedPageBreak/>
        <w:t>до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проактивної, превентивної та системно організованої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моделі управління соціальними ризиками.</w:t>
      </w:r>
    </w:p>
    <w:p w14:paraId="70F37208"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Було визначено, що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інноваційні моделі управління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 xml:space="preserve">центрів соціальних послуг ґрунтуються на поєднанні трьох ключових компонентів. </w:t>
      </w:r>
    </w:p>
    <w:p w14:paraId="466A7F96"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Перший –</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управління якістю, зокрема запровадження систем</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СУЯ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індикаторів оцінювання результативності, що забезпечує</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прозорість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діяльності та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 xml:space="preserve">підзвітність. </w:t>
      </w:r>
    </w:p>
    <w:p w14:paraId="7EAD7FDF" w14:textId="77777777" w:rsidR="00E04F0A" w:rsidRPr="0026358F"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Другий –</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цифрова трансформація, включаючи впровадження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CRM-систем</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цифрових платформ комунікації, яка підвищує</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оперативність, точність і доступність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послуг. Третій –</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мережеві моделі взаємодії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державно-громадські партнерства, які розширюють ресурсну базу центрів, сприяють залученню експертизи недержавного сектору та створюють умови для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інтегрованого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надання послуг.</w:t>
      </w:r>
    </w:p>
    <w:p w14:paraId="610F7ACE"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Доведено, що механізми підвищення ефективності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діяльності ЦНСП через інновації охоплюють три взаємопов’язані рівні.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Професійний рівень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передбачає розвиток потенціалу персоналу через</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супервізію, коучинг</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опанування сучасних технологій соціальної роботи, забезпечуючи високий рівень компетентності фахівців.</w:t>
      </w:r>
      <w:r>
        <w:rPr>
          <w:rFonts w:ascii="Times New Roman" w:hAnsi="Times New Roman" w:cs="Times New Roman"/>
          <w:sz w:val="28"/>
          <w:szCs w:val="28"/>
          <w:lang w:eastAsia="uk-UA"/>
        </w:rPr>
        <w:t xml:space="preserve"> </w:t>
      </w:r>
    </w:p>
    <w:p w14:paraId="29E72726" w14:textId="77777777" w:rsidR="00E04F0A" w:rsidRPr="0026358F"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Фінансово-економічний рівень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зміцнює автономію центрів через</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соціальне підприємництво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соціальне замовлення. 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соціально-громадський рівень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підвищує рівень довіри та забезпечує відповідність послуг реальним потребам населення через</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залучення громади до управління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механізми</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спільного створення послуг.</w:t>
      </w:r>
    </w:p>
    <w:p w14:paraId="23D5AF61" w14:textId="77777777" w:rsidR="00E04F0A"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Таким чином, інноваційні підходи у діяльності центрів соціальних послуг виконують функцію</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каталізатора змін, які охоплюють усі ключові аспекти їхньої роботи.</w:t>
      </w:r>
      <w:r>
        <w:rPr>
          <w:rFonts w:ascii="Times New Roman" w:hAnsi="Times New Roman" w:cs="Times New Roman"/>
          <w:sz w:val="28"/>
          <w:szCs w:val="28"/>
          <w:lang w:eastAsia="uk-UA"/>
        </w:rPr>
        <w:t xml:space="preserve"> </w:t>
      </w:r>
    </w:p>
    <w:p w14:paraId="57B5D628" w14:textId="77777777" w:rsidR="00E04F0A" w:rsidRPr="0026358F" w:rsidRDefault="00E04F0A" w:rsidP="00E04F0A">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Інноваційність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стає не додатковою перевагою, 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необхідною умовою ефективності та стійкості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 xml:space="preserve">соціальних установ у сучасному середовищі, </w:t>
      </w:r>
      <w:r w:rsidRPr="0026358F">
        <w:rPr>
          <w:rFonts w:ascii="Times New Roman" w:hAnsi="Times New Roman" w:cs="Times New Roman"/>
          <w:sz w:val="28"/>
          <w:szCs w:val="28"/>
          <w:lang w:eastAsia="uk-UA"/>
        </w:rPr>
        <w:lastRenderedPageBreak/>
        <w:t>забезпечуючи формування сучасної управлінської парадигми, орієнтованої на результативність, якість, прозорість та людську гідність.</w:t>
      </w:r>
    </w:p>
    <w:p w14:paraId="75E5A607" w14:textId="77777777" w:rsidR="00E04F0A" w:rsidRDefault="00E04F0A" w:rsidP="00E04F0A">
      <w:pPr>
        <w:spacing w:after="0" w:line="360" w:lineRule="auto"/>
        <w:ind w:firstLine="709"/>
        <w:jc w:val="both"/>
        <w:rPr>
          <w:rFonts w:ascii="Times New Roman" w:hAnsi="Times New Roman" w:cs="Times New Roman"/>
          <w:sz w:val="28"/>
          <w:szCs w:val="28"/>
        </w:rPr>
      </w:pPr>
    </w:p>
    <w:p w14:paraId="061F5129" w14:textId="77777777" w:rsidR="00E04F0A" w:rsidRDefault="00E04F0A" w:rsidP="00E04F0A">
      <w:pPr>
        <w:spacing w:after="0" w:line="360" w:lineRule="auto"/>
        <w:ind w:firstLine="709"/>
        <w:jc w:val="both"/>
        <w:rPr>
          <w:rFonts w:ascii="Times New Roman" w:hAnsi="Times New Roman" w:cs="Times New Roman"/>
          <w:sz w:val="28"/>
          <w:szCs w:val="28"/>
        </w:rPr>
      </w:pPr>
    </w:p>
    <w:p w14:paraId="7A7933AF" w14:textId="77777777" w:rsidR="00E04F0A" w:rsidRPr="00AD040E" w:rsidRDefault="00E04F0A" w:rsidP="00E04F0A">
      <w:pPr>
        <w:spacing w:after="0" w:line="360" w:lineRule="auto"/>
        <w:ind w:firstLine="709"/>
        <w:jc w:val="both"/>
        <w:rPr>
          <w:rFonts w:ascii="Times New Roman" w:hAnsi="Times New Roman" w:cs="Times New Roman"/>
          <w:b/>
          <w:bCs/>
          <w:sz w:val="28"/>
          <w:szCs w:val="28"/>
        </w:rPr>
      </w:pPr>
      <w:r w:rsidRPr="00AD040E">
        <w:rPr>
          <w:rFonts w:ascii="Times New Roman" w:hAnsi="Times New Roman" w:cs="Times New Roman"/>
          <w:b/>
          <w:bCs/>
          <w:sz w:val="28"/>
          <w:szCs w:val="28"/>
        </w:rPr>
        <w:t>2.2. Дослідження досвіду діяльності Рубіжанського центру надання соціальних послуг в адаптації вимушених переселенців</w:t>
      </w:r>
    </w:p>
    <w:p w14:paraId="16C0BDB5" w14:textId="77777777" w:rsidR="00E04F0A" w:rsidRDefault="00E04F0A" w:rsidP="00E04F0A">
      <w:pPr>
        <w:spacing w:after="0" w:line="360" w:lineRule="auto"/>
        <w:ind w:firstLine="709"/>
        <w:jc w:val="both"/>
        <w:rPr>
          <w:rFonts w:ascii="Times New Roman" w:hAnsi="Times New Roman" w:cs="Times New Roman"/>
          <w:sz w:val="28"/>
          <w:szCs w:val="28"/>
        </w:rPr>
      </w:pPr>
    </w:p>
    <w:p w14:paraId="7B3A896A"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В умовах сучасних військових викликів та значного потоку внутрішньо переміщених осіб, роль Центрів надання соціальних послуг набуває особливого значення, стаючи критично важливим пунктом опори для громад. Для Рубіжанської громади таким центром є Рубіжанський центр надання соціальних послуг, який відіграє ключову роль у забезпеченні життєдіяльності та підтримки постраждалих верств населення.</w:t>
      </w:r>
    </w:p>
    <w:p w14:paraId="0FB69E59"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Рубіжанський центр надання соціальних послуг Рубіжанської міської ради Луганської області (РЦНСП), створений в результаті реорганізації шляхом злиття Комунальної установи «Територіальний центр соціального обслуговування (надання соціальних послуг) Рубіжанської міської ради» (ЄДРПОУ 25370086) та Рубіжанського міського центру соціальних служб (ЄДРПОУ 23263860) є комплексним закладом, що провадить соціальну роботу та надає соціальні послуги особам/сім’ям, які належать до вразливих груп населення та/або перебувають у складних життєвих обставинах</w:t>
      </w:r>
      <w:r>
        <w:rPr>
          <w:rFonts w:ascii="Times New Roman" w:hAnsi="Times New Roman" w:cs="Times New Roman"/>
          <w:sz w:val="28"/>
          <w:szCs w:val="28"/>
        </w:rPr>
        <w:t>.</w:t>
      </w:r>
    </w:p>
    <w:p w14:paraId="6BE5731A"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Рубіжанський центр надання соціальних послуг є комунальною установою, юридичною особою, має самостійний баланс, реєстраційні рахунки в органах Державної казначейської служби України, печатку із своїм найменуванням, штампи, бланки та інші необхідні реквізити.</w:t>
      </w:r>
    </w:p>
    <w:p w14:paraId="5C7DA42E"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 xml:space="preserve">Розпорядженням начальника Рубіжанської міської військової адміністрації Сєвєродонецького району Луганською області від 21.06.2022р. №18-к було призначено виконуючого обов’язки директора Рубіжанського центру надання соціальних послуг Рубіжанської міської ради Луганської області. З 22.06.2022р. </w:t>
      </w:r>
      <w:r w:rsidRPr="00F631D6">
        <w:rPr>
          <w:rFonts w:ascii="Times New Roman" w:hAnsi="Times New Roman" w:cs="Times New Roman"/>
          <w:sz w:val="28"/>
          <w:szCs w:val="28"/>
        </w:rPr>
        <w:lastRenderedPageBreak/>
        <w:t>центр розпочав свою діяльність в умовах воєнного стану на підконтрольній території України у місті Дніпро. Було проведено роботу по відновленню установчих документів центру, вирішено питання щодо виплати заборгованості працівникам заробітної плати.</w:t>
      </w:r>
    </w:p>
    <w:p w14:paraId="5B105CBD"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Юридична адреса РЦНСП: 93009, Луганська область, місто Рубіжне, вулиця Будівельників, буд.25. Згідно Розпорядження начальника військової адміністрації від 28 вересня 2023 року №254 Рубіжанський центр надання соціальних послуг тимчасово здійснює свою діяльність за адресою: вулиця Праведників світу, будинок 43 «Б», місто Вінниця, Вінницька область.</w:t>
      </w:r>
    </w:p>
    <w:p w14:paraId="1DC2AB4F" w14:textId="77777777" w:rsidR="00E04F0A"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 xml:space="preserve">Рубіжанською міською військовою адміністрацією з метою забезпечення єдиної системи логістичного супроводу гуманітарної допомоги та координації зусиль для досягнення ефективного результату, задоволення потреб населення Рубіжанської міської територіальної громади, що вимушено перемістилася в найбезпечніші райони України, було створено гуманітарний штаб «Луганщина моя» у місті Вінниця. </w:t>
      </w:r>
    </w:p>
    <w:p w14:paraId="5032B7B6"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На базі гуманітарного штабу та у телефонному режимі працівники центру надають послуги внутрішньо переміщеним особам/сім’ям, людям похилого віку, сім’ям з дітьми, сім’ям, де є члени сім’ї з інвалідністю, одиноким матерям та іншим вразливим категоріям населення Рубіжанської громади, а також ВПО з Луганської області які постраждали в наслідок бойових дій.</w:t>
      </w:r>
    </w:p>
    <w:p w14:paraId="44BE9BEE"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Діяльність центру спрямовує та координує управління соціального захисту населення Рубіжанської міської військової адміністрації Сєвєродонецького району Луганської області. Головним розпорядником коштів для РЦНСП є управління соціального захисту населення Рубіжанської міською військової адміністрації Сєвєродонецького району Луганської області. В своїй діяльності центр підзвітний управлінню соціального захисту населення Рубіжанської міської військової адміністрації Сєвєродонецького району Луганської області.</w:t>
      </w:r>
    </w:p>
    <w:p w14:paraId="5F70D8FE" w14:textId="77777777"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 xml:space="preserve">В основу структури управління РЦНСП покладена лінійно-функціональна система. Раціонально створена структура установи обумовлює ефективність </w:t>
      </w:r>
      <w:r w:rsidRPr="00F631D6">
        <w:rPr>
          <w:rFonts w:ascii="Times New Roman" w:hAnsi="Times New Roman" w:cs="Times New Roman"/>
          <w:sz w:val="28"/>
          <w:szCs w:val="28"/>
        </w:rPr>
        <w:lastRenderedPageBreak/>
        <w:t>системи управління. На даний час в установі повноцінно функціоную адміністративний відділ, відділення натуральної допомоги та Відділ «Сервісний офіс у справах ветеранів».</w:t>
      </w:r>
    </w:p>
    <w:p w14:paraId="074178D2" w14:textId="66442D68" w:rsidR="00E04F0A" w:rsidRPr="00F631D6" w:rsidRDefault="00E04F0A" w:rsidP="00E04F0A">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Цільовою аудиторією РЦНСП є особи/сім’ї що перебувають у складних життєвих обставинах, внутрішньо переміщені особи, постраждалі від насильства, ветерани, діти, особи з інвалідністю тощо.</w:t>
      </w:r>
      <w:r>
        <w:rPr>
          <w:rFonts w:ascii="Times New Roman" w:hAnsi="Times New Roman" w:cs="Times New Roman"/>
          <w:sz w:val="28"/>
          <w:szCs w:val="28"/>
        </w:rPr>
        <w:t xml:space="preserve"> Станом на 1 вересня 2025 року на обліку Рубіжанського центру знаходиться близько 6,5 тис. населення.</w:t>
      </w:r>
    </w:p>
    <w:p w14:paraId="75C4BD05" w14:textId="7B9E4CE5"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Діяльність центру ґрунтується на положеннях Закону України «Про соціальні послуги», який визначає мету й завдання системи соціального забезпечення на рівні громад. </w:t>
      </w:r>
    </w:p>
    <w:p w14:paraId="1794538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Функціонування у статусі релокованої установи формує потребу у гнучких моделях організації роботи, адаптивному управлінні та активній координації з приймаючою громадою. З одного боку, центр продовжує виконувати функції, визначені для територіальних громад походження клієнтів, з іншого </w:t>
      </w:r>
      <w:r>
        <w:rPr>
          <w:rFonts w:ascii="Times New Roman" w:hAnsi="Times New Roman" w:cs="Times New Roman"/>
          <w:sz w:val="28"/>
          <w:szCs w:val="28"/>
        </w:rPr>
        <w:t>–</w:t>
      </w:r>
      <w:r w:rsidRPr="00A130F6">
        <w:rPr>
          <w:rFonts w:ascii="Times New Roman" w:hAnsi="Times New Roman" w:cs="Times New Roman"/>
          <w:sz w:val="28"/>
          <w:szCs w:val="28"/>
        </w:rPr>
        <w:t xml:space="preserve"> працює в умовах територіально іноземної адміністративної інфраструктури, що формує унікальне подвійне навантаження.</w:t>
      </w:r>
    </w:p>
    <w:p w14:paraId="3054BB9B"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Структурно центр зберігає типовий для ЦНСП набір напрямів: надання базових соціальних послуг, комплексний соціальний супровід сімей, підтримка осіб з інвалідністю, робота з людьми похилого віку, соціально-психологічна допомога, а також кризове реагування. </w:t>
      </w:r>
    </w:p>
    <w:p w14:paraId="3DADFC2E"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Водночас зміна місця дислокації призвела до істотної зміни профілю клієнтів. Значну частину отримувачів становлять ВПО, які потребують правової, психологічної, інформаційної підтримки, адаптації на новому місці проживання та допомоги в подоланні наслідків вимушеної міграції.</w:t>
      </w:r>
    </w:p>
    <w:p w14:paraId="56B04681"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Матеріально-технічне забезпечення центру залишається обмеженим, оскільки більшість ресурсів </w:t>
      </w:r>
      <w:r>
        <w:rPr>
          <w:rFonts w:ascii="Times New Roman" w:hAnsi="Times New Roman" w:cs="Times New Roman"/>
          <w:sz w:val="28"/>
          <w:szCs w:val="28"/>
        </w:rPr>
        <w:t>–</w:t>
      </w:r>
      <w:r w:rsidRPr="00A130F6">
        <w:rPr>
          <w:rFonts w:ascii="Times New Roman" w:hAnsi="Times New Roman" w:cs="Times New Roman"/>
          <w:sz w:val="28"/>
          <w:szCs w:val="28"/>
        </w:rPr>
        <w:t xml:space="preserve"> приміщення, обладнання, транспорт </w:t>
      </w:r>
      <w:r>
        <w:rPr>
          <w:rFonts w:ascii="Times New Roman" w:hAnsi="Times New Roman" w:cs="Times New Roman"/>
          <w:sz w:val="28"/>
          <w:szCs w:val="28"/>
        </w:rPr>
        <w:t>–</w:t>
      </w:r>
      <w:r w:rsidRPr="00A130F6">
        <w:rPr>
          <w:rFonts w:ascii="Times New Roman" w:hAnsi="Times New Roman" w:cs="Times New Roman"/>
          <w:sz w:val="28"/>
          <w:szCs w:val="28"/>
        </w:rPr>
        <w:t xml:space="preserve"> залишилися на тимчасово окупованій території. </w:t>
      </w:r>
    </w:p>
    <w:p w14:paraId="438D9BE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 ускладнює надання низки послуг, які до повномасштабної війни активно реалізовувалися у громаді. Проте центр компенсує ці обмеження через розширення </w:t>
      </w:r>
      <w:r w:rsidRPr="00A130F6">
        <w:rPr>
          <w:rFonts w:ascii="Times New Roman" w:hAnsi="Times New Roman" w:cs="Times New Roman"/>
          <w:sz w:val="28"/>
          <w:szCs w:val="28"/>
        </w:rPr>
        <w:lastRenderedPageBreak/>
        <w:t>партнерств, активне використання інновацій, запровадження цифрових рішень та пріоритетне спрямування ресурсів на ключові види підтримки.</w:t>
      </w:r>
    </w:p>
    <w:p w14:paraId="2AA1D87D"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Управлінська модель центру характеризується високою гнучкістю, що є необхідною умовою діяльності релокованих установ. Приймаюча громада забезпечує інституційну підтримку, але центр зберігає функціональну автономію, виконуючи завдання щодо ВПО, які належать до різних територіальних громад Луганщини. </w:t>
      </w:r>
    </w:p>
    <w:p w14:paraId="1DFAED68"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створює потребу в ефективній координації з органами соціального захисту, службами у справах дітей, медичними установами, громадськими організаціями та міжнародними фондами.</w:t>
      </w:r>
    </w:p>
    <w:p w14:paraId="3E7278E3"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Особливістю діяльності центру є те, що соціальні послуги надаються безоплатно для всіх ВПО Луганської області, незалежно від їхнього фактичного місця перебування. Таке рішення відповідає наявним державним підходам до підтримки внутрішньо переміщених осіб та практикам соціальної солідарності між громадами. </w:t>
      </w:r>
    </w:p>
    <w:p w14:paraId="48946897"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Водночас надання послуг відбувається «у межах можливого», що обумовлено браком матеріальної бази. Це створює потребу в перенаправленні отримувачів до установ приймаючої громади у випадках, коли центр не може забезпечити виконання державних стандартів у повному обсязі.</w:t>
      </w:r>
    </w:p>
    <w:p w14:paraId="007D57AE"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Суттєвим напрямом роботи центру є налагодження міжінституційної взаємодії та партнерств із місцевими органами влади й громадським сектором. Релоковані установи, зокрема соціальні, змушені формувати нові мережі співпраці, що позитивно впливає на ефективність діяльності та розширює спектр доступних ресурсів. Через втрату власних приміщень центр активно використовує площу партнерських організацій, залучає волонтерів, реалізує спільні проєкти з гуманітарними штабами та міжнародними організаціями.</w:t>
      </w:r>
    </w:p>
    <w:p w14:paraId="6399541F"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Загалом діяльність Рубіжанського центру надання соціальних послуг у приймаючій громаді демонструє високу здатність до адаптації, організаційної </w:t>
      </w:r>
      <w:r w:rsidRPr="00A130F6">
        <w:rPr>
          <w:rFonts w:ascii="Times New Roman" w:hAnsi="Times New Roman" w:cs="Times New Roman"/>
          <w:sz w:val="28"/>
          <w:szCs w:val="28"/>
        </w:rPr>
        <w:lastRenderedPageBreak/>
        <w:t xml:space="preserve">мобільності та пошуку інноваційних рішень, що компенсують об’єктивні обмеження, викликані релокацією. </w:t>
      </w:r>
    </w:p>
    <w:p w14:paraId="0C3D2606"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Центр виконує функції соціальної підтримки в умовах подвійного навантаження </w:t>
      </w:r>
      <w:r>
        <w:rPr>
          <w:rFonts w:ascii="Times New Roman" w:hAnsi="Times New Roman" w:cs="Times New Roman"/>
          <w:sz w:val="28"/>
          <w:szCs w:val="28"/>
        </w:rPr>
        <w:t>–</w:t>
      </w:r>
      <w:r w:rsidRPr="00A130F6">
        <w:rPr>
          <w:rFonts w:ascii="Times New Roman" w:hAnsi="Times New Roman" w:cs="Times New Roman"/>
          <w:sz w:val="28"/>
          <w:szCs w:val="28"/>
        </w:rPr>
        <w:t xml:space="preserve"> забезпечення потреб власної громади та ВПО в іншому регіоні України </w:t>
      </w:r>
      <w:r>
        <w:rPr>
          <w:rFonts w:ascii="Times New Roman" w:hAnsi="Times New Roman" w:cs="Times New Roman"/>
          <w:sz w:val="28"/>
          <w:szCs w:val="28"/>
        </w:rPr>
        <w:t>–</w:t>
      </w:r>
      <w:r w:rsidRPr="00A130F6">
        <w:rPr>
          <w:rFonts w:ascii="Times New Roman" w:hAnsi="Times New Roman" w:cs="Times New Roman"/>
          <w:sz w:val="28"/>
          <w:szCs w:val="28"/>
        </w:rPr>
        <w:t xml:space="preserve"> що робить його унікальним прикладом трансформації соціальної установи в умовах воєнних викликів.</w:t>
      </w:r>
    </w:p>
    <w:p w14:paraId="20E85D5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Впровадження інноваційних підходів у діяльність Рубіжанського центру надання соціальних послуг стало ключовою передумовою його адаптації до умов релокації та зростання потреб внутрішньо переміщених осіб. Втрата матеріальної бази, зміна територіального розташування та необхідність взаємодії з новими інституціями змусили центр перейти до застосування сучасних методів організації роботи, що відповідають європейським стандартам якості, цифровим тенденціям та принципам людиноцентричності.</w:t>
      </w:r>
    </w:p>
    <w:p w14:paraId="0D50BB8E"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Одним з найбільш помітних напрямів модернізації стала цифровізація процесів управління та надання послуг. Центр активно застосовує електронний документообіг, що дозволяє мінімізувати втрати часу, підвищити точність обробки інформації та забезпечити безперервність роботи за умов територіального переміщення. </w:t>
      </w:r>
    </w:p>
    <w:p w14:paraId="6D37E2DE"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Запровадження цифрових платформ, систем обліку клієнтів і захищених каналів комунікації дозволило пришвидшити реагування на звернення громадян та підвищити прозорість процедур відповідно до сучасних управлінських практик.</w:t>
      </w:r>
    </w:p>
    <w:p w14:paraId="140745E7"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Важливим компонентом цифрових інновацій стало використання CRM-систем, що адаптовані до специфіки соціальної роботи. Такі системи забезпечують ведення електронних кейсів клієнтів, моніторинг термінів виконання послуг, аналіз індивідуальних потреб і оцінку результатів соціального втручання. </w:t>
      </w:r>
    </w:p>
    <w:p w14:paraId="76116E1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CRM-технології створюють основу для ефективного кейс-менеджменту та дозволяють координувати роботу фахівців у мультидисциплінарному середовищі, що особливо важливо для релокованих установ, які працюють із великою кількістю ВПО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_Ref215565984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24</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_Ref214990177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5B8FA31"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Ключовим інноваційним підходом у діяльності центру є розвиток дистанційних і змішаних форматів соціальної роботи. В умовах війни цифрові консультації, онлайн-групи підтримки, телесоціальні послуги та електронні сервіси стали невід’ємною частиною практики. Це дозволило охопити отримувачів, які проживають у віддалених районах, мають обмежену мобільність або потребують оперативної психологічної та інформаційної допомоги. </w:t>
      </w:r>
    </w:p>
    <w:p w14:paraId="7462E64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Застосування дистанційних сервісів підвищило доступність соціальних послуг і дало змогу центру працювати незалежно від місця розташування персоналу чи клієнтів.</w:t>
      </w:r>
    </w:p>
    <w:p w14:paraId="1128AEF3"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Особливе значення у трансформації діяльності центру має впровадження інноваційних технологій розвитку персоналу. Система супервізії, методи коучингу та менторства стали інструментами професійної підтримки працівників, які працюють у середовищі високого психоемоційного навантаження. </w:t>
      </w:r>
    </w:p>
    <w:p w14:paraId="60CC57A6" w14:textId="23E8CB45"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Використання травма-інформованих підходів, сучасних методик оцінювання потреб клієнтів, а також безперервне навчання сприяють підвищенню якості роботи фахівців і зменшенню вигорання [</w:t>
      </w:r>
      <w:r w:rsidR="003A534D">
        <w:rPr>
          <w:rFonts w:ascii="Times New Roman" w:hAnsi="Times New Roman" w:cs="Times New Roman"/>
          <w:sz w:val="28"/>
          <w:szCs w:val="28"/>
          <w:lang w:val="uk-UA"/>
        </w:rPr>
        <w:t>4</w:t>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A4B5E10"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Значні результати принесло розширення партнерств і розвиток мережевої взаємодії.</w:t>
      </w:r>
    </w:p>
    <w:p w14:paraId="58644EB9"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Центр активно співпрацює з приймаючою громадою, громадськими організаціями, волонтерами та міжнародними фондами. Така взаємодія дозволяє компенсувати втрату матеріальної бази, отримувати можливості для участі у грантових проєктах, забезпечувати ресурсну стійкість і впроваджувати інноваційні практики, які вже апробовані в інших громадах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_Ref214990986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B2CF0EB"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Важливою складовою інноваційного розвитку центру стало використання партнерських механізмів перенаправлення отримувачів соціальних послуг. Оскільки релоковані установи Луганської області не мають змоги надавати деякі види послуг через втрату інфраструктури, сформовано практику координації з приймаючими ЦНСП.</w:t>
      </w:r>
    </w:p>
    <w:p w14:paraId="2623157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 Отримувачі, які потребують спеціалізованих послуг (догляд вдома, денний догляд, реабілітаційні послуги), можуть бути скеровані до закладів, що мають необхідну матеріальну базу. Такий механізм відповідає державним принципам рівного доступу до соціальних послуг та ініціативам «гроші ходять за людиною».</w:t>
      </w:r>
    </w:p>
    <w:p w14:paraId="2AFAD1D1"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До інноваційних практик центру </w:t>
      </w:r>
      <w:r w:rsidRPr="00BE7F9D">
        <w:rPr>
          <w:rFonts w:ascii="Times New Roman" w:hAnsi="Times New Roman" w:cs="Times New Roman"/>
          <w:sz w:val="28"/>
          <w:szCs w:val="28"/>
        </w:rPr>
        <w:t>також належить активне залучення громади та волонтерських організацій. Використання партисипативних методів</w:t>
      </w:r>
      <w:r w:rsidRPr="00A130F6">
        <w:rPr>
          <w:rFonts w:ascii="Times New Roman" w:hAnsi="Times New Roman" w:cs="Times New Roman"/>
          <w:sz w:val="28"/>
          <w:szCs w:val="28"/>
        </w:rPr>
        <w:t xml:space="preserve">, спільне планування заходів, участь отримувачів у формуванні програм підтримки сприяють підвищенню якості послуг і зміцненню соціального капіталу громади. </w:t>
      </w:r>
    </w:p>
    <w:p w14:paraId="73500E1F"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Громадська участь стала важливим інструментом адаптації ВПО та формування взаємної підтримки між переміщеним та місцевим населенням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_Ref214917830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613ABB3D"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Підсумовуючи, упроваджені інноваційні підходи створили багатокомпонентну модель модернізації діяльності Рубіжанського центру. Вони дозволили компенсувати втрату інфраструктури, підвищити професійний рівень персоналу, забезпечити доступність соціальних послуг для різних категорій населення та інтегрувати діяльність центру у ширший контекст соціальної політики приймаючої громади. </w:t>
      </w:r>
    </w:p>
    <w:p w14:paraId="252DF64B"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Інновації стали ключовою умовою ефективності, стійкості та розвитку релокованої установи, що працює в умовах надзвичайно високої соціальної турбулентності.</w:t>
      </w:r>
    </w:p>
    <w:p w14:paraId="6F4E5AA2"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Впровадження інноваційних підходів у діяльність центрів надання соціальних послуг істотно впливає на якість соціальної підтримки, забезпечуючи її доступність, адресність і відповідність сучасним потребам населення. </w:t>
      </w:r>
    </w:p>
    <w:p w14:paraId="2BF7EC5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територіальних громадах, що перебувають у стані трансформації внаслідок децентралізації та воєнних викликів, інновації відіграють роль системного інструмента модернізації соціальної політики та підвищення її результативності.</w:t>
      </w:r>
    </w:p>
    <w:p w14:paraId="6131B5D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 випадку Рубіжанського центру надання соціальних послуг інноваційні підходи стали визначальним чинником забезпечення стійкості діяльності після релокації. Вони вплинули на ключові аспекти якості </w:t>
      </w:r>
      <w:r>
        <w:rPr>
          <w:rFonts w:ascii="Times New Roman" w:hAnsi="Times New Roman" w:cs="Times New Roman"/>
          <w:sz w:val="28"/>
          <w:szCs w:val="28"/>
        </w:rPr>
        <w:t>–</w:t>
      </w:r>
      <w:r w:rsidRPr="00A130F6">
        <w:rPr>
          <w:rFonts w:ascii="Times New Roman" w:hAnsi="Times New Roman" w:cs="Times New Roman"/>
          <w:sz w:val="28"/>
          <w:szCs w:val="28"/>
        </w:rPr>
        <w:t xml:space="preserve"> оперативність реагування, </w:t>
      </w:r>
      <w:r w:rsidRPr="00A130F6">
        <w:rPr>
          <w:rFonts w:ascii="Times New Roman" w:hAnsi="Times New Roman" w:cs="Times New Roman"/>
          <w:sz w:val="28"/>
          <w:szCs w:val="28"/>
        </w:rPr>
        <w:lastRenderedPageBreak/>
        <w:t>доступність послуг, відповідність стандартам, професіоналізм персоналу та рівень задоволеності отримувачів.</w:t>
      </w:r>
    </w:p>
    <w:p w14:paraId="4B18FD53"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Одним з найбільш помітних результатів упровадження інновацій стало розширення доступу до соціальних послуг. Цифрові інструменти, дистанційні консультації, електронні кабінети отримувачів і телесоціальні сервіси дали змогу охоплювати жителів віддалених районів, маломобільних осіб, людей із психоемоційними труднощами, а також ВПО, які часто змінюють місце проживання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_Ref214990177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_Ref214990640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8BB304C"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Це забезпечило формування нової моделі рівного доступу, яка зменшує територіальну нерівність і створює можливість отримати допомогу незалежно від фізичної близькості до установи.</w:t>
      </w:r>
    </w:p>
    <w:p w14:paraId="60389099"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Доступність підвищилася і завдяки формуванню партнерських механізмів. Релоковані центри, які не можуть надавати деякі державні послуги через втрату інфраструктури, отримали можливість перенаправляти клієнтів до приймаючих громад.</w:t>
      </w:r>
    </w:p>
    <w:p w14:paraId="7510383D"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Модель взаємного доступу до послуг, що ґрунтується на принципі «гроші ходять за людиною», забезпечує можливість отримання клієнтами послуг відповідно до стандартів, навіть якщо їхній «рідний» заклад не має ресурсів для їх надання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_Ref214917703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0A4A634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Інноваційні підходи, зокрема CRM-системи, індивідуальні соціальні плани, сучасні методики оцінювання потреб, змінили характер роботи соціальних служб. Персонал отримав інструменти для глибшого аналізу ситуацій клієнтів, своєчасного виявлення ризиків, побудови персоналізованих маршрутів соціальної підтримки та моніторингу результатів втручання.</w:t>
      </w:r>
    </w:p>
    <w:p w14:paraId="62CED8C8"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Для ВПО, які часто переживають травматичні події, втрату житла, соціальних зв’язків та стабільності, важливою є наявність травма-інформованих підходів. Їхнє використання у роботі Рубіжанського центру підвищує якість психологічної та соціальної підтримки, зменшує ризики ретравматизації та посилює ефективність допомоги.</w:t>
      </w:r>
    </w:p>
    <w:p w14:paraId="345F4986"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Індивідуалізація також посилюється через залучення отримувачів до процесу прийняття рішень. Використання елементів co-creation </w:t>
      </w:r>
      <w:r>
        <w:rPr>
          <w:rFonts w:ascii="Times New Roman" w:hAnsi="Times New Roman" w:cs="Times New Roman"/>
          <w:sz w:val="28"/>
          <w:szCs w:val="28"/>
        </w:rPr>
        <w:t>–</w:t>
      </w:r>
      <w:r w:rsidRPr="00A130F6">
        <w:rPr>
          <w:rFonts w:ascii="Times New Roman" w:hAnsi="Times New Roman" w:cs="Times New Roman"/>
          <w:sz w:val="28"/>
          <w:szCs w:val="28"/>
        </w:rPr>
        <w:t xml:space="preserve"> спільного створення послуг </w:t>
      </w:r>
      <w:r>
        <w:rPr>
          <w:rFonts w:ascii="Times New Roman" w:hAnsi="Times New Roman" w:cs="Times New Roman"/>
          <w:sz w:val="28"/>
          <w:szCs w:val="28"/>
        </w:rPr>
        <w:t>–</w:t>
      </w:r>
      <w:r w:rsidRPr="00A130F6">
        <w:rPr>
          <w:rFonts w:ascii="Times New Roman" w:hAnsi="Times New Roman" w:cs="Times New Roman"/>
          <w:sz w:val="28"/>
          <w:szCs w:val="28"/>
        </w:rPr>
        <w:t xml:space="preserve"> забезпечує підвищення релевантності програм та їх адаптивність до потреб громади.</w:t>
      </w:r>
    </w:p>
    <w:p w14:paraId="46945D7D"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Впровадження інновацій у системі професійного розвитку стало чинником, який безпосередньо впливає на якість послуг. Рубіжанський центр активно використовує можливості супервізії, менторингу, стажувань, внутрішніх тренінгів, співпраці з громадськими та міжнародними організаціями. Це сприяє підвищенню кваліфікації працівників, зниженню психоемоційного вигорання та посиленню здатності відповідати на складні соціальні запити клієнтів.</w:t>
      </w:r>
    </w:p>
    <w:p w14:paraId="44D36D03"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Компетентні фахівці краще справляються з оцінюванням потреб, організацією кризової підтримки, роботою з сім’ями у складних життєвих обставинах та супроводом ВПО. Таким чином, підвищення професійного рівня працівників стає одним із ключових індикаторів зростання якості послуг.</w:t>
      </w:r>
    </w:p>
    <w:p w14:paraId="7E09D57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Інноваційні підходи вплинули на здатність центру організовувати роботу системно та прозоро. Запровадження процесного менеджменту, стандартизації процедур, аналізу показників результативності та внутрішнього моніторингу відповідає вимогам сучасних систем управління якістю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_Ref214917591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_Ref214917716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50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Завдяки цьому:</w:t>
      </w:r>
    </w:p>
    <w:p w14:paraId="5A4E4995"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скорочено час реагування на звернення громадян,</w:t>
      </w:r>
    </w:p>
    <w:p w14:paraId="0869CAF3"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підвищено узгодженість між структурними підрозділами,</w:t>
      </w:r>
    </w:p>
    <w:p w14:paraId="5D9B7C6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зменшено кількість процедурних помилок,</w:t>
      </w:r>
    </w:p>
    <w:p w14:paraId="30FF869B"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покращено комунікацію з партнерами та отримувачами.</w:t>
      </w:r>
    </w:p>
    <w:p w14:paraId="55DBBB5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Для релокованих установ прозорість процесів має особливе значення, оскільки вони повинні доводити ефективність діяльності у приймаючій громаді, забезпечувати довіру клієнтів та обґрунтовувати використання ресурсів.</w:t>
      </w:r>
    </w:p>
    <w:p w14:paraId="69AE693E"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Використання інновацій сприяє зміцненню довіри між центром, отримувачами послуг та громадою. Залучення волонтерів, участь громадських організацій, реалізація спільних ініціатив формують сприятливий соціальний </w:t>
      </w:r>
      <w:r w:rsidRPr="00A130F6">
        <w:rPr>
          <w:rFonts w:ascii="Times New Roman" w:hAnsi="Times New Roman" w:cs="Times New Roman"/>
          <w:sz w:val="28"/>
          <w:szCs w:val="28"/>
        </w:rPr>
        <w:lastRenderedPageBreak/>
        <w:t>клімат, у якому соціальні послуги сприймаються як інструмент підтримки, а не як формальна адміністративна процедура.</w:t>
      </w:r>
    </w:p>
    <w:p w14:paraId="630866A8"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Для ВПО довіра є критично важливим фактором, оскільки вони нерідко стикаються з відчуженістю, невпевненістю та нестабільністю. Інноваційні практики </w:t>
      </w:r>
      <w:r>
        <w:rPr>
          <w:rFonts w:ascii="Times New Roman" w:hAnsi="Times New Roman" w:cs="Times New Roman"/>
          <w:sz w:val="28"/>
          <w:szCs w:val="28"/>
        </w:rPr>
        <w:t>–</w:t>
      </w:r>
      <w:r w:rsidRPr="00A130F6">
        <w:rPr>
          <w:rFonts w:ascii="Times New Roman" w:hAnsi="Times New Roman" w:cs="Times New Roman"/>
          <w:sz w:val="28"/>
          <w:szCs w:val="28"/>
        </w:rPr>
        <w:t xml:space="preserve"> консультативні центри, групи взаємодопомоги, цифрові сервіси </w:t>
      </w:r>
      <w:r>
        <w:rPr>
          <w:rFonts w:ascii="Times New Roman" w:hAnsi="Times New Roman" w:cs="Times New Roman"/>
          <w:sz w:val="28"/>
          <w:szCs w:val="28"/>
        </w:rPr>
        <w:t>–</w:t>
      </w:r>
      <w:r w:rsidRPr="00A130F6">
        <w:rPr>
          <w:rFonts w:ascii="Times New Roman" w:hAnsi="Times New Roman" w:cs="Times New Roman"/>
          <w:sz w:val="28"/>
          <w:szCs w:val="28"/>
        </w:rPr>
        <w:t xml:space="preserve"> сприяють інтеграції внутрішньо переміщених осіб у нові громади.</w:t>
      </w:r>
    </w:p>
    <w:bookmarkEnd w:id="1"/>
    <w:p w14:paraId="545733E4"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Релокація центрів надання соціальних послуг стала одним із ключових процесів у системі соціального захисту України внаслідок повномасштабної війни, окупації територій, руйнування соціальної інфраструктури та масового переміщення населення. </w:t>
      </w:r>
    </w:p>
    <w:p w14:paraId="306E8B25"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Переміщення установ, зокрема Рубіжанського центру надання соціальних послуг, у межі інших територіальних громад сприяло збереженню доступності допомоги для внутрішньо переміщених осіб, котрі залишили свої громади походження, але потребують продовження соціального супроводу та підтримки. </w:t>
      </w:r>
    </w:p>
    <w:p w14:paraId="1BDCD1B3"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цих умовах релоковані ЦНСП стали не лише інституціями, що відтворюють базові соціальні функції, а й новими центрами соціальної інтеграції та орієнтації ВПО у приймаючих громадах. Їх значення зумовлене тим, що вони забезпечують безперервність соціальної роботи, зберігають довіру клієнтів і виступають посередниками між людьми та соціальною інфраструктурою нової громади проживання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r>
        <w:rPr>
          <w:rFonts w:ascii="Times New Roman" w:hAnsi="Times New Roman" w:cs="Times New Roman"/>
          <w:sz w:val="28"/>
          <w:szCs w:val="28"/>
        </w:rPr>
        <w:t xml:space="preserve"> 35</w:t>
      </w:r>
      <w:r w:rsidRPr="00A130F6">
        <w:rPr>
          <w:rFonts w:ascii="Times New Roman" w:hAnsi="Times New Roman" w:cs="Times New Roman"/>
          <w:sz w:val="28"/>
          <w:szCs w:val="28"/>
        </w:rPr>
        <w:t>].</w:t>
      </w:r>
    </w:p>
    <w:p w14:paraId="01658FE8"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Специфіка діяльності релокованих центрів виявляється передусім у збереженні їхнього правового статусу як установ громади походження. Рубіжанський ЦНСП, будучи розміщеним на території іншої громади, продовжує працювати відповідно до нормативів, внутрішніх документів та управлінських рішень Рубіжанської міської військової адміністрації. </w:t>
      </w:r>
    </w:p>
    <w:p w14:paraId="304E5C8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Така модель забезпечує сталість управлінських процедур і дозволяє ВПО з Рубіжанської громади розраховувати на отримання підтримки у звичному форматі, сформованому до релокації. </w:t>
      </w:r>
    </w:p>
    <w:p w14:paraId="49403EB9"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Безкоштовність послуг для таких осіб обґрунтовується державними зобов’язаннями щодо підтримки внутрішньо переміщених осіб і збереженням принципу рівності доступу до соціальних послуг незалежно від фактичного місця проживання.</w:t>
      </w:r>
    </w:p>
    <w:p w14:paraId="40B30D78"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Ключовою особливістю клієнтської бази релокованого центру є її «територіальна» та «ідентифікаційна» прив’язаність до місцевої громади походження.</w:t>
      </w:r>
    </w:p>
    <w:p w14:paraId="3018970D"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Для багатьох ВПО релокований центр залишається найбільш зрозумілою інституцією соціальної підтримки, оскільки тут працюють фахівці, які тривалий час супроводжували ці сім’ї, володіють історією випадку, розуміють контекст життя громади до війни та її специфічні проблеми. </w:t>
      </w:r>
    </w:p>
    <w:p w14:paraId="3A679B20"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Завдяки цьому релоковані ЦНСП виконують не лише функцію надавачів послуг, а й соціально-комунікаційну роль, підтримуючи психологічну стійкість та відчуття приналежності до рідної громади, що особливо важливо в умовах тривалого переміщення та втрати соціальних зв’язків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33B6E674"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Попри обмеження, релоковані центри забезпечують комплекс напрямів роботи, можливих навіть за повної втрати матеріально-технічної бази. Серед основних видів підтримки, які можуть бути реалізовані у релокації, варто виділити інформаційні та консультаційні послуги, психологічну підтримку, первинний соціальний супровід, кризове реагування, оформлення документів та координацію клієнтів із соціальними службами приймаючої громади. </w:t>
      </w:r>
    </w:p>
    <w:p w14:paraId="0AB3C317"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Значну роль відіграє організаційно-комунікаційна функція, яка полягає у веденні первинної оцінки потреб, консультуванні щодо алгоритмів отримання послуг і скеруванні клієнтів до установ, які мають можливість задовольнити запит у повному обсязі. Фактично </w:t>
      </w:r>
      <w:r w:rsidRPr="00F631D6">
        <w:rPr>
          <w:rFonts w:ascii="Times New Roman" w:hAnsi="Times New Roman" w:cs="Times New Roman"/>
          <w:sz w:val="28"/>
          <w:szCs w:val="28"/>
        </w:rPr>
        <w:t>Рубіжанський центр виконує роль «соціального хабу», який поєднує індивіда з новим середовищем та забезпечує м’який перехід у простір приймаючої громади.</w:t>
      </w:r>
    </w:p>
    <w:p w14:paraId="2D4FFFC1" w14:textId="77777777" w:rsidR="00E04F0A" w:rsidRPr="00A130F6" w:rsidRDefault="00E04F0A" w:rsidP="00E04F0A">
      <w:pPr>
        <w:spacing w:after="0" w:line="360" w:lineRule="auto"/>
        <w:ind w:firstLine="709"/>
        <w:jc w:val="both"/>
        <w:rPr>
          <w:rFonts w:ascii="Times New Roman" w:hAnsi="Times New Roman" w:cs="Times New Roman"/>
          <w:sz w:val="28"/>
          <w:szCs w:val="28"/>
        </w:rPr>
      </w:pPr>
    </w:p>
    <w:p w14:paraId="71136401"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Обмеження діяльності релокованих центрів соціальних послуг є ключовим чинником, що визначає потребу у зміні традиційних управлінських підходів і впровадженні інноваційних механізмів взаємодії між громадами. </w:t>
      </w:r>
    </w:p>
    <w:p w14:paraId="0FF072DA"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Втрата матеріально-технічних ресурсів, дефіцит персоналу, складності міжмуніципальної координації та фінансові колізії значною мірою впливають на те, які послуги може забезпечити релокований центр та наскільки ефективно він здатен супроводжувати внутрішньо переміщених осіб. Ці обмеження мають системний характер і є типовими для більшості релокованих соціальних установ у країні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_Ref215566409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_Ref214917802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_Ref214990177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33</w:t>
      </w:r>
      <w:r>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672CBAC"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Найбільш відчутним викликом є повна або часткова втрата матеріально-технічної бази. Приміщення, транспортні засоби, спеціалізоване обладнання, засоби реабілітації, техніка, меблі та архіви залишилися на території тимчасової окупації або були пошкоджені внаслідок бойових дій. Це означає, що у релокації центр фактично починає діяльність із «нуля», часто у пристосованих приміщеннях, що не відповідають ані нормативним вимогам, ані потребам окремих категорій клієнтів. </w:t>
      </w:r>
    </w:p>
    <w:p w14:paraId="4CFC3AFC"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Втрата інфраструктури унеможливлює роботу денних відділень, відділень соціальної адаптації, надання послуг соціальної реабілітації, підтриманого проживання та більшості форм соціального догляду, що вимагають спеціалізованих умов.</w:t>
      </w:r>
    </w:p>
    <w:p w14:paraId="036FA38D"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Суттєвим обмеженням є також неможливість надання ресурсоємних послуг. Догляд вдома, паліативний супровід, догляд для осіб похилого віку, соціально-побутове обслуговування, фізична та когнітивна реабілітація </w:t>
      </w:r>
      <w:r>
        <w:rPr>
          <w:rFonts w:ascii="Times New Roman" w:hAnsi="Times New Roman" w:cs="Times New Roman"/>
          <w:sz w:val="28"/>
          <w:szCs w:val="28"/>
        </w:rPr>
        <w:t>–</w:t>
      </w:r>
      <w:r w:rsidRPr="00A130F6">
        <w:rPr>
          <w:rFonts w:ascii="Times New Roman" w:hAnsi="Times New Roman" w:cs="Times New Roman"/>
          <w:sz w:val="28"/>
          <w:szCs w:val="28"/>
        </w:rPr>
        <w:t xml:space="preserve"> це види допомоги, які традиційно реалізуються через розвинуту систему матеріальних ресурсів, наявність транспорту, спеціальних засобів, мобільних бригад та відповідних фахівців. </w:t>
      </w:r>
    </w:p>
    <w:p w14:paraId="6CE20F1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 релокації ці можливості суттєво звужуються, і центр змушений виконувати лише консультаційно-інформаційну та координуючу функції. Для значної частини </w:t>
      </w:r>
      <w:r w:rsidRPr="00A130F6">
        <w:rPr>
          <w:rFonts w:ascii="Times New Roman" w:hAnsi="Times New Roman" w:cs="Times New Roman"/>
          <w:sz w:val="28"/>
          <w:szCs w:val="28"/>
        </w:rPr>
        <w:lastRenderedPageBreak/>
        <w:t>ВПО це означає, що вони не можуть отримати повний пакет соціальних послуг у «своєму» центрі, навіть якщо законодавчо мають на це право.</w:t>
      </w:r>
    </w:p>
    <w:p w14:paraId="3768FDE1"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Додатковим викликом є кадрові обмеження. Значна частина працівників не змогла виїхати на підконтрольну територію або вимушена була змінити місце роботи. </w:t>
      </w:r>
    </w:p>
    <w:p w14:paraId="51E08092"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Наявна команда в релокованому центрі є меншою, ніж до релокації, а навантаження збільшується у кілька разів через необхідність роботи з великою кількістю ВПО, які мають складні життєві обставини. </w:t>
      </w:r>
    </w:p>
    <w:p w14:paraId="2CB14718"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Неможливість розширити штат у релокації, відсутність профільних спеціалістів та необхідність працювати у мультифункціональному режимі поглиблює проблему якості супроводу та обслуговування. </w:t>
      </w:r>
    </w:p>
    <w:p w14:paraId="28012655"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Водночас релоковані працівники нерідко зберігають високий рівень професійної залученості та мотивації, що компенсує частину ресурсних втрат, але не вирішує системних кадрових проблем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_Ref214917716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50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4F2850B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Окремого аналізу потребують фінансові колізії, які виникають через суперечність між реальним обсягом наданих релокованими центрами послуг і механізмами їх фінансування. Бюджетне забезпечення центрів прив’язане до громади походження, однак значна частина витрат на обслуговування фактично переміщується до приймаючої громади.</w:t>
      </w:r>
    </w:p>
    <w:p w14:paraId="58AD3B0B"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Принцип «гроші ходять за людиною», закріплений у державній політиці, на практиці реалізується лише частково, оскільки ресурси розподіляються за місцем фактичної реєстрації ВПО, а не за реальною установою, яка здійснює супровід. </w:t>
      </w:r>
    </w:p>
    <w:p w14:paraId="08BF088A"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 результаті релоковані центри часто виконують значний обсяг роботи без відповідного фінансування, що ставить під загрозу їхню стійкість та можливість розвитку </w:t>
      </w:r>
      <w:bookmarkStart w:id="3" w:name="_Hlk215339286"/>
      <w:r w:rsidRPr="00A130F6">
        <w:rPr>
          <w:rFonts w:ascii="Times New Roman" w:hAnsi="Times New Roman" w:cs="Times New Roman"/>
          <w:sz w:val="28"/>
          <w:szCs w:val="28"/>
        </w:rPr>
        <w:t>[</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_Ref214917830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_Ref214990177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bookmarkEnd w:id="3"/>
      <w:r w:rsidRPr="00A130F6">
        <w:rPr>
          <w:rFonts w:ascii="Times New Roman" w:hAnsi="Times New Roman" w:cs="Times New Roman"/>
          <w:sz w:val="28"/>
          <w:szCs w:val="28"/>
        </w:rPr>
        <w:t>.</w:t>
      </w:r>
    </w:p>
    <w:p w14:paraId="23B74D0F"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сукупності ці обмеження формують ситуацію, коли релокований центр може забезпечувати тільки частину соціальних послуг, тоді як решта може бути реалізована лише через інфраструктуру приймаючої громади.</w:t>
      </w:r>
    </w:p>
    <w:p w14:paraId="4A13F165"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 Саме це створює об’єктивну потребу у налагодженні ефективних механізмів перенаправлення отримувачів та вибудові інноваційних моделей взаємодії між громадами, які дозволять забезпечити тяглість соціального супроводу та максимальну доступність послуг для внутрішньо переміщених осіб.</w:t>
      </w:r>
    </w:p>
    <w:p w14:paraId="7A208B53"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Потреба в перенаправленні отримувачів соціальних послуг до центрів приймаючих громад є прямим наслідком ресурсних, організаційних та фінансових обмежень, з якими стикаються релоковані центри. </w:t>
      </w:r>
    </w:p>
    <w:p w14:paraId="4D8DF4F9"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Оскільки релоковані установи можуть забезпечувати лише частину функцій, пов’язаних переважно з консультаціями, оцінкою потреб, психологічною підтримкою та окремими видами соціального супроводу, значна частина послуг потребує залучення інфраструктури громади фактичного проживання внутрішньо переміщених осіб. </w:t>
      </w:r>
    </w:p>
    <w:p w14:paraId="59FBDE2E"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Саме приймаюча громада володіє належною матеріально-технічною базою, бюджетним фінансуванням, кадровим ресурсом і нормативно визначеною відповідальністю за повний спектр соціальних послуг для осіб, які проживають на її території, що визначає її центральну роль у забезпеченні належного рівня соціальної підтримки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_Ref214917703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_Ref214917591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r w:rsidRPr="00BA5E71">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2E876FDE"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Найбільш суттєвим аргументом на користь перенаправлення є необхідність надання ресурсоємних соціальних послуг, доступних лише в установах, які мають відповідну інфраструктуру та фінансування. Йдеться про такі форми підтримки, які пов’язані з доглядом вдома, соціальним обслуговуванням людей похилого віку, реабілітаційними програмами, денними відділеннями, комплексними заходами соціальної адаптації та послугами підтриманого проживання. </w:t>
      </w:r>
    </w:p>
    <w:p w14:paraId="1CDB535E"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Ці види допомоги не можуть бути забезпечені релокованим центром через відсутність спеціальних приміщень, транспорту, обладнання й персоналу, а тому логічно передавати їх виконання тим громадам, які мають реальні можливості для їх надання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_Ref214990261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5</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251A0E13"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Водночас потреба в перенаправленні обумовлюється не лише інфраструктурними чинниками, а й логікою державної політики у сфері соціального забезпечення. </w:t>
      </w:r>
    </w:p>
    <w:p w14:paraId="739AA8F8"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Законодавство орієнтує систему надання соціальних послуг на принципи адресності та наближеності до місця фактичного проживання, що сприяє інтеграції отримувача у соціальне середовище громади та забезпечує доступ до місцевих ресурсів, включно з медичними, освітніми та реабілітаційними інституціями. </w:t>
      </w:r>
    </w:p>
    <w:p w14:paraId="0F512988"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Релоковані центри, навіть маючи фахову компетентність та досвід супроводу своїх клієнтів, не можуть повноцінно виконувати функції, які вимагають активної участі місцевих служб та використання інфраструктури приймаючої громади. Тому перенаправлення є не лише вимушеним кроком, а й елементом логічної побудови маршруту клієнта у нових умовах.</w:t>
      </w:r>
    </w:p>
    <w:p w14:paraId="37B30E90"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Однак практичне функціонування механізму перенаправлення виявляє низку суттєвих проблем, які знижують його ефективність. Найпроблемнішим є відсутність єдиних, затверджених на державному рівні протоколів взаємодії між релокованими центрами та установами приймаючих громад. </w:t>
      </w:r>
    </w:p>
    <w:p w14:paraId="6B428114"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різних територіях застосовуються розрізнені підходи до передачі інформації, оформлення направлень, взаємодії між керівниками центрів та структурними підрозділами соціального захисту.</w:t>
      </w:r>
    </w:p>
    <w:p w14:paraId="715EC32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Це створює нерівність у доступі до послуг, залежність від локальних домовленостей і значне навантаження на фахівців, які змушені щоразу вибудовувати індивідуальні механізми координації.</w:t>
      </w:r>
    </w:p>
    <w:p w14:paraId="5B71250D"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Проблемою є також нерівномірна зацікавленість приймаючих громад у прийнятті додаткових отримувачів. Хоча законодавство визначає обов’язок надання послуг за місцем проживання, на практиці громади можуть бути обмежені власними фінансовими ресурсами, браком фахівців чи перевантаженням існуючої інфраструктури. </w:t>
      </w:r>
    </w:p>
    <w:p w14:paraId="1EA74FFF"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У таких умовах додаткові клієнти з числа ВПО сприймаються не як об’єкти соціального захисту, а як додаткове навантаження, що може призвести до затримок, неповного надання послуг чи формального супроводу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_Ref214990640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_Ref214990250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49</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3B4AF2C"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Надзвичайно складним є питання передачі кейсів між установами. Системна проблема полягає у фрагментації інформації: релокований центр володіє історією клієнта, має налагоджену комунікацію, знає контекст і може здійснювати якісний первинний супровід, але після передачі отримувач нерідко «випадає» з поля зору або отримує допомогу у формальному, стандартному форматі без урахування особливостей конкретної ситуації. Відсутність єдиної електронної системи передачі кейсів та різний рівень цифрової готовності громад посилюють цю проблему.</w:t>
      </w:r>
    </w:p>
    <w:p w14:paraId="15B0F40B"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Додатковим бар’єром є обмежена цифровізація процесу перенаправлення. Хоча Єдина інформаційна система соціальної сфери потенційно дозволяє вести облік отримувачів та передавати дані між громадами, її інструменти використовуються нерівномірно, а розрив між релокованими центрами й центрами приймаючих громад часто ускладнює синхронізацію даних. </w:t>
      </w:r>
    </w:p>
    <w:p w14:paraId="408F014B"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таких умовах ризики втрати інформації, дублювання функцій і помилок у супроводі клієнтів суттєво зростають.</w:t>
      </w:r>
    </w:p>
    <w:p w14:paraId="49317608"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Узагальнюючи, можна стверджувати, що потреба в перенаправленні отримувачів соціальних послуг до центрів приймаючих громад є цілком виправданою та об’єктивною, однак чинний механізм її реалізації потребує суттєвого вдосконалення. </w:t>
      </w:r>
    </w:p>
    <w:p w14:paraId="0989FE4E"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Система взаємодії між громадами залишається фрагментованою, недостатньо стандартизованою й не завжди орієнтованою на індивідуальні потреби отримувача, що вимагає пошуку інноваційних моделей співпраці та цифрових рішень, здатних забезпечити безперервність супроводу та повну доступність соціальних послуг для внутрішньо переміщених осіб.</w:t>
      </w:r>
    </w:p>
    <w:p w14:paraId="0DEDB14F" w14:textId="77777777" w:rsidR="00E04F0A" w:rsidRPr="00A130F6" w:rsidRDefault="00E04F0A" w:rsidP="00E04F0A">
      <w:pPr>
        <w:spacing w:after="0" w:line="360" w:lineRule="auto"/>
        <w:ind w:firstLine="709"/>
        <w:jc w:val="both"/>
        <w:rPr>
          <w:rFonts w:ascii="Times New Roman" w:hAnsi="Times New Roman" w:cs="Times New Roman"/>
          <w:sz w:val="28"/>
          <w:szCs w:val="28"/>
        </w:rPr>
      </w:pPr>
    </w:p>
    <w:p w14:paraId="72B7D54D"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Удосконалення механізмів взаємодії між релокованими та приймаючими громадами стає ключовою умовою забезпечення доступності, безперервності та якості соціальних послуг для внутрішньо переміщених осіб. </w:t>
      </w:r>
    </w:p>
    <w:p w14:paraId="117ECE41"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Сучасна практика демонструє, що традиційні адміністративні процедури перенаправлення вже не відповідають масштабам внутрішньої міграції, складності соціальних випадків та потребі у гнучкому управлінні. Тому в центрі уваги опиняються інноваційні підходи, здатні забезпечити не лише обмін інформацією, а й партнерську взаємодію, інтегрованість рішень та використання спільних ресурсів. </w:t>
      </w:r>
    </w:p>
    <w:p w14:paraId="48BB610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Ці моделі узгоджуються з сучасними тенденціями розвитку соціальної роботи, що акцентують на міжвідомчій співпраці, цифровізації та клієнтоцентричності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_Ref214990222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5785A248"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Одним із найбільш перспективних підходів є модель подвійного супроводу, яка передбачає збереження активної участі релокованого центру у соціальній підтримці отримувача навіть після його офіційного перенаправлення до приймаючої громади. </w:t>
      </w:r>
    </w:p>
    <w:p w14:paraId="3CAF771A"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Така модель визнає значення тривалого професійного зв’язку між ВПО та релокованою установою, яка володіє глибоким контекстним знанням про ситуацію клієнта та історію його взаємодії із соціальною системою. </w:t>
      </w:r>
    </w:p>
    <w:p w14:paraId="3278FD35"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Релокований центр у цьому випадку виконує функції первинного кейс-менеджера, здійснює оцінку потреб, формує план підтримки та супроводжує клієнта на етапі адаптації, тоді як приймаюча громада забезпечує реалізацію тих послуг, які потребують матеріально-технічних ресурсів, просторової доступності або спеціалізованих інституцій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_Ref214990144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_Ref214991405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45</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p>
    <w:p w14:paraId="6696AF25"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Модель подвійного супроводу дозволяє уникнути розриву між установами, зберегти стабільність взаємодії та забезпечити індивідуалізований підхід, який особливо важливий для ВПО.</w:t>
      </w:r>
    </w:p>
    <w:p w14:paraId="3DCA16ED"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Удосконалення міжгромадної взаємодії неможливе без цифрової модернізації процесів. У цьому контексті інноваційною є ідея створення єдиної </w:t>
      </w:r>
      <w:r w:rsidRPr="00A130F6">
        <w:rPr>
          <w:rFonts w:ascii="Times New Roman" w:hAnsi="Times New Roman" w:cs="Times New Roman"/>
          <w:sz w:val="28"/>
          <w:szCs w:val="28"/>
        </w:rPr>
        <w:lastRenderedPageBreak/>
        <w:t xml:space="preserve">електронної системи маршрутизації ВПО, яка б автоматизувала вибір громади, здатної забезпечити потрібну послугу, відповідно до фактичного місця проживання отримувача, наявних потужностей установи, її завантаженості та профілю послуги. </w:t>
      </w:r>
    </w:p>
    <w:p w14:paraId="0CDE5EF0"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Така система може ґрунтуватися на потенціалі Єдиної інформаційної системи соціальної сфери, розширюючи її функціонал до повноцінного інструмента міжгромадської координації. </w:t>
      </w:r>
    </w:p>
    <w:p w14:paraId="49ECD2B0"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Запровадження цього механізму сприяло б зменшенню людського фактору, прискоренню обміну інформацією, уникненню дублювання супроводу та забезпеченню прозорості процесу перенаправлення. </w:t>
      </w:r>
    </w:p>
    <w:p w14:paraId="1D5B77F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Крім того, цифрова маршрутизація дозволяє вести єдину електронну карту клієнта, що забезпечує доступ обох центрів до актуальних даних та підвищує якість прийняття управлінських рішень.</w:t>
      </w:r>
    </w:p>
    <w:p w14:paraId="59150F6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Ефективним інструментом розвитку міжгромадної співпраці може стати укладання мережевих угод про співфінансування соціальних послуг. Така модель передбачає, що громада, яка фактично надає послугу, отримує фінансову компенсацію з бюджету громади походження або через державні субвенції. </w:t>
      </w:r>
    </w:p>
    <w:p w14:paraId="17FC9466"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дозволяє вирівнювати навантаження між громадами та забезпечити більш рівномірний розподіл відповідальності за підтримку ВПО. Мережеві угоди сприяють зростанню фінансової стійкості системи соціального забезпечення та формують підґрунтя для стабільного партнерства, у межах якого громади спільно визначають пріоритети та оптимізують витрати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_Ref214917703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4FD5C673"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контексті модернізації системи соціальних послуг особливе місце займає механізм аутсорсингу. Він передбачає можливість передачі виконання певного виду послуги іншому центру соціальних послуг у приймаючій громаді або недержавній організації, якщо релокований центр не має можливості забезпечити її належним чином.</w:t>
      </w:r>
    </w:p>
    <w:p w14:paraId="572B08DC"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Застосування аутсорсингу відповідає логіці сучасних моделей управління соціальною сферою, які спрямовані на ефективне використання ресурсів, </w:t>
      </w:r>
      <w:r w:rsidRPr="00A130F6">
        <w:rPr>
          <w:rFonts w:ascii="Times New Roman" w:hAnsi="Times New Roman" w:cs="Times New Roman"/>
          <w:sz w:val="28"/>
          <w:szCs w:val="28"/>
        </w:rPr>
        <w:lastRenderedPageBreak/>
        <w:t>залучення спеціалізованих постачальників та підвищення якості соціальних послуг за рахунок конкуренції та спеціалізації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_Ref214917914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27</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p>
    <w:p w14:paraId="28FFCD05"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Важливою умовою ефективності цієї моделі є прозоре укладання договорів, чітке визначення стандартів якості та налагоджена система контролю виконання послуг.</w:t>
      </w:r>
    </w:p>
    <w:p w14:paraId="7868FE4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Значним потенціалом для підсилення роботи релокованих центрів володіють громадські та міжнародні організації. У багатьох громадах саме вони виступають виконавцями окремих соціальних функцій, компенсуючи нестачу державних ресурсів, забезпечуючи доступ до гуманітарних програм, психологічної підтримки, правової допомоги чи реабілітаційних заходів. Залучення НУО як партнерів у процесі перенаправлення отримувачів дозволяє розширити спектр доступних послуг, підвищити гнучкість системи та адаптувати її до потреб конкретних категорій ВПО. </w:t>
      </w:r>
    </w:p>
    <w:p w14:paraId="6EEFABE1"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Крім того, міжнародні організації відіграють важливу роль у підтримці інноваційних проєктів, сприяючи становленню нових моделей соціальної роботи та цифрових рішень.</w:t>
      </w:r>
    </w:p>
    <w:p w14:paraId="7BA1B8AB"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Не менш важливим напрямом модернізації є розвиток інноваційного міжгромадського кейс-менеджменту. Цей підхід передбачає активне залучення обох центрів до супроводу отримувача, проведення спільних кейсових нарад, узгодження плану соціальної підтримки, взаємний обмін інформацією та застосування електронних інструментів управління випадком. </w:t>
      </w:r>
    </w:p>
    <w:p w14:paraId="0636618D"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Міжгромадський кейс-менеджмент сприяє збереженню безперервності підтримки, створенню узгоджених маршрутів клієнта та забезпечує високий рівень міжвідомчої взаємодії, що відповідає сучасним вимогам до системи соціального забезпечення.</w:t>
      </w:r>
    </w:p>
    <w:p w14:paraId="6F49013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Таким чином, впровадження інноваційних підходів до взаємодії релокованих та приймаючих громад відкриває можливості для формування нової моделі соціального супроводу внутрішньо переміщених осіб. Її ключові переваги полягають у гнучкості, міжсекторальності, цифровій залежності, </w:t>
      </w:r>
      <w:r w:rsidRPr="00A130F6">
        <w:rPr>
          <w:rFonts w:ascii="Times New Roman" w:hAnsi="Times New Roman" w:cs="Times New Roman"/>
          <w:sz w:val="28"/>
          <w:szCs w:val="28"/>
        </w:rPr>
        <w:lastRenderedPageBreak/>
        <w:t>персоналізованості рішень та здатності до адаптивного управління. Інноваційні механізми дозволяють не лише налагодити ефективну маршрутизацію отримувачів соціальних послуг, а й підвищити загальний рівень стійкості соціальної системи, зміцнити партнерства між громадами та забезпечити дотримання прав і потреб осіб, які постраждали внаслідок війни.</w:t>
      </w:r>
    </w:p>
    <w:p w14:paraId="5EC06E2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Удосконалення механізмів взаємодії між релокованими та приймаючими громадами має системний соціальний ефект, який виходить далеко за межі організаційних змін та визначає нову якість соціального забезпечення внутрішньо переміщених осіб. </w:t>
      </w:r>
    </w:p>
    <w:p w14:paraId="174E99A0"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Сучасні підходи до маршрутизації соціальних послуг сприяють формуванню комплексного середовища підтримки, де доступність, інклюзивність та безперервність виступають фундаментальними принципами соціальної політики держави та громад у воєнний і післявоєнний періоди.</w:t>
      </w:r>
    </w:p>
    <w:p w14:paraId="3D683F3B"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Першим важливим наслідком упорядкування процесу перенаправлення є забезпечення повного спектра соціальних послуг для ВПО. Релоковані центри, обмежені у своїх можливостях через втрату інфраструктури, не здатні самостійно реалізувати весь обсяг допомоги, гарантований законодавством. </w:t>
      </w:r>
    </w:p>
    <w:p w14:paraId="634E856F"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Механізоване, структуроване та інноваційно підсилене перенаправлення дозволяє отримувачам своєчасно отримувати необхідну підтримку </w:t>
      </w:r>
      <w:r>
        <w:rPr>
          <w:rFonts w:ascii="Times New Roman" w:hAnsi="Times New Roman" w:cs="Times New Roman"/>
          <w:sz w:val="28"/>
          <w:szCs w:val="28"/>
        </w:rPr>
        <w:t>–</w:t>
      </w:r>
      <w:r w:rsidRPr="00A130F6">
        <w:rPr>
          <w:rFonts w:ascii="Times New Roman" w:hAnsi="Times New Roman" w:cs="Times New Roman"/>
          <w:sz w:val="28"/>
          <w:szCs w:val="28"/>
        </w:rPr>
        <w:t xml:space="preserve"> від догляду вдома до реабілітаційних програм </w:t>
      </w:r>
      <w:r>
        <w:rPr>
          <w:rFonts w:ascii="Times New Roman" w:hAnsi="Times New Roman" w:cs="Times New Roman"/>
          <w:sz w:val="28"/>
          <w:szCs w:val="28"/>
        </w:rPr>
        <w:t>–</w:t>
      </w:r>
      <w:r w:rsidRPr="00A130F6">
        <w:rPr>
          <w:rFonts w:ascii="Times New Roman" w:hAnsi="Times New Roman" w:cs="Times New Roman"/>
          <w:sz w:val="28"/>
          <w:szCs w:val="28"/>
        </w:rPr>
        <w:t xml:space="preserve"> за місцем фактичного проживання. Таким чином, технологічно грамотний перехід між установами стає інструментом забезпечення соціальних прав та їх реального виконання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_Ref214990211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18</w:t>
      </w:r>
      <w:r w:rsidRPr="00A130F6">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5661ECB5"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Другий важливий аспект полягає у зміцненні інтеграційних процесів всередині приймаючих громад. ВПО, отримуючи послуги на новому місці, поступово включаються в локальні соціальні мережі, адаптуються до нових умов проживання, знайомляться з можливостями громади, взаємодіють із місцевими інституціями та фахівцями. Це сприяє соціальній згуртованості, зменшенню рівня ізоляції, формуванню довіри та підвищенню відчуття належності до громади. </w:t>
      </w:r>
    </w:p>
    <w:p w14:paraId="05C2BF7D"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Дослідження свідчать, що доступ до якісних соціальних послуг є одним із ключових чинників успішної інтеграції переселенців у нове соціальне середовище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_Ref214917908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15</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_Ref214990144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B38C8D2"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Не менш вагомим є вплив удосконалених механізмів перенаправлення на функціонування самих громад. Уніфікація процедур, цифровізація процесів та впровадження партнерських моделей управління дозволяють оптимізувати розподіл ресурсів, уникнути дублювання зусиль та забезпечити більш раціональне планування соціального навантаження. </w:t>
      </w:r>
    </w:p>
    <w:p w14:paraId="6C7CF2C8"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Приймаючі громади отримують чіткі інструменти прогнозування потреб, релоковані </w:t>
      </w:r>
      <w:r>
        <w:rPr>
          <w:rFonts w:ascii="Times New Roman" w:hAnsi="Times New Roman" w:cs="Times New Roman"/>
          <w:sz w:val="28"/>
          <w:szCs w:val="28"/>
        </w:rPr>
        <w:t>–</w:t>
      </w:r>
      <w:r w:rsidRPr="00A130F6">
        <w:rPr>
          <w:rFonts w:ascii="Times New Roman" w:hAnsi="Times New Roman" w:cs="Times New Roman"/>
          <w:sz w:val="28"/>
          <w:szCs w:val="28"/>
        </w:rPr>
        <w:t xml:space="preserve"> зменшення неформального та надмірного тиску на персонал, а система загалом </w:t>
      </w:r>
      <w:r>
        <w:rPr>
          <w:rFonts w:ascii="Times New Roman" w:hAnsi="Times New Roman" w:cs="Times New Roman"/>
          <w:sz w:val="28"/>
          <w:szCs w:val="28"/>
        </w:rPr>
        <w:t>–</w:t>
      </w:r>
      <w:r w:rsidRPr="00A130F6">
        <w:rPr>
          <w:rFonts w:ascii="Times New Roman" w:hAnsi="Times New Roman" w:cs="Times New Roman"/>
          <w:sz w:val="28"/>
          <w:szCs w:val="28"/>
        </w:rPr>
        <w:t xml:space="preserve"> підвищення прозорості та керованості. Це формує стійкість соціальної сфери, яка у період війни є критично важливою.</w:t>
      </w:r>
    </w:p>
    <w:p w14:paraId="107AE25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Важливим ефектом є підвищення якості соціального супроводу завдяки збереженню безперервності взаємодії з клієнтом. Моделі подвійного супроводу та інноваційного кейс-менеджменту забезпечують можливість для релокованих центрів продовжувати підтримку навіть після офіційного перенаправлення отримувача. </w:t>
      </w:r>
    </w:p>
    <w:p w14:paraId="5549C47F"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уникає ситуацій, коли клієнт «випадає» із системи, змушений повторно збирати документи або пояснювати свою ситуацію новому фахівцю. Такий підхід підсилює індивідуалізацію соціальної роботи та покращує її результативність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_Ref214917830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0A043261" w14:textId="77777777" w:rsidR="00E04F0A" w:rsidRDefault="00E04F0A" w:rsidP="00E04F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менш значущим є</w:t>
      </w:r>
      <w:r w:rsidRPr="00A130F6">
        <w:rPr>
          <w:rFonts w:ascii="Times New Roman" w:hAnsi="Times New Roman" w:cs="Times New Roman"/>
          <w:sz w:val="28"/>
          <w:szCs w:val="28"/>
        </w:rPr>
        <w:t xml:space="preserve"> розвиток соціального партнерства. Удосконалені механізми перенаправлення сприяють налагодженню міжмуніципальних відносин, посиленню взаємодії між органами соціального захисту, ЦНСП, неурядовими організаціями та міжнародними фондами. </w:t>
      </w:r>
    </w:p>
    <w:p w14:paraId="5E0D587A"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 дозволяє забезпечити більш широкий спектр послуг, оперативніше реагувати на критичні потреби, впроваджувати інновації та залучати зовнішні ресурси. У довгостроковій перспективі така співпраця формує нові стандарти </w:t>
      </w:r>
      <w:r w:rsidRPr="00A130F6">
        <w:rPr>
          <w:rFonts w:ascii="Times New Roman" w:hAnsi="Times New Roman" w:cs="Times New Roman"/>
          <w:sz w:val="28"/>
          <w:szCs w:val="28"/>
        </w:rPr>
        <w:lastRenderedPageBreak/>
        <w:t>соціальної роботи, орієнтовані на розвиток людського капіталу, цифрові рішення та мультидисциплінарність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_Ref214990640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410824B9"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Загальний соціальний ефект від удосконалення механізмів перенаправлення має стратегічний вимір. Він проявляється у зростанні стійкості системи соціального захисту, підвищенні її здатності реагувати на кризові ситуації, розширенні доступності соціальних послуг та забезпеченні справедливого розподілу ресурсів між громадами. </w:t>
      </w:r>
    </w:p>
    <w:p w14:paraId="7075B654"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Для ВПО удосконалені механізми означають передбачуваність, захищеність та впевненість у можливості отримати підтримку незалежно від територіальних змін. Для релокованих та приймаючих громад </w:t>
      </w:r>
      <w:r>
        <w:rPr>
          <w:rFonts w:ascii="Times New Roman" w:hAnsi="Times New Roman" w:cs="Times New Roman"/>
          <w:sz w:val="28"/>
          <w:szCs w:val="28"/>
        </w:rPr>
        <w:t>–</w:t>
      </w:r>
      <w:r w:rsidRPr="00A130F6">
        <w:rPr>
          <w:rFonts w:ascii="Times New Roman" w:hAnsi="Times New Roman" w:cs="Times New Roman"/>
          <w:sz w:val="28"/>
          <w:szCs w:val="28"/>
        </w:rPr>
        <w:t xml:space="preserve"> це можливість формувати спільні програми, уникати перевантаження, стабілізувати роботу установ та підвищувати загальну якість життя населення.</w:t>
      </w:r>
    </w:p>
    <w:p w14:paraId="6EE0AEA5"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Рубіжанський центр надання соціальних послуг, попри релокацію та втрату матеріально-технічної бази, зберіг свою ключову соціальну функцію і трансформувався у важливий елемент міжгромадної інфраструктури підтримки внутрішньо переміщених осіб. Його діяльність демонструє, що релокований заклад здатний відігравати стратегічну роль у формуванні сучасної мережевої моделі соціального забезпечення, орієнтованої на партнерство, координацію та інноваційні способи організації допомоги. У цьому контексті центр виконує функції, які виходять за межі традиційного набору соціальних послуг та охоплюють управлінські, комунікаційні та інтеграційні аспекти роботи з ВПО.</w:t>
      </w:r>
    </w:p>
    <w:p w14:paraId="3C98F324"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Передусім Рубіжанський ЦНСП виступає комунікаційним хабом, що забезпечує системну взаємодію між ВПО з Луганської області, органами соціального захисту, приймаючими громадами та іншими зацікавленими інституціями. </w:t>
      </w:r>
    </w:p>
    <w:p w14:paraId="52B4880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Центр підтримує постійний контакт із клієнтами, що дозволяє не лише виявляти їхні потреби, а й оперативно реагувати на зміни життєвих обставин, координувати перенаправлення та здійснювати постсупровід навіть після передачі кейсу іншому надавачу послуг. Така модель комунікації забезпечує безперервність </w:t>
      </w:r>
      <w:r w:rsidRPr="00A130F6">
        <w:rPr>
          <w:rFonts w:ascii="Times New Roman" w:hAnsi="Times New Roman" w:cs="Times New Roman"/>
          <w:sz w:val="28"/>
          <w:szCs w:val="28"/>
        </w:rPr>
        <w:lastRenderedPageBreak/>
        <w:t>соціальної підтримки та сприяє збереженню довіри, яка є критично важливою для переселенців, що пережили травматичний досвід переміщення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_Ref214990986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72D2D66B"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Важливою складовою діяльності Рубіжанського центру є його роль як носія спеціалізованих компетенцій у роботі з внутрішньо переміщеними особами. </w:t>
      </w:r>
    </w:p>
    <w:p w14:paraId="1D78C654"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Фахівці центру мають унікальний досвід, що включає роботу в умовах війни, кризове реагування, психологічну підтримку, організацію супроводу сімей, що пережили окупацію, а також взаємодію з різними гуманітарними та міжнародними організаціями. Завдяки цьому центр володіє знаннями, необхідними для формування адаптованих підходів до роботи з ВПО, які не завжди властиві приймаючим громадам, що працюють переважно у стандартних умовах.</w:t>
      </w:r>
    </w:p>
    <w:p w14:paraId="3D5D36F1"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Рубіжанський ЦНСП також виконує функцію координатора перенаправлення отримувачів до приймаючих громад. Центр здійснює первинну оцінку потреб, формує рекомендації, забезпечує передачу інформації та допомагає клієнтам орієнтуватися у процедурних питаннях. Ця діяльність є важливою не лише для забезпечення доступу до необхідних послуг, а й для зменшення адміністративного навантаження на приймаючі громади, які отримують більш повну й структуровану інформацію про кожен випадок. </w:t>
      </w:r>
    </w:p>
    <w:p w14:paraId="3C119EC2"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Таким чином, Рубіжанський центр слугує посередником, що забезпечує ефективну маршрутизацію отримувачів в умовах складної міжмуніципальної взаємодії.</w:t>
      </w:r>
    </w:p>
    <w:p w14:paraId="0B043ED6"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 новій моделі партнерської взаємодії релокований центр виступає суб’єктом інноваційного розвитку соціальної системи. Участь у формуванні міжгромадських механізмів співфінансування, упровадженні цифрових рішень для обміну даними, створенні спільних кейс-менеджерських практик та інтеграції неурядових організацій дозволяє Рубіжанському ЦНСП діяти не лише як виконавець соціальних послуг, а й як активний агент соціальних змін. </w:t>
      </w:r>
    </w:p>
    <w:p w14:paraId="3CEB60B9"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Залучення центру до формування сучасних моделей взаємодії між громадами сприяє розвитку стійкої соціальної інфраструктури, яка здатна реагувати на масштабні виклики воєнного часу.</w:t>
      </w:r>
    </w:p>
    <w:p w14:paraId="2CEA6FE7"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Значущим є і те, що діяльність Рубіжанського центру сприяє збереженню соціальної ідентичності ВПО з Луганської області. Наявність «свого» установи соціального захисту </w:t>
      </w:r>
      <w:r>
        <w:rPr>
          <w:rFonts w:ascii="Times New Roman" w:hAnsi="Times New Roman" w:cs="Times New Roman"/>
          <w:sz w:val="28"/>
          <w:szCs w:val="28"/>
        </w:rPr>
        <w:t>–</w:t>
      </w:r>
      <w:r w:rsidRPr="00A130F6">
        <w:rPr>
          <w:rFonts w:ascii="Times New Roman" w:hAnsi="Times New Roman" w:cs="Times New Roman"/>
          <w:sz w:val="28"/>
          <w:szCs w:val="28"/>
        </w:rPr>
        <w:t xml:space="preserve"> навіть у релокованому вигляді </w:t>
      </w:r>
      <w:r>
        <w:rPr>
          <w:rFonts w:ascii="Times New Roman" w:hAnsi="Times New Roman" w:cs="Times New Roman"/>
          <w:sz w:val="28"/>
          <w:szCs w:val="28"/>
        </w:rPr>
        <w:t>–</w:t>
      </w:r>
      <w:r w:rsidRPr="00A130F6">
        <w:rPr>
          <w:rFonts w:ascii="Times New Roman" w:hAnsi="Times New Roman" w:cs="Times New Roman"/>
          <w:sz w:val="28"/>
          <w:szCs w:val="28"/>
        </w:rPr>
        <w:t xml:space="preserve"> допомагає переселенцям відчувати підтримку рідної громади, зберігати зв’язок із фахівцями, яким вони довіряють, та легше адаптуватися до нових умов життя. </w:t>
      </w:r>
    </w:p>
    <w:p w14:paraId="38D3AA77" w14:textId="77777777" w:rsidR="00E04F0A" w:rsidRPr="00A130F6"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є важливою психологічною та соціальною складовою процесу інтеграції, яку не завжди здатні забезпечити установи приймаючих територіальних громад.</w:t>
      </w:r>
    </w:p>
    <w:p w14:paraId="2B3F5DE4" w14:textId="77777777" w:rsidR="00E04F0A" w:rsidRDefault="00E04F0A" w:rsidP="00E04F0A">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підсумку Рубіжанський центр надання соціальних послуг у новій моделі взаємодії виступає одночасно координатором, комунікатором, експертом і агентом інновацій. Його діяльність демонструє ефективність мережевих підходів у соціальній роботі та значення релокованих установ для забезпечення прав і потреб внутрішньо переміщених осіб. Інтеграція релокованих центрів у системи приймаючих громад має ключове значення для формування стійкої, гнучкої та людиноцентричної моделі соціального забезпечення в умовах довготривалих кризових явищ.</w:t>
      </w:r>
    </w:p>
    <w:p w14:paraId="3901B252"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Перспективи подальшого розвитку Рубіжанського центру надання соціальних послуг полягають у поглибленні інноваційних підходів та розширенні можливостей соціальної підтримки відповідно до сучасних викликів і потреб внутрішньо переміщених осіб. </w:t>
      </w:r>
    </w:p>
    <w:p w14:paraId="1122BA00" w14:textId="66FB301F" w:rsidR="00E04F0A" w:rsidRPr="003A534D" w:rsidRDefault="00E04F0A" w:rsidP="00E04F0A">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 xml:space="preserve">Можна виділити шість ключових ініціатив для вдосконалення роботи </w:t>
      </w:r>
      <w:r w:rsidRPr="00A130F6">
        <w:rPr>
          <w:rFonts w:ascii="Times New Roman" w:hAnsi="Times New Roman" w:cs="Times New Roman"/>
          <w:sz w:val="28"/>
          <w:szCs w:val="28"/>
        </w:rPr>
        <w:t>Рубіжансько</w:t>
      </w:r>
      <w:r>
        <w:rPr>
          <w:rFonts w:ascii="Times New Roman" w:hAnsi="Times New Roman" w:cs="Times New Roman"/>
          <w:sz w:val="28"/>
          <w:szCs w:val="28"/>
        </w:rPr>
        <w:t>го</w:t>
      </w:r>
      <w:r w:rsidRPr="00A130F6">
        <w:rPr>
          <w:rFonts w:ascii="Times New Roman" w:hAnsi="Times New Roman" w:cs="Times New Roman"/>
          <w:sz w:val="28"/>
          <w:szCs w:val="28"/>
        </w:rPr>
        <w:t xml:space="preserve"> ЦНСП</w:t>
      </w:r>
      <w:r>
        <w:rPr>
          <w:rFonts w:ascii="Times New Roman" w:hAnsi="Times New Roman" w:cs="Times New Roman"/>
          <w:sz w:val="28"/>
          <w:szCs w:val="28"/>
        </w:rPr>
        <w:t>, спрямованих на підвищення доступності послуг, інтеграцію ВПО та залучення ресурсів спільноти</w:t>
      </w:r>
      <w:r w:rsidR="003A534D">
        <w:rPr>
          <w:rFonts w:ascii="Times New Roman" w:hAnsi="Times New Roman" w:cs="Times New Roman"/>
          <w:sz w:val="28"/>
          <w:szCs w:val="28"/>
          <w:lang w:val="uk-UA"/>
        </w:rPr>
        <w:t>.</w:t>
      </w:r>
    </w:p>
    <w:p w14:paraId="7C464D0A" w14:textId="77777777" w:rsidR="00E04F0A" w:rsidRDefault="00E04F0A" w:rsidP="00E04F0A">
      <w:pPr>
        <w:spacing w:after="0" w:line="360" w:lineRule="auto"/>
        <w:jc w:val="both"/>
        <w:rPr>
          <w:rFonts w:ascii="Times New Roman" w:eastAsia="Times New Roman" w:hAnsi="Times New Roman" w:cs="Times New Roman"/>
          <w:sz w:val="28"/>
          <w:szCs w:val="28"/>
          <w:lang w:eastAsia="uk-UA"/>
        </w:rPr>
      </w:pPr>
      <w:r>
        <w:rPr>
          <w:noProof/>
        </w:rPr>
        <w:lastRenderedPageBreak/>
        <w:drawing>
          <wp:inline distT="0" distB="0" distL="0" distR="0" wp14:anchorId="3F0B90A1" wp14:editId="39B84755">
            <wp:extent cx="6119495" cy="4438650"/>
            <wp:effectExtent l="0" t="0" r="0" b="0"/>
            <wp:docPr id="6" name="Рисунок 6" descr="Изображение выглядит как текст,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Шрифт, дизайн&#10;&#10;Содержимое, созданное искусственным интеллектом, может быть неверным."/>
                    <pic:cNvPicPr/>
                  </pic:nvPicPr>
                  <pic:blipFill rotWithShape="1">
                    <a:blip r:embed="rId8">
                      <a:extLst>
                        <a:ext uri="{BEBA8EAE-BF5A-486C-A8C5-ECC9F3942E4B}">
                          <a14:imgProps xmlns:a14="http://schemas.microsoft.com/office/drawing/2010/main">
                            <a14:imgLayer r:embed="rId9">
                              <a14:imgEffect>
                                <a14:brightnessContrast bright="20000"/>
                              </a14:imgEffect>
                            </a14:imgLayer>
                          </a14:imgProps>
                        </a:ext>
                      </a:extLst>
                    </a:blip>
                    <a:srcRect t="24282" b="3185"/>
                    <a:stretch/>
                  </pic:blipFill>
                  <pic:spPr bwMode="auto">
                    <a:xfrm>
                      <a:off x="0" y="0"/>
                      <a:ext cx="6119495" cy="4438650"/>
                    </a:xfrm>
                    <a:prstGeom prst="rect">
                      <a:avLst/>
                    </a:prstGeom>
                    <a:ln>
                      <a:noFill/>
                    </a:ln>
                    <a:extLst>
                      <a:ext uri="{53640926-AAD7-44D8-BBD7-CCE9431645EC}">
                        <a14:shadowObscured xmlns:a14="http://schemas.microsoft.com/office/drawing/2010/main"/>
                      </a:ext>
                    </a:extLst>
                  </pic:spPr>
                </pic:pic>
              </a:graphicData>
            </a:graphic>
          </wp:inline>
        </w:drawing>
      </w:r>
    </w:p>
    <w:p w14:paraId="30067DEE" w14:textId="4D71F5FE" w:rsidR="00E04F0A" w:rsidRDefault="00E04F0A" w:rsidP="00E04F0A">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sz w:val="28"/>
          <w:szCs w:val="28"/>
          <w:lang w:eastAsia="uk-UA"/>
        </w:rPr>
        <w:t>Рис.</w:t>
      </w:r>
      <w:r w:rsidR="003A534D">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eastAsia="uk-UA"/>
        </w:rPr>
        <w:t xml:space="preserve">2.1. Стратегічні напрями розвитку </w:t>
      </w:r>
      <w:r w:rsidRPr="00A130F6">
        <w:rPr>
          <w:rFonts w:ascii="Times New Roman" w:hAnsi="Times New Roman" w:cs="Times New Roman"/>
          <w:sz w:val="28"/>
          <w:szCs w:val="28"/>
        </w:rPr>
        <w:t>Рубіжансько</w:t>
      </w:r>
      <w:r>
        <w:rPr>
          <w:rFonts w:ascii="Times New Roman" w:hAnsi="Times New Roman" w:cs="Times New Roman"/>
          <w:sz w:val="28"/>
          <w:szCs w:val="28"/>
        </w:rPr>
        <w:t>го</w:t>
      </w:r>
      <w:r w:rsidRPr="00A130F6">
        <w:rPr>
          <w:rFonts w:ascii="Times New Roman" w:hAnsi="Times New Roman" w:cs="Times New Roman"/>
          <w:sz w:val="28"/>
          <w:szCs w:val="28"/>
        </w:rPr>
        <w:t xml:space="preserve"> ЦНСП</w:t>
      </w:r>
      <w:r>
        <w:rPr>
          <w:rFonts w:ascii="Times New Roman" w:hAnsi="Times New Roman" w:cs="Times New Roman"/>
          <w:sz w:val="28"/>
          <w:szCs w:val="28"/>
        </w:rPr>
        <w:t xml:space="preserve"> </w:t>
      </w:r>
    </w:p>
    <w:p w14:paraId="0419F2B3"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p>
    <w:p w14:paraId="72806B55"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о</w:t>
      </w:r>
      <w:r w:rsidRPr="004A57B4">
        <w:rPr>
          <w:rFonts w:ascii="Times New Roman" w:eastAsia="Times New Roman" w:hAnsi="Times New Roman" w:cs="Times New Roman"/>
          <w:sz w:val="28"/>
          <w:szCs w:val="28"/>
          <w:lang w:eastAsia="uk-UA"/>
        </w:rPr>
        <w:t xml:space="preserve">дним із ключових напрямів удосконалення є подальша цифровізація процесів, зокрема інтеграція наявної CRM-системи з державною платформою «Соціальна громада». Це забезпечить єдиний простір для обліку звернень, уніфікацію даних та підвищення рівня прозорості кейс-менеджменту. </w:t>
      </w:r>
    </w:p>
    <w:p w14:paraId="43A27F75"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Завдяки цьому центр отримає можливість оптимізувати маршрутизацію клієнтів, скоротити час реагування та значно розширити аналітичні можливості в управлінні соціальними послугами.</w:t>
      </w:r>
    </w:p>
    <w:p w14:paraId="4C0094C7"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Не менш важливим напрямом є розширення дистанційних форматів роботи, що стають необхідними в умовах мобільності ВПО та нерівномірного розподілу соціальної інфраструктури. </w:t>
      </w:r>
    </w:p>
    <w:p w14:paraId="4D587800"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Створення спеціалізованої онлайн-платформи для консультування, груп підтримки, тренінгів і освітніх заходів дозволить забезпечити доступність послуг </w:t>
      </w:r>
      <w:r w:rsidRPr="004A57B4">
        <w:rPr>
          <w:rFonts w:ascii="Times New Roman" w:eastAsia="Times New Roman" w:hAnsi="Times New Roman" w:cs="Times New Roman"/>
          <w:sz w:val="28"/>
          <w:szCs w:val="28"/>
          <w:lang w:eastAsia="uk-UA"/>
        </w:rPr>
        <w:lastRenderedPageBreak/>
        <w:t>для осіб, які не можуть бути присутні фізично. Це підвищить регулярність соціальної взаємодії та сприятиме розвитку нових форматів психосоціальної підтримки в цифровому середовищі.</w:t>
      </w:r>
    </w:p>
    <w:p w14:paraId="56006C71"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Важливою перспективою розвитку є удосконалення системи перенаправлення отримувачів соціальних послуг. Формування єдиної мережі соціальних маршрутів через створення інтерактивної карти доступних послуг, локацій партнерських організацій та спеціалізованих точок підтримки сприятиме більш точному й ефективному орієнтуванню клієнтів у системі соціального забезпечення приймаючої громади. </w:t>
      </w:r>
    </w:p>
    <w:p w14:paraId="694D2016"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Такий інструмент дозволить зменшити навантаження на центр, забезпечивши клієнтам можливість швидко знаходити необхідні сервіси в їхньому безпосередньому середовищі.</w:t>
      </w:r>
    </w:p>
    <w:p w14:paraId="4ED4E18E"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Подальший розвиток роботи центру передбачає також впровадження травма-інформованого підходу, що стане одним із ключових компонентів якісної психосоціальної підтримки. </w:t>
      </w:r>
    </w:p>
    <w:p w14:paraId="57DDDE33"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Системне навчання персоналу основам trauma-informed practice, створення безпечних просторів для консультування, регулярне оцінювання стану отримувачів та інтеграція відповідних алгоритмів у кейс-менеджмент сприятимуть зменшенню ризиків повторної травматизації та підвищенню ефективності взаємодії з вразливими категоріями населення.</w:t>
      </w:r>
    </w:p>
    <w:p w14:paraId="75A22DA8"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Окремий вектор удосконалення пов’язаний із розвитком мобільних форматів соціального обслуговування. </w:t>
      </w:r>
    </w:p>
    <w:p w14:paraId="69BE6BC8"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Створення «Мобільного офісу соціальних послуг» дозволить забезпечити доступ до підтримки у віддалених громадах, прихистках, шелтерах та місцях компактного проживання ВПО. Портативне технічне забезпечення для виїзної роботи, можливість проводити консультації за місцем проживання клієнтів та оперативно вирішувати індивідуальні питання стане вагомим кроком до зменшення бар’єрів доступності, особливо для маломобільних осіб або сімей у складних життєвих обставинах.</w:t>
      </w:r>
    </w:p>
    <w:p w14:paraId="4939CB45"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lastRenderedPageBreak/>
        <w:t xml:space="preserve">Подальшим перспективним напрямом є створення інноваційної програми «Соціальна адаптація через професію», спрямованої на інтеграцію ВПО у ринок праці. </w:t>
      </w:r>
    </w:p>
    <w:p w14:paraId="4937FA52"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Реалізація короткострокових навчальних курсів, проведення тренінгів із розвитку навичок, співпраця з роботодавцями та супровід працевлаштування сприятимуть підвищенню соціальної та економічної спроможності переселенців, а також зміцненню їх інтеграції в місцеву громаду.</w:t>
      </w:r>
    </w:p>
    <w:p w14:paraId="038AF6FB"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Важливим аспектом удосконалення діяльності центру є розвиток волонтерського потенціалу громади. Створення волонтерської школи сприятиме підготовці залучених осіб до роботи з вразливими категоріями населення, підвищить рівень їхньої компетентності, сформує базові знання з етики соціальної роботи та забезпечить можливість практичного залучення волонтерів до діяльності центру.</w:t>
      </w:r>
    </w:p>
    <w:p w14:paraId="0531B0D6"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 Це зміцнить соціальний капітал громади та дозволить формувати сталий резерв підтримки у періоди підвищеного навантаження.</w:t>
      </w:r>
    </w:p>
    <w:p w14:paraId="5E59B750"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Серед перспектив модернізації системи соціального обслуговування також слід виокремити впровадження механізмів раннього виявлення кризових ситуацій. </w:t>
      </w:r>
    </w:p>
    <w:p w14:paraId="32DA7365"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Регулярні короткі опитування через цифрові інструменти, такі як Telegram-бот або онлайн-анкети, дадуть змогу оперативно відстежувати зміни у життєвих обставинах ВПО та швидко реагувати на кризові стани. Такий підхід сприятиме формуванню гнучкої системи превентивної підтримки та своєчасному перенаправленню до відповідних служб.</w:t>
      </w:r>
    </w:p>
    <w:p w14:paraId="0189C2C9"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Важливою інноваційною практикою може стати розвиток соціального наставництва </w:t>
      </w:r>
      <w:r>
        <w:rPr>
          <w:rFonts w:ascii="Times New Roman" w:eastAsia="Times New Roman" w:hAnsi="Times New Roman" w:cs="Times New Roman"/>
          <w:sz w:val="28"/>
          <w:szCs w:val="28"/>
          <w:lang w:eastAsia="uk-UA"/>
        </w:rPr>
        <w:t xml:space="preserve">– </w:t>
      </w:r>
      <w:r w:rsidRPr="004A57B4">
        <w:rPr>
          <w:rFonts w:ascii="Times New Roman" w:eastAsia="Times New Roman" w:hAnsi="Times New Roman" w:cs="Times New Roman"/>
          <w:sz w:val="28"/>
          <w:szCs w:val="28"/>
          <w:lang w:eastAsia="uk-UA"/>
        </w:rPr>
        <w:t xml:space="preserve">моделі, що передбачає підтримку сімей ВПО місцевими мешканцями. </w:t>
      </w:r>
    </w:p>
    <w:p w14:paraId="1D024B60"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Такий підхід сприяє інтеграції, соціальній навігації, адаптації до нових умов і формуванню міжособистісних зв’язків, які часто відіграють більшу роль у життєвій стабільності, ніж інституційні ресурси.</w:t>
      </w:r>
    </w:p>
    <w:p w14:paraId="7C1257BF"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lastRenderedPageBreak/>
        <w:t>Не менш перспективним напрямом є зміцнення науково-практичної взаємодії Рубіжанського центру з вищими навчальними закладами. Центр може стати базою для практики студентів соціальної роботи та психології, учасником спільних досліджень, а також платформою для апробації нових моделей соціальних інтервенцій. Це сприятиме впровадженню сучасних технологій, обміну досвідом та підвищенню наукової обґрунтованості прийнятих рішень.</w:t>
      </w:r>
    </w:p>
    <w:p w14:paraId="66BD36BA"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Кожна ініціатива є частиною єдиного механізму. Цифрові інструменти роблять якісну підтримку доступною, а програми інтеграції створюють середовище, де ця підтримка перетворюється на довгострокову стійкість. Це не просто перелік проектів, а ціла екостистема (рис.2.2).</w:t>
      </w:r>
    </w:p>
    <w:p w14:paraId="03E97B3B"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p>
    <w:p w14:paraId="2F292B00" w14:textId="77777777" w:rsidR="00E04F0A" w:rsidRDefault="00E04F0A" w:rsidP="00E04F0A">
      <w:pPr>
        <w:spacing w:after="0" w:line="360" w:lineRule="auto"/>
        <w:jc w:val="both"/>
        <w:rPr>
          <w:rFonts w:ascii="Times New Roman" w:eastAsia="Times New Roman" w:hAnsi="Times New Roman" w:cs="Times New Roman"/>
          <w:sz w:val="28"/>
          <w:szCs w:val="28"/>
          <w:lang w:eastAsia="uk-UA"/>
        </w:rPr>
      </w:pPr>
      <w:r w:rsidRPr="00407489">
        <w:rPr>
          <w:rFonts w:ascii="Times New Roman" w:eastAsia="Times New Roman" w:hAnsi="Times New Roman" w:cs="Times New Roman"/>
          <w:noProof/>
          <w:sz w:val="28"/>
          <w:szCs w:val="28"/>
          <w:lang w:eastAsia="uk-UA"/>
        </w:rPr>
        <w:drawing>
          <wp:inline distT="0" distB="0" distL="0" distR="0" wp14:anchorId="6D954F5C" wp14:editId="14126134">
            <wp:extent cx="6119495" cy="2433320"/>
            <wp:effectExtent l="0" t="0" r="0" b="5080"/>
            <wp:docPr id="7" name="Рисунок 7" descr="Изображение выглядит как текст, Шрифт, снимок экрана,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 Шрифт, снимок экрана, число&#10;&#10;Содержимое, созданное искусственным интеллектом, может быть неверным."/>
                    <pic:cNvPicPr/>
                  </pic:nvPicPr>
                  <pic:blipFill>
                    <a:blip r:embed="rId10"/>
                    <a:stretch>
                      <a:fillRect/>
                    </a:stretch>
                  </pic:blipFill>
                  <pic:spPr>
                    <a:xfrm>
                      <a:off x="0" y="0"/>
                      <a:ext cx="6119495" cy="2433320"/>
                    </a:xfrm>
                    <a:prstGeom prst="rect">
                      <a:avLst/>
                    </a:prstGeom>
                  </pic:spPr>
                </pic:pic>
              </a:graphicData>
            </a:graphic>
          </wp:inline>
        </w:drawing>
      </w:r>
    </w:p>
    <w:p w14:paraId="59636B0D" w14:textId="56CCA80F" w:rsidR="00E04F0A" w:rsidRDefault="00E04F0A" w:rsidP="00E04F0A">
      <w:pPr>
        <w:spacing w:after="0" w:line="36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uk-UA"/>
        </w:rPr>
        <w:t>Рис.</w:t>
      </w:r>
      <w:r w:rsidR="000B250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eastAsia="uk-UA"/>
        </w:rPr>
        <w:t>2.2. Єдина система підтримки громадян Р</w:t>
      </w:r>
      <w:r w:rsidRPr="00A130F6">
        <w:rPr>
          <w:rFonts w:ascii="Times New Roman" w:hAnsi="Times New Roman" w:cs="Times New Roman"/>
          <w:sz w:val="28"/>
          <w:szCs w:val="28"/>
        </w:rPr>
        <w:t>убіжанськ</w:t>
      </w:r>
      <w:r>
        <w:rPr>
          <w:rFonts w:ascii="Times New Roman" w:hAnsi="Times New Roman" w:cs="Times New Roman"/>
          <w:sz w:val="28"/>
          <w:szCs w:val="28"/>
        </w:rPr>
        <w:t>им</w:t>
      </w:r>
      <w:r w:rsidRPr="00A130F6">
        <w:rPr>
          <w:rFonts w:ascii="Times New Roman" w:hAnsi="Times New Roman" w:cs="Times New Roman"/>
          <w:sz w:val="28"/>
          <w:szCs w:val="28"/>
        </w:rPr>
        <w:t xml:space="preserve"> ЦНСП</w:t>
      </w:r>
    </w:p>
    <w:p w14:paraId="560EB992"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p>
    <w:p w14:paraId="0DF20CCE" w14:textId="77777777" w:rsidR="00E04F0A" w:rsidRPr="004A57B4"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Таким чином, перспективи вдосконалення системи соціального обслуговування Рубіжанського центру охоплюють комплекс інноваційних, організаційних та партнерських підходів, які здатні забезпечити стійкий розвиток установи, підвищити якість соціальних послуг і зміцнити соціальну інтеграцію ВПО та інших вразливих груп населення у приймаючій громаді.</w:t>
      </w:r>
    </w:p>
    <w:p w14:paraId="19E1EA7E" w14:textId="77777777" w:rsidR="00E04F0A" w:rsidRDefault="00E04F0A" w:rsidP="00E04F0A">
      <w:pPr>
        <w:spacing w:after="0" w:line="360" w:lineRule="auto"/>
        <w:jc w:val="both"/>
        <w:rPr>
          <w:rFonts w:ascii="Times New Roman" w:hAnsi="Times New Roman" w:cs="Times New Roman"/>
          <w:sz w:val="28"/>
          <w:szCs w:val="28"/>
        </w:rPr>
      </w:pPr>
    </w:p>
    <w:p w14:paraId="0AEDAB55" w14:textId="77777777" w:rsidR="00E04F0A" w:rsidRPr="00A130F6" w:rsidRDefault="00E04F0A" w:rsidP="00E04F0A">
      <w:pPr>
        <w:spacing w:after="0" w:line="360" w:lineRule="auto"/>
        <w:jc w:val="both"/>
        <w:rPr>
          <w:rFonts w:ascii="Times New Roman" w:hAnsi="Times New Roman" w:cs="Times New Roman"/>
          <w:sz w:val="28"/>
          <w:szCs w:val="28"/>
        </w:rPr>
      </w:pPr>
      <w:r w:rsidRPr="00A130F6">
        <w:rPr>
          <w:rFonts w:ascii="Times New Roman" w:hAnsi="Times New Roman" w:cs="Times New Roman"/>
          <w:sz w:val="28"/>
          <w:szCs w:val="28"/>
        </w:rPr>
        <w:br w:type="page"/>
      </w:r>
    </w:p>
    <w:p w14:paraId="5AD2A143" w14:textId="77777777" w:rsidR="00E04F0A" w:rsidRPr="00753702"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E2108D">
        <w:rPr>
          <w:rFonts w:ascii="Times New Roman" w:hAnsi="Times New Roman" w:cs="Times New Roman"/>
          <w:sz w:val="28"/>
          <w:szCs w:val="28"/>
        </w:rPr>
        <w:lastRenderedPageBreak/>
        <w:t>Отже,</w:t>
      </w:r>
      <w:r>
        <w:rPr>
          <w:rFonts w:ascii="Times New Roman" w:hAnsi="Times New Roman" w:cs="Times New Roman"/>
          <w:b/>
          <w:bCs/>
          <w:sz w:val="28"/>
          <w:szCs w:val="28"/>
        </w:rPr>
        <w:t xml:space="preserve"> </w:t>
      </w:r>
      <w:r w:rsidRPr="00753702">
        <w:rPr>
          <w:rFonts w:ascii="Times New Roman" w:eastAsia="Times New Roman" w:hAnsi="Times New Roman" w:cs="Times New Roman"/>
          <w:sz w:val="28"/>
          <w:szCs w:val="28"/>
          <w:lang w:eastAsia="uk-UA"/>
        </w:rPr>
        <w:t>здійснено комплексне дослідження впливу інноваційних підходів на якість соціальних послуг та визначено особливості функціонування Рубіжанського центру надання соціальних послуг як релокованої установи. Аналіз показав, що впроваджені інновації суттєво підвищили ефективність роботи центру, забезпечивши гнучкість, доступність та адаптивність у складних умовах воєнного часу.</w:t>
      </w:r>
    </w:p>
    <w:p w14:paraId="5D8168D2" w14:textId="77777777" w:rsidR="00E04F0A" w:rsidRPr="00753702"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По-перше, інтеграція цифрових технологій (Google Workspace, CRM, електронний архів, онлайн-реєстрація) забезпечила значне прискорення обробки звернень, підвищення прозорості діяльності та можливість формування статистики й аналітики для управлінських рішень. Використання диджитал-інструментів відповідає сучасним тенденціям реформування соціальної сфери та сприяє підвищенню клієнтоорієнтованості послуг.</w:t>
      </w:r>
    </w:p>
    <w:p w14:paraId="489F2631" w14:textId="77777777" w:rsidR="00E04F0A" w:rsidRPr="00753702"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По-друге, інноваційні формати роботи, такі як дистанційні консультації, мобільний супровід через месенджери та діяльність віддаленого соціального працівника, істотно розширили охоплення отримувачів, особливо внутрішньо переміщених осіб. Це забезпечило оперативність реагування та забезпечило безперервність соціальної підтримки, що є критично важливим у кризових умовах.</w:t>
      </w:r>
    </w:p>
    <w:p w14:paraId="1C8900D7" w14:textId="77777777" w:rsidR="00E04F0A" w:rsidRPr="00753702"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По-третє, партнерські механізми взаємодії з громадськими, благодійними та міжнародними організаціями стали ключовим елементом у формуванні ефективної системи перенаправлення отримувачів. Вони забезпечили доступ до психологічної, юридичної, медичної та гуманітарної допомоги, що відповідає принципам інтегрованої моделі соціальних послуг.</w:t>
      </w:r>
    </w:p>
    <w:p w14:paraId="4EF2062E" w14:textId="77777777" w:rsidR="00E04F0A" w:rsidRPr="00753702"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 xml:space="preserve">По-четверте, інноваційні підходи до управління персоналом </w:t>
      </w:r>
      <w:r>
        <w:rPr>
          <w:rFonts w:ascii="Times New Roman" w:eastAsia="Times New Roman" w:hAnsi="Times New Roman" w:cs="Times New Roman"/>
          <w:sz w:val="28"/>
          <w:szCs w:val="28"/>
          <w:lang w:eastAsia="uk-UA"/>
        </w:rPr>
        <w:t>–</w:t>
      </w:r>
      <w:r w:rsidRPr="00753702">
        <w:rPr>
          <w:rFonts w:ascii="Times New Roman" w:eastAsia="Times New Roman" w:hAnsi="Times New Roman" w:cs="Times New Roman"/>
          <w:sz w:val="28"/>
          <w:szCs w:val="28"/>
          <w:lang w:eastAsia="uk-UA"/>
        </w:rPr>
        <w:t xml:space="preserve"> онлайн-наради, дистанційне навчання та супервізія </w:t>
      </w:r>
      <w:r>
        <w:rPr>
          <w:rFonts w:ascii="Times New Roman" w:eastAsia="Times New Roman" w:hAnsi="Times New Roman" w:cs="Times New Roman"/>
          <w:sz w:val="28"/>
          <w:szCs w:val="28"/>
          <w:lang w:eastAsia="uk-UA"/>
        </w:rPr>
        <w:t>–</w:t>
      </w:r>
      <w:r w:rsidRPr="00753702">
        <w:rPr>
          <w:rFonts w:ascii="Times New Roman" w:eastAsia="Times New Roman" w:hAnsi="Times New Roman" w:cs="Times New Roman"/>
          <w:sz w:val="28"/>
          <w:szCs w:val="28"/>
          <w:lang w:eastAsia="uk-UA"/>
        </w:rPr>
        <w:t xml:space="preserve"> сприяли стабілізації кадрового складу та підвищенню професійної компетентності працівників у період після релокації.</w:t>
      </w:r>
    </w:p>
    <w:p w14:paraId="35E3F6E4" w14:textId="77777777" w:rsidR="00E04F0A" w:rsidRPr="00753702"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Особливою уваги заслуговує взаємодія з приймаючою громадою м</w:t>
      </w:r>
      <w:r>
        <w:rPr>
          <w:rFonts w:ascii="Times New Roman" w:eastAsia="Times New Roman" w:hAnsi="Times New Roman" w:cs="Times New Roman"/>
          <w:sz w:val="28"/>
          <w:szCs w:val="28"/>
          <w:lang w:eastAsia="uk-UA"/>
        </w:rPr>
        <w:t xml:space="preserve">іста </w:t>
      </w:r>
      <w:r w:rsidRPr="00753702">
        <w:rPr>
          <w:rFonts w:ascii="Times New Roman" w:eastAsia="Times New Roman" w:hAnsi="Times New Roman" w:cs="Times New Roman"/>
          <w:sz w:val="28"/>
          <w:szCs w:val="28"/>
          <w:lang w:eastAsia="uk-UA"/>
        </w:rPr>
        <w:t xml:space="preserve">Вінниці, яка створила умови для відновлення роботи центру, сприяла пошуку приміщення, реалізації гуманітарних ініціатив та інтеграції ВПО у місцевий </w:t>
      </w:r>
      <w:r w:rsidRPr="00753702">
        <w:rPr>
          <w:rFonts w:ascii="Times New Roman" w:eastAsia="Times New Roman" w:hAnsi="Times New Roman" w:cs="Times New Roman"/>
          <w:sz w:val="28"/>
          <w:szCs w:val="28"/>
          <w:lang w:eastAsia="uk-UA"/>
        </w:rPr>
        <w:lastRenderedPageBreak/>
        <w:t>соціальний простір. Це підтверджує важливість державно-громадського партнерства у забезпеченні стійкості соціальних послуг у період війни.</w:t>
      </w:r>
    </w:p>
    <w:p w14:paraId="05835D0D"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 xml:space="preserve">Узагальнюючи результати дослідження, можна зробити висновок, що релокація стала не лише викликом, а й можливістю для модернізації та інноваційного розвитку Рубіжанського ЦНСП. </w:t>
      </w:r>
    </w:p>
    <w:p w14:paraId="1B95757F" w14:textId="77777777" w:rsidR="00E04F0A"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 xml:space="preserve">Впроваджені інноваційні технології та партнерські моделі дозволили центру сформувати ефективну, гнучку та сучасну систему надання соціальних послуг, яка відповідає потребам громади та загальнонаціональним тенденціям реформування соціальної сфери. </w:t>
      </w:r>
    </w:p>
    <w:p w14:paraId="4FC93E56" w14:textId="77777777" w:rsidR="00E04F0A" w:rsidRPr="00753702" w:rsidRDefault="00E04F0A" w:rsidP="00E04F0A">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Результати роботи центру підтверджують, що інноваційні підходи є ключовим інструментом забезпечення якості соціальних послуг у кризових і післякризових ситуаціях.</w:t>
      </w:r>
    </w:p>
    <w:p w14:paraId="228FC533" w14:textId="77777777" w:rsidR="00D44897" w:rsidRPr="00E04F0A" w:rsidRDefault="00D44897" w:rsidP="00E04F0A">
      <w:pPr>
        <w:spacing w:after="0" w:line="360" w:lineRule="auto"/>
        <w:ind w:firstLine="709"/>
        <w:jc w:val="both"/>
        <w:rPr>
          <w:rFonts w:ascii="Times New Roman" w:hAnsi="Times New Roman"/>
          <w:sz w:val="28"/>
          <w:szCs w:val="28"/>
          <w:lang w:val="uk-UA"/>
        </w:rPr>
      </w:pPr>
    </w:p>
    <w:p w14:paraId="5CDF94FF" w14:textId="5EF58CB8" w:rsidR="00D44897" w:rsidRDefault="00D44897" w:rsidP="00D44897">
      <w:pPr>
        <w:spacing w:after="0" w:line="360" w:lineRule="auto"/>
        <w:ind w:firstLine="993"/>
        <w:jc w:val="both"/>
        <w:rPr>
          <w:rFonts w:ascii="Times New Roman" w:hAnsi="Times New Roman" w:cs="Times New Roman"/>
          <w:b/>
          <w:bCs/>
          <w:sz w:val="28"/>
          <w:szCs w:val="28"/>
          <w:lang w:val="uk-UA"/>
        </w:rPr>
      </w:pPr>
      <w:r w:rsidRPr="00D44897">
        <w:rPr>
          <w:rFonts w:ascii="Times New Roman" w:hAnsi="Times New Roman" w:cs="Times New Roman"/>
          <w:b/>
          <w:bCs/>
          <w:sz w:val="28"/>
          <w:szCs w:val="28"/>
          <w:lang w:val="uk-UA"/>
        </w:rPr>
        <w:t>2.3. Узагальнення результатів проведеного дослідження</w:t>
      </w:r>
    </w:p>
    <w:p w14:paraId="2729C720" w14:textId="77777777" w:rsidR="00D44897" w:rsidRPr="00D44897" w:rsidRDefault="00D44897" w:rsidP="00D44897">
      <w:pPr>
        <w:spacing w:after="0" w:line="360" w:lineRule="auto"/>
        <w:ind w:firstLine="993"/>
        <w:jc w:val="both"/>
        <w:rPr>
          <w:rFonts w:ascii="Times New Roman" w:hAnsi="Times New Roman" w:cs="Times New Roman"/>
          <w:b/>
          <w:bCs/>
          <w:sz w:val="28"/>
          <w:szCs w:val="28"/>
          <w:lang w:val="uk-UA"/>
        </w:rPr>
      </w:pPr>
    </w:p>
    <w:p w14:paraId="74461930"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Проведено теоретико-методологічний аналіз проблеми соціальної акомодації, яка розглядається як сучасне розуміння процесу адаптації та інтеграції особистості вимушених переселенців. </w:t>
      </w:r>
    </w:p>
    <w:p w14:paraId="24062A54"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Констатовано, що в сучасній науковій спільноті спостерігається ситуація, коли традиційна термінологія не повністю відповідає потребам дослідження актуальних питань. </w:t>
      </w:r>
    </w:p>
    <w:p w14:paraId="63615ACB"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Підкреслено, що термін «;адаптація» не відображає всіх аспектів життя українських вимушених переселенців та їхнього пристосування до нових умов. </w:t>
      </w:r>
    </w:p>
    <w:p w14:paraId="74B2D360"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Натомість поняття «соціальна акомодація» є більш точним і охоплює ширший спектр явищ, дозволяючи людям співіснувати з представниками інших етнокультур, вивчати їхні традиції та моральні цінності, зберігаючи при цьому власну ідентичність. </w:t>
      </w:r>
    </w:p>
    <w:p w14:paraId="155130B5"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Соціальна акомодація розглядається як процес і результат, що передбачає узгодження поведінки людини з умовами середовища, з урахуванням її </w:t>
      </w:r>
      <w:r w:rsidRPr="008A79F7">
        <w:rPr>
          <w:rFonts w:ascii="Times New Roman" w:hAnsi="Times New Roman" w:cs="Times New Roman"/>
          <w:sz w:val="28"/>
          <w:szCs w:val="28"/>
        </w:rPr>
        <w:lastRenderedPageBreak/>
        <w:t xml:space="preserve">попереднього досвіду. Цей процес супроводжується вдосконаленням набутих навичок і створенням гармонії з зовнішнім середовищем. </w:t>
      </w:r>
    </w:p>
    <w:p w14:paraId="5EC62356"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На сучасному етапі психологічна наука акцентує увагу на дослідженні різних аспектів акомодації особистості до складних і невизначених життєвих умов, що є однією з ключових тем досліджень. </w:t>
      </w:r>
    </w:p>
    <w:p w14:paraId="17BFCEB0"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Водночас акомодація в контексті вимушеного переселення залишається маловивченою і потребує подальших наукових розробок. Показано, що на відміну від добровільної міграції, яка зазвичай покращує соціальний статус особи, вимушене переселення супроводжується значним його зниженням, втратою майна та попередніх джерел доходу. </w:t>
      </w:r>
    </w:p>
    <w:p w14:paraId="3767DDD6"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Вимушене переселення характеризується відсутністю позитивної мотивації до переміщення та зміною життєвих умов, за яких нормальна життєдіяльність стає неможливою, а безпека перебуває під загрозою без видимих перспектив стабілізації ситуації. Виділено й досліджено когнітивний компонент у структурі соціальної акомодації вимушених переселенців. Цей компонент включає процеси усвідомлення та інтеграції характеристик соціального середовища, які сприяють адаптації. </w:t>
      </w:r>
    </w:p>
    <w:p w14:paraId="3637535F"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Основним елементом когнітивного компонента є здатність вимушених переселенців оцінювати власні ресурси в нових умовах проживання та формувати ключові риси свого Я-образу. До таких характеристик належать здатність приймати себе, толерантне ставлення до інших, емоційна врівноваженість, інтернальність, прагнення до лідерства, а також як позитивні, так і негативні прояви цих рис. Підкреслено, що внутрішньоособистісна адаптивність є важливим чинником у процесі психологічної підтримки та корекції стану вимушених переселенців. </w:t>
      </w:r>
    </w:p>
    <w:p w14:paraId="4F907B81"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Цей аспект виявляється у 40% респондентів, які демонструють адаптованість, і 60%, які її не досягли. Через відмінності між адаптацією та акомодацією, здатність до внутрішньої адаптації у неадаптованих переселенців виступає одночасно як ресурс і як перешкода на шляху до успішної соціальної акомодації. Це пов’;язано з тим, що соціальна акомодація передбачає не лише </w:t>
      </w:r>
      <w:r w:rsidRPr="008A79F7">
        <w:rPr>
          <w:rFonts w:ascii="Times New Roman" w:hAnsi="Times New Roman" w:cs="Times New Roman"/>
          <w:sz w:val="28"/>
          <w:szCs w:val="28"/>
        </w:rPr>
        <w:lastRenderedPageBreak/>
        <w:t xml:space="preserve">пристосування, але й активну участь у житті місцевих громад із врахуванням власного культурного досвіду та традицій. </w:t>
      </w:r>
    </w:p>
    <w:p w14:paraId="275EB7DF"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Попри підтримку з боку держави й суспільства, переселенці зазначають, що їхній рівень адаптації залишається недостатнім. Основними проблемами вони називають соціальну ізоляцію, обмеженість контактів із людьми, здатними їх зрозуміти та підтримати, труднощі мовного та діалектного характеру, а також відсутність психологічного відчуття безпеки. </w:t>
      </w:r>
    </w:p>
    <w:p w14:paraId="36147C52"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Виділено й досліджено індивідуально-особистісний компонент у структурі соціальної акомодації вимушених переселенців. З’ясовано, що представники груп із низьким рівнем психологічної стійкості мають схильність уникати активного вирішення проблем, перекладати відповідальність на зовнішні чинники та відчувати страх перед взаємодією з новими громадами. Індивідуальні пріоритети, спрямовані на самореалізацію через конкретні дії, характеризуються орієнтацією на такі цінності, як «доброта-безпека-гедонізм». </w:t>
      </w:r>
    </w:p>
    <w:p w14:paraId="45F21DFE"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Це свідчить про соціальну пасивність респондентів, їхню тенденцію уникати відповідальних рішень і небажання активно взаємодіяти із зовнішнім середовищем у стресових або невизначених умовах. </w:t>
      </w:r>
    </w:p>
    <w:p w14:paraId="5694CAD0"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Недостатня схильність до традиційних моделей поведінки, які могли б сприяти запобіганню конфліктам або їх ефективному розв’язанню, а також забезпечувати безпеку та пристосування до нових соціальних умов, є характерною для обох груп переселенців. </w:t>
      </w:r>
    </w:p>
    <w:p w14:paraId="0E481B06"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Також виявлено слабкість у здатності критично переосмислювати власні погляди під впливом об’єктивних обставин. Серед переселенців із низьким рівнем психологічної стійкості спостерігаються такі риси, як емоційна нестабільність, імпульсивність і низька стійкість до фрустрації.</w:t>
      </w:r>
    </w:p>
    <w:p w14:paraId="0A3F1361"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 Для цієї групи характерна занижена самооцінка, підвищена тривожність, схильність до частих змін настрою, вразливість та невпевненість у собі, що ускладнює правильне розуміння мотивів оточуючих. </w:t>
      </w:r>
    </w:p>
    <w:p w14:paraId="4B78D303"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lastRenderedPageBreak/>
        <w:t>У міжособистісних відносинах такі переселенці зазнають труднощів із налагодженням нових контактів, часто відчувають незручність у незнайомих ситуаціях і вагаються у прийнятті рішень.</w:t>
      </w:r>
    </w:p>
    <w:p w14:paraId="48CF9BB4"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 Вони залежні від думки оточення та демонструють соціальну незрілість, піддаючись навіть незначному зовнішньому тиску. Ці особливості іноді компенсуються проявами нонконформізму та бажанням підкреслити власну перевагу. </w:t>
      </w:r>
    </w:p>
    <w:p w14:paraId="799968B8"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Натомість переселенці з високим рівнем психологічної стійкості демонструють відкритість, комунікабельність і активність у встановленні як особистісних, так і соціальних зв’язків. Вони мають високу соціальну сміливість, готовність інтегруватися в нові групи та орієнтацію на співпрацю з іншими людьми. </w:t>
      </w:r>
    </w:p>
    <w:p w14:paraId="5245E831"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Такі риси вказують на їхню стабільність, розвинену саморегуляцію та здатність контролювати емоції й поведінку, що допомагає їм підтримувати внутрішню гармонію та впевненість у собі. Ця група характеризується емоційною зрілістю. </w:t>
      </w:r>
    </w:p>
    <w:p w14:paraId="3E6DB46E"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Що стосується інтелектуальних характеристик, переселенці з низьким рівнем психологічної стійкості зазвичай мають уповільнене мислення, нижчий рівень загальної культури та освіти, а також консервативне ставлення до нових ідей. Водночас у них добре розвинена уява. </w:t>
      </w:r>
    </w:p>
    <w:p w14:paraId="1E5AD4EE"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Переселенці з високим рівнем психологічної стійкості, навпаки, вирізняються швидким, гнучким мисленням, високою ерудицією та творчою уявою. Було виявлено значні відмінності між цими групами за типами акцентуацій. </w:t>
      </w:r>
    </w:p>
    <w:p w14:paraId="3C47C4A0"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Для групи з низьким рівнем психологічної стійкості характерні тривожні та демонстративні акцентуації, тоді як група з високим рівнем стійкості відзначається емотивними рисами. </w:t>
      </w:r>
    </w:p>
    <w:p w14:paraId="77622965"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Визначено два основні типи поведінки вимушених переселенців: Пасивно-підкорюваний тип: характеризується відсутністю опору і беззастережним виконанням вимог оточення, навіть всупереч власним бажанням чи переконанням. </w:t>
      </w:r>
      <w:r w:rsidRPr="008A79F7">
        <w:rPr>
          <w:rFonts w:ascii="Times New Roman" w:hAnsi="Times New Roman" w:cs="Times New Roman"/>
          <w:sz w:val="28"/>
          <w:szCs w:val="28"/>
        </w:rPr>
        <w:lastRenderedPageBreak/>
        <w:t xml:space="preserve">Особи цього типу часто займають роль жертви, очікуючи співчуття та поблажливості. Вони чутливі до зовнішнього контролю, проте після виконання завдань уникають проявів ініціативи. </w:t>
      </w:r>
    </w:p>
    <w:p w14:paraId="6D070B25"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Самостійність для них не є типовою. Такі люди демонструють тривожні й емотивні риси акцентуації. Провокуючий тип: відзначається високою активністю, спрямованою на зовнішнє середовище. Для них характерна маніпулятивна поведінка, яка виконує захисну функцію та може виражатися у витісненні травматичного або неприємного досвіду. Представники цього типу часто мають гіпертимічні та демонстративні риси акцентуації. </w:t>
      </w:r>
    </w:p>
    <w:p w14:paraId="32A0DF7B"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Емпірично підтверджено, що у переселенців із низькою психологічною стійкістю, які мають слабку або середню силу нервової системи, за умов сильних подразників, особливо при інтенсивному стресі, швидко виникає ефект «гальмування», що знижує ефективність їх реакцій. У повсякденному житті, попри слабкість нервової системи, вони виявляють більшу стійкість до монотонних подразників. </w:t>
      </w:r>
    </w:p>
    <w:p w14:paraId="0084C0D4"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Рівень надії, як складової оптимістичного чи песимістичного підходу до життя, вищий у переселенців із високою психологічною стійкістю. Вони сприймають свої успіхи як стійку реальність, а невдачі вважають тимчасовими й обумовленими конкретними обставинами. Схильність до пошукової та стереотипної активності виражена значно сильніше у переселенців із високою психологічною стійкістю. </w:t>
      </w:r>
    </w:p>
    <w:p w14:paraId="3F625C51"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Натомість група з низькою стійкістю демонструє пасивну установку або хаотичну (панічну) активність. Окремо було виділено та проаналізовано поведінковий компонент у структурі соціальної акомодації вимушених переселенців. </w:t>
      </w:r>
    </w:p>
    <w:p w14:paraId="2D46F9BE"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Щодо поведінкових стратегій, вимушені переселенці з високим рівнем психологічної стійкості демонструють переважно ефективні копінг-стратегії. У групі з низькою психологічною стійкістю частіше зустрічаються відносно ефективні підходи, такі як пасивна кооперація, а серед менш продуктивних </w:t>
      </w:r>
      <w:r w:rsidRPr="008A79F7">
        <w:rPr>
          <w:rFonts w:ascii="Times New Roman" w:hAnsi="Times New Roman" w:cs="Times New Roman"/>
          <w:sz w:val="28"/>
          <w:szCs w:val="28"/>
        </w:rPr>
        <w:lastRenderedPageBreak/>
        <w:t xml:space="preserve">стратегій домінують емоційна розрядка та покірність. Встановлено, що соціальна акомодація виражена значно сильніше у переселенців із високою психологічною стійкістю. </w:t>
      </w:r>
    </w:p>
    <w:p w14:paraId="4DB0EC6C"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Підвищення ефективності діяльності центрів надання соціальних послуг у сучасних умовах нерозривно пов’язане з упровадженням інноваційних механізмів, які здатні забезпечити стійкі якісні зміни в управлінні, організації роботи та наданні послуг. </w:t>
      </w:r>
    </w:p>
    <w:p w14:paraId="176AD8DB"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Інновації в соціальній сфері не обмежуються технологічними рішеннями – вони охоплюють розвиток людського капіталу, модернізацію внутрішніх процесів, підвищення фінансової гнучкості та активізацію соціального потенціалу громади. Сукупність цих механізмів формує цілісну модель адаптивної соціальної установи, що здатна відповідати на виклики, які постають унаслідок демографічних, соціально-економічних і політичних трансформацій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_Ref214990144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44</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790E196E"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Одним із ключових напрямів підвищення ефективності є розвиток професійного потенціалу персоналу, адже саме працівники центрів соціальних послуг визначають якість і результативність соціальних втручань. У межах сучасних інноваційних підходів професійний розвиток розглядається не як разове підвищення кваліфікації, а як безперервний процес, що поєднує формальне навчання, практичні тренінги, супервізію, наставництво та внутрішньоорганізаційний обмін досвідом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p>
    <w:p w14:paraId="2CF282EE"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Такий підхід відповідає концепції lifelong learning і орієнтує фахівців на постійне вдосконалення компетентностей, необхідних для роботи в умовах змінного соціального середовища.</w:t>
      </w:r>
    </w:p>
    <w:p w14:paraId="6E95A293"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Центральне місце займає супервізія як доказовий інструмент розвитку практичних навичок. Супервізійні сесії сприяють усвідомленню складних професійних ситуацій, аналізу рішень і формуванню навичок рефлексії, які є критично важливими для запобігання професійному вигоранню та підвищення якості клієнтоорієнтованих послуг. </w:t>
      </w:r>
    </w:p>
    <w:p w14:paraId="7D8AD17E"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lastRenderedPageBreak/>
        <w:t>За даними досліджень, супервізія забезпечує формування безпечного професійного середовища, у якому фахівці можуть отримувати зворотний зв’язок, узгоджувати підходи до роботи та виробляти спільні стандарти взаємодії з клієнтами.</w:t>
      </w:r>
    </w:p>
    <w:p w14:paraId="5193C4C9"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Поряд із супервізією все більшого значення набувають коучинг і менторинг, які спрямовані на розвиток індивідуального потенціалу працівника, зміцнення його здатності приймати самостійні рішення та формувати професійне бачення складних ситуацій. </w:t>
      </w:r>
    </w:p>
    <w:p w14:paraId="2CF13028"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Коучинг забезпечує підтримку в досягненні конкретних професійних цілей, тоді як менторинг передбачає передачу знань від досвідчених спеціалістів новим співробітникам, що сприяє формуванню стійкої професійної культури в установі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_Ref214990211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18</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3BD13FE7"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Важливим інноваційним механізмом професійного розвитку є оволодіння працівниками сучасними технологіями соціальної роботи, серед яких провідне місце займають цифрові інструменти, доказові практики та міждисциплінарні методики. </w:t>
      </w:r>
    </w:p>
    <w:p w14:paraId="658D64CC"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Сучасний фахівець соціальної сфери повинен володіти навичками роботи з CRM-системами, цифровими платформами комунікації, системами електронного документообігу, а також ознайомлений із травма-інформованим підходом, когнітивно-поведінковими моделями втручання та технологіями сімейного консультування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_Ref214990177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33</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_Ref214990275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42</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Уміння працювати з такими інструментами підвищує якість діагностики, забезпечує індивідуалізацію послуг і покращує координацію між учасниками соціального процесу.</w:t>
      </w:r>
    </w:p>
    <w:p w14:paraId="7C60C4D1"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Паралельно з розвитком фахових компетентностей важливого значення набуває формування організаційної культури інновацій, яка передбачає створення внутрішнього середовища, сприятливого для творчості, ініціативності та генерації нових ідей. </w:t>
      </w:r>
    </w:p>
    <w:p w14:paraId="276B768B"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Організаційна культура інновацій передбачає відкритість до експериментів, толерантність до помилок, підтримку працівників у реалізації новаторських рішень </w:t>
      </w:r>
      <w:r w:rsidRPr="00A130F6">
        <w:rPr>
          <w:rFonts w:ascii="Times New Roman" w:hAnsi="Times New Roman" w:cs="Times New Roman"/>
          <w:sz w:val="28"/>
          <w:szCs w:val="28"/>
          <w:lang w:eastAsia="uk-UA"/>
        </w:rPr>
        <w:lastRenderedPageBreak/>
        <w:t>і заохочення командної взаємодії. Формування такої культури забезпечує не лише зростання мотивації персоналу, а й створює умови для сталого розвитку організації, здатної швидко адаптуватися до зовнішніх викликів.</w:t>
      </w:r>
    </w:p>
    <w:p w14:paraId="60AF8CA2"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У практиці інноваційного управління ефективними є системи внутрішнього стимулювання персоналу, що включають преміювання за успішне впровадження інновацій, конкурси професійної майстерності, підтримку участі працівників у конференціях, освітніх програмах і грантових ініціативах. Такі механізми сприяють утриманню талантів, посиленню мотивації та формуванню в колективі атмосфери професійної активності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_Ref214990250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49</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49B31065"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Таким чином, розвиток професійного потенціалу персоналу виступає базовим механізмом підвищення ефективності діяльності центрів надання соціальних послуг. </w:t>
      </w:r>
    </w:p>
    <w:p w14:paraId="7588E1F5"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Цей процес ґрунтується на поєднанні сучасних освітніх технологій, доказових практик, цифрових інструментів і сприятливої організаційної культури, що у комплексі забезпечує підвищення якості соціальних послуг та зміцнення інституційної спроможності центрів.</w:t>
      </w:r>
    </w:p>
    <w:p w14:paraId="1F516A18"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Другим важливим напрямом інноваційного підвищення ефективності діяльності центрів надання соціальних послуг є зміцнення їхньої фінансової стійкості через упровадження нових економічних механізмів та форм взаємодії з громадою. </w:t>
      </w:r>
    </w:p>
    <w:p w14:paraId="115FD863"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Традиційна практика повної залежності від бюджетного фінансування обмежує можливості розвитку, модернізації інфраструктури, впровадження нових технологій та розширення спектра послуг. Інноваційні фінансові підходи дають змогу не лише оптимізувати використання наявних ресурсів, а й залучати додаткові, що підвищує автономність та адаптивність установи.</w:t>
      </w:r>
    </w:p>
    <w:p w14:paraId="24FD1440"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Одним із ключових механізмів фінансового розвитку є соціальне підприємництво, яке поєднує соціальну місію з економічною активністю та орієнтується на створення соціальної цінності.</w:t>
      </w:r>
    </w:p>
    <w:p w14:paraId="1BFE9D44"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lastRenderedPageBreak/>
        <w:t xml:space="preserve"> Соціальні підприємства, що функціонують на базі або у співпраці з ЦНСП, можуть надавати послуги або виробляти продукцію із залученням уразливих категорій населення – осіб з інвалідністю, внутрішньо переміщених осіб, безробітних, осіб із залежностями, молоді групи ризику тощо. Прибуток у таких моделях реінвестується у соціальні програми, що дозволяє розширювати можливості установи без збільшення бюджетних видатків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_Ref214990211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18</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11E3EE28"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Міжнародний досвід демонструє, що соціальне підприємництво створює додаткові механізми соціальної інтеграції клієнтів, формує нові робочі місця, сприяє розвитку місцевої економіки та зміцнює зв’язок між соціальною установою й громадою. </w:t>
      </w:r>
    </w:p>
    <w:p w14:paraId="70342DB3"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Дослідження показують, що моделі підприємництва, інтегровані в соціальні служби, дозволяють поєднувати професійну реабілітацію клієнтів із формуванням їхніх трудових навичок, що особливо важливо для груп, які мають труднощі з працевлаштуванням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_Ref214990710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8</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У поєднанні з програмами зайнятості та освітніми ініціативами соціальне підприємництво перетворюється на інструмент довгострокового впливу.</w:t>
      </w:r>
    </w:p>
    <w:p w14:paraId="1CCA1C92"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Поруч із соціальним підприємництвом важливу роль відіграє розвиток державно-громадських партнерств, що є однією з найефективніших моделей співпраці у сфері соціальних послуг. </w:t>
      </w:r>
    </w:p>
    <w:p w14:paraId="10B6E04A"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Такі партнерства забезпечують синергію ресурсів, експертизи, інноваційності та гнучкості громадських організацій із інституційною стабільністю державного сектору. Форма партнерства може включати соціальне замовлення, грантові програми, спільне фінансування проєктів, координацію діяльності з благодійними фондами та міжнародними агенціями, аутсорсинг окремих соціальних послуг або управлінських функцій.</w:t>
      </w:r>
    </w:p>
    <w:p w14:paraId="52C722CA"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Модель соціального замовлення, що активно застосовується в європейських країнах, дозволяє передавати частину послуг недержавним організаціям, які здатні надати їх швидше, гнучкіше й інноваційніше. Для центрів соціальних послуг це </w:t>
      </w:r>
      <w:r w:rsidRPr="00A130F6">
        <w:rPr>
          <w:rFonts w:ascii="Times New Roman" w:hAnsi="Times New Roman" w:cs="Times New Roman"/>
          <w:sz w:val="28"/>
          <w:szCs w:val="28"/>
          <w:lang w:eastAsia="uk-UA"/>
        </w:rPr>
        <w:lastRenderedPageBreak/>
        <w:t xml:space="preserve">означає можливість зосередитися на стратегічному управлінні, моніторингу якості та </w:t>
      </w:r>
      <w:r w:rsidRPr="0067737C">
        <w:rPr>
          <w:rFonts w:ascii="Times New Roman" w:hAnsi="Times New Roman" w:cs="Times New Roman"/>
          <w:sz w:val="28"/>
          <w:szCs w:val="28"/>
          <w:lang w:eastAsia="uk-UA"/>
        </w:rPr>
        <w:t xml:space="preserve">координації соціальних процесів громади. </w:t>
      </w:r>
    </w:p>
    <w:p w14:paraId="3C8E8A28"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67737C">
        <w:rPr>
          <w:rFonts w:ascii="Times New Roman" w:hAnsi="Times New Roman" w:cs="Times New Roman"/>
          <w:sz w:val="28"/>
          <w:szCs w:val="28"/>
          <w:lang w:eastAsia="uk-UA"/>
        </w:rPr>
        <w:t>При цьому конкуренція між постачальниками послуг підвищує якість і стимулює інноваційність. Дослідження науковців підтверджують, що партнерства публічного й недержавного секторів сприяють</w:t>
      </w:r>
      <w:r w:rsidRPr="00A130F6">
        <w:rPr>
          <w:rFonts w:ascii="Times New Roman" w:hAnsi="Times New Roman" w:cs="Times New Roman"/>
          <w:sz w:val="28"/>
          <w:szCs w:val="28"/>
          <w:lang w:eastAsia="uk-UA"/>
        </w:rPr>
        <w:t xml:space="preserve"> прискоренню інституційних реформ і розширенню доступності послуг уразливим групам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_Ref214990640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40</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4356F427"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Суттєве значення для підвищення ефективності має також участь міжнародних організацій, які забезпечують методологічну, ресурсну та експертну підтримку. </w:t>
      </w:r>
    </w:p>
    <w:p w14:paraId="79E14AEA"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Міжнародні донорські програми дозволяють запроваджувати інноваційні моделі, недоступні у звичайних бюджетних умовах, включаючи цифрові рішення, підготовку персоналу, розробку нових стандартів послуг, а також модернізацію матеріально-технічної бази. Участь у таких програмах підвищує інституційну спроможність ЦНСП, розширює можливості для впровадження доказових практик і сприяє інтеграції українських соціальних установ у глобальний простір соціальних інновацій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5303EF8A"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Окремим напрямом інноваційного фінансування стає залучення громади до підтримки установи через інструменти благодійності, волонтерства, локальних фондів розвитку та програм громадської участі. Така модель зміцнює соціальний діалог і формує спільну відповідальність за добробут громади.</w:t>
      </w:r>
    </w:p>
    <w:p w14:paraId="590956C6"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 Інструменти громадської участі, зокрема громадські бюджети, збір коштів на соціальні ініціативи, партнерські акції з бізнесом або спільні інфраструктурні проєкти, створюють додаткові канали підтримки, які сприяють адаптивності та гнучкості установи у періоди соціальних викликів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_Ref214990222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12</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5652DB5F"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Інноваційні фінансові механізми дають змогу не лише розширювати ресурсну базу, а й перетворювати центр соціальних послуг на активного учасника економічного та соціального розвитку громади. Вони сприяють формуванню моделі, у якій фінансова стійкість, соціальна відповідальність і інноваційність стають взаємопов’язаними елементами стратегії розвитку.</w:t>
      </w:r>
    </w:p>
    <w:p w14:paraId="43B6A580"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lastRenderedPageBreak/>
        <w:t xml:space="preserve">Третім ключовим механізмом підвищення ефективності діяльності центрів надання соціальних послуг є посилення соціальної участі громади та створення інклюзивної моделі співуправління, яка забезпечує прозорість, підзвітність та відповідність послуг реальним потребам населення. </w:t>
      </w:r>
    </w:p>
    <w:p w14:paraId="50F7FF1C"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Сучасні соціальні установи розглядають громаду не лише як отримувача послуг, а як активного учасника процесу формування соціальної політики, що сприяє розвитку партнерських стосунків і підсилює легітимність управлінських рішень.</w:t>
      </w:r>
    </w:p>
    <w:p w14:paraId="5502A651"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Одним із центральних аспектів соціальної участі є партисипативне управління, яке передбачає залучення громадян, представників організацій громадянського суспільства, волонтерів та клієнтів установи до процесів стратегічного планування, оцінювання якості послуг і розроблення нових програм. </w:t>
      </w:r>
    </w:p>
    <w:p w14:paraId="61B366C3"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Формування наглядових, громадських чи опікунських рад при центрах соціальних послуг створює умови для узгодження рішень, прозорості діяльності та системної взаємодії з місцевими спільнотами. Як свідчать сучасні методичні рекомендації, партисипативні механізми сприяють підвищенню довіри до соціальних установ і покращують якість прийнятих рішень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_Ref214991405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45</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3A7A31EA"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Важливою інноваційною практикою стає спільне створення послуг (co-creation) - інструмент, що дозволяє громаді виступати рівноправним партнером у розробленні нових сервісів. Цей підхід базується на тому, що користувачі соціальних послуг мають унікальні знання про власні потреби та можуть запропонувати ідеї, які не завжди очевидні для фахівців чи управлінців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_Ref214990250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49</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7CD9A722"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 Спільне створення послуг реалізується через фокус-групи, консультаційні зустрічі, громадські форуми та проєктні лабораторії, де клієнти, працівники та експерти розробляють інноваційні рішення разом. Це підвищує релевантність програм, зменшує ризики неефективного впровадження та сприяє стійкості інновацій.</w:t>
      </w:r>
    </w:p>
    <w:p w14:paraId="44EDCE58"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lastRenderedPageBreak/>
        <w:t xml:space="preserve">Невід’ємним інструментом інноваційних механізмів участі громади є волонтерський рух, який забезпечує установи додатковим людським ресурсом, підтримує розвиток соціального капіталу та стимулює громадянську активність. </w:t>
      </w:r>
    </w:p>
    <w:p w14:paraId="7211DDB5"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Волонтери сприяють реалізації соціальних програм, організації подій, наданню допомоги окремим групам клієнтів, а також виконують роль соціальних амбасадорів, поширюючи інформацію про діяльність ЦНСП. У багатьох громадах волонтерські програми стали основою інноваційних практик – зокрема, у сфері догляду за людьми похилого віку, підтримки ВПО, соціальної інклюзії осіб з інвалідністю та молодіжного наставництва.</w:t>
      </w:r>
    </w:p>
    <w:p w14:paraId="32735D7E" w14:textId="0458251D"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Залучення громади до управління неможливе без належної комунікації та транспарентності, які забезпечують відкритий доступ до інформації про діяльність установи, її пріоритети та результати роботи. Використання цифрових каналів комунікації – офіційних сайтів, соціальних мереж, чат-ботів, платформ е-демократії – розширює можливості громадської участі та сприяє доступності зворотного зв’язку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_Ref214990222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12</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000B2504">
        <w:rPr>
          <w:rFonts w:ascii="Times New Roman" w:hAnsi="Times New Roman" w:cs="Times New Roman"/>
          <w:sz w:val="28"/>
          <w:szCs w:val="28"/>
          <w:lang w:val="uk-UA" w:eastAsia="uk-UA"/>
        </w:rPr>
        <w:t>1</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_Ref214990261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5</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p>
    <w:p w14:paraId="0ED6849E"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Такі інструменти дозволяють оперативно інформувати населення про зміни в наданні послуг, збирати відгуки, аналізувати потреби та реагувати на запити громади.</w:t>
      </w:r>
    </w:p>
    <w:p w14:paraId="56AA4CB5"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Інноваційні механізми також включають розвиток локальних партнерських мереж, які посилюють можливості центрів соціальних послуг через інтеграцію ресурсів різних суб’єктів. До таких партнерств входять заклади охорони здоров’я, освітні установи, громадські організації, ініціативні групи, місцеві підприємці та міжнародні проєкти. </w:t>
      </w:r>
    </w:p>
    <w:p w14:paraId="5E4D9524"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Партнерські мережі формують комплексний підхід до вирішення соціальних проблем, уникаючи їх фрагментації та дублювання функцій. Як засвідчує аналіз інноваційних практик, мережеві моделі управління підвищують гнучкість установ, сприяють швидшому впровадженню нових методик і створюють умови для масштабування успішних рішень.</w:t>
      </w:r>
    </w:p>
    <w:p w14:paraId="615F7AAA"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lastRenderedPageBreak/>
        <w:t xml:space="preserve">Особливого значення в інноваційних механізмах підвищення ефективності набуває інституційна спроможність громади, яка визначається рівнем її організованості, соціальною згуртованістю та готовністю до співпраці з установами. </w:t>
      </w:r>
    </w:p>
    <w:p w14:paraId="26F1BDE0"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Інновації у сфері управління громадою </w:t>
      </w:r>
      <w:r>
        <w:rPr>
          <w:rFonts w:ascii="Times New Roman" w:hAnsi="Times New Roman" w:cs="Times New Roman"/>
          <w:sz w:val="28"/>
          <w:szCs w:val="28"/>
          <w:lang w:eastAsia="uk-UA"/>
        </w:rPr>
        <w:t>–</w:t>
      </w:r>
      <w:r w:rsidRPr="00A130F6">
        <w:rPr>
          <w:rFonts w:ascii="Times New Roman" w:hAnsi="Times New Roman" w:cs="Times New Roman"/>
          <w:sz w:val="28"/>
          <w:szCs w:val="28"/>
          <w:lang w:eastAsia="uk-UA"/>
        </w:rPr>
        <w:t xml:space="preserve"> зокрема публічні консультації, бюджети участі, громадські стратегії </w:t>
      </w:r>
      <w:r>
        <w:rPr>
          <w:rFonts w:ascii="Times New Roman" w:hAnsi="Times New Roman" w:cs="Times New Roman"/>
          <w:sz w:val="28"/>
          <w:szCs w:val="28"/>
          <w:lang w:eastAsia="uk-UA"/>
        </w:rPr>
        <w:t>–</w:t>
      </w:r>
      <w:r w:rsidRPr="00A130F6">
        <w:rPr>
          <w:rFonts w:ascii="Times New Roman" w:hAnsi="Times New Roman" w:cs="Times New Roman"/>
          <w:sz w:val="28"/>
          <w:szCs w:val="28"/>
          <w:lang w:eastAsia="uk-UA"/>
        </w:rPr>
        <w:t xml:space="preserve"> створюють поле для системної взаємодії та забезпечують сталість соціальних реформ. Завдяки таким механізмам громада перетворюється з пасивного отримувача підтримки на активного співтворця системи соціального забезпечення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_Ref214991405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45</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_Ref214990316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46</w:t>
      </w:r>
      <w:r w:rsidRPr="00A130F6">
        <w:rPr>
          <w:rFonts w:ascii="Times New Roman" w:hAnsi="Times New Roman" w:cs="Times New Roman"/>
          <w:sz w:val="28"/>
          <w:szCs w:val="28"/>
          <w:lang w:eastAsia="uk-UA"/>
        </w:rPr>
        <w:fldChar w:fldCharType="end"/>
      </w:r>
      <w:r>
        <w:rPr>
          <w:rFonts w:ascii="Times New Roman" w:hAnsi="Times New Roman" w:cs="Times New Roman"/>
          <w:sz w:val="28"/>
          <w:szCs w:val="28"/>
          <w:lang w:eastAsia="uk-UA"/>
        </w:rPr>
        <w:t xml:space="preserve">; </w:t>
      </w:r>
      <w:r w:rsidRPr="00A130F6">
        <w:rPr>
          <w:rFonts w:ascii="Times New Roman" w:hAnsi="Times New Roman" w:cs="Times New Roman"/>
          <w:sz w:val="28"/>
          <w:szCs w:val="28"/>
          <w:lang w:eastAsia="uk-UA"/>
        </w:rPr>
        <w:fldChar w:fldCharType="begin"/>
      </w:r>
      <w:r w:rsidRPr="00A130F6">
        <w:rPr>
          <w:rFonts w:ascii="Times New Roman" w:hAnsi="Times New Roman" w:cs="Times New Roman"/>
          <w:sz w:val="28"/>
          <w:szCs w:val="28"/>
          <w:lang w:eastAsia="uk-UA"/>
        </w:rPr>
        <w:instrText xml:space="preserve"> REF _Ref214990250 \r \h  \* MERGEFORMAT </w:instrText>
      </w:r>
      <w:r w:rsidRPr="00A130F6">
        <w:rPr>
          <w:rFonts w:ascii="Times New Roman" w:hAnsi="Times New Roman" w:cs="Times New Roman"/>
          <w:sz w:val="28"/>
          <w:szCs w:val="28"/>
          <w:lang w:eastAsia="uk-UA"/>
        </w:rPr>
      </w:r>
      <w:r w:rsidRPr="00A130F6">
        <w:rPr>
          <w:rFonts w:ascii="Times New Roman" w:hAnsi="Times New Roman" w:cs="Times New Roman"/>
          <w:sz w:val="28"/>
          <w:szCs w:val="28"/>
          <w:lang w:eastAsia="uk-UA"/>
        </w:rPr>
        <w:fldChar w:fldCharType="separate"/>
      </w:r>
      <w:r>
        <w:rPr>
          <w:rFonts w:ascii="Times New Roman" w:hAnsi="Times New Roman" w:cs="Times New Roman"/>
          <w:sz w:val="28"/>
          <w:szCs w:val="28"/>
          <w:lang w:eastAsia="uk-UA"/>
        </w:rPr>
        <w:t>49</w:t>
      </w:r>
      <w:r w:rsidRPr="00A130F6">
        <w:rPr>
          <w:rFonts w:ascii="Times New Roman" w:hAnsi="Times New Roman" w:cs="Times New Roman"/>
          <w:sz w:val="28"/>
          <w:szCs w:val="28"/>
          <w:lang w:eastAsia="uk-UA"/>
        </w:rPr>
        <w:fldChar w:fldCharType="end"/>
      </w:r>
      <w:r w:rsidRPr="00A130F6">
        <w:rPr>
          <w:rFonts w:ascii="Times New Roman" w:hAnsi="Times New Roman" w:cs="Times New Roman"/>
          <w:sz w:val="28"/>
          <w:szCs w:val="28"/>
          <w:lang w:eastAsia="uk-UA"/>
        </w:rPr>
        <w:t>].</w:t>
      </w:r>
    </w:p>
    <w:p w14:paraId="230E065B" w14:textId="77777777" w:rsidR="00FA3D23" w:rsidRPr="00A130F6" w:rsidRDefault="00FA3D23" w:rsidP="00FA3D23">
      <w:pPr>
        <w:pStyle w:val="afe"/>
        <w:spacing w:line="360" w:lineRule="auto"/>
        <w:ind w:firstLine="709"/>
        <w:jc w:val="both"/>
        <w:rPr>
          <w:rFonts w:ascii="Times New Roman" w:hAnsi="Times New Roman" w:cs="Times New Roman"/>
          <w:sz w:val="28"/>
          <w:szCs w:val="28"/>
          <w:lang w:eastAsia="uk-UA"/>
        </w:rPr>
      </w:pPr>
      <w:r w:rsidRPr="00A130F6">
        <w:rPr>
          <w:rFonts w:ascii="Times New Roman" w:hAnsi="Times New Roman" w:cs="Times New Roman"/>
          <w:sz w:val="28"/>
          <w:szCs w:val="28"/>
          <w:lang w:eastAsia="uk-UA"/>
        </w:rPr>
        <w:t xml:space="preserve">Таким чином, інноваційні механізми залучення громади охоплюють широкий спектр підходів </w:t>
      </w:r>
      <w:r>
        <w:rPr>
          <w:rFonts w:ascii="Times New Roman" w:hAnsi="Times New Roman" w:cs="Times New Roman"/>
          <w:sz w:val="28"/>
          <w:szCs w:val="28"/>
          <w:lang w:eastAsia="uk-UA"/>
        </w:rPr>
        <w:t>–</w:t>
      </w:r>
      <w:r w:rsidRPr="00A130F6">
        <w:rPr>
          <w:rFonts w:ascii="Times New Roman" w:hAnsi="Times New Roman" w:cs="Times New Roman"/>
          <w:sz w:val="28"/>
          <w:szCs w:val="28"/>
          <w:lang w:eastAsia="uk-UA"/>
        </w:rPr>
        <w:t xml:space="preserve"> від партисипативного управління до ко-креації послуг та мережевих партнерств. Вони сприяють формуванню моделі соціального забезпечення, у якій центр соціальних послуг виступає інтегратором інтересів, координатором соціальних процесів і платформою для співтворення інновацій, що забезпечують стійкий соціальний розвиток.</w:t>
      </w:r>
    </w:p>
    <w:p w14:paraId="6C168B93" w14:textId="77777777" w:rsidR="00FA3D23" w:rsidRPr="0026358F"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Комплексний аналіз інноваційних підходів до підвищення ефективності діяльності центрів надання соціальних послуг (ЦНСП) дозволяє стверджувати, що інновації виступають ключовим системоутворюючим чинником трансформації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сучасної моделі соціального забезпечення. Вони визначають зміст, організацію та стратегічні орієнтири соціальної роботи, формуючи засади переходу до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людиноцентричної, інтегрованої та результативної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системи соціальної підтримки, яка відповідає вимогам сучасного суспільства та викликам розвитку територіальних громад.</w:t>
      </w:r>
    </w:p>
    <w:p w14:paraId="37F58149" w14:textId="77777777" w:rsidR="00FA3D23" w:rsidRPr="0026358F"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У процесі дослідження було обґрунтовано, що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соціальні інновації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є не просто новими методами чи технологічними рішеннями, а механізмом глибоких соціальних трансформацій</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Інноваційний підхід як методологічна основа діяльності ЦНСП сприяє переходу від</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реактивної моделі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реагування на проблеми до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проактивної, превентивної та системно організованої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моделі управління соціальними ризиками.</w:t>
      </w:r>
    </w:p>
    <w:p w14:paraId="606DA329"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lastRenderedPageBreak/>
        <w:t>Було визначено, що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інноваційні моделі управління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 xml:space="preserve">центрів соціальних послуг ґрунтуються на поєднанні трьох ключових компонентів. </w:t>
      </w:r>
    </w:p>
    <w:p w14:paraId="69194D55"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Перший –</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управління якістю, зокрема запровадження систем</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СУЯ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індикаторів оцінювання результативності, що забезпечує</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прозорість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діяльності та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 xml:space="preserve">підзвітність. </w:t>
      </w:r>
    </w:p>
    <w:p w14:paraId="0AB8B63C" w14:textId="77777777" w:rsidR="00FA3D23" w:rsidRPr="0026358F"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Другий –</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цифрова трансформація, включаючи впровадження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CRM-систем</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цифрових платформ комунікації, яка підвищує</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оперативність, точність і доступність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послуг. Третій –</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мережеві моделі взаємодії</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державно-громадські партнерства, які розширюють ресурсну базу центрів, сприяють залученню експертизи недержавного сектору та створюють умови для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інтегрованого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надання послуг.</w:t>
      </w:r>
    </w:p>
    <w:p w14:paraId="6B33D50A"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Доведено, що механізми підвищення ефективності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діяльності ЦНСП через інновації охоплюють три взаємопов’язані рівні.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Професійний рівень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передбачає розвиток потенціалу персоналу через</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супервізію, коучинг</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опанування сучасних технологій соціальної роботи, забезпечуючи високий рівень компетентності фахівців.</w:t>
      </w:r>
      <w:r>
        <w:rPr>
          <w:rFonts w:ascii="Times New Roman" w:hAnsi="Times New Roman" w:cs="Times New Roman"/>
          <w:sz w:val="28"/>
          <w:szCs w:val="28"/>
          <w:lang w:eastAsia="uk-UA"/>
        </w:rPr>
        <w:t xml:space="preserve"> </w:t>
      </w:r>
    </w:p>
    <w:p w14:paraId="3E80D825" w14:textId="77777777" w:rsidR="00FA3D23" w:rsidRPr="0026358F"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Фінансово-економічний рівень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зміцнює автономію центрів через</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соціальне підприємництво</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соціальне замовлення. 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соціально-громадський рівень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підвищує рівень довіри та забезпечує відповідність послуг реальним потребам населення через</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залучення громади до управління</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та механізми</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спільного створення послуг.</w:t>
      </w:r>
    </w:p>
    <w:p w14:paraId="6FF0D27D" w14:textId="77777777" w:rsidR="00FA3D23"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Таким чином, інноваційні підходи у діяльності центрів соціальних послуг виконують функцію</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каталізатора змін, які охоплюють усі ключові аспекти їхньої роботи.</w:t>
      </w:r>
      <w:r>
        <w:rPr>
          <w:rFonts w:ascii="Times New Roman" w:hAnsi="Times New Roman" w:cs="Times New Roman"/>
          <w:sz w:val="28"/>
          <w:szCs w:val="28"/>
          <w:lang w:eastAsia="uk-UA"/>
        </w:rPr>
        <w:t xml:space="preserve"> </w:t>
      </w:r>
    </w:p>
    <w:p w14:paraId="04C7F774" w14:textId="77777777" w:rsidR="00FA3D23" w:rsidRPr="0026358F" w:rsidRDefault="00FA3D23" w:rsidP="00FA3D23">
      <w:pPr>
        <w:pStyle w:val="afe"/>
        <w:spacing w:line="360" w:lineRule="auto"/>
        <w:ind w:firstLine="709"/>
        <w:jc w:val="both"/>
        <w:rPr>
          <w:rFonts w:ascii="Times New Roman" w:hAnsi="Times New Roman" w:cs="Times New Roman"/>
          <w:sz w:val="28"/>
          <w:szCs w:val="28"/>
          <w:lang w:eastAsia="uk-UA"/>
        </w:rPr>
      </w:pPr>
      <w:r w:rsidRPr="0026358F">
        <w:rPr>
          <w:rFonts w:ascii="Times New Roman" w:hAnsi="Times New Roman" w:cs="Times New Roman"/>
          <w:sz w:val="28"/>
          <w:szCs w:val="28"/>
          <w:lang w:eastAsia="uk-UA"/>
        </w:rPr>
        <w:t>Інноваційність</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стає не додатковою перевагою, а</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необхідною умовою ефективності та стійкості</w:t>
      </w:r>
      <w:r>
        <w:rPr>
          <w:rFonts w:ascii="Times New Roman" w:hAnsi="Times New Roman" w:cs="Times New Roman"/>
          <w:sz w:val="28"/>
          <w:szCs w:val="28"/>
          <w:lang w:eastAsia="uk-UA"/>
        </w:rPr>
        <w:t xml:space="preserve"> </w:t>
      </w:r>
      <w:r w:rsidRPr="0026358F">
        <w:rPr>
          <w:rFonts w:ascii="Times New Roman" w:hAnsi="Times New Roman" w:cs="Times New Roman"/>
          <w:sz w:val="28"/>
          <w:szCs w:val="28"/>
          <w:lang w:eastAsia="uk-UA"/>
        </w:rPr>
        <w:t>соціальних установ у сучасному середовищі, забезпечуючи формування сучасної управлінської парадигми, орієнтованої на результативність, якість, прозорість та людську гідність.</w:t>
      </w:r>
    </w:p>
    <w:p w14:paraId="066CE24E" w14:textId="77777777" w:rsidR="00FA3D23" w:rsidRDefault="00FA3D23" w:rsidP="00FA3D23">
      <w:pPr>
        <w:spacing w:after="0" w:line="360" w:lineRule="auto"/>
        <w:ind w:firstLine="709"/>
        <w:jc w:val="both"/>
        <w:rPr>
          <w:rFonts w:ascii="Times New Roman" w:hAnsi="Times New Roman" w:cs="Times New Roman"/>
          <w:sz w:val="28"/>
          <w:szCs w:val="28"/>
        </w:rPr>
      </w:pPr>
    </w:p>
    <w:p w14:paraId="1A32708D" w14:textId="77777777" w:rsidR="00FA3D23" w:rsidRDefault="00FA3D23" w:rsidP="00FA3D23">
      <w:pPr>
        <w:spacing w:after="0" w:line="360" w:lineRule="auto"/>
        <w:ind w:firstLine="709"/>
        <w:jc w:val="both"/>
        <w:rPr>
          <w:rFonts w:ascii="Times New Roman" w:hAnsi="Times New Roman" w:cs="Times New Roman"/>
          <w:sz w:val="28"/>
          <w:szCs w:val="28"/>
        </w:rPr>
      </w:pPr>
    </w:p>
    <w:p w14:paraId="1C149D21" w14:textId="77777777" w:rsidR="00FA3D23" w:rsidRPr="00AD040E" w:rsidRDefault="00FA3D23" w:rsidP="00FA3D23">
      <w:pPr>
        <w:spacing w:after="0" w:line="360" w:lineRule="auto"/>
        <w:ind w:firstLine="709"/>
        <w:jc w:val="both"/>
        <w:rPr>
          <w:rFonts w:ascii="Times New Roman" w:hAnsi="Times New Roman" w:cs="Times New Roman"/>
          <w:b/>
          <w:bCs/>
          <w:sz w:val="28"/>
          <w:szCs w:val="28"/>
        </w:rPr>
      </w:pPr>
      <w:r w:rsidRPr="00AD040E">
        <w:rPr>
          <w:rFonts w:ascii="Times New Roman" w:hAnsi="Times New Roman" w:cs="Times New Roman"/>
          <w:b/>
          <w:bCs/>
          <w:sz w:val="28"/>
          <w:szCs w:val="28"/>
        </w:rPr>
        <w:t>2.2. Дослідження досвіду діяльності Рубіжанського центру надання соціальних послуг в адаптації вимушених переселенців</w:t>
      </w:r>
    </w:p>
    <w:p w14:paraId="5DDCAE8A" w14:textId="77777777" w:rsidR="00FA3D23" w:rsidRDefault="00FA3D23" w:rsidP="00FA3D23">
      <w:pPr>
        <w:spacing w:after="0" w:line="360" w:lineRule="auto"/>
        <w:ind w:firstLine="709"/>
        <w:jc w:val="both"/>
        <w:rPr>
          <w:rFonts w:ascii="Times New Roman" w:hAnsi="Times New Roman" w:cs="Times New Roman"/>
          <w:sz w:val="28"/>
          <w:szCs w:val="28"/>
        </w:rPr>
      </w:pPr>
    </w:p>
    <w:p w14:paraId="7620BCC5"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В умовах сучасних військових викликів та значного потоку внутрішньо переміщених осіб, роль Центрів надання соціальних послуг набуває особливого значення, стаючи критично важливим пунктом опори для громад. Для Рубіжанської громади таким центром є Рубіжанський центр надання соціальних послуг, який відіграє ключову роль у забезпеченні життєдіяльності та підтримки постраждалих верств населення.</w:t>
      </w:r>
    </w:p>
    <w:p w14:paraId="60F6CD32"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Рубіжанський центр надання соціальних послуг Рубіжанської міської ради Луганської області (РЦНСП), створений в результаті реорганізації шляхом злиття Комунальної установи «Територіальний центр соціального обслуговування (надання соціальних послуг) Рубіжанської міської ради» (ЄДРПОУ 25370086) та Рубіжанського міського центру соціальних служб (ЄДРПОУ 23263860) є комплексним закладом, що провадить соціальну роботу та надає соціальні послуги особам/сім’ям, які належать до вразливих груп населення та/або перебувають у складних життєвих обставинах</w:t>
      </w:r>
      <w:r>
        <w:rPr>
          <w:rFonts w:ascii="Times New Roman" w:hAnsi="Times New Roman" w:cs="Times New Roman"/>
          <w:sz w:val="28"/>
          <w:szCs w:val="28"/>
        </w:rPr>
        <w:t>.</w:t>
      </w:r>
    </w:p>
    <w:p w14:paraId="772AEC46"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Рубіжанський центр надання соціальних послуг є комунальною установою, юридичною особою, має самостійний баланс, реєстраційні рахунки в органах Державної казначейської служби України, печатку із своїм найменуванням, штампи, бланки та інші необхідні реквізити.</w:t>
      </w:r>
    </w:p>
    <w:p w14:paraId="44B735F6"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 xml:space="preserve">Розпорядженням начальника Рубіжанської міської військової адміністрації Сєвєродонецького району Луганською області від 21.06.2022р. №18-к було призначено виконуючого обов’язки директора Рубіжанського центру надання соціальних послуг Рубіжанської міської ради Луганської області. З 22.06.2022р. центр розпочав свою діяльність в умовах воєнного стану на підконтрольній території України у місті Дніпро. Було проведено роботу по відновленню </w:t>
      </w:r>
      <w:r w:rsidRPr="00F631D6">
        <w:rPr>
          <w:rFonts w:ascii="Times New Roman" w:hAnsi="Times New Roman" w:cs="Times New Roman"/>
          <w:sz w:val="28"/>
          <w:szCs w:val="28"/>
        </w:rPr>
        <w:lastRenderedPageBreak/>
        <w:t>установчих документів центру, вирішено питання щодо виплати заборгованості працівникам заробітної плати.</w:t>
      </w:r>
    </w:p>
    <w:p w14:paraId="439DF403"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Юридична адреса РЦНСП: 93009, Луганська область, місто Рубіжне, вулиця Будівельників, буд.25. Згідно Розпорядження начальника військової адміністрації від 28 вересня 2023 року №254 Рубіжанський центр надання соціальних послуг тимчасово здійснює свою діяльність за адресою: вулиця Праведників світу, будинок 43 «Б», місто Вінниця, Вінницька область.</w:t>
      </w:r>
    </w:p>
    <w:p w14:paraId="1DA6E22C" w14:textId="77777777" w:rsidR="00FA3D23"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 xml:space="preserve">Рубіжанською міською військовою адміністрацією з метою забезпечення єдиної системи логістичного супроводу гуманітарної допомоги та координації зусиль для досягнення ефективного результату, задоволення потреб населення Рубіжанської міської територіальної громади, що вимушено перемістилася в найбезпечніші райони України, було створено гуманітарний штаб «Луганщина моя» у місті Вінниця. </w:t>
      </w:r>
    </w:p>
    <w:p w14:paraId="263F659D"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На базі гуманітарного штабу та у телефонному режимі працівники центру надають послуги внутрішньо переміщеним особам/сім’ям, людям похилого віку, сім’ям з дітьми, сім’ям, де є члени сім’ї з інвалідністю, одиноким матерям та іншим вразливим категоріям населення Рубіжанської громади, а також ВПО з Луганської області які постраждали в наслідок бойових дій.</w:t>
      </w:r>
    </w:p>
    <w:p w14:paraId="6929F147"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Діяльність центру спрямовує та координує управління соціального захисту населення Рубіжанської міської військової адміністрації Сєвєродонецького району Луганської області. Головним розпорядником коштів для РЦНСП є управління соціального захисту населення Рубіжанської міською військової адміністрації Сєвєродонецького району Луганської області. В своїй діяльності центр підзвітний управлінню соціального захисту населення Рубіжанської міської військової адміністрації Сєвєродонецького району Луганської області.</w:t>
      </w:r>
    </w:p>
    <w:p w14:paraId="091A284F" w14:textId="7777777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 xml:space="preserve">В основу структури управління РЦНСП покладена лінійно-функціональна система. Раціонально створена структура установи обумовлює ефективність системи управління. На даний час в установі повноцінно функціоную </w:t>
      </w:r>
      <w:r w:rsidRPr="00F631D6">
        <w:rPr>
          <w:rFonts w:ascii="Times New Roman" w:hAnsi="Times New Roman" w:cs="Times New Roman"/>
          <w:sz w:val="28"/>
          <w:szCs w:val="28"/>
        </w:rPr>
        <w:lastRenderedPageBreak/>
        <w:t>адміністративний відділ, відділення натуральної допомоги та Відділ «Сервісний офіс у справах ветеранів».</w:t>
      </w:r>
    </w:p>
    <w:p w14:paraId="4B89074F" w14:textId="399F8767" w:rsidR="00FA3D23" w:rsidRPr="00F631D6" w:rsidRDefault="00FA3D23" w:rsidP="00FA3D23">
      <w:pPr>
        <w:spacing w:after="0" w:line="360" w:lineRule="auto"/>
        <w:ind w:firstLine="709"/>
        <w:jc w:val="both"/>
        <w:rPr>
          <w:rFonts w:ascii="Times New Roman" w:hAnsi="Times New Roman" w:cs="Times New Roman"/>
          <w:sz w:val="28"/>
          <w:szCs w:val="28"/>
        </w:rPr>
      </w:pPr>
      <w:r w:rsidRPr="00F631D6">
        <w:rPr>
          <w:rFonts w:ascii="Times New Roman" w:hAnsi="Times New Roman" w:cs="Times New Roman"/>
          <w:sz w:val="28"/>
          <w:szCs w:val="28"/>
        </w:rPr>
        <w:t>Цільовою аудиторією РЦНСП є особи/сім’ї що перебувають у складних життєвих обставинах, внутрішньо переміщені особи, постраждалі від насильства, ветерани, діти, особи з інвалідністю тощо.</w:t>
      </w:r>
      <w:r>
        <w:rPr>
          <w:rFonts w:ascii="Times New Roman" w:hAnsi="Times New Roman" w:cs="Times New Roman"/>
          <w:sz w:val="28"/>
          <w:szCs w:val="28"/>
        </w:rPr>
        <w:t xml:space="preserve"> Станом на 1 вересня 2025 року на обліку Рубіжанського центру знаходиться близько 6,5 тис. населення.</w:t>
      </w:r>
    </w:p>
    <w:p w14:paraId="62EA4CC5" w14:textId="600A5E40"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Діяльність центру ґрунтується на положеннях Закону України «Про соціальні послуги», який визначає мету й завдання системи соціального забезпечення на рівні громад. </w:t>
      </w:r>
    </w:p>
    <w:p w14:paraId="5190110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Функціонування у статусі релокованої установи формує потребу у гнучких моделях організації роботи, адаптивному управлінні та активній координації з приймаючою громадою. З одного боку, центр продовжує виконувати функції, визначені для територіальних громад походження клієнтів, з іншого </w:t>
      </w:r>
      <w:r>
        <w:rPr>
          <w:rFonts w:ascii="Times New Roman" w:hAnsi="Times New Roman" w:cs="Times New Roman"/>
          <w:sz w:val="28"/>
          <w:szCs w:val="28"/>
        </w:rPr>
        <w:t>–</w:t>
      </w:r>
      <w:r w:rsidRPr="00A130F6">
        <w:rPr>
          <w:rFonts w:ascii="Times New Roman" w:hAnsi="Times New Roman" w:cs="Times New Roman"/>
          <w:sz w:val="28"/>
          <w:szCs w:val="28"/>
        </w:rPr>
        <w:t xml:space="preserve"> працює в умовах територіально іноземної адміністративної інфраструктури, що формує унікальне подвійне навантаження.</w:t>
      </w:r>
    </w:p>
    <w:p w14:paraId="1EEB5115"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Структурно центр зберігає типовий для ЦНСП набір напрямів: надання базових соціальних послуг, комплексний соціальний супровід сімей, підтримка осіб з інвалідністю, робота з людьми похилого віку, соціально-психологічна допомога, а також кризове реагування. </w:t>
      </w:r>
    </w:p>
    <w:p w14:paraId="449243E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Водночас зміна місця дислокації призвела до істотної зміни профілю клієнтів. Значну частину отримувачів становлять ВПО, які потребують правової, психологічної, інформаційної підтримки, адаптації на новому місці проживання та допомоги в подоланні наслідків вимушеної міграції.</w:t>
      </w:r>
    </w:p>
    <w:p w14:paraId="3A44EF3B"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Матеріально-технічне забезпечення центру залишається обмеженим, оскільки більшість ресурсів </w:t>
      </w:r>
      <w:r>
        <w:rPr>
          <w:rFonts w:ascii="Times New Roman" w:hAnsi="Times New Roman" w:cs="Times New Roman"/>
          <w:sz w:val="28"/>
          <w:szCs w:val="28"/>
        </w:rPr>
        <w:t>–</w:t>
      </w:r>
      <w:r w:rsidRPr="00A130F6">
        <w:rPr>
          <w:rFonts w:ascii="Times New Roman" w:hAnsi="Times New Roman" w:cs="Times New Roman"/>
          <w:sz w:val="28"/>
          <w:szCs w:val="28"/>
        </w:rPr>
        <w:t xml:space="preserve"> приміщення, обладнання, транспорт </w:t>
      </w:r>
      <w:r>
        <w:rPr>
          <w:rFonts w:ascii="Times New Roman" w:hAnsi="Times New Roman" w:cs="Times New Roman"/>
          <w:sz w:val="28"/>
          <w:szCs w:val="28"/>
        </w:rPr>
        <w:t>–</w:t>
      </w:r>
      <w:r w:rsidRPr="00A130F6">
        <w:rPr>
          <w:rFonts w:ascii="Times New Roman" w:hAnsi="Times New Roman" w:cs="Times New Roman"/>
          <w:sz w:val="28"/>
          <w:szCs w:val="28"/>
        </w:rPr>
        <w:t xml:space="preserve"> залишилися на тимчасово окупованій території. </w:t>
      </w:r>
    </w:p>
    <w:p w14:paraId="019A883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 ускладнює надання низки послуг, які до повномасштабної війни активно реалізовувалися у громаді. Проте центр компенсує ці обмеження через розширення </w:t>
      </w:r>
      <w:r w:rsidRPr="00A130F6">
        <w:rPr>
          <w:rFonts w:ascii="Times New Roman" w:hAnsi="Times New Roman" w:cs="Times New Roman"/>
          <w:sz w:val="28"/>
          <w:szCs w:val="28"/>
        </w:rPr>
        <w:lastRenderedPageBreak/>
        <w:t>партнерств, активне використання інновацій, запровадження цифрових рішень та пріоритетне спрямування ресурсів на ключові види підтримки.</w:t>
      </w:r>
    </w:p>
    <w:p w14:paraId="20699C40"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Управлінська модель центру характеризується високою гнучкістю, що є необхідною умовою діяльності релокованих установ. Приймаюча громада забезпечує інституційну підтримку, але центр зберігає функціональну автономію, виконуючи завдання щодо ВПО, які належать до різних територіальних громад Луганщини. </w:t>
      </w:r>
    </w:p>
    <w:p w14:paraId="0E9C020B"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створює потребу в ефективній координації з органами соціального захисту, службами у справах дітей, медичними установами, громадськими організаціями та міжнародними фондами.</w:t>
      </w:r>
    </w:p>
    <w:p w14:paraId="1207273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Особливістю діяльності центру є те, що соціальні послуги надаються безоплатно для всіх ВПО Луганської області, незалежно від їхнього фактичного місця перебування. Таке рішення відповідає наявним державним підходам до підтримки внутрішньо переміщених осіб та практикам соціальної солідарності між громадами. </w:t>
      </w:r>
    </w:p>
    <w:p w14:paraId="3778488D"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Водночас надання послуг відбувається «у межах можливого», що обумовлено браком матеріальної бази. Це створює потребу в перенаправленні отримувачів до установ приймаючої громади у випадках, коли центр не може забезпечити виконання державних стандартів у повному обсязі.</w:t>
      </w:r>
    </w:p>
    <w:p w14:paraId="1C842A12"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Суттєвим напрямом роботи центру є налагодження міжінституційної взаємодії та партнерств із місцевими органами влади й громадським сектором. Релоковані установи, зокрема соціальні, змушені формувати нові мережі співпраці, що позитивно впливає на ефективність діяльності та розширює спектр доступних ресурсів. Через втрату власних приміщень центр активно використовує площу партнерських організацій, залучає волонтерів, реалізує спільні проєкти з гуманітарними штабами та міжнародними організаціями.</w:t>
      </w:r>
    </w:p>
    <w:p w14:paraId="154EB26F"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Загалом діяльність Рубіжанського центру надання соціальних послуг у приймаючій громаді демонструє високу здатність до адаптації, організаційної </w:t>
      </w:r>
      <w:r w:rsidRPr="00A130F6">
        <w:rPr>
          <w:rFonts w:ascii="Times New Roman" w:hAnsi="Times New Roman" w:cs="Times New Roman"/>
          <w:sz w:val="28"/>
          <w:szCs w:val="28"/>
        </w:rPr>
        <w:lastRenderedPageBreak/>
        <w:t xml:space="preserve">мобільності та пошуку інноваційних рішень, що компенсують об’єктивні обмеження, викликані релокацією. </w:t>
      </w:r>
    </w:p>
    <w:p w14:paraId="07200127"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Центр виконує функції соціальної підтримки в умовах подвійного навантаження </w:t>
      </w:r>
      <w:r>
        <w:rPr>
          <w:rFonts w:ascii="Times New Roman" w:hAnsi="Times New Roman" w:cs="Times New Roman"/>
          <w:sz w:val="28"/>
          <w:szCs w:val="28"/>
        </w:rPr>
        <w:t>–</w:t>
      </w:r>
      <w:r w:rsidRPr="00A130F6">
        <w:rPr>
          <w:rFonts w:ascii="Times New Roman" w:hAnsi="Times New Roman" w:cs="Times New Roman"/>
          <w:sz w:val="28"/>
          <w:szCs w:val="28"/>
        </w:rPr>
        <w:t xml:space="preserve"> забезпечення потреб власної громади та ВПО в іншому регіоні України </w:t>
      </w:r>
      <w:r>
        <w:rPr>
          <w:rFonts w:ascii="Times New Roman" w:hAnsi="Times New Roman" w:cs="Times New Roman"/>
          <w:sz w:val="28"/>
          <w:szCs w:val="28"/>
        </w:rPr>
        <w:t>–</w:t>
      </w:r>
      <w:r w:rsidRPr="00A130F6">
        <w:rPr>
          <w:rFonts w:ascii="Times New Roman" w:hAnsi="Times New Roman" w:cs="Times New Roman"/>
          <w:sz w:val="28"/>
          <w:szCs w:val="28"/>
        </w:rPr>
        <w:t xml:space="preserve"> що робить його унікальним прикладом трансформації соціальної установи в умовах воєнних викликів.</w:t>
      </w:r>
    </w:p>
    <w:p w14:paraId="71D8EAD0"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Впровадження інноваційних підходів у діяльність Рубіжанського центру надання соціальних послуг стало ключовою передумовою його адаптації до умов релокації та зростання потреб внутрішньо переміщених осіб. Втрата матеріальної бази, зміна територіального розташування та необхідність взаємодії з новими інституціями змусили центр перейти до застосування сучасних методів організації роботи, що відповідають європейським стандартам якості, цифровим тенденціям та принципам людиноцентричності.</w:t>
      </w:r>
    </w:p>
    <w:p w14:paraId="29B52FDD"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Одним з найбільш помітних напрямів модернізації стала цифровізація процесів управління та надання послуг. Центр активно застосовує електронний документообіг, що дозволяє мінімізувати втрати часу, підвищити точність обробки інформації та забезпечити безперервність роботи за умов територіального переміщення. </w:t>
      </w:r>
    </w:p>
    <w:p w14:paraId="26FA0655"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Запровадження цифрових платформ, систем обліку клієнтів і захищених каналів комунікації дозволило пришвидшити реагування на звернення громадян та підвищити прозорість процедур відповідно до сучасних управлінських практик.</w:t>
      </w:r>
    </w:p>
    <w:p w14:paraId="60D1A49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Важливим компонентом цифрових інновацій стало використання CRM-систем, що адаптовані до специфіки соціальної роботи. Такі системи забезпечують ведення електронних кейсів клієнтів, моніторинг термінів виконання послуг, аналіз індивідуальних потреб і оцінку результатів соціального втручання. </w:t>
      </w:r>
    </w:p>
    <w:p w14:paraId="65A36FF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CRM-технології створюють основу для ефективного кейс-менеджменту та дозволяють координувати роботу фахівців у мультидисциплінарному середовищі, що особливо важливо для релокованих установ, які працюють із великою кількістю ВПО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_Ref215565984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24</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_Ref214990177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4A0C663F"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Ключовим інноваційним підходом у діяльності центру є розвиток дистанційних і змішаних форматів соціальної роботи. В умовах війни цифрові консультації, онлайн-групи підтримки, телесоціальні послуги та електронні сервіси стали невід’ємною частиною практики. Це дозволило охопити отримувачів, які проживають у віддалених районах, мають обмежену мобільність або потребують оперативної психологічної та інформаційної допомоги. </w:t>
      </w:r>
    </w:p>
    <w:p w14:paraId="58BB6C35"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Застосування дистанційних сервісів підвищило доступність соціальних послуг і дало змогу центру працювати незалежно від місця розташування персоналу чи клієнтів.</w:t>
      </w:r>
    </w:p>
    <w:p w14:paraId="2933079F"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Особливе значення у трансформації діяльності центру має впровадження інноваційних технологій розвитку персоналу. Система супервізії, методи коучингу та менторства стали інструментами професійної підтримки працівників, які працюють у середовищі високого психоемоційного навантаження. </w:t>
      </w:r>
    </w:p>
    <w:p w14:paraId="25B8147D" w14:textId="7D470852"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Використання травма-інформованих підходів, сучасних методик оцінювання потреб клієнтів, а також безперервне навчання сприяють підвищенню якості роботи фахівців і зменшенню вигорання [</w:t>
      </w:r>
      <w:r w:rsidR="000B2504">
        <w:rPr>
          <w:rFonts w:ascii="Times New Roman" w:hAnsi="Times New Roman" w:cs="Times New Roman"/>
          <w:sz w:val="28"/>
          <w:szCs w:val="28"/>
          <w:lang w:val="uk-UA"/>
        </w:rPr>
        <w:t>4</w:t>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21F6BBF4"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Значні результати принесло розширення партнерств і розвиток мережевої взаємодії.</w:t>
      </w:r>
    </w:p>
    <w:p w14:paraId="1195507E"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Центр активно співпрацює з приймаючою громадою, громадськими організаціями, волонтерами та міжнародними фондами. Така взаємодія дозволяє компенсувати втрату матеріальної бази, отримувати можливості для участі у грантових проєктах, забезпечувати ресурсну стійкість і впроваджувати інноваційні практики, які вже апробовані в інших громадах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_Ref214990986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283DA4E0"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Важливою складовою інноваційного розвитку центру стало використання партнерських механізмів перенаправлення отримувачів соціальних послуг. Оскільки релоковані установи Луганської області не мають змоги надавати деякі види послуг через втрату інфраструктури, сформовано практику координації з приймаючими ЦНСП.</w:t>
      </w:r>
    </w:p>
    <w:p w14:paraId="5FEAFA91"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 Отримувачі, які потребують спеціалізованих послуг (догляд вдома, денний догляд, реабілітаційні послуги), можуть бути скеровані до закладів, що мають необхідну матеріальну базу. Такий механізм відповідає державним принципам рівного доступу до соціальних послуг та ініціативам «гроші ходять за людиною».</w:t>
      </w:r>
    </w:p>
    <w:p w14:paraId="549B7AAB"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До інноваційних практик центру </w:t>
      </w:r>
      <w:r w:rsidRPr="00BE7F9D">
        <w:rPr>
          <w:rFonts w:ascii="Times New Roman" w:hAnsi="Times New Roman" w:cs="Times New Roman"/>
          <w:sz w:val="28"/>
          <w:szCs w:val="28"/>
        </w:rPr>
        <w:t>також належить активне залучення громади та волонтерських організацій. Використання партисипативних методів</w:t>
      </w:r>
      <w:r w:rsidRPr="00A130F6">
        <w:rPr>
          <w:rFonts w:ascii="Times New Roman" w:hAnsi="Times New Roman" w:cs="Times New Roman"/>
          <w:sz w:val="28"/>
          <w:szCs w:val="28"/>
        </w:rPr>
        <w:t xml:space="preserve">, спільне планування заходів, участь отримувачів у формуванні програм підтримки сприяють підвищенню якості послуг і зміцненню соціального капіталу громади. </w:t>
      </w:r>
    </w:p>
    <w:p w14:paraId="6BBDE4D5"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Громадська участь стала важливим інструментом адаптації ВПО та формування взаємної підтримки між переміщеним та місцевим населенням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_Ref214917830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6F00C31A"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Підсумовуючи, упроваджені інноваційні підходи створили багатокомпонентну модель модернізації діяльності Рубіжанського центру. Вони дозволили компенсувати втрату інфраструктури, підвищити професійний рівень персоналу, забезпечити доступність соціальних послуг для різних категорій населення та інтегрувати діяльність центру у ширший контекст соціальної політики приймаючої громади. </w:t>
      </w:r>
    </w:p>
    <w:p w14:paraId="0B49A2E0"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Інновації стали ключовою умовою ефективності, стійкості та розвитку релокованої установи, що працює в умовах надзвичайно високої соціальної турбулентності.</w:t>
      </w:r>
    </w:p>
    <w:p w14:paraId="22FA2A8B"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Впровадження інноваційних підходів у діяльність центрів надання соціальних послуг істотно впливає на якість соціальної підтримки, забезпечуючи її доступність, адресність і відповідність сучасним потребам населення. </w:t>
      </w:r>
    </w:p>
    <w:p w14:paraId="723ECEB1"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територіальних громадах, що перебувають у стані трансформації внаслідок децентралізації та воєнних викликів, інновації відіграють роль системного інструмента модернізації соціальної політики та підвищення її результативності.</w:t>
      </w:r>
    </w:p>
    <w:p w14:paraId="6E8C3EFB"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 випадку Рубіжанського центру надання соціальних послуг інноваційні підходи стали визначальним чинником забезпечення стійкості діяльності після релокації. Вони вплинули на ключові аспекти якості </w:t>
      </w:r>
      <w:r>
        <w:rPr>
          <w:rFonts w:ascii="Times New Roman" w:hAnsi="Times New Roman" w:cs="Times New Roman"/>
          <w:sz w:val="28"/>
          <w:szCs w:val="28"/>
        </w:rPr>
        <w:t>–</w:t>
      </w:r>
      <w:r w:rsidRPr="00A130F6">
        <w:rPr>
          <w:rFonts w:ascii="Times New Roman" w:hAnsi="Times New Roman" w:cs="Times New Roman"/>
          <w:sz w:val="28"/>
          <w:szCs w:val="28"/>
        </w:rPr>
        <w:t xml:space="preserve"> оперативність реагування, </w:t>
      </w:r>
      <w:r w:rsidRPr="00A130F6">
        <w:rPr>
          <w:rFonts w:ascii="Times New Roman" w:hAnsi="Times New Roman" w:cs="Times New Roman"/>
          <w:sz w:val="28"/>
          <w:szCs w:val="28"/>
        </w:rPr>
        <w:lastRenderedPageBreak/>
        <w:t>доступність послуг, відповідність стандартам, професіоналізм персоналу та рівень задоволеності отримувачів.</w:t>
      </w:r>
    </w:p>
    <w:p w14:paraId="15590591"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Одним з найбільш помітних результатів упровадження інновацій стало розширення доступу до соціальних послуг. Цифрові інструменти, дистанційні консультації, електронні кабінети отримувачів і телесоціальні сервіси дали змогу охоплювати жителів віддалених районів, маломобільних осіб, людей із психоемоційними труднощами, а також ВПО, які часто змінюють місце проживання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_Ref214990177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_Ref214990640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3375230"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Це забезпечило формування нової моделі рівного доступу, яка зменшує територіальну нерівність і створює можливість отримати допомогу незалежно від фізичної близькості до установи.</w:t>
      </w:r>
    </w:p>
    <w:p w14:paraId="4C58ABFE"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Доступність підвищилася і завдяки формуванню партнерських механізмів. Релоковані центри, які не можуть надавати деякі державні послуги через втрату інфраструктури, отримали можливість перенаправляти клієнтів до приймаючих громад.</w:t>
      </w:r>
    </w:p>
    <w:p w14:paraId="00CAFDBA"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Модель взаємного доступу до послуг, що ґрунтується на принципі «гроші ходять за людиною», забезпечує можливість отримання клієнтами послуг відповідно до стандартів, навіть якщо їхній «рідний» заклад не має ресурсів для їх надання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_Ref214917703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067482DE"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Інноваційні підходи, зокрема CRM-системи, індивідуальні соціальні плани, сучасні методики оцінювання потреб, змінили характер роботи соціальних служб. Персонал отримав інструменти для глибшого аналізу ситуацій клієнтів, своєчасного виявлення ризиків, побудови персоналізованих маршрутів соціальної підтримки та моніторингу результатів втручання.</w:t>
      </w:r>
    </w:p>
    <w:p w14:paraId="3ECD3E44"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Для ВПО, які часто переживають травматичні події, втрату житла, соціальних зв’язків та стабільності, важливою є наявність травма-інформованих підходів. Їхнє використання у роботі Рубіжанського центру підвищує якість психологічної та соціальної підтримки, зменшує ризики ретравматизації та посилює ефективність допомоги.</w:t>
      </w:r>
    </w:p>
    <w:p w14:paraId="62DA7DD7"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Індивідуалізація також посилюється через залучення отримувачів до процесу прийняття рішень. Використання елементів co-creation </w:t>
      </w:r>
      <w:r>
        <w:rPr>
          <w:rFonts w:ascii="Times New Roman" w:hAnsi="Times New Roman" w:cs="Times New Roman"/>
          <w:sz w:val="28"/>
          <w:szCs w:val="28"/>
        </w:rPr>
        <w:t>–</w:t>
      </w:r>
      <w:r w:rsidRPr="00A130F6">
        <w:rPr>
          <w:rFonts w:ascii="Times New Roman" w:hAnsi="Times New Roman" w:cs="Times New Roman"/>
          <w:sz w:val="28"/>
          <w:szCs w:val="28"/>
        </w:rPr>
        <w:t xml:space="preserve"> спільного створення послуг </w:t>
      </w:r>
      <w:r>
        <w:rPr>
          <w:rFonts w:ascii="Times New Roman" w:hAnsi="Times New Roman" w:cs="Times New Roman"/>
          <w:sz w:val="28"/>
          <w:szCs w:val="28"/>
        </w:rPr>
        <w:t>–</w:t>
      </w:r>
      <w:r w:rsidRPr="00A130F6">
        <w:rPr>
          <w:rFonts w:ascii="Times New Roman" w:hAnsi="Times New Roman" w:cs="Times New Roman"/>
          <w:sz w:val="28"/>
          <w:szCs w:val="28"/>
        </w:rPr>
        <w:t xml:space="preserve"> забезпечує підвищення релевантності програм та їх адаптивність до потреб громади.</w:t>
      </w:r>
    </w:p>
    <w:p w14:paraId="731A9877"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Впровадження інновацій у системі професійного розвитку стало чинником, який безпосередньо впливає на якість послуг. Рубіжанський центр активно використовує можливості супервізії, менторингу, стажувань, внутрішніх тренінгів, співпраці з громадськими та міжнародними організаціями. Це сприяє підвищенню кваліфікації працівників, зниженню психоемоційного вигорання та посиленню здатності відповідати на складні соціальні запити клієнтів.</w:t>
      </w:r>
    </w:p>
    <w:p w14:paraId="5E57F4A1"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Компетентні фахівці краще справляються з оцінюванням потреб, організацією кризової підтримки, роботою з сім’ями у складних життєвих обставинах та супроводом ВПО. Таким чином, підвищення професійного рівня працівників стає одним із ключових індикаторів зростання якості послуг.</w:t>
      </w:r>
    </w:p>
    <w:p w14:paraId="6F50B7CD"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Інноваційні підходи вплинули на здатність центру організовувати роботу системно та прозоро. Запровадження процесного менеджменту, стандартизації процедур, аналізу показників результативності та внутрішнього моніторингу відповідає вимогам сучасних систем управління якістю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_Ref214917591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_Ref214917716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50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Завдяки цьому:</w:t>
      </w:r>
    </w:p>
    <w:p w14:paraId="06A82238"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скорочено час реагування на звернення громадян,</w:t>
      </w:r>
    </w:p>
    <w:p w14:paraId="7B3583CD"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підвищено узгодженість між структурними підрозділами,</w:t>
      </w:r>
    </w:p>
    <w:p w14:paraId="4F0E37EC"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зменшено кількість процедурних помилок,</w:t>
      </w:r>
    </w:p>
    <w:p w14:paraId="6F843AAA"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130F6">
        <w:rPr>
          <w:rFonts w:ascii="Times New Roman" w:hAnsi="Times New Roman" w:cs="Times New Roman"/>
          <w:sz w:val="28"/>
          <w:szCs w:val="28"/>
        </w:rPr>
        <w:t>покращено комунікацію з партнерами та отримувачами.</w:t>
      </w:r>
    </w:p>
    <w:p w14:paraId="3ECB751B"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Для релокованих установ прозорість процесів має особливе значення, оскільки вони повинні доводити ефективність діяльності у приймаючій громаді, забезпечувати довіру клієнтів та обґрунтовувати використання ресурсів.</w:t>
      </w:r>
    </w:p>
    <w:p w14:paraId="1E5875A3"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Використання інновацій сприяє зміцненню довіри між центром, отримувачами послуг та громадою. Залучення волонтерів, участь громадських організацій, реалізація спільних ініціатив формують сприятливий соціальний </w:t>
      </w:r>
      <w:r w:rsidRPr="00A130F6">
        <w:rPr>
          <w:rFonts w:ascii="Times New Roman" w:hAnsi="Times New Roman" w:cs="Times New Roman"/>
          <w:sz w:val="28"/>
          <w:szCs w:val="28"/>
        </w:rPr>
        <w:lastRenderedPageBreak/>
        <w:t>клімат, у якому соціальні послуги сприймаються як інструмент підтримки, а не як формальна адміністративна процедура.</w:t>
      </w:r>
    </w:p>
    <w:p w14:paraId="42A5A61D"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Для ВПО довіра є критично важливим фактором, оскільки вони нерідко стикаються з відчуженістю, невпевненістю та нестабільністю. Інноваційні практики </w:t>
      </w:r>
      <w:r>
        <w:rPr>
          <w:rFonts w:ascii="Times New Roman" w:hAnsi="Times New Roman" w:cs="Times New Roman"/>
          <w:sz w:val="28"/>
          <w:szCs w:val="28"/>
        </w:rPr>
        <w:t>–</w:t>
      </w:r>
      <w:r w:rsidRPr="00A130F6">
        <w:rPr>
          <w:rFonts w:ascii="Times New Roman" w:hAnsi="Times New Roman" w:cs="Times New Roman"/>
          <w:sz w:val="28"/>
          <w:szCs w:val="28"/>
        </w:rPr>
        <w:t xml:space="preserve"> консультативні центри, групи взаємодопомоги, цифрові сервіси </w:t>
      </w:r>
      <w:r>
        <w:rPr>
          <w:rFonts w:ascii="Times New Roman" w:hAnsi="Times New Roman" w:cs="Times New Roman"/>
          <w:sz w:val="28"/>
          <w:szCs w:val="28"/>
        </w:rPr>
        <w:t>–</w:t>
      </w:r>
      <w:r w:rsidRPr="00A130F6">
        <w:rPr>
          <w:rFonts w:ascii="Times New Roman" w:hAnsi="Times New Roman" w:cs="Times New Roman"/>
          <w:sz w:val="28"/>
          <w:szCs w:val="28"/>
        </w:rPr>
        <w:t xml:space="preserve"> сприяють інтеграції внутрішньо переміщених осіб у нові громади.</w:t>
      </w:r>
    </w:p>
    <w:p w14:paraId="67E26D57"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Релокація центрів надання соціальних послуг стала одним із ключових процесів у системі соціального захисту України внаслідок повномасштабної війни, окупації територій, руйнування соціальної інфраструктури та масового переміщення населення. </w:t>
      </w:r>
    </w:p>
    <w:p w14:paraId="74899565"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Переміщення установ, зокрема Рубіжанського центру надання соціальних послуг, у межі інших територіальних громад сприяло збереженню доступності допомоги для внутрішньо переміщених осіб, котрі залишили свої громади походження, але потребують продовження соціального супроводу та підтримки. </w:t>
      </w:r>
    </w:p>
    <w:p w14:paraId="5D352805"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цих умовах релоковані ЦНСП стали не лише інституціями, що відтворюють базові соціальні функції, а й новими центрами соціальної інтеграції та орієнтації ВПО у приймаючих громадах. Їх значення зумовлене тим, що вони забезпечують безперервність соціальної роботи, зберігають довіру клієнтів і виступають посередниками між людьми та соціальною інфраструктурою нової громади проживання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r>
        <w:rPr>
          <w:rFonts w:ascii="Times New Roman" w:hAnsi="Times New Roman" w:cs="Times New Roman"/>
          <w:sz w:val="28"/>
          <w:szCs w:val="28"/>
        </w:rPr>
        <w:t xml:space="preserve"> 35</w:t>
      </w:r>
      <w:r w:rsidRPr="00A130F6">
        <w:rPr>
          <w:rFonts w:ascii="Times New Roman" w:hAnsi="Times New Roman" w:cs="Times New Roman"/>
          <w:sz w:val="28"/>
          <w:szCs w:val="28"/>
        </w:rPr>
        <w:t>].</w:t>
      </w:r>
    </w:p>
    <w:p w14:paraId="5B4D2A0C"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Специфіка діяльності релокованих центрів виявляється передусім у збереженні їхнього правового статусу як установ громади походження. Рубіжанський ЦНСП, будучи розміщеним на території іншої громади, продовжує працювати відповідно до нормативів, внутрішніх документів та управлінських рішень Рубіжанської міської військової адміністрації. </w:t>
      </w:r>
    </w:p>
    <w:p w14:paraId="3A52ED3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Така модель забезпечує сталість управлінських процедур і дозволяє ВПО з Рубіжанської громади розраховувати на отримання підтримки у звичному форматі, сформованому до релокації. </w:t>
      </w:r>
    </w:p>
    <w:p w14:paraId="1A635589"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Безкоштовність послуг для таких осіб обґрунтовується державними зобов’язаннями щодо підтримки внутрішньо переміщених осіб і збереженням принципу рівності доступу до соціальних послуг незалежно від фактичного місця проживання.</w:t>
      </w:r>
    </w:p>
    <w:p w14:paraId="6FD53A97"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Ключовою особливістю клієнтської бази релокованого центру є її «територіальна» та «ідентифікаційна» прив’язаність до місцевої громади походження.</w:t>
      </w:r>
    </w:p>
    <w:p w14:paraId="62359A2E"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Для багатьох ВПО релокований центр залишається найбільш зрозумілою інституцією соціальної підтримки, оскільки тут працюють фахівці, які тривалий час супроводжували ці сім’ї, володіють історією випадку, розуміють контекст життя громади до війни та її специфічні проблеми. </w:t>
      </w:r>
    </w:p>
    <w:p w14:paraId="3D68C322"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Завдяки цьому релоковані ЦНСП виконують не лише функцію надавачів послуг, а й соціально-комунікаційну роль, підтримуючи психологічну стійкість та відчуття приналежності до рідної громади, що особливо важливо в умовах тривалого переміщення та втрати соціальних зв’язків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7712C2D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Попри обмеження, релоковані центри забезпечують комплекс напрямів роботи, можливих навіть за повної втрати матеріально-технічної бази. Серед основних видів підтримки, які можуть бути реалізовані у релокації, варто виділити інформаційні та консультаційні послуги, психологічну підтримку, первинний соціальний супровід, кризове реагування, оформлення документів та координацію клієнтів із соціальними службами приймаючої громади. </w:t>
      </w:r>
    </w:p>
    <w:p w14:paraId="25C8D97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Значну роль відіграє організаційно-комунікаційна функція, яка полягає у веденні первинної оцінки потреб, консультуванні щодо алгоритмів отримання послуг і скеруванні клієнтів до установ, які мають можливість задовольнити запит у повному обсязі. Фактично </w:t>
      </w:r>
      <w:r w:rsidRPr="00F631D6">
        <w:rPr>
          <w:rFonts w:ascii="Times New Roman" w:hAnsi="Times New Roman" w:cs="Times New Roman"/>
          <w:sz w:val="28"/>
          <w:szCs w:val="28"/>
        </w:rPr>
        <w:t>Рубіжанський центр виконує роль «соціального хабу», який поєднує індивіда з новим середовищем та забезпечує м’який перехід у простір приймаючої громади.</w:t>
      </w:r>
    </w:p>
    <w:p w14:paraId="254B88B8" w14:textId="77777777" w:rsidR="00FA3D23" w:rsidRPr="00A130F6" w:rsidRDefault="00FA3D23" w:rsidP="00FA3D23">
      <w:pPr>
        <w:spacing w:after="0" w:line="360" w:lineRule="auto"/>
        <w:ind w:firstLine="709"/>
        <w:jc w:val="both"/>
        <w:rPr>
          <w:rFonts w:ascii="Times New Roman" w:hAnsi="Times New Roman" w:cs="Times New Roman"/>
          <w:sz w:val="28"/>
          <w:szCs w:val="28"/>
        </w:rPr>
      </w:pPr>
    </w:p>
    <w:p w14:paraId="5DC8B031"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Обмеження діяльності релокованих центрів соціальних послуг є ключовим чинником, що визначає потребу у зміні традиційних управлінських підходів і впровадженні інноваційних механізмів взаємодії між громадами. </w:t>
      </w:r>
    </w:p>
    <w:p w14:paraId="771C2E3A"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Втрата матеріально-технічних ресурсів, дефіцит персоналу, складності міжмуніципальної координації та фінансові колізії значною мірою впливають на те, які послуги може забезпечити релокований центр та наскільки ефективно він здатен супроводжувати внутрішньо переміщених осіб. Ці обмеження мають системний характер і є типовими для більшості релокованих соціальних установ у країні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_Ref215566409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_Ref214917802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_Ref214990177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33</w:t>
      </w:r>
      <w:r>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0F264C87"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Найбільш відчутним викликом є повна або часткова втрата матеріально-технічної бази. Приміщення, транспортні засоби, спеціалізоване обладнання, засоби реабілітації, техніка, меблі та архіви залишилися на території тимчасової окупації або були пошкоджені внаслідок бойових дій. Це означає, що у релокації центр фактично починає діяльність із «нуля», часто у пристосованих приміщеннях, що не відповідають ані нормативним вимогам, ані потребам окремих категорій клієнтів. </w:t>
      </w:r>
    </w:p>
    <w:p w14:paraId="4B52886C"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Втрата інфраструктури унеможливлює роботу денних відділень, відділень соціальної адаптації, надання послуг соціальної реабілітації, підтриманого проживання та більшості форм соціального догляду, що вимагають спеціалізованих умов.</w:t>
      </w:r>
    </w:p>
    <w:p w14:paraId="3848659C"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Суттєвим обмеженням є також неможливість надання ресурсоємних послуг. Догляд вдома, паліативний супровід, догляд для осіб похилого віку, соціально-побутове обслуговування, фізична та когнітивна реабілітація </w:t>
      </w:r>
      <w:r>
        <w:rPr>
          <w:rFonts w:ascii="Times New Roman" w:hAnsi="Times New Roman" w:cs="Times New Roman"/>
          <w:sz w:val="28"/>
          <w:szCs w:val="28"/>
        </w:rPr>
        <w:t>–</w:t>
      </w:r>
      <w:r w:rsidRPr="00A130F6">
        <w:rPr>
          <w:rFonts w:ascii="Times New Roman" w:hAnsi="Times New Roman" w:cs="Times New Roman"/>
          <w:sz w:val="28"/>
          <w:szCs w:val="28"/>
        </w:rPr>
        <w:t xml:space="preserve"> це види допомоги, які традиційно реалізуються через розвинуту систему матеріальних ресурсів, наявність транспорту, спеціальних засобів, мобільних бригад та відповідних фахівців. </w:t>
      </w:r>
    </w:p>
    <w:p w14:paraId="4C6EEB5C"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 релокації ці можливості суттєво звужуються, і центр змушений виконувати лише консультаційно-інформаційну та координуючу функції. Для значної частини </w:t>
      </w:r>
      <w:r w:rsidRPr="00A130F6">
        <w:rPr>
          <w:rFonts w:ascii="Times New Roman" w:hAnsi="Times New Roman" w:cs="Times New Roman"/>
          <w:sz w:val="28"/>
          <w:szCs w:val="28"/>
        </w:rPr>
        <w:lastRenderedPageBreak/>
        <w:t>ВПО це означає, що вони не можуть отримати повний пакет соціальних послуг у «своєму» центрі, навіть якщо законодавчо мають на це право.</w:t>
      </w:r>
    </w:p>
    <w:p w14:paraId="56481285"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Додатковим викликом є кадрові обмеження. Значна частина працівників не змогла виїхати на підконтрольну територію або вимушена була змінити місце роботи. </w:t>
      </w:r>
    </w:p>
    <w:p w14:paraId="25FB59F3"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Наявна команда в релокованому центрі є меншою, ніж до релокації, а навантаження збільшується у кілька разів через необхідність роботи з великою кількістю ВПО, які мають складні життєві обставини. </w:t>
      </w:r>
    </w:p>
    <w:p w14:paraId="36B68CC1"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Неможливість розширити штат у релокації, відсутність профільних спеціалістів та необхідність працювати у мультифункціональному режимі поглиблює проблему якості супроводу та обслуговування. </w:t>
      </w:r>
    </w:p>
    <w:p w14:paraId="14429AE9"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Водночас релоковані працівники нерідко зберігають високий рівень професійної залученості та мотивації, що компенсує частину ресурсних втрат, але не вирішує системних кадрових проблем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_Ref214917716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50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5A3DAB7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Окремого аналізу потребують фінансові колізії, які виникають через суперечність між реальним обсягом наданих релокованими центрами послуг і механізмами їх фінансування. Бюджетне забезпечення центрів прив’язане до громади походження, однак значна частина витрат на обслуговування фактично переміщується до приймаючої громади.</w:t>
      </w:r>
    </w:p>
    <w:p w14:paraId="0AE7F7BC"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Принцип «гроші ходять за людиною», закріплений у державній політиці, на практиці реалізується лише частково, оскільки ресурси розподіляються за місцем фактичної реєстрації ВПО, а не за реальною установою, яка здійснює супровід. </w:t>
      </w:r>
    </w:p>
    <w:p w14:paraId="0017924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результаті релоковані центри часто виконують значний обсяг роботи без відповідного фінансування, що ставить під загрозу їхню стійкість та можливість розвитку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_Ref214917830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_Ref214990177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33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23549E3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сукупності ці обмеження формують ситуацію, коли релокований центр може забезпечувати тільки частину соціальних послуг, тоді як решта може бути реалізована лише через інфраструктуру приймаючої громади.</w:t>
      </w:r>
    </w:p>
    <w:p w14:paraId="004682B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 Саме це створює об’єктивну потребу у налагодженні ефективних механізмів перенаправлення отримувачів та вибудові інноваційних моделей взаємодії між громадами, які дозволять забезпечити тяглість соціального супроводу та максимальну доступність послуг для внутрішньо переміщених осіб.</w:t>
      </w:r>
    </w:p>
    <w:p w14:paraId="2C109831"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Потреба в перенаправленні отримувачів соціальних послуг до центрів приймаючих громад є прямим наслідком ресурсних, організаційних та фінансових обмежень, з якими стикаються релоковані центри. </w:t>
      </w:r>
    </w:p>
    <w:p w14:paraId="13AB6C1E"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Оскільки релоковані установи можуть забезпечувати лише частину функцій, пов’язаних переважно з консультаціями, оцінкою потреб, психологічною підтримкою та окремими видами соціального супроводу, значна частина послуг потребує залучення інфраструктури громади фактичного проживання внутрішньо переміщених осіб. </w:t>
      </w:r>
    </w:p>
    <w:p w14:paraId="325F745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Саме приймаюча громада володіє належною матеріально-технічною базою, бюджетним фінансуванням, кадровим ресурсом і нормативно визначеною відповідальністю за повний спектр соціальних послуг для осіб, які проживають на її території, що визначає її центральну роль у забезпеченні належного рівня соціальної підтримки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_Ref214917703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_Ref214917591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r w:rsidRPr="00BA5E71">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13002034"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Найбільш суттєвим аргументом на користь перенаправлення є необхідність надання ресурсоємних соціальних послуг, доступних лише в установах, які мають відповідну інфраструктуру та фінансування. Йдеться про такі форми підтримки, які пов’язані з доглядом вдома, соціальним обслуговуванням людей похилого віку, реабілітаційними програмами, денними відділеннями, комплексними заходами соціальної адаптації та послугами підтриманого проживання. </w:t>
      </w:r>
    </w:p>
    <w:p w14:paraId="06E02D81"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Ці види допомоги не можуть бути забезпечені релокованим центром через відсутність спеціальних приміщень, транспорту, обладнання й персоналу, а тому логічно передавати їх виконання тим громадам, які мають реальні можливості для їх надання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_Ref214990261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5</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613E73B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Водночас потреба в перенаправленні обумовлюється не лише інфраструктурними чинниками, а й логікою державної політики у сфері соціального забезпечення. </w:t>
      </w:r>
    </w:p>
    <w:p w14:paraId="33E9589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Законодавство орієнтує систему надання соціальних послуг на принципи адресності та наближеності до місця фактичного проживання, що сприяє інтеграції отримувача у соціальне середовище громади та забезпечує доступ до місцевих ресурсів, включно з медичними, освітніми та реабілітаційними інституціями. </w:t>
      </w:r>
    </w:p>
    <w:p w14:paraId="19F88C66"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Релоковані центри, навіть маючи фахову компетентність та досвід супроводу своїх клієнтів, не можуть повноцінно виконувати функції, які вимагають активної участі місцевих служб та використання інфраструктури приймаючої громади. Тому перенаправлення є не лише вимушеним кроком, а й елементом логічної побудови маршруту клієнта у нових умовах.</w:t>
      </w:r>
    </w:p>
    <w:p w14:paraId="6F2EDBF9"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Однак практичне функціонування механізму перенаправлення виявляє низку суттєвих проблем, які знижують його ефективність. Найпроблемнішим є відсутність єдиних, затверджених на державному рівні протоколів взаємодії між релокованими центрами та установами приймаючих громад. </w:t>
      </w:r>
    </w:p>
    <w:p w14:paraId="73B9E520"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різних територіях застосовуються розрізнені підходи до передачі інформації, оформлення направлень, взаємодії між керівниками центрів та структурними підрозділами соціального захисту.</w:t>
      </w:r>
    </w:p>
    <w:p w14:paraId="3D97FEA0"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Це створює нерівність у доступі до послуг, залежність від локальних домовленостей і значне навантаження на фахівців, які змушені щоразу вибудовувати індивідуальні механізми координації.</w:t>
      </w:r>
    </w:p>
    <w:p w14:paraId="0B101FAA"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Проблемою є також нерівномірна зацікавленість приймаючих громад у прийнятті додаткових отримувачів. Хоча законодавство визначає обов’язок надання послуг за місцем проживання, на практиці громади можуть бути обмежені власними фінансовими ресурсами, браком фахівців чи перевантаженням існуючої інфраструктури. </w:t>
      </w:r>
    </w:p>
    <w:p w14:paraId="049B6094"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У таких умовах додаткові клієнти з числа ВПО сприймаються не як об’єкти соціального захисту, а як додаткове навантаження, що може призвести до затримок, неповного надання послуг чи формального супроводу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_Ref214990640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_Ref214990250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49</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57D4BA7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Надзвичайно складним є питання передачі кейсів між установами. Системна проблема полягає у фрагментації інформації: релокований центр володіє історією клієнта, має налагоджену комунікацію, знає контекст і може здійснювати якісний первинний супровід, але після передачі отримувач нерідко «випадає» з поля зору або отримує допомогу у формальному, стандартному форматі без урахування особливостей конкретної ситуації. Відсутність єдиної електронної системи передачі кейсів та різний рівень цифрової готовності громад посилюють цю проблему.</w:t>
      </w:r>
    </w:p>
    <w:p w14:paraId="170384D6"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Додатковим бар’єром є обмежена цифровізація процесу перенаправлення. Хоча Єдина інформаційна система соціальної сфери потенційно дозволяє вести облік отримувачів та передавати дані між громадами, її інструменти використовуються нерівномірно, а розрив між релокованими центрами й центрами приймаючих громад часто ускладнює синхронізацію даних. </w:t>
      </w:r>
    </w:p>
    <w:p w14:paraId="7D0BD264"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таких умовах ризики втрати інформації, дублювання функцій і помилок у супроводі клієнтів суттєво зростають.</w:t>
      </w:r>
    </w:p>
    <w:p w14:paraId="49933F90"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Узагальнюючи, можна стверджувати, що потреба в перенаправленні отримувачів соціальних послуг до центрів приймаючих громад є цілком виправданою та об’єктивною, однак чинний механізм її реалізації потребує суттєвого вдосконалення. </w:t>
      </w:r>
    </w:p>
    <w:p w14:paraId="30FA4D4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Система взаємодії між громадами залишається фрагментованою, недостатньо стандартизованою й не завжди орієнтованою на індивідуальні потреби отримувача, що вимагає пошуку інноваційних моделей співпраці та цифрових рішень, здатних забезпечити безперервність супроводу та повну доступність соціальних послуг для внутрішньо переміщених осіб.</w:t>
      </w:r>
    </w:p>
    <w:p w14:paraId="0D729D91" w14:textId="77777777" w:rsidR="00FA3D23" w:rsidRPr="00A130F6" w:rsidRDefault="00FA3D23" w:rsidP="00FA3D23">
      <w:pPr>
        <w:spacing w:after="0" w:line="360" w:lineRule="auto"/>
        <w:ind w:firstLine="709"/>
        <w:jc w:val="both"/>
        <w:rPr>
          <w:rFonts w:ascii="Times New Roman" w:hAnsi="Times New Roman" w:cs="Times New Roman"/>
          <w:sz w:val="28"/>
          <w:szCs w:val="28"/>
        </w:rPr>
      </w:pPr>
    </w:p>
    <w:p w14:paraId="01138D2F"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Удосконалення механізмів взаємодії між релокованими та приймаючими громадами стає ключовою умовою забезпечення доступності, безперервності та якості соціальних послуг для внутрішньо переміщених осіб. </w:t>
      </w:r>
    </w:p>
    <w:p w14:paraId="661BFED1"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Сучасна практика демонструє, що традиційні адміністративні процедури перенаправлення вже не відповідають масштабам внутрішньої міграції, складності соціальних випадків та потребі у гнучкому управлінні. Тому в центрі уваги опиняються інноваційні підходи, здатні забезпечити не лише обмін інформацією, а й партнерську взаємодію, інтегрованість рішень та використання спільних ресурсів. </w:t>
      </w:r>
    </w:p>
    <w:p w14:paraId="5B0B815A"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Ці моделі узгоджуються з сучасними тенденціями розвитку соціальної роботи, що акцентують на міжвідомчій співпраці, цифровізації та клієнтоцентричності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_Ref214990222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636E2E70"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Одним із найбільш перспективних підходів є модель подвійного супроводу, яка передбачає збереження активної участі релокованого центру у соціальній підтримці отримувача навіть після його офіційного перенаправлення до приймаючої громади. </w:t>
      </w:r>
    </w:p>
    <w:p w14:paraId="14F8693D"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Така модель визнає значення тривалого професійного зв’язку між ВПО та релокованою установою, яка володіє глибоким контекстним знанням про ситуацію клієнта та історію його взаємодії із соціальною системою. </w:t>
      </w:r>
    </w:p>
    <w:p w14:paraId="18EA07E1"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Релокований центр у цьому випадку виконує функції первинного кейс-менеджера, здійснює оцінку потреб, формує план підтримки та супроводжує клієнта на етапі адаптації, тоді як приймаюча громада забезпечує реалізацію тих послуг, які потребують матеріально-технічних ресурсів, просторової доступності або спеціалізованих інституцій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_Ref214990144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_Ref214991405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45</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p>
    <w:p w14:paraId="653CF77C"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Модель подвійного супроводу дозволяє уникнути розриву між установами, зберегти стабільність взаємодії та забезпечити індивідуалізований підхід, який особливо важливий для ВПО.</w:t>
      </w:r>
    </w:p>
    <w:p w14:paraId="6EEF4B74"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Удосконалення міжгромадної взаємодії неможливе без цифрової модернізації процесів. У цьому контексті інноваційною є ідея створення єдиної </w:t>
      </w:r>
      <w:r w:rsidRPr="00A130F6">
        <w:rPr>
          <w:rFonts w:ascii="Times New Roman" w:hAnsi="Times New Roman" w:cs="Times New Roman"/>
          <w:sz w:val="28"/>
          <w:szCs w:val="28"/>
        </w:rPr>
        <w:lastRenderedPageBreak/>
        <w:t xml:space="preserve">електронної системи маршрутизації ВПО, яка б автоматизувала вибір громади, здатної забезпечити потрібну послугу, відповідно до фактичного місця проживання отримувача, наявних потужностей установи, її завантаженості та профілю послуги. </w:t>
      </w:r>
    </w:p>
    <w:p w14:paraId="6D2E813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Така система може ґрунтуватися на потенціалі Єдиної інформаційної системи соціальної сфери, розширюючи її функціонал до повноцінного інструмента міжгромадської координації. </w:t>
      </w:r>
    </w:p>
    <w:p w14:paraId="2C1F5646"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Запровадження цього механізму сприяло б зменшенню людського фактору, прискоренню обміну інформацією, уникненню дублювання супроводу та забезпеченню прозорості процесу перенаправлення. </w:t>
      </w:r>
    </w:p>
    <w:p w14:paraId="493D7FB0"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Крім того, цифрова маршрутизація дозволяє вести єдину електронну карту клієнта, що забезпечує доступ обох центрів до актуальних даних та підвищує якість прийняття управлінських рішень.</w:t>
      </w:r>
    </w:p>
    <w:p w14:paraId="57586EFC"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Ефективним інструментом розвитку міжгромадної співпраці може стати укладання мережевих угод про співфінансування соціальних послуг. Така модель передбачає, що громада, яка фактично надає послугу, отримує фінансову компенсацію з бюджету громади походження або через державні субвенції. </w:t>
      </w:r>
    </w:p>
    <w:p w14:paraId="76A69089"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дозволяє вирівнювати навантаження між громадами та забезпечити більш рівномірний розподіл відповідальності за підтримку ВПО. Мережеві угоди сприяють зростанню фінансової стійкості системи соціального забезпечення та формують підґрунтя для стабільного партнерства, у межах якого громади спільно визначають пріоритети та оптимізують витрати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_Ref214917703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6F03D38C"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контексті модернізації системи соціальних послуг особливе місце займає механізм аутсорсингу. Він передбачає можливість передачі виконання певного виду послуги іншому центру соціальних послуг у приймаючій громаді або недержавній організації, якщо релокований центр не має можливості забезпечити її належним чином.</w:t>
      </w:r>
    </w:p>
    <w:p w14:paraId="00D7A4C3"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 Застосування аутсорсингу відповідає логіці сучасних моделей управління соціальною сферою, які спрямовані на ефективне використання ресурсів, </w:t>
      </w:r>
      <w:r w:rsidRPr="00A130F6">
        <w:rPr>
          <w:rFonts w:ascii="Times New Roman" w:hAnsi="Times New Roman" w:cs="Times New Roman"/>
          <w:sz w:val="28"/>
          <w:szCs w:val="28"/>
        </w:rPr>
        <w:lastRenderedPageBreak/>
        <w:t>залучення спеціалізованих постачальників та підвищення якості соціальних послуг за рахунок конкуренції та спеціалізації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_Ref214917914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27</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p>
    <w:p w14:paraId="6BD88CE7"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Важливою умовою ефективності цієї моделі є прозоре укладання договорів, чітке визначення стандартів якості та налагоджена система контролю виконання послуг.</w:t>
      </w:r>
    </w:p>
    <w:p w14:paraId="6DA25F5F"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Значним потенціалом для підсилення роботи релокованих центрів володіють громадські та міжнародні організації. У багатьох громадах саме вони виступають виконавцями окремих соціальних функцій, компенсуючи нестачу державних ресурсів, забезпечуючи доступ до гуманітарних програм, психологічної підтримки, правової допомоги чи реабілітаційних заходів. Залучення НУО як партнерів у процесі перенаправлення отримувачів дозволяє розширити спектр доступних послуг, підвищити гнучкість системи та адаптувати її до потреб конкретних категорій ВПО. </w:t>
      </w:r>
    </w:p>
    <w:p w14:paraId="0931A2A5"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Крім того, міжнародні організації відіграють важливу роль у підтримці інноваційних проєктів, сприяючи становленню нових моделей соціальної роботи та цифрових рішень.</w:t>
      </w:r>
    </w:p>
    <w:p w14:paraId="5039536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Не менш важливим напрямом модернізації є розвиток інноваційного міжгромадського кейс-менеджменту. Цей підхід передбачає активне залучення обох центрів до супроводу отримувача, проведення спільних кейсових нарад, узгодження плану соціальної підтримки, взаємний обмін інформацією та застосування електронних інструментів управління випадком. </w:t>
      </w:r>
    </w:p>
    <w:p w14:paraId="424190DA"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Міжгромадський кейс-менеджмент сприяє збереженню безперервності підтримки, створенню узгоджених маршрутів клієнта та забезпечує високий рівень міжвідомчої взаємодії, що відповідає сучасним вимогам до системи соціального забезпечення.</w:t>
      </w:r>
    </w:p>
    <w:p w14:paraId="685ECD64"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Таким чином, впровадження інноваційних підходів до взаємодії релокованих та приймаючих громад відкриває можливості для формування нової моделі соціального супроводу внутрішньо переміщених осіб. Її ключові переваги полягають у гнучкості, міжсекторальності, цифровій залежності, </w:t>
      </w:r>
      <w:r w:rsidRPr="00A130F6">
        <w:rPr>
          <w:rFonts w:ascii="Times New Roman" w:hAnsi="Times New Roman" w:cs="Times New Roman"/>
          <w:sz w:val="28"/>
          <w:szCs w:val="28"/>
        </w:rPr>
        <w:lastRenderedPageBreak/>
        <w:t>персоналізованості рішень та здатності до адаптивного управління. Інноваційні механізми дозволяють не лише налагодити ефективну маршрутизацію отримувачів соціальних послуг, а й підвищити загальний рівень стійкості соціальної системи, зміцнити партнерства між громадами та забезпечити дотримання прав і потреб осіб, які постраждали внаслідок війни.</w:t>
      </w:r>
    </w:p>
    <w:p w14:paraId="17FA5923"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Удосконалення механізмів взаємодії між релокованими та приймаючими громадами має системний соціальний ефект, який виходить далеко за межі організаційних змін та визначає нову якість соціального забезпечення внутрішньо переміщених осіб. </w:t>
      </w:r>
    </w:p>
    <w:p w14:paraId="7A3A4517"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Сучасні підходи до маршрутизації соціальних послуг сприяють формуванню комплексного середовища підтримки, де доступність, інклюзивність та безперервність виступають фундаментальними принципами соціальної політики держави та громад у воєнний і післявоєнний періоди.</w:t>
      </w:r>
    </w:p>
    <w:p w14:paraId="2879781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Першим важливим наслідком упорядкування процесу перенаправлення є забезпечення повного спектра соціальних послуг для ВПО. Релоковані центри, обмежені у своїх можливостях через втрату інфраструктури, не здатні самостійно реалізувати весь обсяг допомоги, гарантований законодавством. </w:t>
      </w:r>
    </w:p>
    <w:p w14:paraId="57010A8F"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Механізоване, структуроване та інноваційно підсилене перенаправлення дозволяє отримувачам своєчасно отримувати необхідну підтримку </w:t>
      </w:r>
      <w:r>
        <w:rPr>
          <w:rFonts w:ascii="Times New Roman" w:hAnsi="Times New Roman" w:cs="Times New Roman"/>
          <w:sz w:val="28"/>
          <w:szCs w:val="28"/>
        </w:rPr>
        <w:t>–</w:t>
      </w:r>
      <w:r w:rsidRPr="00A130F6">
        <w:rPr>
          <w:rFonts w:ascii="Times New Roman" w:hAnsi="Times New Roman" w:cs="Times New Roman"/>
          <w:sz w:val="28"/>
          <w:szCs w:val="28"/>
        </w:rPr>
        <w:t xml:space="preserve"> від догляду вдома до реабілітаційних програм </w:t>
      </w:r>
      <w:r>
        <w:rPr>
          <w:rFonts w:ascii="Times New Roman" w:hAnsi="Times New Roman" w:cs="Times New Roman"/>
          <w:sz w:val="28"/>
          <w:szCs w:val="28"/>
        </w:rPr>
        <w:t>–</w:t>
      </w:r>
      <w:r w:rsidRPr="00A130F6">
        <w:rPr>
          <w:rFonts w:ascii="Times New Roman" w:hAnsi="Times New Roman" w:cs="Times New Roman"/>
          <w:sz w:val="28"/>
          <w:szCs w:val="28"/>
        </w:rPr>
        <w:t xml:space="preserve"> за місцем фактичного проживання. Таким чином, технологічно грамотний перехід між установами стає інструментом забезпечення соціальних прав та їх реального виконання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_Ref214990211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18</w:t>
      </w:r>
      <w:r w:rsidRPr="00A130F6">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_Ref214917562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5DFEE19F"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Другий важливий аспект полягає у зміцненні інтеграційних процесів всередині приймаючих громад. ВПО, отримуючи послуги на новому місці, поступово включаються в локальні соціальні мережі, адаптуються до нових умов проживання, знайомляться з можливостями громади, взаємодіють із місцевими інституціями та фахівцями. Це сприяє соціальній згуртованості, зменшенню рівня ізоляції, формуванню довіри та підвищенню відчуття належності до громади. </w:t>
      </w:r>
    </w:p>
    <w:p w14:paraId="16226A27"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Дослідження свідчать, що доступ до якісних соціальних послуг є одним із ключових чинників успішної інтеграції переселенців у нове соціальне середовище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_Ref214917908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15</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_Ref214990144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414F2865"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Не менш вагомим є вплив удосконалених механізмів перенаправлення на функціонування самих громад. Уніфікація процедур, цифровізація процесів та впровадження партнерських моделей управління дозволяють оптимізувати розподіл ресурсів, уникнути дублювання зусиль та забезпечити більш раціональне планування соціального навантаження. </w:t>
      </w:r>
    </w:p>
    <w:p w14:paraId="14CD7672"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Приймаючі громади отримують чіткі інструменти прогнозування потреб, релоковані </w:t>
      </w:r>
      <w:r>
        <w:rPr>
          <w:rFonts w:ascii="Times New Roman" w:hAnsi="Times New Roman" w:cs="Times New Roman"/>
          <w:sz w:val="28"/>
          <w:szCs w:val="28"/>
        </w:rPr>
        <w:t>–</w:t>
      </w:r>
      <w:r w:rsidRPr="00A130F6">
        <w:rPr>
          <w:rFonts w:ascii="Times New Roman" w:hAnsi="Times New Roman" w:cs="Times New Roman"/>
          <w:sz w:val="28"/>
          <w:szCs w:val="28"/>
        </w:rPr>
        <w:t xml:space="preserve"> зменшення неформального та надмірного тиску на персонал, а система загалом </w:t>
      </w:r>
      <w:r>
        <w:rPr>
          <w:rFonts w:ascii="Times New Roman" w:hAnsi="Times New Roman" w:cs="Times New Roman"/>
          <w:sz w:val="28"/>
          <w:szCs w:val="28"/>
        </w:rPr>
        <w:t>–</w:t>
      </w:r>
      <w:r w:rsidRPr="00A130F6">
        <w:rPr>
          <w:rFonts w:ascii="Times New Roman" w:hAnsi="Times New Roman" w:cs="Times New Roman"/>
          <w:sz w:val="28"/>
          <w:szCs w:val="28"/>
        </w:rPr>
        <w:t xml:space="preserve"> підвищення прозорості та керованості. Це формує стійкість соціальної сфери, яка у період війни є критично важливою.</w:t>
      </w:r>
    </w:p>
    <w:p w14:paraId="2945BF65"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Важливим ефектом є підвищення якості соціального супроводу завдяки збереженню безперервності взаємодії з клієнтом. Моделі подвійного супроводу та інноваційного кейс-менеджменту забезпечують можливість для релокованих центрів продовжувати підтримку навіть після офіційного перенаправлення отримувача. </w:t>
      </w:r>
    </w:p>
    <w:p w14:paraId="73CC4035"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уникає ситуацій, коли клієнт «випадає» із системи, змушений повторно збирати документи або пояснювати свою ситуацію новому фахівцю. Такий підхід підсилює індивідуалізацію соціальної роботи та покращує її результативність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_Ref214917830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7DC82C22" w14:textId="77777777" w:rsidR="00FA3D23" w:rsidRDefault="00FA3D23" w:rsidP="00FA3D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менш значущим є</w:t>
      </w:r>
      <w:r w:rsidRPr="00A130F6">
        <w:rPr>
          <w:rFonts w:ascii="Times New Roman" w:hAnsi="Times New Roman" w:cs="Times New Roman"/>
          <w:sz w:val="28"/>
          <w:szCs w:val="28"/>
        </w:rPr>
        <w:t xml:space="preserve"> розвиток соціального партнерства. Удосконалені механізми перенаправлення сприяють налагодженню міжмуніципальних відносин, посиленню взаємодії між органами соціального захисту, ЦНСП, неурядовими організаціями та міжнародними фондами. </w:t>
      </w:r>
    </w:p>
    <w:p w14:paraId="0352105D"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 дозволяє забезпечити більш широкий спектр послуг, оперативніше реагувати на критичні потреби, впроваджувати інновації та залучати зовнішні ресурси. У довгостроковій перспективі така співпраця формує нові стандарти </w:t>
      </w:r>
      <w:r w:rsidRPr="00A130F6">
        <w:rPr>
          <w:rFonts w:ascii="Times New Roman" w:hAnsi="Times New Roman" w:cs="Times New Roman"/>
          <w:sz w:val="28"/>
          <w:szCs w:val="28"/>
        </w:rPr>
        <w:lastRenderedPageBreak/>
        <w:t>соціальної роботи, орієнтовані на розвиток людського капіталу, цифрові рішення та мультидисциплінарність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_Ref214917669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26</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_Ref214990640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40</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7E4A649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Загальний соціальний ефект від удосконалення механізмів перенаправлення має стратегічний вимір. Він проявляється у зростанні стійкості системи соціального захисту, підвищенні її здатності реагувати на кризові ситуації, розширенні доступності соціальних послуг та забезпеченні справедливого розподілу ресурсів між громадами. </w:t>
      </w:r>
    </w:p>
    <w:p w14:paraId="07013C5E"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Для ВПО удосконалені механізми означають передбачуваність, захищеність та впевненість у можливості отримати підтримку незалежно від територіальних змін. Для релокованих та приймаючих громад </w:t>
      </w:r>
      <w:r>
        <w:rPr>
          <w:rFonts w:ascii="Times New Roman" w:hAnsi="Times New Roman" w:cs="Times New Roman"/>
          <w:sz w:val="28"/>
          <w:szCs w:val="28"/>
        </w:rPr>
        <w:t>–</w:t>
      </w:r>
      <w:r w:rsidRPr="00A130F6">
        <w:rPr>
          <w:rFonts w:ascii="Times New Roman" w:hAnsi="Times New Roman" w:cs="Times New Roman"/>
          <w:sz w:val="28"/>
          <w:szCs w:val="28"/>
        </w:rPr>
        <w:t xml:space="preserve"> це можливість формувати спільні програми, уникати перевантаження, стабілізувати роботу установ та підвищувати загальну якість життя населення.</w:t>
      </w:r>
    </w:p>
    <w:p w14:paraId="557587FC"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Рубіжанський центр надання соціальних послуг, попри релокацію та втрату матеріально-технічної бази, зберіг свою ключову соціальну функцію і трансформувався у важливий елемент міжгромадної інфраструктури підтримки внутрішньо переміщених осіб. Його діяльність демонструє, що релокований заклад здатний відігравати стратегічну роль у формуванні сучасної мережевої моделі соціального забезпечення, орієнтованої на партнерство, координацію та інноваційні способи організації допомоги. У цьому контексті центр виконує функції, які виходять за межі традиційного набору соціальних послуг та охоплюють управлінські, комунікаційні та інтеграційні аспекти роботи з ВПО.</w:t>
      </w:r>
    </w:p>
    <w:p w14:paraId="18EEC456"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Передусім Рубіжанський ЦНСП виступає комунікаційним хабом, що забезпечує системну взаємодію між ВПО з Луганської області, органами соціального захисту, приймаючими громадами та іншими зацікавленими інституціями. </w:t>
      </w:r>
    </w:p>
    <w:p w14:paraId="1AEEDF67"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Центр підтримує постійний контакт із клієнтами, що дозволяє не лише виявляти їхні потреби, а й оперативно реагувати на зміни життєвих обставин, координувати перенаправлення та здійснювати постсупровід навіть після передачі кейсу іншому надавачу послуг. Така модель комунікації забезпечує безперервність </w:t>
      </w:r>
      <w:r w:rsidRPr="00A130F6">
        <w:rPr>
          <w:rFonts w:ascii="Times New Roman" w:hAnsi="Times New Roman" w:cs="Times New Roman"/>
          <w:sz w:val="28"/>
          <w:szCs w:val="28"/>
        </w:rPr>
        <w:lastRenderedPageBreak/>
        <w:t>соціальної підтримки та сприяє збереженню довіри, яка є критично важливою для переселенців, що пережили травматичний досвід переміщення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_Ref214990275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42</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 xml:space="preserve">; </w:t>
      </w:r>
      <w:r w:rsidRPr="00A130F6">
        <w:rPr>
          <w:rFonts w:ascii="Times New Roman" w:hAnsi="Times New Roman" w:cs="Times New Roman"/>
          <w:sz w:val="28"/>
          <w:szCs w:val="28"/>
        </w:rPr>
        <w:fldChar w:fldCharType="begin"/>
      </w:r>
      <w:r w:rsidRPr="00A130F6">
        <w:rPr>
          <w:rFonts w:ascii="Times New Roman" w:hAnsi="Times New Roman" w:cs="Times New Roman"/>
          <w:sz w:val="28"/>
          <w:szCs w:val="28"/>
        </w:rPr>
        <w:instrText xml:space="preserve"> REF _Ref214990986 \r \h </w:instrText>
      </w:r>
      <w:r>
        <w:rPr>
          <w:rFonts w:ascii="Times New Roman" w:hAnsi="Times New Roman" w:cs="Times New Roman"/>
          <w:sz w:val="28"/>
          <w:szCs w:val="28"/>
        </w:rPr>
        <w:instrText xml:space="preserve"> \* MERGEFORMAT </w:instrText>
      </w:r>
      <w:r w:rsidRPr="00A130F6">
        <w:rPr>
          <w:rFonts w:ascii="Times New Roman" w:hAnsi="Times New Roman" w:cs="Times New Roman"/>
          <w:sz w:val="28"/>
          <w:szCs w:val="28"/>
        </w:rPr>
      </w:r>
      <w:r w:rsidRPr="00A130F6">
        <w:rPr>
          <w:rFonts w:ascii="Times New Roman" w:hAnsi="Times New Roman" w:cs="Times New Roman"/>
          <w:sz w:val="28"/>
          <w:szCs w:val="28"/>
        </w:rPr>
        <w:fldChar w:fldCharType="separate"/>
      </w:r>
      <w:r>
        <w:rPr>
          <w:rFonts w:ascii="Times New Roman" w:hAnsi="Times New Roman" w:cs="Times New Roman"/>
          <w:sz w:val="28"/>
          <w:szCs w:val="28"/>
        </w:rPr>
        <w:t>43</w:t>
      </w:r>
      <w:r w:rsidRPr="00A130F6">
        <w:rPr>
          <w:rFonts w:ascii="Times New Roman" w:hAnsi="Times New Roman" w:cs="Times New Roman"/>
          <w:sz w:val="28"/>
          <w:szCs w:val="28"/>
        </w:rPr>
        <w:fldChar w:fldCharType="end"/>
      </w:r>
      <w:r w:rsidRPr="00A130F6">
        <w:rPr>
          <w:rFonts w:ascii="Times New Roman" w:hAnsi="Times New Roman" w:cs="Times New Roman"/>
          <w:sz w:val="28"/>
          <w:szCs w:val="28"/>
        </w:rPr>
        <w:t>].</w:t>
      </w:r>
    </w:p>
    <w:p w14:paraId="58FD22D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Важливою складовою діяльності Рубіжанського центру є його роль як носія спеціалізованих компетенцій у роботі з внутрішньо переміщеними особами. </w:t>
      </w:r>
    </w:p>
    <w:p w14:paraId="022DB92B"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Фахівці центру мають унікальний досвід, що включає роботу в умовах війни, кризове реагування, психологічну підтримку, організацію супроводу сімей, що пережили окупацію, а також взаємодію з різними гуманітарними та міжнародними організаціями. Завдяки цьому центр володіє знаннями, необхідними для формування адаптованих підходів до роботи з ВПО, які не завжди властиві приймаючим громадам, що працюють переважно у стандартних умовах.</w:t>
      </w:r>
    </w:p>
    <w:p w14:paraId="2F256929"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Рубіжанський ЦНСП також виконує функцію координатора перенаправлення отримувачів до приймаючих громад. Центр здійснює первинну оцінку потреб, формує рекомендації, забезпечує передачу інформації та допомагає клієнтам орієнтуватися у процедурних питаннях. Ця діяльність є важливою не лише для забезпечення доступу до необхідних послуг, а й для зменшення адміністративного навантаження на приймаючі громади, які отримують більш повну й структуровану інформацію про кожен випадок. </w:t>
      </w:r>
    </w:p>
    <w:p w14:paraId="494008C3"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Таким чином, Рубіжанський центр слугує посередником, що забезпечує ефективну маршрутизацію отримувачів в умовах складної міжмуніципальної взаємодії.</w:t>
      </w:r>
    </w:p>
    <w:p w14:paraId="389CFA88"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 xml:space="preserve">У новій моделі партнерської взаємодії релокований центр виступає суб’єктом інноваційного розвитку соціальної системи. Участь у формуванні міжгромадських механізмів співфінансування, упровадженні цифрових рішень для обміну даними, створенні спільних кейс-менеджерських практик та інтеграції неурядових організацій дозволяє Рубіжанському ЦНСП діяти не лише як виконавець соціальних послуг, а й як активний агент соціальних змін. </w:t>
      </w:r>
    </w:p>
    <w:p w14:paraId="7943F723"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Залучення центру до формування сучасних моделей взаємодії між громадами сприяє розвитку стійкої соціальної інфраструктури, яка здатна реагувати на масштабні виклики воєнного часу.</w:t>
      </w:r>
    </w:p>
    <w:p w14:paraId="3F6D01B6"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lastRenderedPageBreak/>
        <w:t xml:space="preserve">Значущим є і те, що діяльність Рубіжанського центру сприяє збереженню соціальної ідентичності ВПО з Луганської області. Наявність «свого» установи соціального захисту </w:t>
      </w:r>
      <w:r>
        <w:rPr>
          <w:rFonts w:ascii="Times New Roman" w:hAnsi="Times New Roman" w:cs="Times New Roman"/>
          <w:sz w:val="28"/>
          <w:szCs w:val="28"/>
        </w:rPr>
        <w:t>–</w:t>
      </w:r>
      <w:r w:rsidRPr="00A130F6">
        <w:rPr>
          <w:rFonts w:ascii="Times New Roman" w:hAnsi="Times New Roman" w:cs="Times New Roman"/>
          <w:sz w:val="28"/>
          <w:szCs w:val="28"/>
        </w:rPr>
        <w:t xml:space="preserve"> навіть у релокованому вигляді </w:t>
      </w:r>
      <w:r>
        <w:rPr>
          <w:rFonts w:ascii="Times New Roman" w:hAnsi="Times New Roman" w:cs="Times New Roman"/>
          <w:sz w:val="28"/>
          <w:szCs w:val="28"/>
        </w:rPr>
        <w:t>–</w:t>
      </w:r>
      <w:r w:rsidRPr="00A130F6">
        <w:rPr>
          <w:rFonts w:ascii="Times New Roman" w:hAnsi="Times New Roman" w:cs="Times New Roman"/>
          <w:sz w:val="28"/>
          <w:szCs w:val="28"/>
        </w:rPr>
        <w:t xml:space="preserve"> допомагає переселенцям відчувати підтримку рідної громади, зберігати зв’язок із фахівцями, яким вони довіряють, та легше адаптуватися до нових умов життя. </w:t>
      </w:r>
    </w:p>
    <w:p w14:paraId="53E770AB" w14:textId="77777777" w:rsidR="00FA3D23" w:rsidRPr="00A130F6"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Це є важливою психологічною та соціальною складовою процесу інтеграції, яку не завжди здатні забезпечити установи приймаючих територіальних громад.</w:t>
      </w:r>
    </w:p>
    <w:p w14:paraId="70DA29E2" w14:textId="77777777" w:rsidR="00FA3D23" w:rsidRDefault="00FA3D23" w:rsidP="00FA3D23">
      <w:pPr>
        <w:spacing w:after="0" w:line="360" w:lineRule="auto"/>
        <w:ind w:firstLine="709"/>
        <w:jc w:val="both"/>
        <w:rPr>
          <w:rFonts w:ascii="Times New Roman" w:hAnsi="Times New Roman" w:cs="Times New Roman"/>
          <w:sz w:val="28"/>
          <w:szCs w:val="28"/>
        </w:rPr>
      </w:pPr>
      <w:r w:rsidRPr="00A130F6">
        <w:rPr>
          <w:rFonts w:ascii="Times New Roman" w:hAnsi="Times New Roman" w:cs="Times New Roman"/>
          <w:sz w:val="28"/>
          <w:szCs w:val="28"/>
        </w:rPr>
        <w:t>У підсумку Рубіжанський центр надання соціальних послуг у новій моделі взаємодії виступає одночасно координатором, комунікатором, експертом і агентом інновацій. Його діяльність демонструє ефективність мережевих підходів у соціальній роботі та значення релокованих установ для забезпечення прав і потреб внутрішньо переміщених осіб. Інтеграція релокованих центрів у системи приймаючих громад має ключове значення для формування стійкої, гнучкої та людиноцентричної моделі соціального забезпечення в умовах довготривалих кризових явищ.</w:t>
      </w:r>
    </w:p>
    <w:p w14:paraId="7C85B42A"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Перспективи подальшого розвитку Рубіжанського центру надання соціальних послуг полягають у поглибленні інноваційних підходів та розширенні можливостей соціальної підтримки відповідно до сучасних викликів і потреб внутрішньо переміщених осіб. </w:t>
      </w:r>
    </w:p>
    <w:p w14:paraId="305DB335" w14:textId="771B096D" w:rsidR="00FA3D23" w:rsidRPr="000B2504" w:rsidRDefault="00FA3D23" w:rsidP="00FA3D23">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 xml:space="preserve">Можна виділити шість ключових ініціатив для вдосконалення роботи </w:t>
      </w:r>
      <w:r w:rsidRPr="00A130F6">
        <w:rPr>
          <w:rFonts w:ascii="Times New Roman" w:hAnsi="Times New Roman" w:cs="Times New Roman"/>
          <w:sz w:val="28"/>
          <w:szCs w:val="28"/>
        </w:rPr>
        <w:t>Рубіжансько</w:t>
      </w:r>
      <w:r>
        <w:rPr>
          <w:rFonts w:ascii="Times New Roman" w:hAnsi="Times New Roman" w:cs="Times New Roman"/>
          <w:sz w:val="28"/>
          <w:szCs w:val="28"/>
        </w:rPr>
        <w:t>го</w:t>
      </w:r>
      <w:r w:rsidRPr="00A130F6">
        <w:rPr>
          <w:rFonts w:ascii="Times New Roman" w:hAnsi="Times New Roman" w:cs="Times New Roman"/>
          <w:sz w:val="28"/>
          <w:szCs w:val="28"/>
        </w:rPr>
        <w:t xml:space="preserve"> ЦНСП</w:t>
      </w:r>
      <w:r>
        <w:rPr>
          <w:rFonts w:ascii="Times New Roman" w:hAnsi="Times New Roman" w:cs="Times New Roman"/>
          <w:sz w:val="28"/>
          <w:szCs w:val="28"/>
        </w:rPr>
        <w:t>, спрямованих на підвищення доступності послуг, інтеграцію ВПО та залучення ресурсів спільноти</w:t>
      </w:r>
      <w:r w:rsidR="000B2504">
        <w:rPr>
          <w:rFonts w:ascii="Times New Roman" w:hAnsi="Times New Roman" w:cs="Times New Roman"/>
          <w:sz w:val="28"/>
          <w:szCs w:val="28"/>
          <w:lang w:val="uk-UA"/>
        </w:rPr>
        <w:t>.</w:t>
      </w:r>
    </w:p>
    <w:p w14:paraId="15B0CD27" w14:textId="77777777" w:rsidR="00FA3D23" w:rsidRDefault="00FA3D23" w:rsidP="00FA3D23">
      <w:pPr>
        <w:spacing w:after="0" w:line="360" w:lineRule="auto"/>
        <w:jc w:val="both"/>
        <w:rPr>
          <w:rFonts w:ascii="Times New Roman" w:eastAsia="Times New Roman" w:hAnsi="Times New Roman" w:cs="Times New Roman"/>
          <w:sz w:val="28"/>
          <w:szCs w:val="28"/>
          <w:lang w:eastAsia="uk-UA"/>
        </w:rPr>
      </w:pPr>
      <w:r>
        <w:rPr>
          <w:noProof/>
        </w:rPr>
        <w:lastRenderedPageBreak/>
        <w:drawing>
          <wp:inline distT="0" distB="0" distL="0" distR="0" wp14:anchorId="32D33251" wp14:editId="6B3E17AD">
            <wp:extent cx="6119495" cy="4438650"/>
            <wp:effectExtent l="0" t="0" r="0" b="0"/>
            <wp:docPr id="44891925" name="Рисунок 44891925" descr="Изображение выглядит как текст,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Шрифт, дизайн&#10;&#10;Содержимое, созданное искусственным интеллектом, может быть неверным."/>
                    <pic:cNvPicPr/>
                  </pic:nvPicPr>
                  <pic:blipFill rotWithShape="1">
                    <a:blip r:embed="rId8">
                      <a:extLst>
                        <a:ext uri="{BEBA8EAE-BF5A-486C-A8C5-ECC9F3942E4B}">
                          <a14:imgProps xmlns:a14="http://schemas.microsoft.com/office/drawing/2010/main">
                            <a14:imgLayer r:embed="rId9">
                              <a14:imgEffect>
                                <a14:brightnessContrast bright="20000"/>
                              </a14:imgEffect>
                            </a14:imgLayer>
                          </a14:imgProps>
                        </a:ext>
                      </a:extLst>
                    </a:blip>
                    <a:srcRect t="24282" b="3185"/>
                    <a:stretch/>
                  </pic:blipFill>
                  <pic:spPr bwMode="auto">
                    <a:xfrm>
                      <a:off x="0" y="0"/>
                      <a:ext cx="6119495" cy="4438650"/>
                    </a:xfrm>
                    <a:prstGeom prst="rect">
                      <a:avLst/>
                    </a:prstGeom>
                    <a:ln>
                      <a:noFill/>
                    </a:ln>
                    <a:extLst>
                      <a:ext uri="{53640926-AAD7-44D8-BBD7-CCE9431645EC}">
                        <a14:shadowObscured xmlns:a14="http://schemas.microsoft.com/office/drawing/2010/main"/>
                      </a:ext>
                    </a:extLst>
                  </pic:spPr>
                </pic:pic>
              </a:graphicData>
            </a:graphic>
          </wp:inline>
        </w:drawing>
      </w:r>
    </w:p>
    <w:p w14:paraId="3ABAFCED" w14:textId="77777777" w:rsidR="00FA3D23" w:rsidRDefault="00FA3D23" w:rsidP="00FA3D23">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Рис.2.1. Стратегічні напрями розвитку </w:t>
      </w:r>
      <w:r w:rsidRPr="00A130F6">
        <w:rPr>
          <w:rFonts w:ascii="Times New Roman" w:hAnsi="Times New Roman" w:cs="Times New Roman"/>
          <w:sz w:val="28"/>
          <w:szCs w:val="28"/>
        </w:rPr>
        <w:t>Рубіжансько</w:t>
      </w:r>
      <w:r>
        <w:rPr>
          <w:rFonts w:ascii="Times New Roman" w:hAnsi="Times New Roman" w:cs="Times New Roman"/>
          <w:sz w:val="28"/>
          <w:szCs w:val="28"/>
        </w:rPr>
        <w:t>го</w:t>
      </w:r>
      <w:r w:rsidRPr="00A130F6">
        <w:rPr>
          <w:rFonts w:ascii="Times New Roman" w:hAnsi="Times New Roman" w:cs="Times New Roman"/>
          <w:sz w:val="28"/>
          <w:szCs w:val="28"/>
        </w:rPr>
        <w:t xml:space="preserve"> ЦНСП</w:t>
      </w:r>
      <w:r>
        <w:rPr>
          <w:rFonts w:ascii="Times New Roman" w:hAnsi="Times New Roman" w:cs="Times New Roman"/>
          <w:sz w:val="28"/>
          <w:szCs w:val="28"/>
        </w:rPr>
        <w:t xml:space="preserve"> </w:t>
      </w:r>
    </w:p>
    <w:p w14:paraId="3285ECEF"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p>
    <w:p w14:paraId="56DF68AF"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о</w:t>
      </w:r>
      <w:r w:rsidRPr="004A57B4">
        <w:rPr>
          <w:rFonts w:ascii="Times New Roman" w:eastAsia="Times New Roman" w:hAnsi="Times New Roman" w:cs="Times New Roman"/>
          <w:sz w:val="28"/>
          <w:szCs w:val="28"/>
          <w:lang w:eastAsia="uk-UA"/>
        </w:rPr>
        <w:t xml:space="preserve">дним із ключових напрямів удосконалення є подальша цифровізація процесів, зокрема інтеграція наявної CRM-системи з державною платформою «Соціальна громада». Це забезпечить єдиний простір для обліку звернень, уніфікацію даних та підвищення рівня прозорості кейс-менеджменту. </w:t>
      </w:r>
    </w:p>
    <w:p w14:paraId="53BFF5F0"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Завдяки цьому центр отримає можливість оптимізувати маршрутизацію клієнтів, скоротити час реагування та значно розширити аналітичні можливості в управлінні соціальними послугами.</w:t>
      </w:r>
    </w:p>
    <w:p w14:paraId="064AD567"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Не менш важливим напрямом є розширення дистанційних форматів роботи, що стають необхідними в умовах мобільності ВПО та нерівномірного розподілу соціальної інфраструктури. </w:t>
      </w:r>
    </w:p>
    <w:p w14:paraId="7FE98264"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Створення спеціалізованої онлайн-платформи для консультування, груп підтримки, тренінгів і освітніх заходів дозволить забезпечити доступність послуг </w:t>
      </w:r>
      <w:r w:rsidRPr="004A57B4">
        <w:rPr>
          <w:rFonts w:ascii="Times New Roman" w:eastAsia="Times New Roman" w:hAnsi="Times New Roman" w:cs="Times New Roman"/>
          <w:sz w:val="28"/>
          <w:szCs w:val="28"/>
          <w:lang w:eastAsia="uk-UA"/>
        </w:rPr>
        <w:lastRenderedPageBreak/>
        <w:t>для осіб, які не можуть бути присутні фізично. Це підвищить регулярність соціальної взаємодії та сприятиме розвитку нових форматів психосоціальної підтримки в цифровому середовищі.</w:t>
      </w:r>
    </w:p>
    <w:p w14:paraId="3C3C3C73"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Важливою перспективою розвитку є удосконалення системи перенаправлення отримувачів соціальних послуг. Формування єдиної мережі соціальних маршрутів через створення інтерактивної карти доступних послуг, локацій партнерських організацій та спеціалізованих точок підтримки сприятиме більш точному й ефективному орієнтуванню клієнтів у системі соціального забезпечення приймаючої громади. </w:t>
      </w:r>
    </w:p>
    <w:p w14:paraId="6DE7E702"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Такий інструмент дозволить зменшити навантаження на центр, забезпечивши клієнтам можливість швидко знаходити необхідні сервіси в їхньому безпосередньому середовищі.</w:t>
      </w:r>
    </w:p>
    <w:p w14:paraId="749632C2"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Подальший розвиток роботи центру передбачає також впровадження травма-інформованого підходу, що стане одним із ключових компонентів якісної психосоціальної підтримки. </w:t>
      </w:r>
    </w:p>
    <w:p w14:paraId="41262035"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Системне навчання персоналу основам trauma-informed practice, створення безпечних просторів для консультування, регулярне оцінювання стану отримувачів та інтеграція відповідних алгоритмів у кейс-менеджмент сприятимуть зменшенню ризиків повторної травматизації та підвищенню ефективності взаємодії з вразливими категоріями населення.</w:t>
      </w:r>
    </w:p>
    <w:p w14:paraId="6EAE6219"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Окремий вектор удосконалення пов’язаний із розвитком мобільних форматів соціального обслуговування. </w:t>
      </w:r>
    </w:p>
    <w:p w14:paraId="32F658E9"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Створення «Мобільного офісу соціальних послуг» дозволить забезпечити доступ до підтримки у віддалених громадах, прихистках, шелтерах та місцях компактного проживання ВПО. Портативне технічне забезпечення для виїзної роботи, можливість проводити консультації за місцем проживання клієнтів та оперативно вирішувати індивідуальні питання стане вагомим кроком до зменшення бар’єрів доступності, особливо для маломобільних осіб або сімей у складних життєвих обставинах.</w:t>
      </w:r>
    </w:p>
    <w:p w14:paraId="2FBDB7FD"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lastRenderedPageBreak/>
        <w:t xml:space="preserve">Подальшим перспективним напрямом є створення інноваційної програми «Соціальна адаптація через професію», спрямованої на інтеграцію ВПО у ринок праці. </w:t>
      </w:r>
    </w:p>
    <w:p w14:paraId="1C483A7B"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Реалізація короткострокових навчальних курсів, проведення тренінгів із розвитку навичок, співпраця з роботодавцями та супровід працевлаштування сприятимуть підвищенню соціальної та економічної спроможності переселенців, а також зміцненню їх інтеграції в місцеву громаду.</w:t>
      </w:r>
    </w:p>
    <w:p w14:paraId="19F844CC"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Важливим аспектом удосконалення діяльності центру є розвиток волонтерського потенціалу громади. Створення волонтерської школи сприятиме підготовці залучених осіб до роботи з вразливими категоріями населення, підвищить рівень їхньої компетентності, сформує базові знання з етики соціальної роботи та забезпечить можливість практичного залучення волонтерів до діяльності центру.</w:t>
      </w:r>
    </w:p>
    <w:p w14:paraId="6473FDDB"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 Це зміцнить соціальний капітал громади та дозволить формувати сталий резерв підтримки у періоди підвищеного навантаження.</w:t>
      </w:r>
    </w:p>
    <w:p w14:paraId="50DE99CB"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Серед перспектив модернізації системи соціального обслуговування також слід виокремити впровадження механізмів раннього виявлення кризових ситуацій. </w:t>
      </w:r>
    </w:p>
    <w:p w14:paraId="06BED56B"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Регулярні короткі опитування через цифрові інструменти, такі як Telegram-бот або онлайн-анкети, дадуть змогу оперативно відстежувати зміни у життєвих обставинах ВПО та швидко реагувати на кризові стани. Такий підхід сприятиме формуванню гнучкої системи превентивної підтримки та своєчасному перенаправленню до відповідних служб.</w:t>
      </w:r>
    </w:p>
    <w:p w14:paraId="620E2716"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 xml:space="preserve">Важливою інноваційною практикою може стати розвиток соціального наставництва </w:t>
      </w:r>
      <w:r>
        <w:rPr>
          <w:rFonts w:ascii="Times New Roman" w:eastAsia="Times New Roman" w:hAnsi="Times New Roman" w:cs="Times New Roman"/>
          <w:sz w:val="28"/>
          <w:szCs w:val="28"/>
          <w:lang w:eastAsia="uk-UA"/>
        </w:rPr>
        <w:t xml:space="preserve">– </w:t>
      </w:r>
      <w:r w:rsidRPr="004A57B4">
        <w:rPr>
          <w:rFonts w:ascii="Times New Roman" w:eastAsia="Times New Roman" w:hAnsi="Times New Roman" w:cs="Times New Roman"/>
          <w:sz w:val="28"/>
          <w:szCs w:val="28"/>
          <w:lang w:eastAsia="uk-UA"/>
        </w:rPr>
        <w:t xml:space="preserve">моделі, що передбачає підтримку сімей ВПО місцевими мешканцями. </w:t>
      </w:r>
    </w:p>
    <w:p w14:paraId="53FE6031"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Такий підхід сприяє інтеграції, соціальній навігації, адаптації до нових умов і формуванню міжособистісних зв’язків, які часто відіграють більшу роль у життєвій стабільності, ніж інституційні ресурси.</w:t>
      </w:r>
    </w:p>
    <w:p w14:paraId="60BD128A"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lastRenderedPageBreak/>
        <w:t>Не менш перспективним напрямом є зміцнення науково-практичної взаємодії Рубіжанського центру з вищими навчальними закладами. Центр може стати базою для практики студентів соціальної роботи та психології, учасником спільних досліджень, а також платформою для апробації нових моделей соціальних інтервенцій. Це сприятиме впровадженню сучасних технологій, обміну досвідом та підвищенню наукової обґрунтованості прийнятих рішень.</w:t>
      </w:r>
    </w:p>
    <w:p w14:paraId="507D10B3"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Кожна ініціатива є частиною єдиного механізму. Цифрові інструменти роблять якісну підтримку доступною, а програми інтеграції створюють середовище, де ця підтримка перетворюється на довгострокову стійкість. Це не просто перелік проектів, а ціла екостистема (рис.2.2).</w:t>
      </w:r>
    </w:p>
    <w:p w14:paraId="68F67153"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p>
    <w:p w14:paraId="5166763C" w14:textId="77777777" w:rsidR="00FA3D23" w:rsidRDefault="00FA3D23" w:rsidP="00FA3D23">
      <w:pPr>
        <w:spacing w:after="0" w:line="360" w:lineRule="auto"/>
        <w:jc w:val="both"/>
        <w:rPr>
          <w:rFonts w:ascii="Times New Roman" w:eastAsia="Times New Roman" w:hAnsi="Times New Roman" w:cs="Times New Roman"/>
          <w:sz w:val="28"/>
          <w:szCs w:val="28"/>
          <w:lang w:eastAsia="uk-UA"/>
        </w:rPr>
      </w:pPr>
      <w:r w:rsidRPr="00407489">
        <w:rPr>
          <w:rFonts w:ascii="Times New Roman" w:eastAsia="Times New Roman" w:hAnsi="Times New Roman" w:cs="Times New Roman"/>
          <w:noProof/>
          <w:sz w:val="28"/>
          <w:szCs w:val="28"/>
          <w:lang w:eastAsia="uk-UA"/>
        </w:rPr>
        <w:drawing>
          <wp:inline distT="0" distB="0" distL="0" distR="0" wp14:anchorId="481F4846" wp14:editId="73248C27">
            <wp:extent cx="6119495" cy="2433320"/>
            <wp:effectExtent l="0" t="0" r="0" b="5080"/>
            <wp:docPr id="2058027904" name="Рисунок 2058027904" descr="Изображение выглядит как текст, Шрифт, снимок экрана,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 Шрифт, снимок экрана, число&#10;&#10;Содержимое, созданное искусственным интеллектом, может быть неверным."/>
                    <pic:cNvPicPr/>
                  </pic:nvPicPr>
                  <pic:blipFill>
                    <a:blip r:embed="rId10"/>
                    <a:stretch>
                      <a:fillRect/>
                    </a:stretch>
                  </pic:blipFill>
                  <pic:spPr>
                    <a:xfrm>
                      <a:off x="0" y="0"/>
                      <a:ext cx="6119495" cy="2433320"/>
                    </a:xfrm>
                    <a:prstGeom prst="rect">
                      <a:avLst/>
                    </a:prstGeom>
                  </pic:spPr>
                </pic:pic>
              </a:graphicData>
            </a:graphic>
          </wp:inline>
        </w:drawing>
      </w:r>
    </w:p>
    <w:p w14:paraId="62D2CA04" w14:textId="77777777" w:rsidR="00FA3D23" w:rsidRDefault="00FA3D23" w:rsidP="00FA3D23">
      <w:pPr>
        <w:spacing w:after="0" w:line="36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uk-UA"/>
        </w:rPr>
        <w:t>Рис.2.2. Єдина система підтримки громадян Р</w:t>
      </w:r>
      <w:r w:rsidRPr="00A130F6">
        <w:rPr>
          <w:rFonts w:ascii="Times New Roman" w:hAnsi="Times New Roman" w:cs="Times New Roman"/>
          <w:sz w:val="28"/>
          <w:szCs w:val="28"/>
        </w:rPr>
        <w:t>убіжанськ</w:t>
      </w:r>
      <w:r>
        <w:rPr>
          <w:rFonts w:ascii="Times New Roman" w:hAnsi="Times New Roman" w:cs="Times New Roman"/>
          <w:sz w:val="28"/>
          <w:szCs w:val="28"/>
        </w:rPr>
        <w:t>им</w:t>
      </w:r>
      <w:r w:rsidRPr="00A130F6">
        <w:rPr>
          <w:rFonts w:ascii="Times New Roman" w:hAnsi="Times New Roman" w:cs="Times New Roman"/>
          <w:sz w:val="28"/>
          <w:szCs w:val="28"/>
        </w:rPr>
        <w:t xml:space="preserve"> ЦНСП</w:t>
      </w:r>
    </w:p>
    <w:p w14:paraId="4B9CDCB6"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p>
    <w:p w14:paraId="5BCC031D" w14:textId="77777777" w:rsidR="00FA3D23" w:rsidRPr="004A57B4"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4A57B4">
        <w:rPr>
          <w:rFonts w:ascii="Times New Roman" w:eastAsia="Times New Roman" w:hAnsi="Times New Roman" w:cs="Times New Roman"/>
          <w:sz w:val="28"/>
          <w:szCs w:val="28"/>
          <w:lang w:eastAsia="uk-UA"/>
        </w:rPr>
        <w:t>Таким чином, перспективи вдосконалення системи соціального обслуговування Рубіжанського центру охоплюють комплекс інноваційних, організаційних та партнерських підходів, які здатні забезпечити стійкий розвиток установи, підвищити якість соціальних послуг і зміцнити соціальну інтеграцію ВПО та інших вразливих груп населення у приймаючій громаді.</w:t>
      </w:r>
    </w:p>
    <w:p w14:paraId="3CA056F0" w14:textId="77777777" w:rsidR="00FA3D23" w:rsidRDefault="00FA3D23" w:rsidP="00FA3D23">
      <w:pPr>
        <w:spacing w:after="0" w:line="360" w:lineRule="auto"/>
        <w:jc w:val="both"/>
        <w:rPr>
          <w:rFonts w:ascii="Times New Roman" w:hAnsi="Times New Roman" w:cs="Times New Roman"/>
          <w:sz w:val="28"/>
          <w:szCs w:val="28"/>
        </w:rPr>
      </w:pPr>
    </w:p>
    <w:p w14:paraId="6E340223" w14:textId="77777777" w:rsidR="00FA3D23" w:rsidRPr="00A130F6" w:rsidRDefault="00FA3D23" w:rsidP="00FA3D23">
      <w:pPr>
        <w:spacing w:after="0" w:line="360" w:lineRule="auto"/>
        <w:jc w:val="both"/>
        <w:rPr>
          <w:rFonts w:ascii="Times New Roman" w:hAnsi="Times New Roman" w:cs="Times New Roman"/>
          <w:sz w:val="28"/>
          <w:szCs w:val="28"/>
        </w:rPr>
      </w:pPr>
      <w:r w:rsidRPr="00A130F6">
        <w:rPr>
          <w:rFonts w:ascii="Times New Roman" w:hAnsi="Times New Roman" w:cs="Times New Roman"/>
          <w:sz w:val="28"/>
          <w:szCs w:val="28"/>
        </w:rPr>
        <w:br w:type="page"/>
      </w:r>
    </w:p>
    <w:p w14:paraId="5C42E775" w14:textId="77777777" w:rsidR="00FA3D23" w:rsidRPr="00753702"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E2108D">
        <w:rPr>
          <w:rFonts w:ascii="Times New Roman" w:hAnsi="Times New Roman" w:cs="Times New Roman"/>
          <w:sz w:val="28"/>
          <w:szCs w:val="28"/>
        </w:rPr>
        <w:lastRenderedPageBreak/>
        <w:t>Отже,</w:t>
      </w:r>
      <w:r>
        <w:rPr>
          <w:rFonts w:ascii="Times New Roman" w:hAnsi="Times New Roman" w:cs="Times New Roman"/>
          <w:b/>
          <w:bCs/>
          <w:sz w:val="28"/>
          <w:szCs w:val="28"/>
        </w:rPr>
        <w:t xml:space="preserve"> </w:t>
      </w:r>
      <w:r w:rsidRPr="00753702">
        <w:rPr>
          <w:rFonts w:ascii="Times New Roman" w:eastAsia="Times New Roman" w:hAnsi="Times New Roman" w:cs="Times New Roman"/>
          <w:sz w:val="28"/>
          <w:szCs w:val="28"/>
          <w:lang w:eastAsia="uk-UA"/>
        </w:rPr>
        <w:t>здійснено комплексне дослідження впливу інноваційних підходів на якість соціальних послуг та визначено особливості функціонування Рубіжанського центру надання соціальних послуг як релокованої установи. Аналіз показав, що впроваджені інновації суттєво підвищили ефективність роботи центру, забезпечивши гнучкість, доступність та адаптивність у складних умовах воєнного часу.</w:t>
      </w:r>
    </w:p>
    <w:p w14:paraId="0DB65F54" w14:textId="77777777" w:rsidR="00FA3D23" w:rsidRPr="00753702"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По-перше, інтеграція цифрових технологій (Google Workspace, CRM, електронний архів, онлайн-реєстрація) забезпечила значне прискорення обробки звернень, підвищення прозорості діяльності та можливість формування статистики й аналітики для управлінських рішень. Використання диджитал-інструментів відповідає сучасним тенденціям реформування соціальної сфери та сприяє підвищенню клієнтоорієнтованості послуг.</w:t>
      </w:r>
    </w:p>
    <w:p w14:paraId="2873DB9B" w14:textId="77777777" w:rsidR="00FA3D23" w:rsidRPr="00753702"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По-друге, інноваційні формати роботи, такі як дистанційні консультації, мобільний супровід через месенджери та діяльність віддаленого соціального працівника, істотно розширили охоплення отримувачів, особливо внутрішньо переміщених осіб. Це забезпечило оперативність реагування та забезпечило безперервність соціальної підтримки, що є критично важливим у кризових умовах.</w:t>
      </w:r>
    </w:p>
    <w:p w14:paraId="7FBC84B9" w14:textId="77777777" w:rsidR="00FA3D23" w:rsidRPr="00753702"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По-третє, партнерські механізми взаємодії з громадськими, благодійними та міжнародними організаціями стали ключовим елементом у формуванні ефективної системи перенаправлення отримувачів. Вони забезпечили доступ до психологічної, юридичної, медичної та гуманітарної допомоги, що відповідає принципам інтегрованої моделі соціальних послуг.</w:t>
      </w:r>
    </w:p>
    <w:p w14:paraId="7E3CAEFB" w14:textId="77777777" w:rsidR="00FA3D23" w:rsidRPr="00753702"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 xml:space="preserve">По-четверте, інноваційні підходи до управління персоналом </w:t>
      </w:r>
      <w:r>
        <w:rPr>
          <w:rFonts w:ascii="Times New Roman" w:eastAsia="Times New Roman" w:hAnsi="Times New Roman" w:cs="Times New Roman"/>
          <w:sz w:val="28"/>
          <w:szCs w:val="28"/>
          <w:lang w:eastAsia="uk-UA"/>
        </w:rPr>
        <w:t>–</w:t>
      </w:r>
      <w:r w:rsidRPr="00753702">
        <w:rPr>
          <w:rFonts w:ascii="Times New Roman" w:eastAsia="Times New Roman" w:hAnsi="Times New Roman" w:cs="Times New Roman"/>
          <w:sz w:val="28"/>
          <w:szCs w:val="28"/>
          <w:lang w:eastAsia="uk-UA"/>
        </w:rPr>
        <w:t xml:space="preserve"> онлайн-наради, дистанційне навчання та супервізія </w:t>
      </w:r>
      <w:r>
        <w:rPr>
          <w:rFonts w:ascii="Times New Roman" w:eastAsia="Times New Roman" w:hAnsi="Times New Roman" w:cs="Times New Roman"/>
          <w:sz w:val="28"/>
          <w:szCs w:val="28"/>
          <w:lang w:eastAsia="uk-UA"/>
        </w:rPr>
        <w:t>–</w:t>
      </w:r>
      <w:r w:rsidRPr="00753702">
        <w:rPr>
          <w:rFonts w:ascii="Times New Roman" w:eastAsia="Times New Roman" w:hAnsi="Times New Roman" w:cs="Times New Roman"/>
          <w:sz w:val="28"/>
          <w:szCs w:val="28"/>
          <w:lang w:eastAsia="uk-UA"/>
        </w:rPr>
        <w:t xml:space="preserve"> сприяли стабілізації кадрового складу та підвищенню професійної компетентності працівників у період після релокації.</w:t>
      </w:r>
    </w:p>
    <w:p w14:paraId="7911C419" w14:textId="77777777" w:rsidR="00FA3D23" w:rsidRPr="00753702"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Особливою уваги заслуговує взаємодія з приймаючою громадою м</w:t>
      </w:r>
      <w:r>
        <w:rPr>
          <w:rFonts w:ascii="Times New Roman" w:eastAsia="Times New Roman" w:hAnsi="Times New Roman" w:cs="Times New Roman"/>
          <w:sz w:val="28"/>
          <w:szCs w:val="28"/>
          <w:lang w:eastAsia="uk-UA"/>
        </w:rPr>
        <w:t xml:space="preserve">іста </w:t>
      </w:r>
      <w:r w:rsidRPr="00753702">
        <w:rPr>
          <w:rFonts w:ascii="Times New Roman" w:eastAsia="Times New Roman" w:hAnsi="Times New Roman" w:cs="Times New Roman"/>
          <w:sz w:val="28"/>
          <w:szCs w:val="28"/>
          <w:lang w:eastAsia="uk-UA"/>
        </w:rPr>
        <w:t xml:space="preserve">Вінниці, яка створила умови для відновлення роботи центру, сприяла пошуку приміщення, реалізації гуманітарних ініціатив та інтеграції ВПО у місцевий </w:t>
      </w:r>
      <w:r w:rsidRPr="00753702">
        <w:rPr>
          <w:rFonts w:ascii="Times New Roman" w:eastAsia="Times New Roman" w:hAnsi="Times New Roman" w:cs="Times New Roman"/>
          <w:sz w:val="28"/>
          <w:szCs w:val="28"/>
          <w:lang w:eastAsia="uk-UA"/>
        </w:rPr>
        <w:lastRenderedPageBreak/>
        <w:t>соціальний простір. Це підтверджує важливість державно-громадського партнерства у забезпеченні стійкості соціальних послуг у період війни.</w:t>
      </w:r>
    </w:p>
    <w:p w14:paraId="399CE918"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 xml:space="preserve">Узагальнюючи результати дослідження, можна зробити висновок, що релокація стала не лише викликом, а й можливістю для модернізації та інноваційного розвитку Рубіжанського ЦНСП. </w:t>
      </w:r>
    </w:p>
    <w:p w14:paraId="53A71ADB" w14:textId="77777777" w:rsidR="00FA3D23"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 xml:space="preserve">Впроваджені інноваційні технології та партнерські моделі дозволили центру сформувати ефективну, гнучку та сучасну систему надання соціальних послуг, яка відповідає потребам громади та загальнонаціональним тенденціям реформування соціальної сфери. </w:t>
      </w:r>
    </w:p>
    <w:p w14:paraId="4CBE14EE" w14:textId="77777777" w:rsidR="00FA3D23" w:rsidRPr="00753702" w:rsidRDefault="00FA3D23" w:rsidP="00FA3D23">
      <w:pPr>
        <w:spacing w:after="0" w:line="360" w:lineRule="auto"/>
        <w:ind w:firstLine="709"/>
        <w:jc w:val="both"/>
        <w:rPr>
          <w:rFonts w:ascii="Times New Roman" w:eastAsia="Times New Roman" w:hAnsi="Times New Roman" w:cs="Times New Roman"/>
          <w:sz w:val="28"/>
          <w:szCs w:val="28"/>
          <w:lang w:eastAsia="uk-UA"/>
        </w:rPr>
      </w:pPr>
      <w:r w:rsidRPr="00753702">
        <w:rPr>
          <w:rFonts w:ascii="Times New Roman" w:eastAsia="Times New Roman" w:hAnsi="Times New Roman" w:cs="Times New Roman"/>
          <w:sz w:val="28"/>
          <w:szCs w:val="28"/>
          <w:lang w:eastAsia="uk-UA"/>
        </w:rPr>
        <w:t>Результати роботи центру підтверджують, що інноваційні підходи є ключовим інструментом забезпечення якості соціальних послуг у кризових і післякризових ситуаціях.</w:t>
      </w:r>
    </w:p>
    <w:p w14:paraId="508FED22"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Укладено методичні рекомендації з урахуванням особливостей соціальної акомодації переселенців. Основні методи рекомендованої роботи з вимушеними переселенцями включають: ігрові методики, які сприяють розкриттю творчого потенціалу учасників, психоосвітні підходи, що забезпечують усвідомлення власних емоцій і поведінки, техніки арт-терапії, які допомагають знижувати психологічне напруження, методи групової взаємодії, спрямовані на залучення до активної участі в групових процесах. </w:t>
      </w:r>
    </w:p>
    <w:p w14:paraId="74563C3E" w14:textId="77777777" w:rsidR="00F61F5B"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До очікуваних результатів корекційного втручання можна віднести: покращення емоційного стану вимушених переселенців, розвиток ефективних комунікативних навичок, підвищення рівня впевненості у собі та самоповаги, формування соціальних зв’язків як між переселенцями, так і з місцевими громадами, зростання рівня адаптації до нового середовища. </w:t>
      </w:r>
    </w:p>
    <w:p w14:paraId="2CB028B6" w14:textId="3C8924D1" w:rsidR="00D44897" w:rsidRPr="008A79F7" w:rsidRDefault="00D44897" w:rsidP="00D44897">
      <w:pPr>
        <w:spacing w:after="0" w:line="360" w:lineRule="auto"/>
        <w:ind w:firstLine="993"/>
        <w:jc w:val="both"/>
        <w:rPr>
          <w:rFonts w:ascii="Times New Roman" w:hAnsi="Times New Roman" w:cs="Times New Roman"/>
          <w:sz w:val="28"/>
          <w:szCs w:val="28"/>
          <w:lang w:val="uk-UA"/>
        </w:rPr>
      </w:pPr>
      <w:r w:rsidRPr="008A79F7">
        <w:rPr>
          <w:rFonts w:ascii="Times New Roman" w:hAnsi="Times New Roman" w:cs="Times New Roman"/>
          <w:sz w:val="28"/>
          <w:szCs w:val="28"/>
        </w:rPr>
        <w:t xml:space="preserve">Психологам та соціальним працівникам надано методичні поради з розвитку соціальної акомодації вимушених переселенців: проводити регулярний моніторинг потреб групи та вносити корективи в соціальні програми, підтримувати сприятливу атмосферу в групах переселенців, залучати їх до обговорення актуальних питань громади та до ухвалення рішень. </w:t>
      </w:r>
    </w:p>
    <w:bookmarkEnd w:id="0"/>
    <w:p w14:paraId="1AE63A67" w14:textId="6C400C68" w:rsidR="00E75042" w:rsidRPr="00E75042" w:rsidRDefault="00E75042" w:rsidP="003E5B6B">
      <w:pPr>
        <w:pStyle w:val="a8"/>
        <w:spacing w:after="0" w:line="360" w:lineRule="auto"/>
        <w:ind w:left="798"/>
        <w:jc w:val="both"/>
        <w:rPr>
          <w:rFonts w:ascii="Times New Roman" w:hAnsi="Times New Roman" w:cs="Times New Roman"/>
          <w:sz w:val="28"/>
          <w:szCs w:val="28"/>
          <w:lang w:val="uk-UA"/>
        </w:rPr>
      </w:pPr>
    </w:p>
    <w:sectPr w:rsidR="00E75042" w:rsidRPr="00E75042" w:rsidSect="00B87217">
      <w:headerReference w:type="default" r:id="rId1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8451" w14:textId="77777777" w:rsidR="002230D5" w:rsidRDefault="002230D5" w:rsidP="00202B69">
      <w:pPr>
        <w:spacing w:after="0" w:line="240" w:lineRule="auto"/>
      </w:pPr>
      <w:r>
        <w:separator/>
      </w:r>
    </w:p>
  </w:endnote>
  <w:endnote w:type="continuationSeparator" w:id="0">
    <w:p w14:paraId="33702FE9" w14:textId="77777777" w:rsidR="002230D5" w:rsidRDefault="002230D5"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00"/>
    <w:family w:val="roman"/>
    <w:pitch w:val="default"/>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E3874" w14:textId="77777777" w:rsidR="002230D5" w:rsidRDefault="002230D5" w:rsidP="00202B69">
      <w:pPr>
        <w:spacing w:after="0" w:line="240" w:lineRule="auto"/>
      </w:pPr>
      <w:r>
        <w:separator/>
      </w:r>
    </w:p>
  </w:footnote>
  <w:footnote w:type="continuationSeparator" w:id="0">
    <w:p w14:paraId="282E0988" w14:textId="77777777" w:rsidR="002230D5" w:rsidRDefault="002230D5"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09030A0"/>
    <w:multiLevelType w:val="multilevel"/>
    <w:tmpl w:val="644E5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E7E27"/>
    <w:multiLevelType w:val="multilevel"/>
    <w:tmpl w:val="02A6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3043F"/>
    <w:multiLevelType w:val="multilevel"/>
    <w:tmpl w:val="0813043F"/>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E67A45"/>
    <w:multiLevelType w:val="multilevel"/>
    <w:tmpl w:val="05A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74C3A"/>
    <w:multiLevelType w:val="multilevel"/>
    <w:tmpl w:val="0DB74C3A"/>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103E3FBB"/>
    <w:multiLevelType w:val="multilevel"/>
    <w:tmpl w:val="103E3FB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15796FF9"/>
    <w:multiLevelType w:val="multilevel"/>
    <w:tmpl w:val="15796FF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17873F0B"/>
    <w:multiLevelType w:val="multilevel"/>
    <w:tmpl w:val="9544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8025F"/>
    <w:multiLevelType w:val="multilevel"/>
    <w:tmpl w:val="1CA8025F"/>
    <w:lvl w:ilvl="0">
      <w:start w:val="1"/>
      <w:numFmt w:val="decimal"/>
      <w:lvlText w:val="%1."/>
      <w:lvlJc w:val="left"/>
      <w:pPr>
        <w:ind w:left="720" w:hanging="360"/>
      </w:pPr>
      <w:rPr>
        <w:color w:val="auto"/>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EA7507"/>
    <w:multiLevelType w:val="multilevel"/>
    <w:tmpl w:val="1CEA7507"/>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291701D2"/>
    <w:multiLevelType w:val="multilevel"/>
    <w:tmpl w:val="29170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9F42D1B"/>
    <w:multiLevelType w:val="multilevel"/>
    <w:tmpl w:val="5270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C7059F"/>
    <w:multiLevelType w:val="multilevel"/>
    <w:tmpl w:val="CA0E0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E4740C"/>
    <w:multiLevelType w:val="multilevel"/>
    <w:tmpl w:val="758C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E121F"/>
    <w:multiLevelType w:val="multilevel"/>
    <w:tmpl w:val="2E9E121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35694060"/>
    <w:multiLevelType w:val="multilevel"/>
    <w:tmpl w:val="35694060"/>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3646697B"/>
    <w:multiLevelType w:val="multilevel"/>
    <w:tmpl w:val="3646697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364D602C"/>
    <w:multiLevelType w:val="hybridMultilevel"/>
    <w:tmpl w:val="B8EE2638"/>
    <w:lvl w:ilvl="0" w:tplc="5A443A6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37CB243A"/>
    <w:multiLevelType w:val="multilevel"/>
    <w:tmpl w:val="37CB243A"/>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39604D29"/>
    <w:multiLevelType w:val="multilevel"/>
    <w:tmpl w:val="39604D2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3C9A1029"/>
    <w:multiLevelType w:val="multilevel"/>
    <w:tmpl w:val="3C9A1029"/>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41EE7827"/>
    <w:multiLevelType w:val="multilevel"/>
    <w:tmpl w:val="41EE7827"/>
    <w:lvl w:ilvl="0">
      <w:start w:val="1"/>
      <w:numFmt w:val="bullet"/>
      <w:lvlText w:val="-"/>
      <w:lvlJc w:val="left"/>
      <w:pPr>
        <w:ind w:left="754" w:hanging="360"/>
      </w:pPr>
      <w:rPr>
        <w:rFonts w:ascii="Times New Roman" w:hAnsi="Times New Roman" w:cs="Times New Roman"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24" w15:restartNumberingAfterBreak="0">
    <w:nsid w:val="458955B6"/>
    <w:multiLevelType w:val="multilevel"/>
    <w:tmpl w:val="458955B6"/>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464227C9"/>
    <w:multiLevelType w:val="multilevel"/>
    <w:tmpl w:val="0DA6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0E4ECE"/>
    <w:multiLevelType w:val="multilevel"/>
    <w:tmpl w:val="FF98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9E4876"/>
    <w:multiLevelType w:val="multilevel"/>
    <w:tmpl w:val="56F2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9E5EDC"/>
    <w:multiLevelType w:val="multilevel"/>
    <w:tmpl w:val="B6161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BF126D"/>
    <w:multiLevelType w:val="multilevel"/>
    <w:tmpl w:val="4C90A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3D33BD"/>
    <w:multiLevelType w:val="multilevel"/>
    <w:tmpl w:val="4E3D33BD"/>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E6E0E14"/>
    <w:multiLevelType w:val="multilevel"/>
    <w:tmpl w:val="4E6E0E14"/>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15:restartNumberingAfterBreak="0">
    <w:nsid w:val="4F3E4441"/>
    <w:multiLevelType w:val="multilevel"/>
    <w:tmpl w:val="5D1C7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4A1942"/>
    <w:multiLevelType w:val="multilevel"/>
    <w:tmpl w:val="4F4A1942"/>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15:restartNumberingAfterBreak="0">
    <w:nsid w:val="4FB52378"/>
    <w:multiLevelType w:val="multilevel"/>
    <w:tmpl w:val="B960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4F2211"/>
    <w:multiLevelType w:val="multilevel"/>
    <w:tmpl w:val="237C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E057E3"/>
    <w:multiLevelType w:val="multilevel"/>
    <w:tmpl w:val="D7F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792990"/>
    <w:multiLevelType w:val="multilevel"/>
    <w:tmpl w:val="52792990"/>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8" w15:restartNumberingAfterBreak="0">
    <w:nsid w:val="530479CC"/>
    <w:multiLevelType w:val="multilevel"/>
    <w:tmpl w:val="B2981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5862F53"/>
    <w:multiLevelType w:val="multilevel"/>
    <w:tmpl w:val="55862F53"/>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56DC6F32"/>
    <w:multiLevelType w:val="multilevel"/>
    <w:tmpl w:val="56DC6F32"/>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1" w15:restartNumberingAfterBreak="0">
    <w:nsid w:val="57E40B47"/>
    <w:multiLevelType w:val="multilevel"/>
    <w:tmpl w:val="CBDC5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356BED"/>
    <w:multiLevelType w:val="multilevel"/>
    <w:tmpl w:val="5A356BED"/>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5CD77C27"/>
    <w:multiLevelType w:val="multilevel"/>
    <w:tmpl w:val="5CD77C27"/>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15:restartNumberingAfterBreak="0">
    <w:nsid w:val="5E9953BB"/>
    <w:multiLevelType w:val="multilevel"/>
    <w:tmpl w:val="5E9953BB"/>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15:restartNumberingAfterBreak="0">
    <w:nsid w:val="63462FD8"/>
    <w:multiLevelType w:val="hybridMultilevel"/>
    <w:tmpl w:val="9D22C6B0"/>
    <w:lvl w:ilvl="0" w:tplc="9FB0900C">
      <w:start w:val="1"/>
      <w:numFmt w:val="decimal"/>
      <w:lvlText w:val="%1."/>
      <w:lvlJc w:val="left"/>
      <w:pPr>
        <w:ind w:left="798" w:hanging="372"/>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46" w15:restartNumberingAfterBreak="0">
    <w:nsid w:val="677E1F31"/>
    <w:multiLevelType w:val="multilevel"/>
    <w:tmpl w:val="C504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8" w15:restartNumberingAfterBreak="0">
    <w:nsid w:val="74024CD7"/>
    <w:multiLevelType w:val="multilevel"/>
    <w:tmpl w:val="4376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5C6F78"/>
    <w:multiLevelType w:val="multilevel"/>
    <w:tmpl w:val="4864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D86C05"/>
    <w:multiLevelType w:val="multilevel"/>
    <w:tmpl w:val="77D86C05"/>
    <w:lvl w:ilvl="0">
      <w:start w:val="1"/>
      <w:numFmt w:val="bullet"/>
      <w:lvlText w:val=""/>
      <w:lvlJc w:val="left"/>
      <w:pPr>
        <w:ind w:left="1429" w:hanging="36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15:restartNumberingAfterBreak="0">
    <w:nsid w:val="7B7E5BA3"/>
    <w:multiLevelType w:val="multilevel"/>
    <w:tmpl w:val="87DE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38063">
    <w:abstractNumId w:val="47"/>
  </w:num>
  <w:num w:numId="2" w16cid:durableId="1985887036">
    <w:abstractNumId w:val="1"/>
  </w:num>
  <w:num w:numId="3" w16cid:durableId="1340884756">
    <w:abstractNumId w:val="0"/>
  </w:num>
  <w:num w:numId="4" w16cid:durableId="344479077">
    <w:abstractNumId w:val="12"/>
  </w:num>
  <w:num w:numId="5" w16cid:durableId="468524013">
    <w:abstractNumId w:val="43"/>
  </w:num>
  <w:num w:numId="6" w16cid:durableId="384303705">
    <w:abstractNumId w:val="21"/>
  </w:num>
  <w:num w:numId="7" w16cid:durableId="832332455">
    <w:abstractNumId w:val="18"/>
  </w:num>
  <w:num w:numId="8" w16cid:durableId="1780368768">
    <w:abstractNumId w:val="50"/>
  </w:num>
  <w:num w:numId="9" w16cid:durableId="1999263620">
    <w:abstractNumId w:val="6"/>
  </w:num>
  <w:num w:numId="10" w16cid:durableId="856696843">
    <w:abstractNumId w:val="11"/>
  </w:num>
  <w:num w:numId="11" w16cid:durableId="30887723">
    <w:abstractNumId w:val="31"/>
  </w:num>
  <w:num w:numId="12" w16cid:durableId="2032026313">
    <w:abstractNumId w:val="17"/>
  </w:num>
  <w:num w:numId="13" w16cid:durableId="1844276962">
    <w:abstractNumId w:val="39"/>
  </w:num>
  <w:num w:numId="14" w16cid:durableId="318192441">
    <w:abstractNumId w:val="20"/>
  </w:num>
  <w:num w:numId="15" w16cid:durableId="1604190252">
    <w:abstractNumId w:val="33"/>
  </w:num>
  <w:num w:numId="16" w16cid:durableId="1043754110">
    <w:abstractNumId w:val="22"/>
  </w:num>
  <w:num w:numId="17" w16cid:durableId="2133282508">
    <w:abstractNumId w:val="30"/>
  </w:num>
  <w:num w:numId="18" w16cid:durableId="453716930">
    <w:abstractNumId w:val="4"/>
  </w:num>
  <w:num w:numId="19" w16cid:durableId="1689789926">
    <w:abstractNumId w:val="23"/>
  </w:num>
  <w:num w:numId="20" w16cid:durableId="481385260">
    <w:abstractNumId w:val="7"/>
  </w:num>
  <w:num w:numId="21" w16cid:durableId="1847357597">
    <w:abstractNumId w:val="16"/>
  </w:num>
  <w:num w:numId="22" w16cid:durableId="140587484">
    <w:abstractNumId w:val="42"/>
  </w:num>
  <w:num w:numId="23" w16cid:durableId="308242967">
    <w:abstractNumId w:val="44"/>
  </w:num>
  <w:num w:numId="24" w16cid:durableId="1263998524">
    <w:abstractNumId w:val="8"/>
  </w:num>
  <w:num w:numId="25" w16cid:durableId="554587698">
    <w:abstractNumId w:val="40"/>
  </w:num>
  <w:num w:numId="26" w16cid:durableId="309864326">
    <w:abstractNumId w:val="37"/>
  </w:num>
  <w:num w:numId="27" w16cid:durableId="53897442">
    <w:abstractNumId w:val="24"/>
  </w:num>
  <w:num w:numId="28" w16cid:durableId="1636176445">
    <w:abstractNumId w:val="10"/>
  </w:num>
  <w:num w:numId="29" w16cid:durableId="1906260379">
    <w:abstractNumId w:val="27"/>
  </w:num>
  <w:num w:numId="30" w16cid:durableId="1271816853">
    <w:abstractNumId w:val="46"/>
  </w:num>
  <w:num w:numId="31" w16cid:durableId="439571058">
    <w:abstractNumId w:val="14"/>
  </w:num>
  <w:num w:numId="32" w16cid:durableId="282425228">
    <w:abstractNumId w:val="38"/>
  </w:num>
  <w:num w:numId="33" w16cid:durableId="1329862276">
    <w:abstractNumId w:val="32"/>
  </w:num>
  <w:num w:numId="34" w16cid:durableId="1864245581">
    <w:abstractNumId w:val="29"/>
  </w:num>
  <w:num w:numId="35" w16cid:durableId="778917037">
    <w:abstractNumId w:val="36"/>
  </w:num>
  <w:num w:numId="36" w16cid:durableId="1980765880">
    <w:abstractNumId w:val="48"/>
  </w:num>
  <w:num w:numId="37" w16cid:durableId="1653099146">
    <w:abstractNumId w:val="35"/>
  </w:num>
  <w:num w:numId="38" w16cid:durableId="995305371">
    <w:abstractNumId w:val="34"/>
  </w:num>
  <w:num w:numId="39" w16cid:durableId="1211840124">
    <w:abstractNumId w:val="28"/>
  </w:num>
  <w:num w:numId="40" w16cid:durableId="42409968">
    <w:abstractNumId w:val="2"/>
  </w:num>
  <w:num w:numId="41" w16cid:durableId="631177366">
    <w:abstractNumId w:val="49"/>
  </w:num>
  <w:num w:numId="42" w16cid:durableId="1038317579">
    <w:abstractNumId w:val="13"/>
  </w:num>
  <w:num w:numId="43" w16cid:durableId="490174406">
    <w:abstractNumId w:val="5"/>
  </w:num>
  <w:num w:numId="44" w16cid:durableId="1361130690">
    <w:abstractNumId w:val="15"/>
  </w:num>
  <w:num w:numId="45" w16cid:durableId="1330792551">
    <w:abstractNumId w:val="3"/>
  </w:num>
  <w:num w:numId="46" w16cid:durableId="1198085924">
    <w:abstractNumId w:val="41"/>
  </w:num>
  <w:num w:numId="47" w16cid:durableId="181941091">
    <w:abstractNumId w:val="25"/>
  </w:num>
  <w:num w:numId="48" w16cid:durableId="744302276">
    <w:abstractNumId w:val="9"/>
  </w:num>
  <w:num w:numId="49" w16cid:durableId="53159678">
    <w:abstractNumId w:val="26"/>
  </w:num>
  <w:num w:numId="50" w16cid:durableId="829911086">
    <w:abstractNumId w:val="51"/>
  </w:num>
  <w:num w:numId="51" w16cid:durableId="1340039338">
    <w:abstractNumId w:val="19"/>
  </w:num>
  <w:num w:numId="52" w16cid:durableId="1353727495">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10599"/>
    <w:rsid w:val="000114D2"/>
    <w:rsid w:val="00011CB6"/>
    <w:rsid w:val="00011DCD"/>
    <w:rsid w:val="00012447"/>
    <w:rsid w:val="000156E2"/>
    <w:rsid w:val="00016E1C"/>
    <w:rsid w:val="000201A9"/>
    <w:rsid w:val="0002026B"/>
    <w:rsid w:val="00022C65"/>
    <w:rsid w:val="00023B2A"/>
    <w:rsid w:val="00023CAB"/>
    <w:rsid w:val="00024D95"/>
    <w:rsid w:val="0002500E"/>
    <w:rsid w:val="000255F2"/>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3A30"/>
    <w:rsid w:val="00074ED9"/>
    <w:rsid w:val="000762A4"/>
    <w:rsid w:val="00076599"/>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1C"/>
    <w:rsid w:val="000A56DF"/>
    <w:rsid w:val="000A6A1E"/>
    <w:rsid w:val="000A6E59"/>
    <w:rsid w:val="000A7C55"/>
    <w:rsid w:val="000B220B"/>
    <w:rsid w:val="000B2504"/>
    <w:rsid w:val="000B2A35"/>
    <w:rsid w:val="000B35D3"/>
    <w:rsid w:val="000B36C9"/>
    <w:rsid w:val="000B3955"/>
    <w:rsid w:val="000B3DCA"/>
    <w:rsid w:val="000B419F"/>
    <w:rsid w:val="000B4223"/>
    <w:rsid w:val="000B5907"/>
    <w:rsid w:val="000B5A89"/>
    <w:rsid w:val="000C0DE0"/>
    <w:rsid w:val="000C1249"/>
    <w:rsid w:val="000C213D"/>
    <w:rsid w:val="000C31BF"/>
    <w:rsid w:val="000C405E"/>
    <w:rsid w:val="000D03E9"/>
    <w:rsid w:val="000D22DB"/>
    <w:rsid w:val="000D293B"/>
    <w:rsid w:val="000D35F4"/>
    <w:rsid w:val="000D585E"/>
    <w:rsid w:val="000D5E74"/>
    <w:rsid w:val="000D6F31"/>
    <w:rsid w:val="000D70D5"/>
    <w:rsid w:val="000E1603"/>
    <w:rsid w:val="000E16C1"/>
    <w:rsid w:val="000E18B2"/>
    <w:rsid w:val="000E2E56"/>
    <w:rsid w:val="000E338F"/>
    <w:rsid w:val="000E4178"/>
    <w:rsid w:val="000E55E6"/>
    <w:rsid w:val="000E6BF9"/>
    <w:rsid w:val="000F0C5B"/>
    <w:rsid w:val="000F1701"/>
    <w:rsid w:val="000F4229"/>
    <w:rsid w:val="00100913"/>
    <w:rsid w:val="00101606"/>
    <w:rsid w:val="00101A59"/>
    <w:rsid w:val="001032DE"/>
    <w:rsid w:val="001057C0"/>
    <w:rsid w:val="00105AA0"/>
    <w:rsid w:val="00105BD0"/>
    <w:rsid w:val="00105C99"/>
    <w:rsid w:val="001060A1"/>
    <w:rsid w:val="00106CFC"/>
    <w:rsid w:val="001114DC"/>
    <w:rsid w:val="00115189"/>
    <w:rsid w:val="00115700"/>
    <w:rsid w:val="00115B4B"/>
    <w:rsid w:val="00115C62"/>
    <w:rsid w:val="0011696C"/>
    <w:rsid w:val="001209BB"/>
    <w:rsid w:val="0012309F"/>
    <w:rsid w:val="0012497F"/>
    <w:rsid w:val="00126788"/>
    <w:rsid w:val="00126E40"/>
    <w:rsid w:val="0012759A"/>
    <w:rsid w:val="001318A9"/>
    <w:rsid w:val="00132A15"/>
    <w:rsid w:val="00132D08"/>
    <w:rsid w:val="00134566"/>
    <w:rsid w:val="0013471B"/>
    <w:rsid w:val="001351B3"/>
    <w:rsid w:val="001413AF"/>
    <w:rsid w:val="0014163E"/>
    <w:rsid w:val="0014456F"/>
    <w:rsid w:val="00145729"/>
    <w:rsid w:val="0014572C"/>
    <w:rsid w:val="00145932"/>
    <w:rsid w:val="00146748"/>
    <w:rsid w:val="00147AD1"/>
    <w:rsid w:val="001509AE"/>
    <w:rsid w:val="00152642"/>
    <w:rsid w:val="00152C44"/>
    <w:rsid w:val="0015303B"/>
    <w:rsid w:val="001538E1"/>
    <w:rsid w:val="00153CAB"/>
    <w:rsid w:val="00154207"/>
    <w:rsid w:val="001547CA"/>
    <w:rsid w:val="001554D4"/>
    <w:rsid w:val="001568B8"/>
    <w:rsid w:val="0016108C"/>
    <w:rsid w:val="00161E4B"/>
    <w:rsid w:val="001627CE"/>
    <w:rsid w:val="00163A98"/>
    <w:rsid w:val="00163BD7"/>
    <w:rsid w:val="001656EC"/>
    <w:rsid w:val="0016619D"/>
    <w:rsid w:val="00170546"/>
    <w:rsid w:val="00172492"/>
    <w:rsid w:val="001769C4"/>
    <w:rsid w:val="00177390"/>
    <w:rsid w:val="00177A20"/>
    <w:rsid w:val="0018175B"/>
    <w:rsid w:val="00183F46"/>
    <w:rsid w:val="001900A5"/>
    <w:rsid w:val="00190BE6"/>
    <w:rsid w:val="00191868"/>
    <w:rsid w:val="00193AC1"/>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1C6C"/>
    <w:rsid w:val="001C5DA0"/>
    <w:rsid w:val="001C6B8E"/>
    <w:rsid w:val="001C7BE8"/>
    <w:rsid w:val="001D10D2"/>
    <w:rsid w:val="001D12DB"/>
    <w:rsid w:val="001D252D"/>
    <w:rsid w:val="001D4122"/>
    <w:rsid w:val="001D4613"/>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391F"/>
    <w:rsid w:val="002049E7"/>
    <w:rsid w:val="00204CCE"/>
    <w:rsid w:val="00207B57"/>
    <w:rsid w:val="002105CA"/>
    <w:rsid w:val="002111E6"/>
    <w:rsid w:val="00211B3B"/>
    <w:rsid w:val="002124CD"/>
    <w:rsid w:val="002150AC"/>
    <w:rsid w:val="00215D3D"/>
    <w:rsid w:val="002178CA"/>
    <w:rsid w:val="002230D5"/>
    <w:rsid w:val="00223F6B"/>
    <w:rsid w:val="002242B2"/>
    <w:rsid w:val="0022545C"/>
    <w:rsid w:val="00226813"/>
    <w:rsid w:val="002327D1"/>
    <w:rsid w:val="00234707"/>
    <w:rsid w:val="00235DBF"/>
    <w:rsid w:val="0023663B"/>
    <w:rsid w:val="00237784"/>
    <w:rsid w:val="00237AE1"/>
    <w:rsid w:val="00240285"/>
    <w:rsid w:val="00240A19"/>
    <w:rsid w:val="00240AD8"/>
    <w:rsid w:val="002414E6"/>
    <w:rsid w:val="00243693"/>
    <w:rsid w:val="00247A98"/>
    <w:rsid w:val="0025018D"/>
    <w:rsid w:val="002506E7"/>
    <w:rsid w:val="00252833"/>
    <w:rsid w:val="00252C74"/>
    <w:rsid w:val="00253CE4"/>
    <w:rsid w:val="00255959"/>
    <w:rsid w:val="002566C6"/>
    <w:rsid w:val="002575D4"/>
    <w:rsid w:val="00257F7F"/>
    <w:rsid w:val="00260557"/>
    <w:rsid w:val="0026093F"/>
    <w:rsid w:val="002612A3"/>
    <w:rsid w:val="00262339"/>
    <w:rsid w:val="002639F5"/>
    <w:rsid w:val="002660D8"/>
    <w:rsid w:val="00267F86"/>
    <w:rsid w:val="00271EE6"/>
    <w:rsid w:val="00273492"/>
    <w:rsid w:val="00273ED0"/>
    <w:rsid w:val="00275E36"/>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487A"/>
    <w:rsid w:val="002A4CF6"/>
    <w:rsid w:val="002A567E"/>
    <w:rsid w:val="002A57CC"/>
    <w:rsid w:val="002A5BC8"/>
    <w:rsid w:val="002A6601"/>
    <w:rsid w:val="002A73C6"/>
    <w:rsid w:val="002A7EEE"/>
    <w:rsid w:val="002B3FC2"/>
    <w:rsid w:val="002B44F8"/>
    <w:rsid w:val="002B4F4E"/>
    <w:rsid w:val="002B54B9"/>
    <w:rsid w:val="002B57FF"/>
    <w:rsid w:val="002B5BCF"/>
    <w:rsid w:val="002B77E6"/>
    <w:rsid w:val="002C363C"/>
    <w:rsid w:val="002C44E4"/>
    <w:rsid w:val="002C53A1"/>
    <w:rsid w:val="002C682E"/>
    <w:rsid w:val="002D08B3"/>
    <w:rsid w:val="002D0F85"/>
    <w:rsid w:val="002D130E"/>
    <w:rsid w:val="002D2825"/>
    <w:rsid w:val="002D4B10"/>
    <w:rsid w:val="002D528B"/>
    <w:rsid w:val="002D7871"/>
    <w:rsid w:val="002E05E2"/>
    <w:rsid w:val="002E14E9"/>
    <w:rsid w:val="002E1B1E"/>
    <w:rsid w:val="002E2801"/>
    <w:rsid w:val="002E3246"/>
    <w:rsid w:val="002E443C"/>
    <w:rsid w:val="002E5EB4"/>
    <w:rsid w:val="002E6F90"/>
    <w:rsid w:val="002E6FFB"/>
    <w:rsid w:val="002E7847"/>
    <w:rsid w:val="002F3546"/>
    <w:rsid w:val="002F46DA"/>
    <w:rsid w:val="002F76AA"/>
    <w:rsid w:val="003020DE"/>
    <w:rsid w:val="00302EA7"/>
    <w:rsid w:val="003030FA"/>
    <w:rsid w:val="003058C6"/>
    <w:rsid w:val="00305F5A"/>
    <w:rsid w:val="003064F7"/>
    <w:rsid w:val="00310155"/>
    <w:rsid w:val="00310C4F"/>
    <w:rsid w:val="00310F1E"/>
    <w:rsid w:val="0031170C"/>
    <w:rsid w:val="00313923"/>
    <w:rsid w:val="00315001"/>
    <w:rsid w:val="003168C3"/>
    <w:rsid w:val="00316CA5"/>
    <w:rsid w:val="00317A10"/>
    <w:rsid w:val="00320941"/>
    <w:rsid w:val="00325848"/>
    <w:rsid w:val="00326C77"/>
    <w:rsid w:val="00331BD8"/>
    <w:rsid w:val="00332A0E"/>
    <w:rsid w:val="00334BAD"/>
    <w:rsid w:val="00334E39"/>
    <w:rsid w:val="003354FB"/>
    <w:rsid w:val="00335F4A"/>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B82"/>
    <w:rsid w:val="00356BBB"/>
    <w:rsid w:val="00361AA5"/>
    <w:rsid w:val="003626A7"/>
    <w:rsid w:val="00362719"/>
    <w:rsid w:val="00365134"/>
    <w:rsid w:val="00366393"/>
    <w:rsid w:val="003672D7"/>
    <w:rsid w:val="0037398F"/>
    <w:rsid w:val="00375417"/>
    <w:rsid w:val="00376CEE"/>
    <w:rsid w:val="003806F9"/>
    <w:rsid w:val="00382FD5"/>
    <w:rsid w:val="00384185"/>
    <w:rsid w:val="0038688B"/>
    <w:rsid w:val="00386B44"/>
    <w:rsid w:val="0039090E"/>
    <w:rsid w:val="003956A4"/>
    <w:rsid w:val="003A091B"/>
    <w:rsid w:val="003A2054"/>
    <w:rsid w:val="003A211F"/>
    <w:rsid w:val="003A331A"/>
    <w:rsid w:val="003A3898"/>
    <w:rsid w:val="003A3E2F"/>
    <w:rsid w:val="003A3EC5"/>
    <w:rsid w:val="003A480D"/>
    <w:rsid w:val="003A534D"/>
    <w:rsid w:val="003A5355"/>
    <w:rsid w:val="003A6981"/>
    <w:rsid w:val="003B181D"/>
    <w:rsid w:val="003B1D29"/>
    <w:rsid w:val="003B486C"/>
    <w:rsid w:val="003B5F4C"/>
    <w:rsid w:val="003B60C3"/>
    <w:rsid w:val="003B6B2A"/>
    <w:rsid w:val="003C2E5B"/>
    <w:rsid w:val="003C38F2"/>
    <w:rsid w:val="003C50B5"/>
    <w:rsid w:val="003D0BE0"/>
    <w:rsid w:val="003D31B4"/>
    <w:rsid w:val="003D3FEC"/>
    <w:rsid w:val="003D4583"/>
    <w:rsid w:val="003D5661"/>
    <w:rsid w:val="003D7985"/>
    <w:rsid w:val="003E1F7D"/>
    <w:rsid w:val="003E2CAF"/>
    <w:rsid w:val="003E5071"/>
    <w:rsid w:val="003E5B6B"/>
    <w:rsid w:val="003E6264"/>
    <w:rsid w:val="003E65B5"/>
    <w:rsid w:val="003F0459"/>
    <w:rsid w:val="003F09C7"/>
    <w:rsid w:val="003F1FAC"/>
    <w:rsid w:val="003F37BA"/>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981"/>
    <w:rsid w:val="00441F16"/>
    <w:rsid w:val="004421FB"/>
    <w:rsid w:val="00442829"/>
    <w:rsid w:val="00442A70"/>
    <w:rsid w:val="00443051"/>
    <w:rsid w:val="00443815"/>
    <w:rsid w:val="00443DE2"/>
    <w:rsid w:val="00444157"/>
    <w:rsid w:val="00444FB0"/>
    <w:rsid w:val="004470A9"/>
    <w:rsid w:val="00450BEB"/>
    <w:rsid w:val="00450F56"/>
    <w:rsid w:val="00451810"/>
    <w:rsid w:val="00452333"/>
    <w:rsid w:val="00453030"/>
    <w:rsid w:val="00453681"/>
    <w:rsid w:val="0045384C"/>
    <w:rsid w:val="0045418B"/>
    <w:rsid w:val="00455E94"/>
    <w:rsid w:val="004560F5"/>
    <w:rsid w:val="004561B8"/>
    <w:rsid w:val="0046427C"/>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517E"/>
    <w:rsid w:val="00486231"/>
    <w:rsid w:val="0049041C"/>
    <w:rsid w:val="0049044B"/>
    <w:rsid w:val="00493654"/>
    <w:rsid w:val="004940F8"/>
    <w:rsid w:val="00496DDB"/>
    <w:rsid w:val="004972A7"/>
    <w:rsid w:val="00497CF9"/>
    <w:rsid w:val="00497FDE"/>
    <w:rsid w:val="004A032C"/>
    <w:rsid w:val="004A0516"/>
    <w:rsid w:val="004A3AB8"/>
    <w:rsid w:val="004A3B91"/>
    <w:rsid w:val="004A5796"/>
    <w:rsid w:val="004A5AFB"/>
    <w:rsid w:val="004A5C71"/>
    <w:rsid w:val="004A5D55"/>
    <w:rsid w:val="004A6486"/>
    <w:rsid w:val="004B04AF"/>
    <w:rsid w:val="004B05B9"/>
    <w:rsid w:val="004B22D8"/>
    <w:rsid w:val="004B2F05"/>
    <w:rsid w:val="004B5CFE"/>
    <w:rsid w:val="004C2D83"/>
    <w:rsid w:val="004C2E22"/>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E7D52"/>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333"/>
    <w:rsid w:val="00546981"/>
    <w:rsid w:val="00547517"/>
    <w:rsid w:val="00547CE7"/>
    <w:rsid w:val="00547FA9"/>
    <w:rsid w:val="00547FB2"/>
    <w:rsid w:val="0055008B"/>
    <w:rsid w:val="0055015C"/>
    <w:rsid w:val="00550AB1"/>
    <w:rsid w:val="005516C1"/>
    <w:rsid w:val="00552C1F"/>
    <w:rsid w:val="005576FB"/>
    <w:rsid w:val="005622B1"/>
    <w:rsid w:val="0056300F"/>
    <w:rsid w:val="00564562"/>
    <w:rsid w:val="005660BD"/>
    <w:rsid w:val="00567250"/>
    <w:rsid w:val="00567652"/>
    <w:rsid w:val="00570960"/>
    <w:rsid w:val="00571AD9"/>
    <w:rsid w:val="00572522"/>
    <w:rsid w:val="0057307E"/>
    <w:rsid w:val="005738AB"/>
    <w:rsid w:val="00574813"/>
    <w:rsid w:val="00574B24"/>
    <w:rsid w:val="00575151"/>
    <w:rsid w:val="00576054"/>
    <w:rsid w:val="005801FB"/>
    <w:rsid w:val="005806E9"/>
    <w:rsid w:val="00580E13"/>
    <w:rsid w:val="0058101C"/>
    <w:rsid w:val="005812B6"/>
    <w:rsid w:val="00583631"/>
    <w:rsid w:val="00584B77"/>
    <w:rsid w:val="005930E1"/>
    <w:rsid w:val="005937FC"/>
    <w:rsid w:val="00595642"/>
    <w:rsid w:val="00595A87"/>
    <w:rsid w:val="00597F94"/>
    <w:rsid w:val="005A04BF"/>
    <w:rsid w:val="005A0A78"/>
    <w:rsid w:val="005A4756"/>
    <w:rsid w:val="005A5BE5"/>
    <w:rsid w:val="005A626A"/>
    <w:rsid w:val="005B0D3B"/>
    <w:rsid w:val="005B479A"/>
    <w:rsid w:val="005B526F"/>
    <w:rsid w:val="005B5891"/>
    <w:rsid w:val="005C1DCE"/>
    <w:rsid w:val="005C25A7"/>
    <w:rsid w:val="005C46FC"/>
    <w:rsid w:val="005C4F9D"/>
    <w:rsid w:val="005C55C5"/>
    <w:rsid w:val="005C5CE9"/>
    <w:rsid w:val="005C7D8D"/>
    <w:rsid w:val="005C7F76"/>
    <w:rsid w:val="005D1BEC"/>
    <w:rsid w:val="005D1F6C"/>
    <w:rsid w:val="005D3130"/>
    <w:rsid w:val="005D31E4"/>
    <w:rsid w:val="005D510F"/>
    <w:rsid w:val="005D7205"/>
    <w:rsid w:val="005D7B2A"/>
    <w:rsid w:val="005D7F10"/>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BB6"/>
    <w:rsid w:val="00601C0A"/>
    <w:rsid w:val="0060359D"/>
    <w:rsid w:val="00603D51"/>
    <w:rsid w:val="006042E5"/>
    <w:rsid w:val="00604802"/>
    <w:rsid w:val="00604B4E"/>
    <w:rsid w:val="00605082"/>
    <w:rsid w:val="006058DD"/>
    <w:rsid w:val="0060722F"/>
    <w:rsid w:val="00611002"/>
    <w:rsid w:val="00611016"/>
    <w:rsid w:val="00613086"/>
    <w:rsid w:val="00617617"/>
    <w:rsid w:val="00621E37"/>
    <w:rsid w:val="0062343A"/>
    <w:rsid w:val="00626606"/>
    <w:rsid w:val="006315B0"/>
    <w:rsid w:val="00631B5A"/>
    <w:rsid w:val="0063202E"/>
    <w:rsid w:val="006333E9"/>
    <w:rsid w:val="00635C83"/>
    <w:rsid w:val="00637B0F"/>
    <w:rsid w:val="006409D9"/>
    <w:rsid w:val="00641626"/>
    <w:rsid w:val="006416E0"/>
    <w:rsid w:val="00641B76"/>
    <w:rsid w:val="006421AE"/>
    <w:rsid w:val="00644975"/>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623B8"/>
    <w:rsid w:val="006673B9"/>
    <w:rsid w:val="006722A8"/>
    <w:rsid w:val="00672B73"/>
    <w:rsid w:val="00674A86"/>
    <w:rsid w:val="006752D8"/>
    <w:rsid w:val="006761D6"/>
    <w:rsid w:val="006763BC"/>
    <w:rsid w:val="00676519"/>
    <w:rsid w:val="00676607"/>
    <w:rsid w:val="00676712"/>
    <w:rsid w:val="00676AF1"/>
    <w:rsid w:val="0067703D"/>
    <w:rsid w:val="00677B29"/>
    <w:rsid w:val="00681DEA"/>
    <w:rsid w:val="00681E04"/>
    <w:rsid w:val="00682ECF"/>
    <w:rsid w:val="00683562"/>
    <w:rsid w:val="00683D4B"/>
    <w:rsid w:val="00684A90"/>
    <w:rsid w:val="00684F1B"/>
    <w:rsid w:val="006932F9"/>
    <w:rsid w:val="0069400A"/>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5E8E"/>
    <w:rsid w:val="006C721D"/>
    <w:rsid w:val="006C7D95"/>
    <w:rsid w:val="006D00B7"/>
    <w:rsid w:val="006D0A38"/>
    <w:rsid w:val="006D0AF5"/>
    <w:rsid w:val="006D14F2"/>
    <w:rsid w:val="006D389C"/>
    <w:rsid w:val="006D3A6C"/>
    <w:rsid w:val="006D3E4F"/>
    <w:rsid w:val="006D4BFC"/>
    <w:rsid w:val="006D4C39"/>
    <w:rsid w:val="006D58CE"/>
    <w:rsid w:val="006D614B"/>
    <w:rsid w:val="006D6700"/>
    <w:rsid w:val="006D7E9F"/>
    <w:rsid w:val="006E0D11"/>
    <w:rsid w:val="006E2980"/>
    <w:rsid w:val="006E2F59"/>
    <w:rsid w:val="006E2F7B"/>
    <w:rsid w:val="006E30EE"/>
    <w:rsid w:val="006E3318"/>
    <w:rsid w:val="006E379B"/>
    <w:rsid w:val="006E475B"/>
    <w:rsid w:val="006E5C85"/>
    <w:rsid w:val="006E6C4D"/>
    <w:rsid w:val="006E6D62"/>
    <w:rsid w:val="006E6DB3"/>
    <w:rsid w:val="006E726A"/>
    <w:rsid w:val="006E761E"/>
    <w:rsid w:val="006E76D5"/>
    <w:rsid w:val="006F041C"/>
    <w:rsid w:val="006F1D86"/>
    <w:rsid w:val="006F2A75"/>
    <w:rsid w:val="006F33DA"/>
    <w:rsid w:val="006F3AF3"/>
    <w:rsid w:val="006F4268"/>
    <w:rsid w:val="006F4936"/>
    <w:rsid w:val="006F5099"/>
    <w:rsid w:val="006F6B17"/>
    <w:rsid w:val="007030D4"/>
    <w:rsid w:val="00705995"/>
    <w:rsid w:val="00706E7E"/>
    <w:rsid w:val="007103F0"/>
    <w:rsid w:val="00713D6E"/>
    <w:rsid w:val="0071569E"/>
    <w:rsid w:val="00716032"/>
    <w:rsid w:val="00716780"/>
    <w:rsid w:val="0071775C"/>
    <w:rsid w:val="00717993"/>
    <w:rsid w:val="00717DE5"/>
    <w:rsid w:val="00721995"/>
    <w:rsid w:val="00723311"/>
    <w:rsid w:val="007235BC"/>
    <w:rsid w:val="00725C65"/>
    <w:rsid w:val="00726051"/>
    <w:rsid w:val="00730A8F"/>
    <w:rsid w:val="00730F04"/>
    <w:rsid w:val="007310B1"/>
    <w:rsid w:val="007341F6"/>
    <w:rsid w:val="00734BA8"/>
    <w:rsid w:val="00735C5B"/>
    <w:rsid w:val="00736862"/>
    <w:rsid w:val="007412FC"/>
    <w:rsid w:val="007416FE"/>
    <w:rsid w:val="007424EF"/>
    <w:rsid w:val="00745104"/>
    <w:rsid w:val="00745577"/>
    <w:rsid w:val="0074576C"/>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3DAC"/>
    <w:rsid w:val="00774798"/>
    <w:rsid w:val="00775D6F"/>
    <w:rsid w:val="007809E7"/>
    <w:rsid w:val="00780A57"/>
    <w:rsid w:val="0078317E"/>
    <w:rsid w:val="007843C6"/>
    <w:rsid w:val="00786EB5"/>
    <w:rsid w:val="007872B4"/>
    <w:rsid w:val="00793515"/>
    <w:rsid w:val="00793F03"/>
    <w:rsid w:val="00795120"/>
    <w:rsid w:val="007A01DA"/>
    <w:rsid w:val="007A0A6D"/>
    <w:rsid w:val="007A1574"/>
    <w:rsid w:val="007A332A"/>
    <w:rsid w:val="007A4630"/>
    <w:rsid w:val="007A4FE2"/>
    <w:rsid w:val="007A62BB"/>
    <w:rsid w:val="007B175B"/>
    <w:rsid w:val="007B1BD5"/>
    <w:rsid w:val="007B4668"/>
    <w:rsid w:val="007B67D5"/>
    <w:rsid w:val="007B6B93"/>
    <w:rsid w:val="007B6E2B"/>
    <w:rsid w:val="007C00B1"/>
    <w:rsid w:val="007C651B"/>
    <w:rsid w:val="007D023D"/>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E7077"/>
    <w:rsid w:val="007F00F1"/>
    <w:rsid w:val="007F0370"/>
    <w:rsid w:val="007F2517"/>
    <w:rsid w:val="007F6549"/>
    <w:rsid w:val="007F6E87"/>
    <w:rsid w:val="0080061A"/>
    <w:rsid w:val="00801C1E"/>
    <w:rsid w:val="008044A9"/>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2F"/>
    <w:rsid w:val="00817B32"/>
    <w:rsid w:val="008206F7"/>
    <w:rsid w:val="00821B97"/>
    <w:rsid w:val="00823DF6"/>
    <w:rsid w:val="0082482B"/>
    <w:rsid w:val="00824B18"/>
    <w:rsid w:val="0082642D"/>
    <w:rsid w:val="00827169"/>
    <w:rsid w:val="008276D1"/>
    <w:rsid w:val="00827ABD"/>
    <w:rsid w:val="008307C9"/>
    <w:rsid w:val="00830B6F"/>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67C55"/>
    <w:rsid w:val="00872F0E"/>
    <w:rsid w:val="00873352"/>
    <w:rsid w:val="00873737"/>
    <w:rsid w:val="00873B58"/>
    <w:rsid w:val="00875DDB"/>
    <w:rsid w:val="0087633F"/>
    <w:rsid w:val="0087684C"/>
    <w:rsid w:val="00880242"/>
    <w:rsid w:val="008818D1"/>
    <w:rsid w:val="00883C2A"/>
    <w:rsid w:val="00884589"/>
    <w:rsid w:val="00885CEF"/>
    <w:rsid w:val="00886C19"/>
    <w:rsid w:val="00887DE3"/>
    <w:rsid w:val="00887E96"/>
    <w:rsid w:val="00890FD5"/>
    <w:rsid w:val="008940BF"/>
    <w:rsid w:val="00895BF9"/>
    <w:rsid w:val="00895CA2"/>
    <w:rsid w:val="008A10FC"/>
    <w:rsid w:val="008A3AD7"/>
    <w:rsid w:val="008A5129"/>
    <w:rsid w:val="008A53E6"/>
    <w:rsid w:val="008A7254"/>
    <w:rsid w:val="008A7362"/>
    <w:rsid w:val="008A7367"/>
    <w:rsid w:val="008A77C2"/>
    <w:rsid w:val="008B1078"/>
    <w:rsid w:val="008B3DA9"/>
    <w:rsid w:val="008B6127"/>
    <w:rsid w:val="008C2B36"/>
    <w:rsid w:val="008C2ED4"/>
    <w:rsid w:val="008C317C"/>
    <w:rsid w:val="008C539C"/>
    <w:rsid w:val="008C65F2"/>
    <w:rsid w:val="008C679A"/>
    <w:rsid w:val="008C7AB2"/>
    <w:rsid w:val="008D174D"/>
    <w:rsid w:val="008D1829"/>
    <w:rsid w:val="008D1EE5"/>
    <w:rsid w:val="008D3377"/>
    <w:rsid w:val="008D3F57"/>
    <w:rsid w:val="008D4ABC"/>
    <w:rsid w:val="008D59FC"/>
    <w:rsid w:val="008D6EE4"/>
    <w:rsid w:val="008D7339"/>
    <w:rsid w:val="008E1D43"/>
    <w:rsid w:val="008E55E1"/>
    <w:rsid w:val="008E5B53"/>
    <w:rsid w:val="008E5C52"/>
    <w:rsid w:val="008E5E61"/>
    <w:rsid w:val="008E6A57"/>
    <w:rsid w:val="008E79D6"/>
    <w:rsid w:val="008E7AB7"/>
    <w:rsid w:val="008E7C87"/>
    <w:rsid w:val="008F0341"/>
    <w:rsid w:val="008F1664"/>
    <w:rsid w:val="008F16FA"/>
    <w:rsid w:val="008F3C5F"/>
    <w:rsid w:val="008F5922"/>
    <w:rsid w:val="008F5DD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2C1B"/>
    <w:rsid w:val="00924B01"/>
    <w:rsid w:val="00925743"/>
    <w:rsid w:val="00927B24"/>
    <w:rsid w:val="00930067"/>
    <w:rsid w:val="00930518"/>
    <w:rsid w:val="00930790"/>
    <w:rsid w:val="00930AC7"/>
    <w:rsid w:val="00931264"/>
    <w:rsid w:val="009315E4"/>
    <w:rsid w:val="009316E4"/>
    <w:rsid w:val="0093206C"/>
    <w:rsid w:val="009356D0"/>
    <w:rsid w:val="009363F4"/>
    <w:rsid w:val="00937971"/>
    <w:rsid w:val="00940CF4"/>
    <w:rsid w:val="00940D7B"/>
    <w:rsid w:val="00945B29"/>
    <w:rsid w:val="00946994"/>
    <w:rsid w:val="00946E07"/>
    <w:rsid w:val="00946F1F"/>
    <w:rsid w:val="009472AD"/>
    <w:rsid w:val="00947AF9"/>
    <w:rsid w:val="009524A4"/>
    <w:rsid w:val="009528B3"/>
    <w:rsid w:val="00952F37"/>
    <w:rsid w:val="00954091"/>
    <w:rsid w:val="0095430C"/>
    <w:rsid w:val="00954753"/>
    <w:rsid w:val="00954946"/>
    <w:rsid w:val="0095608E"/>
    <w:rsid w:val="0096285A"/>
    <w:rsid w:val="0096368D"/>
    <w:rsid w:val="009669A5"/>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39AF"/>
    <w:rsid w:val="009847E6"/>
    <w:rsid w:val="00984A0D"/>
    <w:rsid w:val="00984B9A"/>
    <w:rsid w:val="0098661B"/>
    <w:rsid w:val="00987324"/>
    <w:rsid w:val="00987ACD"/>
    <w:rsid w:val="009945F4"/>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76A"/>
    <w:rsid w:val="009C0DED"/>
    <w:rsid w:val="009C14C8"/>
    <w:rsid w:val="009C1B76"/>
    <w:rsid w:val="009C1FAF"/>
    <w:rsid w:val="009C316B"/>
    <w:rsid w:val="009C3A4E"/>
    <w:rsid w:val="009C4E02"/>
    <w:rsid w:val="009C5B1A"/>
    <w:rsid w:val="009C7D49"/>
    <w:rsid w:val="009D1E86"/>
    <w:rsid w:val="009D447D"/>
    <w:rsid w:val="009D470B"/>
    <w:rsid w:val="009E196A"/>
    <w:rsid w:val="009E3E0A"/>
    <w:rsid w:val="009E41B5"/>
    <w:rsid w:val="009E5317"/>
    <w:rsid w:val="009F1026"/>
    <w:rsid w:val="009F3A5E"/>
    <w:rsid w:val="009F3B01"/>
    <w:rsid w:val="009F4655"/>
    <w:rsid w:val="009F5F24"/>
    <w:rsid w:val="00A02101"/>
    <w:rsid w:val="00A0217B"/>
    <w:rsid w:val="00A022DF"/>
    <w:rsid w:val="00A02BBA"/>
    <w:rsid w:val="00A03CC4"/>
    <w:rsid w:val="00A05D97"/>
    <w:rsid w:val="00A075F8"/>
    <w:rsid w:val="00A11C5A"/>
    <w:rsid w:val="00A1274F"/>
    <w:rsid w:val="00A14B55"/>
    <w:rsid w:val="00A166C0"/>
    <w:rsid w:val="00A17BBE"/>
    <w:rsid w:val="00A17EF2"/>
    <w:rsid w:val="00A20135"/>
    <w:rsid w:val="00A24576"/>
    <w:rsid w:val="00A25EF8"/>
    <w:rsid w:val="00A268AA"/>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12AB"/>
    <w:rsid w:val="00A634C7"/>
    <w:rsid w:val="00A63996"/>
    <w:rsid w:val="00A63D86"/>
    <w:rsid w:val="00A650A3"/>
    <w:rsid w:val="00A65278"/>
    <w:rsid w:val="00A65DA9"/>
    <w:rsid w:val="00A66583"/>
    <w:rsid w:val="00A7192F"/>
    <w:rsid w:val="00A72506"/>
    <w:rsid w:val="00A729CF"/>
    <w:rsid w:val="00A733C4"/>
    <w:rsid w:val="00A73F2D"/>
    <w:rsid w:val="00A766CA"/>
    <w:rsid w:val="00A77BCF"/>
    <w:rsid w:val="00A83E05"/>
    <w:rsid w:val="00A8404C"/>
    <w:rsid w:val="00A84A83"/>
    <w:rsid w:val="00A85648"/>
    <w:rsid w:val="00A86FE0"/>
    <w:rsid w:val="00A873AA"/>
    <w:rsid w:val="00A914F8"/>
    <w:rsid w:val="00A9318C"/>
    <w:rsid w:val="00A932B5"/>
    <w:rsid w:val="00A965FC"/>
    <w:rsid w:val="00A9681A"/>
    <w:rsid w:val="00A9752E"/>
    <w:rsid w:val="00A97E10"/>
    <w:rsid w:val="00AA182A"/>
    <w:rsid w:val="00AA26D7"/>
    <w:rsid w:val="00AA2F5C"/>
    <w:rsid w:val="00AA5643"/>
    <w:rsid w:val="00AB1F17"/>
    <w:rsid w:val="00AB26B8"/>
    <w:rsid w:val="00AB292D"/>
    <w:rsid w:val="00AB2A7D"/>
    <w:rsid w:val="00AB6FBC"/>
    <w:rsid w:val="00AB725D"/>
    <w:rsid w:val="00AB75C4"/>
    <w:rsid w:val="00AB762B"/>
    <w:rsid w:val="00AB7D42"/>
    <w:rsid w:val="00AC07E9"/>
    <w:rsid w:val="00AC32E0"/>
    <w:rsid w:val="00AC33EF"/>
    <w:rsid w:val="00AC3966"/>
    <w:rsid w:val="00AC6A36"/>
    <w:rsid w:val="00AD0230"/>
    <w:rsid w:val="00AD2BAE"/>
    <w:rsid w:val="00AD42E4"/>
    <w:rsid w:val="00AD5487"/>
    <w:rsid w:val="00AE0297"/>
    <w:rsid w:val="00AE1DDD"/>
    <w:rsid w:val="00AE514C"/>
    <w:rsid w:val="00AF413C"/>
    <w:rsid w:val="00AF6B39"/>
    <w:rsid w:val="00B00461"/>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0B2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337"/>
    <w:rsid w:val="00BD4619"/>
    <w:rsid w:val="00BD4E94"/>
    <w:rsid w:val="00BD54AD"/>
    <w:rsid w:val="00BD5584"/>
    <w:rsid w:val="00BD770A"/>
    <w:rsid w:val="00BE0861"/>
    <w:rsid w:val="00BE1311"/>
    <w:rsid w:val="00BE14BF"/>
    <w:rsid w:val="00BE1A49"/>
    <w:rsid w:val="00BE2447"/>
    <w:rsid w:val="00BE3AA0"/>
    <w:rsid w:val="00BF0F79"/>
    <w:rsid w:val="00BF15C5"/>
    <w:rsid w:val="00BF1BE7"/>
    <w:rsid w:val="00BF5761"/>
    <w:rsid w:val="00BF5B5F"/>
    <w:rsid w:val="00BF63DB"/>
    <w:rsid w:val="00C00EB2"/>
    <w:rsid w:val="00C01173"/>
    <w:rsid w:val="00C020EB"/>
    <w:rsid w:val="00C03210"/>
    <w:rsid w:val="00C052A0"/>
    <w:rsid w:val="00C0583C"/>
    <w:rsid w:val="00C0610D"/>
    <w:rsid w:val="00C12BAE"/>
    <w:rsid w:val="00C1346A"/>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2932"/>
    <w:rsid w:val="00C32F9F"/>
    <w:rsid w:val="00C34D0B"/>
    <w:rsid w:val="00C37721"/>
    <w:rsid w:val="00C425E8"/>
    <w:rsid w:val="00C43172"/>
    <w:rsid w:val="00C434BE"/>
    <w:rsid w:val="00C442F5"/>
    <w:rsid w:val="00C45F25"/>
    <w:rsid w:val="00C47C0F"/>
    <w:rsid w:val="00C50015"/>
    <w:rsid w:val="00C50FE4"/>
    <w:rsid w:val="00C51AB1"/>
    <w:rsid w:val="00C617C8"/>
    <w:rsid w:val="00C625B7"/>
    <w:rsid w:val="00C63A5B"/>
    <w:rsid w:val="00C648E7"/>
    <w:rsid w:val="00C64BCA"/>
    <w:rsid w:val="00C65E0B"/>
    <w:rsid w:val="00C705D1"/>
    <w:rsid w:val="00C72C77"/>
    <w:rsid w:val="00C734A1"/>
    <w:rsid w:val="00C7376D"/>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246B"/>
    <w:rsid w:val="00CA42F1"/>
    <w:rsid w:val="00CB0D94"/>
    <w:rsid w:val="00CB21D4"/>
    <w:rsid w:val="00CB21FB"/>
    <w:rsid w:val="00CB5052"/>
    <w:rsid w:val="00CB77B4"/>
    <w:rsid w:val="00CC194F"/>
    <w:rsid w:val="00CC337B"/>
    <w:rsid w:val="00CC3F0E"/>
    <w:rsid w:val="00CC4636"/>
    <w:rsid w:val="00CC63C6"/>
    <w:rsid w:val="00CD0011"/>
    <w:rsid w:val="00CD085C"/>
    <w:rsid w:val="00CD08B0"/>
    <w:rsid w:val="00CD76EF"/>
    <w:rsid w:val="00CD7E4E"/>
    <w:rsid w:val="00CE064A"/>
    <w:rsid w:val="00CE08C4"/>
    <w:rsid w:val="00CE0B97"/>
    <w:rsid w:val="00CE0DAB"/>
    <w:rsid w:val="00CE12AB"/>
    <w:rsid w:val="00CE2675"/>
    <w:rsid w:val="00CE49BE"/>
    <w:rsid w:val="00CE4A7D"/>
    <w:rsid w:val="00CE54BC"/>
    <w:rsid w:val="00CE71F4"/>
    <w:rsid w:val="00CF0456"/>
    <w:rsid w:val="00CF195F"/>
    <w:rsid w:val="00CF2F5B"/>
    <w:rsid w:val="00CF5401"/>
    <w:rsid w:val="00CF70A0"/>
    <w:rsid w:val="00CF712A"/>
    <w:rsid w:val="00D02A84"/>
    <w:rsid w:val="00D03997"/>
    <w:rsid w:val="00D044AA"/>
    <w:rsid w:val="00D044DB"/>
    <w:rsid w:val="00D06598"/>
    <w:rsid w:val="00D073CA"/>
    <w:rsid w:val="00D07541"/>
    <w:rsid w:val="00D11547"/>
    <w:rsid w:val="00D124B3"/>
    <w:rsid w:val="00D150A1"/>
    <w:rsid w:val="00D16C93"/>
    <w:rsid w:val="00D17ACB"/>
    <w:rsid w:val="00D224E7"/>
    <w:rsid w:val="00D22FA8"/>
    <w:rsid w:val="00D23878"/>
    <w:rsid w:val="00D23A05"/>
    <w:rsid w:val="00D248FA"/>
    <w:rsid w:val="00D24B8B"/>
    <w:rsid w:val="00D27E98"/>
    <w:rsid w:val="00D30BAD"/>
    <w:rsid w:val="00D30E0E"/>
    <w:rsid w:val="00D32F9A"/>
    <w:rsid w:val="00D341B8"/>
    <w:rsid w:val="00D342B7"/>
    <w:rsid w:val="00D35517"/>
    <w:rsid w:val="00D368FA"/>
    <w:rsid w:val="00D404F7"/>
    <w:rsid w:val="00D41E4E"/>
    <w:rsid w:val="00D43A5D"/>
    <w:rsid w:val="00D44009"/>
    <w:rsid w:val="00D44897"/>
    <w:rsid w:val="00D44973"/>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90723"/>
    <w:rsid w:val="00D92BDD"/>
    <w:rsid w:val="00D9534B"/>
    <w:rsid w:val="00D95DE6"/>
    <w:rsid w:val="00D97247"/>
    <w:rsid w:val="00DA0826"/>
    <w:rsid w:val="00DA0972"/>
    <w:rsid w:val="00DA1E0C"/>
    <w:rsid w:val="00DA1E28"/>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2AC"/>
    <w:rsid w:val="00DD6A81"/>
    <w:rsid w:val="00DD6E1A"/>
    <w:rsid w:val="00DE05AF"/>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4F0A"/>
    <w:rsid w:val="00E06FD8"/>
    <w:rsid w:val="00E1533D"/>
    <w:rsid w:val="00E15675"/>
    <w:rsid w:val="00E15DA8"/>
    <w:rsid w:val="00E17318"/>
    <w:rsid w:val="00E175F1"/>
    <w:rsid w:val="00E1776B"/>
    <w:rsid w:val="00E21440"/>
    <w:rsid w:val="00E21632"/>
    <w:rsid w:val="00E22608"/>
    <w:rsid w:val="00E2296B"/>
    <w:rsid w:val="00E2471D"/>
    <w:rsid w:val="00E24D82"/>
    <w:rsid w:val="00E26B05"/>
    <w:rsid w:val="00E271D3"/>
    <w:rsid w:val="00E31245"/>
    <w:rsid w:val="00E31DB3"/>
    <w:rsid w:val="00E34176"/>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5042"/>
    <w:rsid w:val="00E776DE"/>
    <w:rsid w:val="00E81422"/>
    <w:rsid w:val="00E817EA"/>
    <w:rsid w:val="00E81CBC"/>
    <w:rsid w:val="00E8425E"/>
    <w:rsid w:val="00E84B60"/>
    <w:rsid w:val="00E84CA1"/>
    <w:rsid w:val="00E84DB7"/>
    <w:rsid w:val="00E84E20"/>
    <w:rsid w:val="00E84F4B"/>
    <w:rsid w:val="00E8759F"/>
    <w:rsid w:val="00E950D0"/>
    <w:rsid w:val="00E9553C"/>
    <w:rsid w:val="00E956F6"/>
    <w:rsid w:val="00E95F02"/>
    <w:rsid w:val="00E96C9A"/>
    <w:rsid w:val="00E97054"/>
    <w:rsid w:val="00EA0E4C"/>
    <w:rsid w:val="00EA105E"/>
    <w:rsid w:val="00EA1DB4"/>
    <w:rsid w:val="00EA278F"/>
    <w:rsid w:val="00EA28D8"/>
    <w:rsid w:val="00EA2DA2"/>
    <w:rsid w:val="00EA4426"/>
    <w:rsid w:val="00EA684C"/>
    <w:rsid w:val="00EA6A0F"/>
    <w:rsid w:val="00EA763A"/>
    <w:rsid w:val="00EB194F"/>
    <w:rsid w:val="00EB23C0"/>
    <w:rsid w:val="00EB281E"/>
    <w:rsid w:val="00EB3066"/>
    <w:rsid w:val="00EB3CC3"/>
    <w:rsid w:val="00EB6BDB"/>
    <w:rsid w:val="00EC0EDC"/>
    <w:rsid w:val="00EC1F43"/>
    <w:rsid w:val="00EC2622"/>
    <w:rsid w:val="00EC2E06"/>
    <w:rsid w:val="00EC3FE6"/>
    <w:rsid w:val="00EC4E93"/>
    <w:rsid w:val="00EC56E3"/>
    <w:rsid w:val="00EC64CD"/>
    <w:rsid w:val="00EC6745"/>
    <w:rsid w:val="00EC6DBD"/>
    <w:rsid w:val="00EC7341"/>
    <w:rsid w:val="00EC7C65"/>
    <w:rsid w:val="00ED088D"/>
    <w:rsid w:val="00ED0BC1"/>
    <w:rsid w:val="00ED1442"/>
    <w:rsid w:val="00ED25B0"/>
    <w:rsid w:val="00ED6C29"/>
    <w:rsid w:val="00EE3462"/>
    <w:rsid w:val="00EF1569"/>
    <w:rsid w:val="00EF1BFD"/>
    <w:rsid w:val="00EF25CC"/>
    <w:rsid w:val="00EF262D"/>
    <w:rsid w:val="00EF6DEA"/>
    <w:rsid w:val="00EF7A94"/>
    <w:rsid w:val="00F01898"/>
    <w:rsid w:val="00F02120"/>
    <w:rsid w:val="00F0335E"/>
    <w:rsid w:val="00F038B3"/>
    <w:rsid w:val="00F03EDA"/>
    <w:rsid w:val="00F04E90"/>
    <w:rsid w:val="00F127A0"/>
    <w:rsid w:val="00F17013"/>
    <w:rsid w:val="00F1726A"/>
    <w:rsid w:val="00F17F49"/>
    <w:rsid w:val="00F2323B"/>
    <w:rsid w:val="00F232DE"/>
    <w:rsid w:val="00F2413D"/>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4F5"/>
    <w:rsid w:val="00F61A14"/>
    <w:rsid w:val="00F61E14"/>
    <w:rsid w:val="00F61F5B"/>
    <w:rsid w:val="00F62A20"/>
    <w:rsid w:val="00F643EA"/>
    <w:rsid w:val="00F646CD"/>
    <w:rsid w:val="00F64B96"/>
    <w:rsid w:val="00F66DFD"/>
    <w:rsid w:val="00F67535"/>
    <w:rsid w:val="00F67C4F"/>
    <w:rsid w:val="00F67EF7"/>
    <w:rsid w:val="00F70BDB"/>
    <w:rsid w:val="00F7173A"/>
    <w:rsid w:val="00F725EC"/>
    <w:rsid w:val="00F739A9"/>
    <w:rsid w:val="00F84A31"/>
    <w:rsid w:val="00F85CDA"/>
    <w:rsid w:val="00F86005"/>
    <w:rsid w:val="00F878B4"/>
    <w:rsid w:val="00F9203C"/>
    <w:rsid w:val="00F953D0"/>
    <w:rsid w:val="00F95E7E"/>
    <w:rsid w:val="00F96BD5"/>
    <w:rsid w:val="00FA03C2"/>
    <w:rsid w:val="00FA3B2C"/>
    <w:rsid w:val="00FA3D23"/>
    <w:rsid w:val="00FA4182"/>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21CC"/>
    <w:rsid w:val="00FD4AB2"/>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qFormat/>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qFormat/>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qFormat/>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qFormat/>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qFormat/>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qFormat/>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qFormat/>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1"/>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qFormat/>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qFormat/>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qFormat/>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qFormat/>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qFormat/>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qFormat/>
    <w:rsid w:val="004A0516"/>
    <w:rPr>
      <w:color w:val="605E5C"/>
      <w:shd w:val="clear" w:color="auto" w:fill="E1DFDD"/>
    </w:rPr>
  </w:style>
  <w:style w:type="character" w:customStyle="1" w:styleId="2fa">
    <w:name w:val="Основний текст (2)_"/>
    <w:qFormat/>
    <w:rsid w:val="00305F5A"/>
    <w:rPr>
      <w:rFonts w:ascii="Times New Roman" w:hAnsi="Times New Roman" w:cs="Times New Roman"/>
      <w:b w:val="0"/>
      <w:i w:val="0"/>
      <w:caps w:val="0"/>
      <w:smallCaps w:val="0"/>
      <w:strike w:val="0"/>
      <w:dstrike w:val="0"/>
      <w:u w:val="none"/>
    </w:rPr>
  </w:style>
  <w:style w:type="character" w:customStyle="1" w:styleId="affff7">
    <w:name w:val="Символи виноски"/>
    <w:qFormat/>
    <w:rsid w:val="00CC63C6"/>
  </w:style>
  <w:style w:type="paragraph" w:styleId="2fb">
    <w:name w:val="Quote"/>
    <w:basedOn w:val="a0"/>
    <w:next w:val="a0"/>
    <w:link w:val="2fc"/>
    <w:uiPriority w:val="29"/>
    <w:qFormat/>
    <w:rsid w:val="002D7871"/>
    <w:pPr>
      <w:suppressAutoHyphens/>
      <w:spacing w:before="160" w:after="160"/>
      <w:jc w:val="center"/>
    </w:pPr>
    <w:rPr>
      <w:i/>
      <w:iCs/>
      <w:color w:val="404040" w:themeColor="text1" w:themeTint="BF"/>
      <w:kern w:val="2"/>
      <w:sz w:val="24"/>
      <w:szCs w:val="24"/>
      <w:lang w:val="uk-UA"/>
      <w14:ligatures w14:val="standardContextual"/>
    </w:rPr>
  </w:style>
  <w:style w:type="character" w:customStyle="1" w:styleId="2fc">
    <w:name w:val="Цитата 2 Знак"/>
    <w:basedOn w:val="a1"/>
    <w:link w:val="2fb"/>
    <w:uiPriority w:val="29"/>
    <w:qFormat/>
    <w:rsid w:val="002D7871"/>
    <w:rPr>
      <w:i/>
      <w:iCs/>
      <w:color w:val="404040" w:themeColor="text1" w:themeTint="BF"/>
      <w:kern w:val="2"/>
      <w:sz w:val="24"/>
      <w:szCs w:val="24"/>
      <w:lang w:val="uk-UA"/>
      <w14:ligatures w14:val="standardContextual"/>
    </w:rPr>
  </w:style>
  <w:style w:type="character" w:styleId="affff8">
    <w:name w:val="Intense Emphasis"/>
    <w:basedOn w:val="a1"/>
    <w:uiPriority w:val="21"/>
    <w:qFormat/>
    <w:rsid w:val="002D7871"/>
    <w:rPr>
      <w:i/>
      <w:iCs/>
      <w:color w:val="365F91" w:themeColor="accent1" w:themeShade="BF"/>
    </w:rPr>
  </w:style>
  <w:style w:type="paragraph" w:styleId="affff9">
    <w:name w:val="Intense Quote"/>
    <w:basedOn w:val="a0"/>
    <w:next w:val="a0"/>
    <w:link w:val="affffa"/>
    <w:uiPriority w:val="30"/>
    <w:qFormat/>
    <w:rsid w:val="002D7871"/>
    <w:pPr>
      <w:pBdr>
        <w:top w:val="single" w:sz="4" w:space="10" w:color="365F91" w:themeColor="accent1" w:themeShade="BF"/>
        <w:bottom w:val="single" w:sz="4" w:space="10" w:color="365F91" w:themeColor="accent1" w:themeShade="BF"/>
      </w:pBdr>
      <w:suppressAutoHyphens/>
      <w:spacing w:before="360" w:after="360"/>
      <w:ind w:left="864" w:right="864"/>
      <w:jc w:val="center"/>
    </w:pPr>
    <w:rPr>
      <w:i/>
      <w:iCs/>
      <w:color w:val="365F91" w:themeColor="accent1" w:themeShade="BF"/>
      <w:kern w:val="2"/>
      <w:sz w:val="24"/>
      <w:szCs w:val="24"/>
      <w:lang w:val="uk-UA"/>
      <w14:ligatures w14:val="standardContextual"/>
    </w:rPr>
  </w:style>
  <w:style w:type="character" w:customStyle="1" w:styleId="affffa">
    <w:name w:val="Выделенная цитата Знак"/>
    <w:basedOn w:val="a1"/>
    <w:link w:val="affff9"/>
    <w:uiPriority w:val="30"/>
    <w:qFormat/>
    <w:rsid w:val="002D7871"/>
    <w:rPr>
      <w:i/>
      <w:iCs/>
      <w:color w:val="365F91" w:themeColor="accent1" w:themeShade="BF"/>
      <w:kern w:val="2"/>
      <w:sz w:val="24"/>
      <w:szCs w:val="24"/>
      <w:lang w:val="uk-UA"/>
      <w14:ligatures w14:val="standardContextual"/>
    </w:rPr>
  </w:style>
  <w:style w:type="character" w:styleId="affffb">
    <w:name w:val="Intense Reference"/>
    <w:basedOn w:val="a1"/>
    <w:uiPriority w:val="32"/>
    <w:qFormat/>
    <w:rsid w:val="002D7871"/>
    <w:rPr>
      <w:b/>
      <w:bCs/>
      <w:smallCaps/>
      <w:color w:val="365F91" w:themeColor="accent1" w:themeShade="BF"/>
      <w:spacing w:val="5"/>
    </w:rPr>
  </w:style>
  <w:style w:type="character" w:customStyle="1" w:styleId="-0">
    <w:name w:val="Интернет-ссылка"/>
    <w:basedOn w:val="a1"/>
    <w:uiPriority w:val="99"/>
    <w:unhideWhenUsed/>
    <w:rsid w:val="002D7871"/>
    <w:rPr>
      <w:color w:val="0000FF" w:themeColor="hyperlink"/>
      <w:u w:val="single"/>
    </w:rPr>
  </w:style>
  <w:style w:type="paragraph" w:styleId="1f9">
    <w:name w:val="index 1"/>
    <w:basedOn w:val="a0"/>
    <w:next w:val="a0"/>
    <w:autoRedefine/>
    <w:uiPriority w:val="99"/>
    <w:semiHidden/>
    <w:unhideWhenUsed/>
    <w:rsid w:val="002D7871"/>
    <w:pPr>
      <w:suppressAutoHyphens/>
      <w:spacing w:after="0" w:line="240" w:lineRule="auto"/>
      <w:ind w:left="240" w:hanging="240"/>
    </w:pPr>
    <w:rPr>
      <w:kern w:val="2"/>
      <w:sz w:val="24"/>
      <w:szCs w:val="24"/>
      <w:lang w:val="uk-UA"/>
      <w14:ligatures w14:val="standardContextual"/>
    </w:rPr>
  </w:style>
  <w:style w:type="paragraph" w:styleId="affffc">
    <w:name w:val="index heading"/>
    <w:basedOn w:val="a0"/>
    <w:qFormat/>
    <w:rsid w:val="002D7871"/>
    <w:pPr>
      <w:suppressLineNumbers/>
      <w:suppressAutoHyphens/>
      <w:spacing w:after="160"/>
    </w:pPr>
    <w:rPr>
      <w:rFonts w:cs="Arial"/>
      <w:kern w:val="2"/>
      <w:sz w:val="24"/>
      <w:szCs w:val="24"/>
      <w:lang w:val="uk-UA"/>
      <w14:ligatures w14:val="standardContextual"/>
    </w:rPr>
  </w:style>
  <w:style w:type="character" w:customStyle="1" w:styleId="1fa">
    <w:name w:val="Верхний колонтитул Знак1"/>
    <w:basedOn w:val="a1"/>
    <w:uiPriority w:val="99"/>
    <w:semiHidden/>
    <w:rsid w:val="002D7871"/>
    <w:rPr>
      <w:sz w:val="24"/>
      <w:szCs w:val="24"/>
      <w:lang w:val="uk-UA"/>
    </w:rPr>
  </w:style>
  <w:style w:type="paragraph" w:customStyle="1" w:styleId="TableParagraph">
    <w:name w:val="Table Paragraph"/>
    <w:basedOn w:val="a0"/>
    <w:uiPriority w:val="1"/>
    <w:qFormat/>
    <w:rsid w:val="00AD0230"/>
    <w:pPr>
      <w:widowControl w:val="0"/>
      <w:autoSpaceDE w:val="0"/>
      <w:autoSpaceDN w:val="0"/>
      <w:spacing w:after="0" w:line="240" w:lineRule="auto"/>
    </w:pPr>
    <w:rPr>
      <w:rFonts w:ascii="Times New Roman" w:eastAsia="Times New Roman" w:hAnsi="Times New Roman" w:cs="Times New Roman"/>
    </w:rPr>
  </w:style>
  <w:style w:type="paragraph" w:customStyle="1" w:styleId="affffd">
    <w:basedOn w:val="a0"/>
    <w:next w:val="af0"/>
    <w:uiPriority w:val="99"/>
    <w:unhideWhenUsed/>
    <w:rsid w:val="00CB50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26195</Words>
  <Characters>149316</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2026-06-20T15:24:00Z</dcterms:created>
  <dcterms:modified xsi:type="dcterms:W3CDTF">2026-06-20T15:24:00Z</dcterms:modified>
</cp:coreProperties>
</file>