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19D9D" w14:textId="3CFA171B" w:rsidR="0020188B" w:rsidRPr="007D24E0" w:rsidRDefault="0020188B" w:rsidP="007D24E0">
      <w:pPr>
        <w:pStyle w:val="1"/>
        <w:jc w:val="center"/>
        <w:rPr>
          <w:b/>
          <w:bCs/>
          <w:color w:val="000000" w:themeColor="text1"/>
          <w:lang w:val="en-US"/>
        </w:rPr>
      </w:pPr>
      <w:bookmarkStart w:id="0" w:name="_Toc214217495"/>
      <w:r w:rsidRPr="007D24E0">
        <w:rPr>
          <w:b/>
          <w:bCs/>
          <w:color w:val="000000" w:themeColor="text1"/>
        </w:rPr>
        <w:t>Р</w:t>
      </w:r>
      <w:r w:rsidRPr="007D24E0">
        <w:rPr>
          <w:b/>
          <w:bCs/>
          <w:color w:val="000000" w:themeColor="text1"/>
          <w:lang w:val="uk-UA"/>
        </w:rPr>
        <w:t xml:space="preserve">ОЗДІЛ </w:t>
      </w:r>
      <w:r w:rsidRPr="007D24E0">
        <w:rPr>
          <w:b/>
          <w:bCs/>
          <w:color w:val="000000" w:themeColor="text1"/>
        </w:rPr>
        <w:t>1. Т</w:t>
      </w:r>
      <w:r w:rsidRPr="007D24E0">
        <w:rPr>
          <w:b/>
          <w:bCs/>
          <w:color w:val="000000" w:themeColor="text1"/>
          <w:lang w:val="uk-UA"/>
        </w:rPr>
        <w:t>ЕОР</w:t>
      </w:r>
      <w:r w:rsidR="00E754A0" w:rsidRPr="007D24E0">
        <w:rPr>
          <w:b/>
          <w:bCs/>
          <w:color w:val="000000" w:themeColor="text1"/>
          <w:lang w:val="uk-UA"/>
        </w:rPr>
        <w:t>Е</w:t>
      </w:r>
      <w:r w:rsidRPr="007D24E0">
        <w:rPr>
          <w:b/>
          <w:bCs/>
          <w:color w:val="000000" w:themeColor="text1"/>
          <w:lang w:val="uk-UA"/>
        </w:rPr>
        <w:t>ТИЧНИЙ ОГЛЯД</w:t>
      </w:r>
      <w:bookmarkEnd w:id="0"/>
    </w:p>
    <w:p w14:paraId="3BCA3BA3" w14:textId="443D5423" w:rsidR="00334C25" w:rsidRPr="007D24E0" w:rsidRDefault="0020188B" w:rsidP="007D24E0">
      <w:pPr>
        <w:pStyle w:val="2"/>
        <w:numPr>
          <w:ilvl w:val="1"/>
          <w:numId w:val="4"/>
        </w:numPr>
        <w:jc w:val="center"/>
        <w:rPr>
          <w:rFonts w:ascii="Times New Roman" w:hAnsi="Times New Roman" w:cs="Times New Roman"/>
          <w:b/>
          <w:bCs/>
          <w:color w:val="000000" w:themeColor="text1"/>
          <w:sz w:val="28"/>
          <w:szCs w:val="28"/>
          <w:lang w:val="en-US"/>
        </w:rPr>
      </w:pPr>
      <w:bookmarkStart w:id="1" w:name="_Toc214217496"/>
      <w:r w:rsidRPr="007D24E0">
        <w:rPr>
          <w:rFonts w:ascii="Times New Roman" w:hAnsi="Times New Roman" w:cs="Times New Roman"/>
          <w:b/>
          <w:bCs/>
          <w:color w:val="000000" w:themeColor="text1"/>
          <w:sz w:val="28"/>
          <w:szCs w:val="28"/>
        </w:rPr>
        <w:t>Теоретичні підходи та ключові поняття</w:t>
      </w:r>
      <w:bookmarkEnd w:id="1"/>
    </w:p>
    <w:p w14:paraId="40B82298" w14:textId="77777777" w:rsidR="00334C25" w:rsidRPr="007D24E0" w:rsidRDefault="00334C25" w:rsidP="007D24E0">
      <w:pPr>
        <w:pStyle w:val="3"/>
        <w:numPr>
          <w:ilvl w:val="2"/>
          <w:numId w:val="4"/>
        </w:numPr>
        <w:jc w:val="center"/>
        <w:rPr>
          <w:b/>
          <w:bCs/>
          <w:color w:val="000000" w:themeColor="text1"/>
          <w:lang w:val="en-US"/>
        </w:rPr>
      </w:pPr>
      <w:bookmarkStart w:id="2" w:name="_Toc214217497"/>
      <w:r w:rsidRPr="007D24E0">
        <w:rPr>
          <w:b/>
          <w:bCs/>
          <w:color w:val="000000" w:themeColor="text1"/>
        </w:rPr>
        <w:t>Вступ до розділу</w:t>
      </w:r>
      <w:bookmarkEnd w:id="2"/>
    </w:p>
    <w:p w14:paraId="6EF619C8" w14:textId="3A05D5E2"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У цьому підрозділі здійснено огляд теоретичних підходів та визначено ключові поняття, які формуватимуть методологічну основу дослідження організаційно-функціональних моделей транзитних центрів у системі соціального забезпечення. Спочатку подаються робочі визначення основних термінів (транзитний центр, внутрішньо переміщені особи, соціальне забезпечення, доступ до послуг), далі </w:t>
      </w:r>
      <w:r w:rsidR="008D7B0D">
        <w:rPr>
          <w:color w:val="000000" w:themeColor="text1"/>
          <w:sz w:val="28"/>
          <w:szCs w:val="28"/>
          <w:lang w:val="ru-UA"/>
        </w:rPr>
        <w:t>-</w:t>
      </w:r>
      <w:r w:rsidRPr="00334C25">
        <w:rPr>
          <w:color w:val="000000" w:themeColor="text1"/>
          <w:sz w:val="28"/>
          <w:szCs w:val="28"/>
          <w:lang w:val="ru-UA"/>
        </w:rPr>
        <w:t xml:space="preserve"> аналіз теоретичних рамок соціального захисту, підходів до оцінювання доступності послуг і моделей організації надання допомоги (one-stop-shop, hub-and-spoke, case management). Окрема секція присвячена protection mainstreaming і критеріям оцінки ефективності (своєчасність, повнота, інклюзивність). Така послідовність дозволяє зв’язати теоретичні положення з емпіричною частиною, обґрунтувати вибір методів і сформувати операціональні </w:t>
      </w:r>
      <w:proofErr w:type="spellStart"/>
      <w:r w:rsidRPr="00334C25">
        <w:rPr>
          <w:color w:val="000000" w:themeColor="text1"/>
          <w:sz w:val="28"/>
          <w:szCs w:val="28"/>
          <w:lang w:val="ru-UA"/>
        </w:rPr>
        <w:t>показники</w:t>
      </w:r>
      <w:proofErr w:type="spellEnd"/>
      <w:r w:rsidRPr="00334C25">
        <w:rPr>
          <w:color w:val="000000" w:themeColor="text1"/>
          <w:sz w:val="28"/>
          <w:szCs w:val="28"/>
          <w:lang w:val="ru-UA"/>
        </w:rPr>
        <w:t xml:space="preserve"> для </w:t>
      </w:r>
      <w:proofErr w:type="spellStart"/>
      <w:r w:rsidRPr="00334C25">
        <w:rPr>
          <w:color w:val="000000" w:themeColor="text1"/>
          <w:sz w:val="28"/>
          <w:szCs w:val="28"/>
          <w:lang w:val="ru-UA"/>
        </w:rPr>
        <w:t>подальшого</w:t>
      </w:r>
      <w:proofErr w:type="spellEnd"/>
      <w:r w:rsidRPr="00334C25">
        <w:rPr>
          <w:color w:val="000000" w:themeColor="text1"/>
          <w:sz w:val="28"/>
          <w:szCs w:val="28"/>
          <w:lang w:val="ru-UA"/>
        </w:rPr>
        <w:t xml:space="preserve"> </w:t>
      </w:r>
      <w:proofErr w:type="spellStart"/>
      <w:r w:rsidRPr="00334C25">
        <w:rPr>
          <w:color w:val="000000" w:themeColor="text1"/>
          <w:sz w:val="28"/>
          <w:szCs w:val="28"/>
          <w:lang w:val="ru-UA"/>
        </w:rPr>
        <w:t>аналізу</w:t>
      </w:r>
      <w:proofErr w:type="spellEnd"/>
      <w:r w:rsidRPr="00334C25">
        <w:rPr>
          <w:color w:val="000000" w:themeColor="text1"/>
          <w:sz w:val="28"/>
          <w:szCs w:val="28"/>
          <w:lang w:val="ru-UA"/>
        </w:rPr>
        <w:t>.</w:t>
      </w:r>
    </w:p>
    <w:p w14:paraId="21825469" w14:textId="77777777" w:rsidR="00334C25" w:rsidRPr="00334C25" w:rsidRDefault="00334C25" w:rsidP="007D24E0">
      <w:pPr>
        <w:ind w:firstLine="709"/>
        <w:rPr>
          <w:color w:val="000000" w:themeColor="text1"/>
          <w:lang w:val="en-US"/>
        </w:rPr>
      </w:pPr>
    </w:p>
    <w:p w14:paraId="6DDE65A4" w14:textId="72584E13" w:rsidR="00334C25" w:rsidRPr="00334C25" w:rsidRDefault="00334C25" w:rsidP="007D24E0">
      <w:pPr>
        <w:pStyle w:val="3"/>
        <w:numPr>
          <w:ilvl w:val="2"/>
          <w:numId w:val="4"/>
        </w:numPr>
        <w:ind w:firstLine="709"/>
        <w:rPr>
          <w:color w:val="000000" w:themeColor="text1"/>
        </w:rPr>
      </w:pPr>
      <w:bookmarkStart w:id="3" w:name="_Toc214217498"/>
      <w:r w:rsidRPr="00334C25">
        <w:rPr>
          <w:color w:val="000000" w:themeColor="text1"/>
        </w:rPr>
        <w:t>Визначення ключових понять</w:t>
      </w:r>
      <w:bookmarkEnd w:id="3"/>
    </w:p>
    <w:p w14:paraId="1C17DBB4" w14:textId="322B8718" w:rsidR="00334C25" w:rsidRPr="00334C25" w:rsidRDefault="00334C25" w:rsidP="007D24E0">
      <w:pPr>
        <w:ind w:firstLine="709"/>
        <w:rPr>
          <w:color w:val="000000" w:themeColor="text1"/>
          <w:sz w:val="28"/>
          <w:szCs w:val="28"/>
        </w:rPr>
      </w:pPr>
      <w:r w:rsidRPr="00334C25">
        <w:rPr>
          <w:color w:val="000000" w:themeColor="text1"/>
          <w:sz w:val="28"/>
          <w:szCs w:val="28"/>
        </w:rPr>
        <w:t xml:space="preserve">У цьому підрозділі подаються робочі визначення ключових понять, які використовуються в дослідженні, та способи їх </w:t>
      </w:r>
      <w:proofErr w:type="spellStart"/>
      <w:r w:rsidRPr="00334C25">
        <w:rPr>
          <w:color w:val="000000" w:themeColor="text1"/>
          <w:sz w:val="28"/>
          <w:szCs w:val="28"/>
        </w:rPr>
        <w:t>операціоналізації</w:t>
      </w:r>
      <w:proofErr w:type="spellEnd"/>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конкретні показники і методи вимірювання, що будуть застосовані в емпіричній частині. Чітке визначення термінів забезпечує однозначність інтерпретації результатів і дозволяє зіставляти зібрані дані з існуючими стандартами та практиками.</w:t>
      </w:r>
    </w:p>
    <w:p w14:paraId="5A545291" w14:textId="77777777" w:rsidR="00334C25" w:rsidRPr="00334C25" w:rsidRDefault="00334C25" w:rsidP="007D24E0">
      <w:pPr>
        <w:ind w:firstLine="709"/>
        <w:rPr>
          <w:color w:val="000000" w:themeColor="text1"/>
          <w:sz w:val="28"/>
          <w:szCs w:val="28"/>
        </w:rPr>
      </w:pPr>
    </w:p>
    <w:p w14:paraId="6FF07E22" w14:textId="26FABB66"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Транзитний центр (</w:t>
      </w:r>
      <w:proofErr w:type="spellStart"/>
      <w:r w:rsidRPr="00334C25">
        <w:rPr>
          <w:color w:val="000000" w:themeColor="text1"/>
          <w:sz w:val="28"/>
          <w:szCs w:val="28"/>
          <w:u w:val="single"/>
        </w:rPr>
        <w:t>transit</w:t>
      </w:r>
      <w:proofErr w:type="spellEnd"/>
      <w:r w:rsidRPr="00334C25">
        <w:rPr>
          <w:color w:val="000000" w:themeColor="text1"/>
          <w:sz w:val="28"/>
          <w:szCs w:val="28"/>
          <w:u w:val="single"/>
        </w:rPr>
        <w:t xml:space="preserve"> / </w:t>
      </w:r>
      <w:proofErr w:type="spellStart"/>
      <w:r w:rsidRPr="00334C25">
        <w:rPr>
          <w:color w:val="000000" w:themeColor="text1"/>
          <w:sz w:val="28"/>
          <w:szCs w:val="28"/>
          <w:u w:val="single"/>
        </w:rPr>
        <w:t>registration</w:t>
      </w:r>
      <w:proofErr w:type="spellEnd"/>
      <w:r w:rsidRPr="00334C25">
        <w:rPr>
          <w:color w:val="000000" w:themeColor="text1"/>
          <w:sz w:val="28"/>
          <w:szCs w:val="28"/>
          <w:u w:val="single"/>
        </w:rPr>
        <w:t xml:space="preserve"> / </w:t>
      </w:r>
      <w:proofErr w:type="spellStart"/>
      <w:r w:rsidRPr="00334C25">
        <w:rPr>
          <w:color w:val="000000" w:themeColor="text1"/>
          <w:sz w:val="28"/>
          <w:szCs w:val="28"/>
          <w:u w:val="single"/>
        </w:rPr>
        <w:t>reception</w:t>
      </w:r>
      <w:proofErr w:type="spellEnd"/>
      <w:r w:rsidRPr="00334C25">
        <w:rPr>
          <w:color w:val="000000" w:themeColor="text1"/>
          <w:sz w:val="28"/>
          <w:szCs w:val="28"/>
          <w:u w:val="single"/>
        </w:rPr>
        <w:t xml:space="preserve"> </w:t>
      </w:r>
      <w:proofErr w:type="spellStart"/>
      <w:r w:rsidRPr="00334C25">
        <w:rPr>
          <w:color w:val="000000" w:themeColor="text1"/>
          <w:sz w:val="28"/>
          <w:szCs w:val="28"/>
          <w:u w:val="single"/>
        </w:rPr>
        <w:t>centre</w:t>
      </w:r>
      <w:proofErr w:type="spellEnd"/>
      <w:r w:rsidRPr="00334C25">
        <w:rPr>
          <w:color w:val="000000" w:themeColor="text1"/>
          <w:sz w:val="28"/>
          <w:szCs w:val="28"/>
          <w:u w:val="single"/>
        </w:rPr>
        <w:t>)</w:t>
      </w:r>
    </w:p>
    <w:p w14:paraId="7823C90C" w14:textId="77777777" w:rsidR="00334C25" w:rsidRPr="00334C25" w:rsidRDefault="00334C25" w:rsidP="007D24E0">
      <w:pPr>
        <w:ind w:firstLine="709"/>
        <w:rPr>
          <w:color w:val="000000" w:themeColor="text1"/>
          <w:sz w:val="28"/>
          <w:szCs w:val="28"/>
        </w:rPr>
      </w:pPr>
      <w:r w:rsidRPr="00334C25">
        <w:rPr>
          <w:color w:val="000000" w:themeColor="text1"/>
          <w:sz w:val="28"/>
          <w:szCs w:val="28"/>
        </w:rPr>
        <w:lastRenderedPageBreak/>
        <w:t xml:space="preserve">Під транзитним центром у межах даного дослідження розуміється тимчасова інституція або організаційний майданчик, створений для прийому, первинної ідентифікації та надання базових соціальних і гуманітарних послуг внутрішньо переміщеним особам у період їхнього переміщення. До основних функцій центру належать: реєстрація і верифікація прибулих, надання інформації про права та процедури, сприяння у відновленні документів, надання базової допомоги (гігієна, тимчасове житло, базова гуманітарна допомога), первинне медико-психологічне </w:t>
      </w:r>
      <w:proofErr w:type="spellStart"/>
      <w:r w:rsidRPr="00334C25">
        <w:rPr>
          <w:color w:val="000000" w:themeColor="text1"/>
          <w:sz w:val="28"/>
          <w:szCs w:val="28"/>
        </w:rPr>
        <w:t>скринінгування</w:t>
      </w:r>
      <w:proofErr w:type="spellEnd"/>
      <w:r w:rsidRPr="00334C25">
        <w:rPr>
          <w:color w:val="000000" w:themeColor="text1"/>
          <w:sz w:val="28"/>
          <w:szCs w:val="28"/>
        </w:rPr>
        <w:t xml:space="preserve"> та перенаправлення на спеціалізовані служби. Транзитні центри можуть бути стаціонарними (будівля), мобільними пунктами або </w:t>
      </w:r>
      <w:proofErr w:type="spellStart"/>
      <w:r w:rsidRPr="00334C25">
        <w:rPr>
          <w:color w:val="000000" w:themeColor="text1"/>
          <w:sz w:val="28"/>
          <w:szCs w:val="28"/>
        </w:rPr>
        <w:t>мультифункціональними</w:t>
      </w:r>
      <w:proofErr w:type="spellEnd"/>
      <w:r w:rsidRPr="00334C25">
        <w:rPr>
          <w:color w:val="000000" w:themeColor="text1"/>
          <w:sz w:val="28"/>
          <w:szCs w:val="28"/>
        </w:rPr>
        <w:t xml:space="preserve"> «</w:t>
      </w:r>
      <w:proofErr w:type="spellStart"/>
      <w:r w:rsidRPr="00334C25">
        <w:rPr>
          <w:color w:val="000000" w:themeColor="text1"/>
          <w:sz w:val="28"/>
          <w:szCs w:val="28"/>
        </w:rPr>
        <w:t>one-stop-shop</w:t>
      </w:r>
      <w:proofErr w:type="spellEnd"/>
      <w:r w:rsidRPr="00334C25">
        <w:rPr>
          <w:color w:val="000000" w:themeColor="text1"/>
          <w:sz w:val="28"/>
          <w:szCs w:val="28"/>
        </w:rPr>
        <w:t>».</w:t>
      </w:r>
    </w:p>
    <w:p w14:paraId="0FE4C461" w14:textId="77777777"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t>Операціоналізація</w:t>
      </w:r>
      <w:proofErr w:type="spellEnd"/>
      <w:r w:rsidRPr="00334C25">
        <w:rPr>
          <w:color w:val="000000" w:themeColor="text1"/>
          <w:sz w:val="28"/>
          <w:szCs w:val="28"/>
        </w:rPr>
        <w:t>: тип центру (стаціонарний/мобільний/</w:t>
      </w:r>
      <w:proofErr w:type="spellStart"/>
      <w:r w:rsidRPr="00334C25">
        <w:rPr>
          <w:color w:val="000000" w:themeColor="text1"/>
          <w:sz w:val="28"/>
          <w:szCs w:val="28"/>
        </w:rPr>
        <w:t>one-stop-shop</w:t>
      </w:r>
      <w:proofErr w:type="spellEnd"/>
      <w:r w:rsidRPr="00334C25">
        <w:rPr>
          <w:color w:val="000000" w:themeColor="text1"/>
          <w:sz w:val="28"/>
          <w:szCs w:val="28"/>
        </w:rPr>
        <w:t xml:space="preserve">); наявність стандартних протоколів прийому (так/ні); середній час від прибуття до завершення первинної реєстрації (години); відсоток прибулих, які отримали первинну інформацію при першому контакті; відсоток </w:t>
      </w:r>
      <w:proofErr w:type="spellStart"/>
      <w:r w:rsidRPr="00334C25">
        <w:rPr>
          <w:color w:val="000000" w:themeColor="text1"/>
          <w:sz w:val="28"/>
          <w:szCs w:val="28"/>
        </w:rPr>
        <w:t>рефералів</w:t>
      </w:r>
      <w:proofErr w:type="spellEnd"/>
      <w:r w:rsidRPr="00334C25">
        <w:rPr>
          <w:color w:val="000000" w:themeColor="text1"/>
          <w:sz w:val="28"/>
          <w:szCs w:val="28"/>
        </w:rPr>
        <w:t xml:space="preserve"> на спеціалізовані послуги. Джерела даних: журнали реєстрації, анкети клієнтів, інтерв’ю з адміністрацією.</w:t>
      </w:r>
    </w:p>
    <w:p w14:paraId="564E69D2" w14:textId="77777777" w:rsidR="00334C25" w:rsidRPr="00334C25" w:rsidRDefault="00334C25" w:rsidP="007D24E0">
      <w:pPr>
        <w:ind w:firstLine="709"/>
        <w:rPr>
          <w:color w:val="000000" w:themeColor="text1"/>
          <w:sz w:val="28"/>
          <w:szCs w:val="28"/>
        </w:rPr>
      </w:pPr>
    </w:p>
    <w:p w14:paraId="193E7A0E" w14:textId="0F721776"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Внутрішньо переміщені особи (ВПО)</w:t>
      </w:r>
    </w:p>
    <w:p w14:paraId="0CDD199F" w14:textId="5C48E1BE" w:rsidR="00334C25" w:rsidRPr="00334C25" w:rsidRDefault="00334C25" w:rsidP="007D24E0">
      <w:pPr>
        <w:ind w:firstLine="709"/>
        <w:rPr>
          <w:color w:val="000000" w:themeColor="text1"/>
          <w:sz w:val="28"/>
          <w:szCs w:val="28"/>
        </w:rPr>
      </w:pPr>
      <w:r w:rsidRPr="00334C25">
        <w:rPr>
          <w:color w:val="000000" w:themeColor="text1"/>
          <w:sz w:val="28"/>
          <w:szCs w:val="28"/>
        </w:rPr>
        <w:t xml:space="preserve">ВПО </w:t>
      </w:r>
      <w:r w:rsidR="008D7B0D">
        <w:rPr>
          <w:color w:val="000000" w:themeColor="text1"/>
          <w:sz w:val="28"/>
          <w:szCs w:val="28"/>
        </w:rPr>
        <w:t>-</w:t>
      </w:r>
      <w:r w:rsidRPr="00334C25">
        <w:rPr>
          <w:color w:val="000000" w:themeColor="text1"/>
          <w:sz w:val="28"/>
          <w:szCs w:val="28"/>
        </w:rPr>
        <w:t xml:space="preserve"> особи або групи, що були змушені переміститися всередині державних кордонів внаслідок конфлікту, насильства, порушень прав людини або іншої гуманітарної кризи, і які не перетинали міжнародного кордону. Визначення включає осіб як із формальною реєстрацією статусу ВПО, так і тих, хто фактично переселився, але не зареєстрував свій статус.</w:t>
      </w:r>
      <w:r w:rsidR="00EE3A37">
        <w:rPr>
          <w:rStyle w:val="af6"/>
          <w:color w:val="000000" w:themeColor="text1"/>
          <w:sz w:val="28"/>
          <w:szCs w:val="28"/>
        </w:rPr>
        <w:footnoteReference w:id="1"/>
      </w:r>
    </w:p>
    <w:p w14:paraId="192C9486" w14:textId="4F9027E5" w:rsidR="00334C25" w:rsidRPr="00EE3A37" w:rsidRDefault="00334C25" w:rsidP="007D24E0">
      <w:pPr>
        <w:ind w:firstLine="709"/>
        <w:rPr>
          <w:color w:val="000000" w:themeColor="text1"/>
          <w:sz w:val="28"/>
          <w:szCs w:val="28"/>
          <w:lang w:val="en-US"/>
        </w:rPr>
      </w:pPr>
      <w:proofErr w:type="spellStart"/>
      <w:r w:rsidRPr="00334C25">
        <w:rPr>
          <w:color w:val="000000" w:themeColor="text1"/>
          <w:sz w:val="28"/>
          <w:szCs w:val="28"/>
        </w:rPr>
        <w:t>Операціоналізація</w:t>
      </w:r>
      <w:proofErr w:type="spellEnd"/>
      <w:r w:rsidRPr="00334C25">
        <w:rPr>
          <w:color w:val="000000" w:themeColor="text1"/>
          <w:sz w:val="28"/>
          <w:szCs w:val="28"/>
        </w:rPr>
        <w:t xml:space="preserve">: статус реєстрації (зареєстрований/незареєстрований); тривалість переміщення </w:t>
      </w:r>
      <w:r w:rsidRPr="00334C25">
        <w:rPr>
          <w:color w:val="000000" w:themeColor="text1"/>
          <w:sz w:val="28"/>
          <w:szCs w:val="28"/>
        </w:rPr>
        <w:lastRenderedPageBreak/>
        <w:t>(дні/тижні/місяці); наявність документів, що підтверджують особу (так/ні); основна причина переміщення (конфлікт/інше). Джерела: анкети домогосподарств, дані ОДА/</w:t>
      </w:r>
      <w:proofErr w:type="spellStart"/>
      <w:r w:rsidRPr="00334C25">
        <w:rPr>
          <w:color w:val="000000" w:themeColor="text1"/>
          <w:sz w:val="28"/>
          <w:szCs w:val="28"/>
        </w:rPr>
        <w:t>Мінсоцполітики</w:t>
      </w:r>
      <w:proofErr w:type="spellEnd"/>
      <w:r w:rsidRPr="00334C25">
        <w:rPr>
          <w:color w:val="000000" w:themeColor="text1"/>
          <w:sz w:val="28"/>
          <w:szCs w:val="28"/>
        </w:rPr>
        <w:t>, інтерв’ю.</w:t>
      </w:r>
      <w:r w:rsidR="00EE3A37">
        <w:rPr>
          <w:color w:val="000000" w:themeColor="text1"/>
          <w:sz w:val="28"/>
          <w:szCs w:val="28"/>
          <w:lang w:val="en-US"/>
        </w:rPr>
        <w:t xml:space="preserve"> </w:t>
      </w:r>
    </w:p>
    <w:p w14:paraId="5E4A8F27" w14:textId="77777777" w:rsidR="00334C25" w:rsidRPr="00334C25" w:rsidRDefault="00334C25" w:rsidP="007D24E0">
      <w:pPr>
        <w:ind w:firstLine="709"/>
        <w:rPr>
          <w:color w:val="000000" w:themeColor="text1"/>
          <w:sz w:val="28"/>
          <w:szCs w:val="28"/>
        </w:rPr>
      </w:pPr>
    </w:p>
    <w:p w14:paraId="6D62A707" w14:textId="138C7BB2"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Соціальне забезпечення (</w:t>
      </w:r>
      <w:proofErr w:type="spellStart"/>
      <w:r w:rsidRPr="00334C25">
        <w:rPr>
          <w:color w:val="000000" w:themeColor="text1"/>
          <w:sz w:val="28"/>
          <w:szCs w:val="28"/>
          <w:u w:val="single"/>
        </w:rPr>
        <w:t>social</w:t>
      </w:r>
      <w:proofErr w:type="spellEnd"/>
      <w:r w:rsidRPr="00334C25">
        <w:rPr>
          <w:color w:val="000000" w:themeColor="text1"/>
          <w:sz w:val="28"/>
          <w:szCs w:val="28"/>
          <w:u w:val="single"/>
        </w:rPr>
        <w:t xml:space="preserve"> </w:t>
      </w:r>
      <w:proofErr w:type="spellStart"/>
      <w:r w:rsidRPr="00334C25">
        <w:rPr>
          <w:color w:val="000000" w:themeColor="text1"/>
          <w:sz w:val="28"/>
          <w:szCs w:val="28"/>
          <w:u w:val="single"/>
        </w:rPr>
        <w:t>protection</w:t>
      </w:r>
      <w:proofErr w:type="spellEnd"/>
      <w:r w:rsidRPr="00334C25">
        <w:rPr>
          <w:color w:val="000000" w:themeColor="text1"/>
          <w:sz w:val="28"/>
          <w:szCs w:val="28"/>
          <w:u w:val="single"/>
        </w:rPr>
        <w:t>)</w:t>
      </w:r>
    </w:p>
    <w:p w14:paraId="7CAEABE7" w14:textId="77777777" w:rsidR="00334C25" w:rsidRPr="00334C25" w:rsidRDefault="00334C25" w:rsidP="007D24E0">
      <w:pPr>
        <w:ind w:firstLine="709"/>
        <w:rPr>
          <w:color w:val="000000" w:themeColor="text1"/>
          <w:sz w:val="28"/>
          <w:szCs w:val="28"/>
        </w:rPr>
      </w:pPr>
      <w:r w:rsidRPr="00334C25">
        <w:rPr>
          <w:color w:val="000000" w:themeColor="text1"/>
          <w:sz w:val="28"/>
          <w:szCs w:val="28"/>
        </w:rPr>
        <w:t>Соціальне забезпечення розглядається як комплекс державних і недержавних заходів, спрямованих на зниження вразливості населення і забезпечення мінімального рівня добробуту: соціальні виплати, субсидії, соціальні послуги, доступ до охорони здоров’я та житлові програми. У контексті переміщення соціальне забезпечення охоплює процеси інформування, подачі заяв, верифікації та отримання допомоги.</w:t>
      </w:r>
    </w:p>
    <w:p w14:paraId="5405C091" w14:textId="68575EF2"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t>Операціоналізація</w:t>
      </w:r>
      <w:proofErr w:type="spellEnd"/>
      <w:r w:rsidRPr="00334C25">
        <w:rPr>
          <w:color w:val="000000" w:themeColor="text1"/>
          <w:sz w:val="28"/>
          <w:szCs w:val="28"/>
        </w:rPr>
        <w:t xml:space="preserve">: відсоток заяв, поданих і опрацьованих у строк; час від подачі заявки до отримання виплати; частка домогосподарств, що отримали мінімальний пакет послуг; рівень обізнаності щодо прав і процедур. Джерела: кейс-реєстри, статистика управлінь </w:t>
      </w:r>
      <w:proofErr w:type="spellStart"/>
      <w:r w:rsidRPr="00334C25">
        <w:rPr>
          <w:color w:val="000000" w:themeColor="text1"/>
          <w:sz w:val="28"/>
          <w:szCs w:val="28"/>
        </w:rPr>
        <w:t>соцзахисту</w:t>
      </w:r>
      <w:proofErr w:type="spellEnd"/>
      <w:r w:rsidRPr="00334C25">
        <w:rPr>
          <w:color w:val="000000" w:themeColor="text1"/>
          <w:sz w:val="28"/>
          <w:szCs w:val="28"/>
        </w:rPr>
        <w:t>, опитування.</w:t>
      </w:r>
      <w:r w:rsidR="00EE3A37">
        <w:rPr>
          <w:rStyle w:val="af6"/>
          <w:color w:val="000000" w:themeColor="text1"/>
          <w:sz w:val="28"/>
          <w:szCs w:val="28"/>
        </w:rPr>
        <w:footnoteReference w:id="2"/>
      </w:r>
    </w:p>
    <w:p w14:paraId="7BB95A0E" w14:textId="77777777" w:rsidR="00334C25" w:rsidRPr="00334C25" w:rsidRDefault="00334C25" w:rsidP="007D24E0">
      <w:pPr>
        <w:ind w:firstLine="709"/>
        <w:rPr>
          <w:color w:val="000000" w:themeColor="text1"/>
          <w:sz w:val="28"/>
          <w:szCs w:val="28"/>
        </w:rPr>
      </w:pPr>
    </w:p>
    <w:p w14:paraId="10C0D40F" w14:textId="27842502"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Доступ до послуг</w:t>
      </w:r>
    </w:p>
    <w:p w14:paraId="5093F86C" w14:textId="3604DD05" w:rsidR="00334C25" w:rsidRPr="00334C25" w:rsidRDefault="00334C25" w:rsidP="007D24E0">
      <w:pPr>
        <w:ind w:firstLine="709"/>
        <w:rPr>
          <w:color w:val="000000" w:themeColor="text1"/>
          <w:sz w:val="28"/>
          <w:szCs w:val="28"/>
        </w:rPr>
      </w:pPr>
      <w:r w:rsidRPr="00334C25">
        <w:rPr>
          <w:color w:val="000000" w:themeColor="text1"/>
          <w:sz w:val="28"/>
          <w:szCs w:val="28"/>
        </w:rPr>
        <w:t xml:space="preserve">Доступність послуг у дослідженні оцінюється через чотири виміри: </w:t>
      </w:r>
      <w:proofErr w:type="spellStart"/>
      <w:r w:rsidRPr="00334C25">
        <w:rPr>
          <w:color w:val="000000" w:themeColor="text1"/>
          <w:sz w:val="28"/>
          <w:szCs w:val="28"/>
        </w:rPr>
        <w:t>Availability</w:t>
      </w:r>
      <w:proofErr w:type="spellEnd"/>
      <w:r w:rsidRPr="00334C25">
        <w:rPr>
          <w:color w:val="000000" w:themeColor="text1"/>
          <w:sz w:val="28"/>
          <w:szCs w:val="28"/>
        </w:rPr>
        <w:t xml:space="preserve"> (наявність послуги в локації), </w:t>
      </w:r>
      <w:proofErr w:type="spellStart"/>
      <w:r w:rsidRPr="00334C25">
        <w:rPr>
          <w:color w:val="000000" w:themeColor="text1"/>
          <w:sz w:val="28"/>
          <w:szCs w:val="28"/>
        </w:rPr>
        <w:t>Accessibility</w:t>
      </w:r>
      <w:proofErr w:type="spellEnd"/>
      <w:r w:rsidRPr="00334C25">
        <w:rPr>
          <w:color w:val="000000" w:themeColor="text1"/>
          <w:sz w:val="28"/>
          <w:szCs w:val="28"/>
        </w:rPr>
        <w:t xml:space="preserve"> (географічна, економічна та інформаційна доступність), </w:t>
      </w:r>
      <w:proofErr w:type="spellStart"/>
      <w:r w:rsidRPr="00334C25">
        <w:rPr>
          <w:color w:val="000000" w:themeColor="text1"/>
          <w:sz w:val="28"/>
          <w:szCs w:val="28"/>
        </w:rPr>
        <w:t>Acceptability</w:t>
      </w:r>
      <w:proofErr w:type="spellEnd"/>
      <w:r w:rsidRPr="00334C25">
        <w:rPr>
          <w:color w:val="000000" w:themeColor="text1"/>
          <w:sz w:val="28"/>
          <w:szCs w:val="28"/>
        </w:rPr>
        <w:t xml:space="preserve"> (культурна і соціальна прийнятність), </w:t>
      </w:r>
      <w:proofErr w:type="spellStart"/>
      <w:r w:rsidRPr="00334C25">
        <w:rPr>
          <w:color w:val="000000" w:themeColor="text1"/>
          <w:sz w:val="28"/>
          <w:szCs w:val="28"/>
        </w:rPr>
        <w:t>Quality</w:t>
      </w:r>
      <w:proofErr w:type="spellEnd"/>
      <w:r w:rsidRPr="00334C25">
        <w:rPr>
          <w:color w:val="000000" w:themeColor="text1"/>
          <w:sz w:val="28"/>
          <w:szCs w:val="28"/>
        </w:rPr>
        <w:t xml:space="preserve"> (якість і відповідність стандартам). Такий підхід дозволяє комплексно виміряти, наскільки ефективно транзитні центри забезпечують потреби прибулих.</w:t>
      </w:r>
      <w:r w:rsidR="00EE3A37">
        <w:rPr>
          <w:rStyle w:val="af6"/>
          <w:color w:val="000000" w:themeColor="text1"/>
          <w:sz w:val="28"/>
          <w:szCs w:val="28"/>
        </w:rPr>
        <w:footnoteReference w:id="3"/>
      </w:r>
    </w:p>
    <w:p w14:paraId="57AE312F" w14:textId="77777777"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lastRenderedPageBreak/>
        <w:t>Операціоналізація</w:t>
      </w:r>
      <w:proofErr w:type="spellEnd"/>
      <w:r w:rsidRPr="00334C25">
        <w:rPr>
          <w:color w:val="000000" w:themeColor="text1"/>
          <w:sz w:val="28"/>
          <w:szCs w:val="28"/>
        </w:rPr>
        <w:t>: наявність переліку послуг у центрі (так/ні); середній час і відстань до точки надання послуг; витрати, необхідні для доступу; показник задоволеності користувачів (шкала 1–5); наявність документованих стандартів якості та процедур. Дані: опитування клієнтів, картографування послуг, інтерв’ю.</w:t>
      </w:r>
    </w:p>
    <w:p w14:paraId="50A1ABC5" w14:textId="77777777" w:rsidR="00334C25" w:rsidRPr="00334C25" w:rsidRDefault="00334C25" w:rsidP="007D24E0">
      <w:pPr>
        <w:ind w:firstLine="709"/>
        <w:rPr>
          <w:color w:val="000000" w:themeColor="text1"/>
          <w:sz w:val="28"/>
          <w:szCs w:val="28"/>
        </w:rPr>
      </w:pPr>
    </w:p>
    <w:p w14:paraId="65477A48" w14:textId="4BC389A4"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 xml:space="preserve">Перенаправлення / </w:t>
      </w:r>
      <w:proofErr w:type="spellStart"/>
      <w:r w:rsidRPr="00334C25">
        <w:rPr>
          <w:color w:val="000000" w:themeColor="text1"/>
          <w:sz w:val="28"/>
          <w:szCs w:val="28"/>
          <w:u w:val="single"/>
        </w:rPr>
        <w:t>реферальні</w:t>
      </w:r>
      <w:proofErr w:type="spellEnd"/>
      <w:r w:rsidRPr="00334C25">
        <w:rPr>
          <w:color w:val="000000" w:themeColor="text1"/>
          <w:sz w:val="28"/>
          <w:szCs w:val="28"/>
          <w:u w:val="single"/>
        </w:rPr>
        <w:t xml:space="preserve"> механізми </w:t>
      </w:r>
    </w:p>
    <w:p w14:paraId="022B1492" w14:textId="66874B06"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t>Реферальний</w:t>
      </w:r>
      <w:proofErr w:type="spellEnd"/>
      <w:r w:rsidRPr="00334C25">
        <w:rPr>
          <w:color w:val="000000" w:themeColor="text1"/>
          <w:sz w:val="28"/>
          <w:szCs w:val="28"/>
        </w:rPr>
        <w:t xml:space="preserve"> механізм у дослідженні </w:t>
      </w:r>
      <w:r w:rsidR="008D7B0D">
        <w:rPr>
          <w:color w:val="000000" w:themeColor="text1"/>
          <w:sz w:val="28"/>
          <w:szCs w:val="28"/>
        </w:rPr>
        <w:t>-</w:t>
      </w:r>
      <w:r w:rsidRPr="00334C25">
        <w:rPr>
          <w:color w:val="000000" w:themeColor="text1"/>
          <w:sz w:val="28"/>
          <w:szCs w:val="28"/>
        </w:rPr>
        <w:t xml:space="preserve"> це формалізований шлях, яким особа, виявлена на первинному рівні, спрямовується до спеціалізованих сервісів (медичних, правових, житлових, психологічних, GBV-сервісів). </w:t>
      </w:r>
      <w:proofErr w:type="spellStart"/>
      <w:r w:rsidRPr="00334C25">
        <w:rPr>
          <w:color w:val="000000" w:themeColor="text1"/>
          <w:sz w:val="28"/>
          <w:szCs w:val="28"/>
        </w:rPr>
        <w:t>Case</w:t>
      </w:r>
      <w:proofErr w:type="spellEnd"/>
      <w:r w:rsidRPr="00334C25">
        <w:rPr>
          <w:color w:val="000000" w:themeColor="text1"/>
          <w:sz w:val="28"/>
          <w:szCs w:val="28"/>
        </w:rPr>
        <w:t xml:space="preserve"> </w:t>
      </w:r>
      <w:proofErr w:type="spellStart"/>
      <w:r w:rsidRPr="00334C25">
        <w:rPr>
          <w:color w:val="000000" w:themeColor="text1"/>
          <w:sz w:val="28"/>
          <w:szCs w:val="28"/>
        </w:rPr>
        <w:t>management</w:t>
      </w:r>
      <w:proofErr w:type="spellEnd"/>
      <w:r w:rsidRPr="00334C25">
        <w:rPr>
          <w:color w:val="000000" w:themeColor="text1"/>
          <w:sz w:val="28"/>
          <w:szCs w:val="28"/>
        </w:rPr>
        <w:t xml:space="preserve"> означає індивідуальний супровід випадку з документуванням і моніторингом досягнення результату.</w:t>
      </w:r>
    </w:p>
    <w:p w14:paraId="49C0D48B" w14:textId="77777777"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t>Операціоналізація</w:t>
      </w:r>
      <w:proofErr w:type="spellEnd"/>
      <w:r w:rsidRPr="00334C25">
        <w:rPr>
          <w:color w:val="000000" w:themeColor="text1"/>
          <w:sz w:val="28"/>
          <w:szCs w:val="28"/>
        </w:rPr>
        <w:t xml:space="preserve">: наявність </w:t>
      </w:r>
      <w:proofErr w:type="spellStart"/>
      <w:r w:rsidRPr="00334C25">
        <w:rPr>
          <w:color w:val="000000" w:themeColor="text1"/>
          <w:sz w:val="28"/>
          <w:szCs w:val="28"/>
        </w:rPr>
        <w:t>реферальної</w:t>
      </w:r>
      <w:proofErr w:type="spellEnd"/>
      <w:r w:rsidRPr="00334C25">
        <w:rPr>
          <w:color w:val="000000" w:themeColor="text1"/>
          <w:sz w:val="28"/>
          <w:szCs w:val="28"/>
        </w:rPr>
        <w:t xml:space="preserve"> карти/протоколу (так/ні); частка </w:t>
      </w:r>
      <w:proofErr w:type="spellStart"/>
      <w:r w:rsidRPr="00334C25">
        <w:rPr>
          <w:color w:val="000000" w:themeColor="text1"/>
          <w:sz w:val="28"/>
          <w:szCs w:val="28"/>
        </w:rPr>
        <w:t>рефералів</w:t>
      </w:r>
      <w:proofErr w:type="spellEnd"/>
      <w:r w:rsidRPr="00334C25">
        <w:rPr>
          <w:color w:val="000000" w:themeColor="text1"/>
          <w:sz w:val="28"/>
          <w:szCs w:val="28"/>
        </w:rPr>
        <w:t xml:space="preserve">, що завершили отримання послуги; середній час від направлення до отримання послуги; наявність системи відстеження кейсу. Джерела: журнали </w:t>
      </w:r>
      <w:proofErr w:type="spellStart"/>
      <w:r w:rsidRPr="00334C25">
        <w:rPr>
          <w:color w:val="000000" w:themeColor="text1"/>
          <w:sz w:val="28"/>
          <w:szCs w:val="28"/>
        </w:rPr>
        <w:t>рефералів</w:t>
      </w:r>
      <w:proofErr w:type="spellEnd"/>
      <w:r w:rsidRPr="00334C25">
        <w:rPr>
          <w:color w:val="000000" w:themeColor="text1"/>
          <w:sz w:val="28"/>
          <w:szCs w:val="28"/>
        </w:rPr>
        <w:t>, кейс-системи, інтерв’ю.</w:t>
      </w:r>
    </w:p>
    <w:p w14:paraId="05A6B87C" w14:textId="77777777" w:rsidR="00334C25" w:rsidRPr="00334C25" w:rsidRDefault="00334C25" w:rsidP="007D24E0">
      <w:pPr>
        <w:ind w:firstLine="709"/>
        <w:rPr>
          <w:color w:val="000000" w:themeColor="text1"/>
          <w:sz w:val="28"/>
          <w:szCs w:val="28"/>
        </w:rPr>
      </w:pPr>
    </w:p>
    <w:p w14:paraId="68002B4F" w14:textId="56C7891F"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 xml:space="preserve">Інклюзія </w:t>
      </w:r>
    </w:p>
    <w:p w14:paraId="698A73BA" w14:textId="77777777" w:rsidR="00334C25" w:rsidRPr="00334C25" w:rsidRDefault="00334C25" w:rsidP="007D24E0">
      <w:pPr>
        <w:ind w:firstLine="709"/>
        <w:rPr>
          <w:color w:val="000000" w:themeColor="text1"/>
          <w:sz w:val="28"/>
          <w:szCs w:val="28"/>
        </w:rPr>
      </w:pPr>
      <w:r w:rsidRPr="00334C25">
        <w:rPr>
          <w:color w:val="000000" w:themeColor="text1"/>
          <w:sz w:val="28"/>
          <w:szCs w:val="28"/>
        </w:rPr>
        <w:t xml:space="preserve">Інклюзія означає забезпечення рівного доступу для осіб з інвалідністю через усунення фізичних, інформаційних і процедурних бар’єрів, а також впровадження </w:t>
      </w:r>
      <w:proofErr w:type="spellStart"/>
      <w:r w:rsidRPr="00334C25">
        <w:rPr>
          <w:color w:val="000000" w:themeColor="text1"/>
          <w:sz w:val="28"/>
          <w:szCs w:val="28"/>
        </w:rPr>
        <w:t>адаптацій</w:t>
      </w:r>
      <w:proofErr w:type="spellEnd"/>
      <w:r w:rsidRPr="00334C25">
        <w:rPr>
          <w:color w:val="000000" w:themeColor="text1"/>
          <w:sz w:val="28"/>
          <w:szCs w:val="28"/>
        </w:rPr>
        <w:t xml:space="preserve"> та спеціалізованих послуг. Для оцінки інклюзії важливо враховувати різноманітні потреби (рухові, сенсорні, когнітивні).</w:t>
      </w:r>
    </w:p>
    <w:p w14:paraId="7F869456" w14:textId="77777777"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t>Операціоналізація</w:t>
      </w:r>
      <w:proofErr w:type="spellEnd"/>
      <w:r w:rsidRPr="00334C25">
        <w:rPr>
          <w:color w:val="000000" w:themeColor="text1"/>
          <w:sz w:val="28"/>
          <w:szCs w:val="28"/>
        </w:rPr>
        <w:t xml:space="preserve">: наявність інфраструктурних </w:t>
      </w:r>
      <w:proofErr w:type="spellStart"/>
      <w:r w:rsidRPr="00334C25">
        <w:rPr>
          <w:color w:val="000000" w:themeColor="text1"/>
          <w:sz w:val="28"/>
          <w:szCs w:val="28"/>
        </w:rPr>
        <w:t>адаптацій</w:t>
      </w:r>
      <w:proofErr w:type="spellEnd"/>
      <w:r w:rsidRPr="00334C25">
        <w:rPr>
          <w:color w:val="000000" w:themeColor="text1"/>
          <w:sz w:val="28"/>
          <w:szCs w:val="28"/>
        </w:rPr>
        <w:t xml:space="preserve"> (пандуси, доступні WC); доступність інформації у різних форматах; частка людей з інвалідністю серед користувачів і відсоток тих, хто отримав необхідні </w:t>
      </w:r>
      <w:r w:rsidRPr="00334C25">
        <w:rPr>
          <w:color w:val="000000" w:themeColor="text1"/>
          <w:sz w:val="28"/>
          <w:szCs w:val="28"/>
        </w:rPr>
        <w:lastRenderedPageBreak/>
        <w:t>послуги; наявність навчання персоналу з інклюзії. Джерела: інспекція об’єктів, анкети, звіти з інклюзії.</w:t>
      </w:r>
    </w:p>
    <w:p w14:paraId="68F5AB6A" w14:textId="77777777" w:rsidR="00334C25" w:rsidRPr="00334C25" w:rsidRDefault="00334C25" w:rsidP="007D24E0">
      <w:pPr>
        <w:ind w:firstLine="709"/>
        <w:rPr>
          <w:color w:val="000000" w:themeColor="text1"/>
          <w:sz w:val="28"/>
          <w:szCs w:val="28"/>
        </w:rPr>
      </w:pPr>
    </w:p>
    <w:p w14:paraId="33BDEB3C" w14:textId="77777777" w:rsidR="00334C25" w:rsidRPr="00334C25" w:rsidRDefault="00334C25" w:rsidP="007D24E0">
      <w:pPr>
        <w:ind w:firstLine="709"/>
        <w:rPr>
          <w:color w:val="000000" w:themeColor="text1"/>
          <w:sz w:val="28"/>
          <w:szCs w:val="28"/>
        </w:rPr>
      </w:pPr>
      <w:r w:rsidRPr="00334C25">
        <w:rPr>
          <w:color w:val="000000" w:themeColor="text1"/>
          <w:sz w:val="28"/>
          <w:szCs w:val="28"/>
        </w:rPr>
        <w:t>Гуманітарні стандарти (</w:t>
      </w:r>
      <w:proofErr w:type="spellStart"/>
      <w:r w:rsidRPr="00334C25">
        <w:rPr>
          <w:color w:val="000000" w:themeColor="text1"/>
          <w:sz w:val="28"/>
          <w:szCs w:val="28"/>
        </w:rPr>
        <w:t>Sphere</w:t>
      </w:r>
      <w:proofErr w:type="spellEnd"/>
      <w:r w:rsidRPr="00334C25">
        <w:rPr>
          <w:color w:val="000000" w:themeColor="text1"/>
          <w:sz w:val="28"/>
          <w:szCs w:val="28"/>
        </w:rPr>
        <w:t xml:space="preserve">, IASC, PSEA, MHPSS </w:t>
      </w:r>
      <w:proofErr w:type="spellStart"/>
      <w:r w:rsidRPr="00334C25">
        <w:rPr>
          <w:color w:val="000000" w:themeColor="text1"/>
          <w:sz w:val="28"/>
          <w:szCs w:val="28"/>
        </w:rPr>
        <w:t>basics</w:t>
      </w:r>
      <w:proofErr w:type="spellEnd"/>
      <w:r w:rsidRPr="00334C25">
        <w:rPr>
          <w:color w:val="000000" w:themeColor="text1"/>
          <w:sz w:val="28"/>
          <w:szCs w:val="28"/>
        </w:rPr>
        <w:t>).</w:t>
      </w:r>
    </w:p>
    <w:p w14:paraId="17F61B97" w14:textId="399CB01C" w:rsidR="00334C25" w:rsidRPr="00334C25" w:rsidRDefault="00334C25" w:rsidP="007D24E0">
      <w:pPr>
        <w:ind w:firstLine="709"/>
        <w:rPr>
          <w:color w:val="000000" w:themeColor="text1"/>
          <w:sz w:val="28"/>
          <w:szCs w:val="28"/>
        </w:rPr>
      </w:pPr>
      <w:r w:rsidRPr="00334C25">
        <w:rPr>
          <w:color w:val="000000" w:themeColor="text1"/>
          <w:sz w:val="28"/>
          <w:szCs w:val="28"/>
        </w:rPr>
        <w:t>Гуманітарні стандарти включають мінімальні вимоги до якості і обсягу допомоги (</w:t>
      </w:r>
      <w:proofErr w:type="spellStart"/>
      <w:r w:rsidRPr="00334C25">
        <w:rPr>
          <w:color w:val="000000" w:themeColor="text1"/>
          <w:sz w:val="28"/>
          <w:szCs w:val="28"/>
        </w:rPr>
        <w:t>Sphere</w:t>
      </w:r>
      <w:proofErr w:type="spellEnd"/>
      <w:r w:rsidRPr="00334C25">
        <w:rPr>
          <w:color w:val="000000" w:themeColor="text1"/>
          <w:sz w:val="28"/>
          <w:szCs w:val="28"/>
        </w:rPr>
        <w:t xml:space="preserve">), </w:t>
      </w:r>
      <w:proofErr w:type="spellStart"/>
      <w:r w:rsidRPr="00334C25">
        <w:rPr>
          <w:color w:val="000000" w:themeColor="text1"/>
          <w:sz w:val="28"/>
          <w:szCs w:val="28"/>
        </w:rPr>
        <w:t>міжорганізаційні</w:t>
      </w:r>
      <w:proofErr w:type="spellEnd"/>
      <w:r w:rsidRPr="00334C25">
        <w:rPr>
          <w:color w:val="000000" w:themeColor="text1"/>
          <w:sz w:val="28"/>
          <w:szCs w:val="28"/>
        </w:rPr>
        <w:t xml:space="preserve"> настанови щодо координації та захисту (IASC), заходи запобігання сексуальної експлуатації та зловживань (PSEA) і базові принципи психосоціальної підтримки (MHPSS </w:t>
      </w:r>
      <w:proofErr w:type="spellStart"/>
      <w:r w:rsidRPr="00334C25">
        <w:rPr>
          <w:color w:val="000000" w:themeColor="text1"/>
          <w:sz w:val="28"/>
          <w:szCs w:val="28"/>
        </w:rPr>
        <w:t>basics</w:t>
      </w:r>
      <w:proofErr w:type="spellEnd"/>
      <w:r w:rsidRPr="00334C25">
        <w:rPr>
          <w:color w:val="000000" w:themeColor="text1"/>
          <w:sz w:val="28"/>
          <w:szCs w:val="28"/>
        </w:rPr>
        <w:t>). Інтеграція цих стандартів упорядковує практику роботи транзитних центрів і підвищує безпеку та якість послуг.</w:t>
      </w:r>
      <w:r w:rsidR="00EE3A37">
        <w:rPr>
          <w:rStyle w:val="af6"/>
          <w:color w:val="000000" w:themeColor="text1"/>
          <w:sz w:val="28"/>
          <w:szCs w:val="28"/>
        </w:rPr>
        <w:footnoteReference w:id="4"/>
      </w:r>
    </w:p>
    <w:p w14:paraId="578D2B92" w14:textId="77777777" w:rsidR="00334C25" w:rsidRPr="00334C25" w:rsidRDefault="00334C25" w:rsidP="007D24E0">
      <w:pPr>
        <w:ind w:firstLine="709"/>
        <w:rPr>
          <w:color w:val="000000" w:themeColor="text1"/>
          <w:sz w:val="28"/>
          <w:szCs w:val="28"/>
        </w:rPr>
      </w:pPr>
      <w:proofErr w:type="spellStart"/>
      <w:r w:rsidRPr="00334C25">
        <w:rPr>
          <w:color w:val="000000" w:themeColor="text1"/>
          <w:sz w:val="28"/>
          <w:szCs w:val="28"/>
        </w:rPr>
        <w:t>Операціоналізація</w:t>
      </w:r>
      <w:proofErr w:type="spellEnd"/>
      <w:r w:rsidRPr="00334C25">
        <w:rPr>
          <w:color w:val="000000" w:themeColor="text1"/>
          <w:sz w:val="28"/>
          <w:szCs w:val="28"/>
        </w:rPr>
        <w:t xml:space="preserve">: наявність політик/протоколів PSEA; відповідність мінімальним стандартам </w:t>
      </w:r>
      <w:proofErr w:type="spellStart"/>
      <w:r w:rsidRPr="00334C25">
        <w:rPr>
          <w:color w:val="000000" w:themeColor="text1"/>
          <w:sz w:val="28"/>
          <w:szCs w:val="28"/>
        </w:rPr>
        <w:t>Sphere</w:t>
      </w:r>
      <w:proofErr w:type="spellEnd"/>
      <w:r w:rsidRPr="00334C25">
        <w:rPr>
          <w:color w:val="000000" w:themeColor="text1"/>
          <w:sz w:val="28"/>
          <w:szCs w:val="28"/>
        </w:rPr>
        <w:t xml:space="preserve"> за чек-</w:t>
      </w:r>
      <w:proofErr w:type="spellStart"/>
      <w:r w:rsidRPr="00334C25">
        <w:rPr>
          <w:color w:val="000000" w:themeColor="text1"/>
          <w:sz w:val="28"/>
          <w:szCs w:val="28"/>
        </w:rPr>
        <w:t>лістом</w:t>
      </w:r>
      <w:proofErr w:type="spellEnd"/>
      <w:r w:rsidRPr="00334C25">
        <w:rPr>
          <w:color w:val="000000" w:themeColor="text1"/>
          <w:sz w:val="28"/>
          <w:szCs w:val="28"/>
        </w:rPr>
        <w:t>; наявність базових MHPSS-послуг або посилань на них; тренінги персоналу з дотримання стандартів. Дані: внутрішні документи центрів, тренінгові звіти, інтерв’ю.</w:t>
      </w:r>
    </w:p>
    <w:p w14:paraId="5DCD7753" w14:textId="77777777" w:rsidR="00334C25" w:rsidRPr="00334C25" w:rsidRDefault="00334C25" w:rsidP="007D24E0">
      <w:pPr>
        <w:ind w:firstLine="709"/>
        <w:rPr>
          <w:color w:val="000000" w:themeColor="text1"/>
          <w:sz w:val="28"/>
          <w:szCs w:val="28"/>
        </w:rPr>
      </w:pPr>
    </w:p>
    <w:p w14:paraId="2E678B96" w14:textId="11FBD648" w:rsidR="00334C25" w:rsidRPr="00334C25" w:rsidRDefault="00334C25" w:rsidP="007D24E0">
      <w:pPr>
        <w:ind w:firstLine="709"/>
        <w:rPr>
          <w:color w:val="000000" w:themeColor="text1"/>
          <w:sz w:val="28"/>
          <w:szCs w:val="28"/>
          <w:u w:val="single"/>
        </w:rPr>
      </w:pPr>
      <w:r w:rsidRPr="00334C25">
        <w:rPr>
          <w:color w:val="000000" w:themeColor="text1"/>
          <w:sz w:val="28"/>
          <w:szCs w:val="28"/>
          <w:u w:val="single"/>
        </w:rPr>
        <w:t xml:space="preserve">Узагальнення щодо </w:t>
      </w:r>
      <w:proofErr w:type="spellStart"/>
      <w:r w:rsidRPr="00334C25">
        <w:rPr>
          <w:color w:val="000000" w:themeColor="text1"/>
          <w:sz w:val="28"/>
          <w:szCs w:val="28"/>
          <w:u w:val="single"/>
        </w:rPr>
        <w:t>операціоналізації</w:t>
      </w:r>
      <w:proofErr w:type="spellEnd"/>
    </w:p>
    <w:p w14:paraId="71DB3C66" w14:textId="527E24F8" w:rsidR="00334C25" w:rsidRPr="00334C25" w:rsidRDefault="00334C25" w:rsidP="007D24E0">
      <w:pPr>
        <w:ind w:firstLine="709"/>
        <w:rPr>
          <w:color w:val="000000" w:themeColor="text1"/>
          <w:sz w:val="28"/>
          <w:szCs w:val="28"/>
        </w:rPr>
      </w:pPr>
      <w:r w:rsidRPr="00334C25">
        <w:rPr>
          <w:color w:val="000000" w:themeColor="text1"/>
          <w:sz w:val="28"/>
          <w:szCs w:val="28"/>
        </w:rPr>
        <w:t xml:space="preserve">Для кількісної оцінки використовуватимуться відсоткові показники, середні значення часу обробки запитів і кількості </w:t>
      </w:r>
      <w:proofErr w:type="spellStart"/>
      <w:r w:rsidRPr="00334C25">
        <w:rPr>
          <w:color w:val="000000" w:themeColor="text1"/>
          <w:sz w:val="28"/>
          <w:szCs w:val="28"/>
        </w:rPr>
        <w:t>рефералів</w:t>
      </w:r>
      <w:proofErr w:type="spellEnd"/>
      <w:r w:rsidRPr="00334C25">
        <w:rPr>
          <w:color w:val="000000" w:themeColor="text1"/>
          <w:sz w:val="28"/>
          <w:szCs w:val="28"/>
        </w:rPr>
        <w:t xml:space="preserve">; для якісного аналізу </w:t>
      </w:r>
      <w:r w:rsidR="008D7B0D">
        <w:rPr>
          <w:color w:val="000000" w:themeColor="text1"/>
          <w:sz w:val="28"/>
          <w:szCs w:val="28"/>
        </w:rPr>
        <w:t>-</w:t>
      </w:r>
      <w:r w:rsidRPr="00334C25">
        <w:rPr>
          <w:color w:val="000000" w:themeColor="text1"/>
          <w:sz w:val="28"/>
          <w:szCs w:val="28"/>
        </w:rPr>
        <w:t xml:space="preserve"> тематичне кодування інтерв’ю, кейсові описи та аналіз протоколів. Комбінація кількісних і якісних показників забезпечить комплексну оцінку своєчасності, повноти і якості послуг у транзитних центрах.</w:t>
      </w:r>
    </w:p>
    <w:p w14:paraId="241A115B" w14:textId="77777777" w:rsidR="00334C25" w:rsidRPr="00334C25" w:rsidRDefault="00334C25" w:rsidP="007D24E0">
      <w:pPr>
        <w:ind w:firstLine="709"/>
        <w:rPr>
          <w:color w:val="000000" w:themeColor="text1"/>
          <w:lang w:val="en-US"/>
        </w:rPr>
      </w:pPr>
    </w:p>
    <w:p w14:paraId="48E82198" w14:textId="36750266" w:rsidR="00334C25" w:rsidRPr="00334C25" w:rsidRDefault="00334C25" w:rsidP="007D24E0">
      <w:pPr>
        <w:pStyle w:val="3"/>
        <w:numPr>
          <w:ilvl w:val="2"/>
          <w:numId w:val="4"/>
        </w:numPr>
        <w:ind w:firstLine="709"/>
        <w:rPr>
          <w:color w:val="000000" w:themeColor="text1"/>
          <w:lang w:val="en-US"/>
        </w:rPr>
      </w:pPr>
      <w:bookmarkStart w:id="4" w:name="_Toc214217499"/>
      <w:proofErr w:type="spellStart"/>
      <w:r w:rsidRPr="00334C25">
        <w:rPr>
          <w:color w:val="000000" w:themeColor="text1"/>
        </w:rPr>
        <w:lastRenderedPageBreak/>
        <w:t>Теоритичні</w:t>
      </w:r>
      <w:proofErr w:type="spellEnd"/>
      <w:r w:rsidRPr="00334C25">
        <w:rPr>
          <w:color w:val="000000" w:themeColor="text1"/>
        </w:rPr>
        <w:t xml:space="preserve"> підходи до соціального забезпечення і міграцій</w:t>
      </w:r>
      <w:bookmarkEnd w:id="4"/>
    </w:p>
    <w:p w14:paraId="762FD7C4" w14:textId="77777777"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У цьому підрозділі розглядаються основні теоретичні рамки, які дають змогу осмислити роль транзитних центрів у системі соціального забезпечення за умов внутрішнього переміщення населення. Аналіз поєднує підходи з теорій соціального захисту, уявлення про режими держави добробуту, концептуальні моделі переміщень населення та класифікацію бар’єрів доступу до послуг. Поєднання цих підходів дозволяє сформувати критерії оцінки ефективності транзитних центрів і підстави для операціоналізації ключових показників у емпіричному дослідженні.  </w:t>
      </w:r>
    </w:p>
    <w:p w14:paraId="2475807A"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4ACE8EFA" w14:textId="77777777" w:rsidR="00334C25" w:rsidRPr="00334C25" w:rsidRDefault="00334C25" w:rsidP="007D24E0">
      <w:pPr>
        <w:spacing w:before="100" w:beforeAutospacing="1" w:after="100" w:afterAutospacing="1"/>
        <w:ind w:firstLine="709"/>
        <w:outlineLvl w:val="3"/>
        <w:rPr>
          <w:b/>
          <w:bCs/>
          <w:color w:val="000000" w:themeColor="text1"/>
          <w:sz w:val="28"/>
          <w:szCs w:val="28"/>
          <w:lang w:val="ru-UA"/>
        </w:rPr>
      </w:pPr>
      <w:r w:rsidRPr="00334C25">
        <w:rPr>
          <w:b/>
          <w:bCs/>
          <w:color w:val="000000" w:themeColor="text1"/>
          <w:sz w:val="28"/>
          <w:szCs w:val="28"/>
          <w:lang w:val="ru-UA"/>
        </w:rPr>
        <w:t>1.1.3.1. Теоретичні підходи до соціального захисту і моделі соціальної політики</w:t>
      </w:r>
    </w:p>
    <w:p w14:paraId="714FF1AC"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22F7400F" w14:textId="53763B6C"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Проблематика соціального захисту у науковій літературі розглядається у двох взаємопов’язаних площинах: як набір політичних рішень і ресурсних механізмів держави, та як система прав і гарантій для окремих громадян. У межах першого підходу порівнюють моделі організації системи добробуту </w:t>
      </w:r>
      <w:r w:rsidR="008D7B0D">
        <w:rPr>
          <w:color w:val="000000" w:themeColor="text1"/>
          <w:sz w:val="28"/>
          <w:szCs w:val="28"/>
          <w:lang w:val="ru-UA"/>
        </w:rPr>
        <w:t>-</w:t>
      </w:r>
      <w:r w:rsidRPr="00334C25">
        <w:rPr>
          <w:color w:val="000000" w:themeColor="text1"/>
          <w:sz w:val="28"/>
          <w:szCs w:val="28"/>
          <w:lang w:val="ru-UA"/>
        </w:rPr>
        <w:t xml:space="preserve"> від орієнтованих на ринок і цільових програм до універсальних систем соціального забезпечення. Такий поділ дозволяє пояснити, чому в різних державах і в різних місцевих умовах функціонування служб підтримки населення відрізняється за обсягом, доступністю та принципами надання допомоги.  </w:t>
      </w:r>
      <w:r w:rsidR="00EE3A37">
        <w:rPr>
          <w:rStyle w:val="af6"/>
          <w:color w:val="000000" w:themeColor="text1"/>
          <w:sz w:val="28"/>
          <w:szCs w:val="28"/>
          <w:lang w:val="ru-UA"/>
        </w:rPr>
        <w:footnoteReference w:id="5"/>
      </w:r>
    </w:p>
    <w:p w14:paraId="02613A92"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6710B294" w14:textId="45A7F09D"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Другий важливий підхід </w:t>
      </w:r>
      <w:r w:rsidR="008D7B0D">
        <w:rPr>
          <w:color w:val="000000" w:themeColor="text1"/>
          <w:sz w:val="28"/>
          <w:szCs w:val="28"/>
          <w:lang w:val="ru-UA"/>
        </w:rPr>
        <w:t>-</w:t>
      </w:r>
      <w:r w:rsidRPr="00334C25">
        <w:rPr>
          <w:color w:val="000000" w:themeColor="text1"/>
          <w:sz w:val="28"/>
          <w:szCs w:val="28"/>
          <w:lang w:val="ru-UA"/>
        </w:rPr>
        <w:t xml:space="preserve"> це підхід, що базується на правах людини: соціальні послуги і виплати трактуються як частина гарантованих прав, а не лише як добірка благодійних чи тимчасових програм. З позиції прав людини наголос робиться на рівному доступі до мінімального пакета послуг і на обов’язку держави забезпечити механізми реалізації цих прав. Для транзитних центрів такий підхід означає необхідність гарантування процедур реєстрації, доступу до відновлення документів, інформаційної підтримки та мінімального набору соціальних послуг для кожного, хто прибуває.  </w:t>
      </w:r>
    </w:p>
    <w:p w14:paraId="069FB2CF"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379B6DEA" w14:textId="77777777"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Економічні та управлінські підходи до соціальної політики роблять наголос на ефективності та вимірюванні результатів: показники охоплення послуг, своєчасності виплат, витрат на одиницю підтримки. Ці підходи надають інструменти для порівняльного аналізу організаційних моделей транзитних центрів (наприклад, оцінка, наскільки ресурсні моделі забезпечують швидкий і повний доступ до послуг). У поєднанні з підходом прав людини вони формують рамку, у якій одночасно враховуються і справедливість, і операційна ефективність.  </w:t>
      </w:r>
    </w:p>
    <w:p w14:paraId="60D4851E"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5403CB4E" w14:textId="77777777" w:rsidR="00334C25" w:rsidRPr="00334C25" w:rsidRDefault="00334C25" w:rsidP="007D24E0">
      <w:pPr>
        <w:spacing w:before="100" w:beforeAutospacing="1" w:after="100" w:afterAutospacing="1"/>
        <w:ind w:firstLine="709"/>
        <w:outlineLvl w:val="3"/>
        <w:rPr>
          <w:b/>
          <w:bCs/>
          <w:color w:val="000000" w:themeColor="text1"/>
          <w:sz w:val="28"/>
          <w:szCs w:val="28"/>
          <w:lang w:val="ru-UA"/>
        </w:rPr>
      </w:pPr>
      <w:r w:rsidRPr="00334C25">
        <w:rPr>
          <w:b/>
          <w:bCs/>
          <w:color w:val="000000" w:themeColor="text1"/>
          <w:sz w:val="28"/>
          <w:szCs w:val="28"/>
          <w:lang w:val="ru-UA"/>
        </w:rPr>
        <w:t>1.1.3.2. Теоретичні уявлення про переміщення населення та фазовий підхід</w:t>
      </w:r>
    </w:p>
    <w:p w14:paraId="309B4F65"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5141AA49" w14:textId="56C68316"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Аналіз міграційних процесів, зокрема внутрішнього переміщення, вимагає розрізнення часових фаз та понять короткострокової й довгострокової адаптації. У багатьох дослідженнях виділяють щонайменше три фази: початковий (прийом і забезпечення базових потреб), перехідний (налагодження зв’язків зі службами, пошук житла та стабілізація) і довгостроковий (соціальна інтеграція, працевлаштування, доступ до сталих послуг). Транзитні центри, як правило, працюють у межах перших двох фаз і тому їхня ефективність визначається насамперед швидкістю та повнотою первинних інтервенцій.  </w:t>
      </w:r>
      <w:r w:rsidR="00EE3A37">
        <w:rPr>
          <w:rStyle w:val="af6"/>
          <w:color w:val="000000" w:themeColor="text1"/>
          <w:sz w:val="28"/>
          <w:szCs w:val="28"/>
          <w:lang w:val="ru-UA"/>
        </w:rPr>
        <w:footnoteReference w:id="6"/>
      </w:r>
    </w:p>
    <w:p w14:paraId="5F2E8F21"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1835D250" w14:textId="77777777"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Теорії попиту і пропозиції послуг у контексті переміщення підкреслюють, що наявність ресурсів і структурних механізмів не автоматично забезпечує їх використання: попит формується не лише через потребу, а й через інформованість, довіру до системи та відсутність бар’єрів. Практичні оцінки внутрішнього переміщення в Україні підтверджують, що значна частина проблем ВПО пов’язані саме з процедурною складністю, незнанням прав та відсутністю узгоджених каналів доступу до допомоги.  </w:t>
      </w:r>
    </w:p>
    <w:p w14:paraId="63D1FB10"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099970E7" w14:textId="77777777"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Психологічні та соціальні аспекти адаптації (посттравматичні впливи, стресова мобільність, соціальна ізоляція) також впливають на здатність особи скористатися доступними послугами. Дослідження українських </w:t>
      </w:r>
      <w:r w:rsidRPr="00334C25">
        <w:rPr>
          <w:color w:val="000000" w:themeColor="text1"/>
          <w:sz w:val="28"/>
          <w:szCs w:val="28"/>
          <w:lang w:val="ru-UA"/>
        </w:rPr>
        <w:lastRenderedPageBreak/>
        <w:t xml:space="preserve">авторів показують, що пережиті травми, нестабільність соціальних мереж і економічна невизначеність посилюють бар’єри інтеграції, а отже, вимагають включення психосоціальної підтримки до пакету послуг транзитних центрів.  </w:t>
      </w:r>
    </w:p>
    <w:p w14:paraId="5E8D0A75"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63D721B7" w14:textId="77777777" w:rsidR="00334C25" w:rsidRPr="00334C25" w:rsidRDefault="00334C25" w:rsidP="007D24E0">
      <w:pPr>
        <w:spacing w:before="100" w:beforeAutospacing="1" w:after="100" w:afterAutospacing="1"/>
        <w:ind w:firstLine="709"/>
        <w:outlineLvl w:val="3"/>
        <w:rPr>
          <w:b/>
          <w:bCs/>
          <w:color w:val="000000" w:themeColor="text1"/>
          <w:sz w:val="28"/>
          <w:szCs w:val="28"/>
          <w:lang w:val="ru-UA"/>
        </w:rPr>
      </w:pPr>
      <w:r w:rsidRPr="00334C25">
        <w:rPr>
          <w:b/>
          <w:bCs/>
          <w:color w:val="000000" w:themeColor="text1"/>
          <w:sz w:val="28"/>
          <w:szCs w:val="28"/>
          <w:lang w:val="ru-UA"/>
        </w:rPr>
        <w:t>1.1.3.3. Теорії доступності послуг: класифікація бар’єрів</w:t>
      </w:r>
    </w:p>
    <w:p w14:paraId="4F3542F2" w14:textId="77777777" w:rsidR="00334C25" w:rsidRPr="00334C25" w:rsidRDefault="00334C25" w:rsidP="007D24E0">
      <w:pPr>
        <w:spacing w:before="100" w:beforeAutospacing="1" w:after="100" w:afterAutospacing="1"/>
        <w:ind w:firstLine="709"/>
        <w:rPr>
          <w:color w:val="000000" w:themeColor="text1"/>
          <w:sz w:val="28"/>
          <w:szCs w:val="28"/>
          <w:lang w:val="ru-UA"/>
        </w:rPr>
      </w:pPr>
    </w:p>
    <w:p w14:paraId="4956131B" w14:textId="77777777" w:rsidR="00334C25" w:rsidRPr="00334C25" w:rsidRDefault="00334C25" w:rsidP="007D24E0">
      <w:pPr>
        <w:spacing w:before="100" w:beforeAutospacing="1" w:after="100" w:afterAutospacing="1"/>
        <w:ind w:firstLine="709"/>
        <w:rPr>
          <w:color w:val="000000" w:themeColor="text1"/>
          <w:sz w:val="28"/>
          <w:szCs w:val="28"/>
          <w:lang w:val="ru-UA"/>
        </w:rPr>
      </w:pPr>
      <w:r w:rsidRPr="00334C25">
        <w:rPr>
          <w:color w:val="000000" w:themeColor="text1"/>
          <w:sz w:val="28"/>
          <w:szCs w:val="28"/>
          <w:lang w:val="ru-UA"/>
        </w:rPr>
        <w:t xml:space="preserve">Теорія доступності послуг розглядає проблему через призму перешкод, що унеможливлюють або ускладнюють звернення за допомогою. У літературі та практичних оглядах ці перешкоди поділяють на кілька типів: правові, географічні, інформаційні, економічні та соціокультурні. Розуміння природи кожного з цих бар’єрів є ключовим для розробки цілеспрямованих інтервенцій у транзитних центрах.  </w:t>
      </w:r>
    </w:p>
    <w:p w14:paraId="0627E0CF" w14:textId="0489B298" w:rsidR="00334C25" w:rsidRPr="00334C25" w:rsidRDefault="00334C25" w:rsidP="00334C25">
      <w:pPr>
        <w:numPr>
          <w:ilvl w:val="0"/>
          <w:numId w:val="25"/>
        </w:numPr>
        <w:spacing w:before="100" w:beforeAutospacing="1" w:after="100" w:afterAutospacing="1"/>
        <w:rPr>
          <w:color w:val="000000" w:themeColor="text1"/>
          <w:sz w:val="28"/>
          <w:szCs w:val="28"/>
          <w:lang w:val="ru-UA"/>
        </w:rPr>
      </w:pPr>
      <w:proofErr w:type="spellStart"/>
      <w:r w:rsidRPr="00334C25">
        <w:rPr>
          <w:b/>
          <w:bCs/>
          <w:color w:val="000000" w:themeColor="text1"/>
          <w:sz w:val="28"/>
          <w:szCs w:val="28"/>
          <w:lang w:val="ru-UA"/>
        </w:rPr>
        <w:t>Правові</w:t>
      </w:r>
      <w:proofErr w:type="spellEnd"/>
      <w:r w:rsidRPr="00334C25">
        <w:rPr>
          <w:b/>
          <w:bCs/>
          <w:color w:val="000000" w:themeColor="text1"/>
          <w:sz w:val="28"/>
          <w:szCs w:val="28"/>
          <w:lang w:val="ru-UA"/>
        </w:rPr>
        <w:t xml:space="preserve"> </w:t>
      </w:r>
      <w:proofErr w:type="spellStart"/>
      <w:r w:rsidRPr="00334C25">
        <w:rPr>
          <w:b/>
          <w:bCs/>
          <w:color w:val="000000" w:themeColor="text1"/>
          <w:sz w:val="28"/>
          <w:szCs w:val="28"/>
          <w:lang w:val="ru-UA"/>
        </w:rPr>
        <w:t>бар’єри</w:t>
      </w:r>
      <w:proofErr w:type="spellEnd"/>
      <w:r w:rsidRPr="00334C25">
        <w:rPr>
          <w:b/>
          <w:bCs/>
          <w:color w:val="000000" w:themeColor="text1"/>
          <w:sz w:val="28"/>
          <w:szCs w:val="28"/>
          <w:lang w:val="ru-UA"/>
        </w:rPr>
        <w:t>.</w:t>
      </w:r>
      <w:r w:rsidRPr="00334C25">
        <w:rPr>
          <w:color w:val="000000" w:themeColor="text1"/>
          <w:sz w:val="28"/>
          <w:szCs w:val="28"/>
          <w:lang w:val="ru-UA"/>
        </w:rPr>
        <w:t xml:space="preserve"> Наявність або відсутність документів, складність процедур верифікації, відмінності у застосуванні нормативних актів по відношенню до різних категорій внутрішньо переміщених осіб </w:t>
      </w:r>
      <w:r w:rsidR="008D7B0D">
        <w:rPr>
          <w:color w:val="000000" w:themeColor="text1"/>
          <w:sz w:val="28"/>
          <w:szCs w:val="28"/>
          <w:lang w:val="ru-UA"/>
        </w:rPr>
        <w:t>-</w:t>
      </w:r>
      <w:r w:rsidRPr="00334C25">
        <w:rPr>
          <w:color w:val="000000" w:themeColor="text1"/>
          <w:sz w:val="28"/>
          <w:szCs w:val="28"/>
          <w:lang w:val="ru-UA"/>
        </w:rPr>
        <w:t xml:space="preserve"> все це обмежує можливість отримати виплати або соціальні послуги. Офіційні звіти вказують на системні проблеми з процедурою взяття на облік та подальшою верифікацією, які призводять до затримок у нарахуванні допомоги.  </w:t>
      </w:r>
    </w:p>
    <w:p w14:paraId="42E80B30" w14:textId="77777777" w:rsidR="00334C25" w:rsidRPr="00334C25" w:rsidRDefault="00334C25" w:rsidP="00334C25">
      <w:pPr>
        <w:numPr>
          <w:ilvl w:val="0"/>
          <w:numId w:val="25"/>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Географічні бар’єри.</w:t>
      </w:r>
      <w:r w:rsidRPr="00334C25">
        <w:rPr>
          <w:color w:val="000000" w:themeColor="text1"/>
          <w:sz w:val="28"/>
          <w:szCs w:val="28"/>
          <w:lang w:val="ru-UA"/>
        </w:rPr>
        <w:t xml:space="preserve"> Відстань до пунктів надання послуг, відсутність транспорту чи його дороговартісність, недоступність локацій для людей з порушенням рухової функції зменшують можливість своєчасного звернення. Моніторингові звіти з місць тимчасового розміщення вказують на проблеми інфраструктури та її непридатність для тривалого перебування.  </w:t>
      </w:r>
    </w:p>
    <w:p w14:paraId="5B020DCC" w14:textId="3F85AB2B" w:rsidR="00334C25" w:rsidRPr="00334C25" w:rsidRDefault="00334C25" w:rsidP="00334C25">
      <w:pPr>
        <w:numPr>
          <w:ilvl w:val="0"/>
          <w:numId w:val="25"/>
        </w:numPr>
        <w:spacing w:before="100" w:beforeAutospacing="1" w:after="100" w:afterAutospacing="1"/>
        <w:rPr>
          <w:color w:val="000000" w:themeColor="text1"/>
          <w:sz w:val="28"/>
          <w:szCs w:val="28"/>
          <w:lang w:val="ru-UA"/>
        </w:rPr>
      </w:pPr>
      <w:r w:rsidRPr="00334C25">
        <w:rPr>
          <w:b/>
          <w:bCs/>
          <w:color w:val="000000" w:themeColor="text1"/>
          <w:sz w:val="28"/>
          <w:szCs w:val="28"/>
          <w:lang w:val="ru-UA"/>
        </w:rPr>
        <w:lastRenderedPageBreak/>
        <w:t>Інформаційні бар’єри.</w:t>
      </w:r>
      <w:r w:rsidRPr="00334C25">
        <w:rPr>
          <w:color w:val="000000" w:themeColor="text1"/>
          <w:sz w:val="28"/>
          <w:szCs w:val="28"/>
          <w:lang w:val="ru-UA"/>
        </w:rPr>
        <w:t xml:space="preserve"> Недостатня поінформованість про наявні послуги, способи подачі заяв, відсутність матеріалів мовою, зрозумілою для різних груп, або невідповідні канали інформування </w:t>
      </w:r>
      <w:r w:rsidR="008D7B0D">
        <w:rPr>
          <w:color w:val="000000" w:themeColor="text1"/>
          <w:sz w:val="28"/>
          <w:szCs w:val="28"/>
          <w:lang w:val="ru-UA"/>
        </w:rPr>
        <w:t>-</w:t>
      </w:r>
      <w:r w:rsidRPr="00334C25">
        <w:rPr>
          <w:color w:val="000000" w:themeColor="text1"/>
          <w:sz w:val="28"/>
          <w:szCs w:val="28"/>
          <w:lang w:val="ru-UA"/>
        </w:rPr>
        <w:t xml:space="preserve"> все це зменшує попит на послуги навіть за умови їх доступності. Аналітичні огляди підкреслюють необхідність системного інформування та простих, прозорих процедур.  </w:t>
      </w:r>
    </w:p>
    <w:p w14:paraId="78D83162" w14:textId="77777777" w:rsidR="00334C25" w:rsidRPr="00334C25" w:rsidRDefault="00334C25" w:rsidP="00334C25">
      <w:pPr>
        <w:numPr>
          <w:ilvl w:val="0"/>
          <w:numId w:val="25"/>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Економічні та соціокультурні бар’єри.</w:t>
      </w:r>
      <w:r w:rsidRPr="00334C25">
        <w:rPr>
          <w:color w:val="000000" w:themeColor="text1"/>
          <w:sz w:val="28"/>
          <w:szCs w:val="28"/>
          <w:lang w:val="ru-UA"/>
        </w:rPr>
        <w:t xml:space="preserve"> Наявність прихованих витрат (на дорогу, на оформлення документів), побоювання щодо стигми або безпеки (особливо для жінок і дітей) створюють додаткові перешкоди. Ці бар’єри вимагають гендерно-чутливого та віковочутливого підходу при організації транзитних центрів.  </w:t>
      </w:r>
    </w:p>
    <w:p w14:paraId="18EB7A7C" w14:textId="77777777" w:rsidR="00334C25" w:rsidRPr="00334C25" w:rsidRDefault="00334C25" w:rsidP="00334C25">
      <w:pPr>
        <w:spacing w:before="100" w:beforeAutospacing="1" w:after="100" w:afterAutospacing="1"/>
        <w:rPr>
          <w:color w:val="000000" w:themeColor="text1"/>
          <w:sz w:val="28"/>
          <w:szCs w:val="28"/>
          <w:lang w:val="ru-UA"/>
        </w:rPr>
      </w:pPr>
    </w:p>
    <w:p w14:paraId="1CC6A085" w14:textId="77777777" w:rsidR="00334C25" w:rsidRPr="00334C25" w:rsidRDefault="00334C25" w:rsidP="00334C25">
      <w:pPr>
        <w:spacing w:before="100" w:beforeAutospacing="1" w:after="100" w:afterAutospacing="1"/>
        <w:outlineLvl w:val="3"/>
        <w:rPr>
          <w:b/>
          <w:bCs/>
          <w:color w:val="000000" w:themeColor="text1"/>
          <w:sz w:val="28"/>
          <w:szCs w:val="28"/>
          <w:lang w:val="ru-UA"/>
        </w:rPr>
      </w:pPr>
      <w:r w:rsidRPr="00334C25">
        <w:rPr>
          <w:b/>
          <w:bCs/>
          <w:color w:val="000000" w:themeColor="text1"/>
          <w:sz w:val="28"/>
          <w:szCs w:val="28"/>
          <w:lang w:val="ru-UA"/>
        </w:rPr>
        <w:t>1.1.3.4. Інтеграція гуманітарних стандартів і підхід «інтеграції захисту»</w:t>
      </w:r>
    </w:p>
    <w:p w14:paraId="0B08CE02" w14:textId="77777777" w:rsidR="00334C25" w:rsidRPr="00334C25" w:rsidRDefault="00334C25" w:rsidP="00334C25">
      <w:pPr>
        <w:spacing w:before="100" w:beforeAutospacing="1" w:after="100" w:afterAutospacing="1"/>
        <w:rPr>
          <w:color w:val="000000" w:themeColor="text1"/>
          <w:sz w:val="28"/>
          <w:szCs w:val="28"/>
          <w:lang w:val="ru-UA"/>
        </w:rPr>
      </w:pPr>
    </w:p>
    <w:p w14:paraId="3B120070" w14:textId="1FB97100" w:rsidR="00334C25" w:rsidRPr="00334C25" w:rsidRDefault="00334C25" w:rsidP="00334C25">
      <w:pPr>
        <w:spacing w:before="100" w:beforeAutospacing="1" w:after="100" w:afterAutospacing="1"/>
        <w:ind w:firstLine="708"/>
        <w:rPr>
          <w:color w:val="000000" w:themeColor="text1"/>
          <w:sz w:val="28"/>
          <w:szCs w:val="28"/>
          <w:lang w:val="ru-UA"/>
        </w:rPr>
      </w:pPr>
      <w:r w:rsidRPr="00334C25">
        <w:rPr>
          <w:color w:val="000000" w:themeColor="text1"/>
          <w:sz w:val="28"/>
          <w:szCs w:val="28"/>
          <w:lang w:val="ru-UA"/>
        </w:rPr>
        <w:t xml:space="preserve">Гуманітарні стандарти (наприклад, посібник «Сфера» та міжагентські настанови) пропонують мінімальні вимоги до організації базових послуг, водночас наголошуючи на безпеці, якості та підзвітності щодо постраждалого населення. Включення стандартів у роботу транзитних центрів забезпечує уніфікацію процедур і критеріїв якості, які можна використовувати як орієнтири при оцінці своєчасності й повноти надання послуг.  </w:t>
      </w:r>
    </w:p>
    <w:p w14:paraId="3CA7AD9E" w14:textId="703BDC25" w:rsidR="00334C25" w:rsidRPr="00334C25" w:rsidRDefault="00334C25" w:rsidP="00334C25">
      <w:pPr>
        <w:spacing w:before="100" w:beforeAutospacing="1" w:after="100" w:afterAutospacing="1"/>
        <w:ind w:firstLine="708"/>
        <w:rPr>
          <w:color w:val="000000" w:themeColor="text1"/>
          <w:sz w:val="28"/>
          <w:szCs w:val="28"/>
          <w:lang w:val="ru-UA"/>
        </w:rPr>
      </w:pPr>
      <w:r w:rsidRPr="00334C25">
        <w:rPr>
          <w:color w:val="000000" w:themeColor="text1"/>
          <w:sz w:val="28"/>
          <w:szCs w:val="28"/>
          <w:lang w:val="ru-UA"/>
        </w:rPr>
        <w:t xml:space="preserve">Підхід «інтеграції захисту» (protection mainstreaming) рекомендує включати питання захисту в усі сектори діяльності </w:t>
      </w:r>
      <w:r w:rsidR="008D7B0D">
        <w:rPr>
          <w:color w:val="000000" w:themeColor="text1"/>
          <w:sz w:val="28"/>
          <w:szCs w:val="28"/>
          <w:lang w:val="ru-UA"/>
        </w:rPr>
        <w:t>-</w:t>
      </w:r>
      <w:r w:rsidRPr="00334C25">
        <w:rPr>
          <w:color w:val="000000" w:themeColor="text1"/>
          <w:sz w:val="28"/>
          <w:szCs w:val="28"/>
          <w:lang w:val="ru-UA"/>
        </w:rPr>
        <w:t xml:space="preserve"> від водопостачання й санітарії до реєстрації і надання соціальної допомоги. Для транзитних центрів це означає, що кожна операція повинна бути оцінена з точки зору ризиків для безпеки та прав людей: чи не піддає процедура додатковому </w:t>
      </w:r>
      <w:r w:rsidRPr="00334C25">
        <w:rPr>
          <w:color w:val="000000" w:themeColor="text1"/>
          <w:sz w:val="28"/>
          <w:szCs w:val="28"/>
          <w:lang w:val="ru-UA"/>
        </w:rPr>
        <w:lastRenderedPageBreak/>
        <w:t xml:space="preserve">ризику, чи доступна вона для вразливих груп, чи існують механізми скарг і реагування. Практичні інструменти для інтеграції захисту вже застосовуються в українському гуманітарному середовищі і можуть слугувати шаблоном для розробки внутрішніх протоколів транзитних центрів.  </w:t>
      </w:r>
    </w:p>
    <w:p w14:paraId="07BC5394" w14:textId="77777777" w:rsidR="00334C25" w:rsidRPr="00334C25" w:rsidRDefault="00334C25" w:rsidP="00334C25">
      <w:pPr>
        <w:spacing w:before="100" w:beforeAutospacing="1" w:after="100" w:afterAutospacing="1"/>
        <w:rPr>
          <w:color w:val="000000" w:themeColor="text1"/>
          <w:sz w:val="28"/>
          <w:szCs w:val="28"/>
          <w:lang w:val="ru-UA"/>
        </w:rPr>
      </w:pPr>
    </w:p>
    <w:p w14:paraId="5EDF0BB0" w14:textId="77777777" w:rsidR="00334C25" w:rsidRPr="00334C25" w:rsidRDefault="00334C25" w:rsidP="00334C25">
      <w:pPr>
        <w:spacing w:before="100" w:beforeAutospacing="1" w:after="100" w:afterAutospacing="1"/>
        <w:outlineLvl w:val="3"/>
        <w:rPr>
          <w:b/>
          <w:bCs/>
          <w:color w:val="000000" w:themeColor="text1"/>
          <w:sz w:val="28"/>
          <w:szCs w:val="28"/>
          <w:lang w:val="ru-UA"/>
        </w:rPr>
      </w:pPr>
      <w:r w:rsidRPr="00334C25">
        <w:rPr>
          <w:b/>
          <w:bCs/>
          <w:color w:val="000000" w:themeColor="text1"/>
          <w:sz w:val="28"/>
          <w:szCs w:val="28"/>
          <w:lang w:val="ru-UA"/>
        </w:rPr>
        <w:t>1.1.3.5. Синтез і наслідки для подальшого дослідження</w:t>
      </w:r>
    </w:p>
    <w:p w14:paraId="2DD03E3F" w14:textId="77777777" w:rsidR="00334C25" w:rsidRPr="00334C25" w:rsidRDefault="00334C25" w:rsidP="00334C25">
      <w:pPr>
        <w:spacing w:before="100" w:beforeAutospacing="1" w:after="100" w:afterAutospacing="1"/>
        <w:rPr>
          <w:color w:val="000000" w:themeColor="text1"/>
          <w:sz w:val="28"/>
          <w:szCs w:val="28"/>
          <w:lang w:val="ru-UA"/>
        </w:rPr>
      </w:pPr>
    </w:p>
    <w:p w14:paraId="28F0D287" w14:textId="77777777" w:rsidR="00334C25" w:rsidRPr="00334C25" w:rsidRDefault="00334C25" w:rsidP="00334C25">
      <w:pPr>
        <w:spacing w:before="100" w:beforeAutospacing="1" w:after="100" w:afterAutospacing="1"/>
        <w:ind w:firstLine="708"/>
        <w:rPr>
          <w:color w:val="000000" w:themeColor="text1"/>
          <w:sz w:val="28"/>
          <w:szCs w:val="28"/>
          <w:lang w:val="ru-UA"/>
        </w:rPr>
      </w:pPr>
      <w:r w:rsidRPr="00334C25">
        <w:rPr>
          <w:color w:val="000000" w:themeColor="text1"/>
          <w:sz w:val="28"/>
          <w:szCs w:val="28"/>
          <w:lang w:val="ru-UA"/>
        </w:rPr>
        <w:t xml:space="preserve">Синтез розглянутих підходів дає міждисциплінарну рамку: поєднання правового підходу до соціального захисту, фазового розуміння переміщень та аналізу бар’єрів доступу дозволяє сформулювати показники оцінки для транзитних центрів. До таких індикаторів належать: своєчасність реєстрації і першого контакту (час від прибуття до надання початкової інформації), повнота надання базових послуг (відсоток прибулих, які отримали мінімальний пакет послуг), ефективність реферальних механізмів (частка успішно реалізованих рефералів) та інклюзивність (наявність адаптацій для осіб з інвалідністю, гендерно чутливі процедури). У подальшій методології ці показники мають бути як кількісно вимірюваними, так і доповненими якісними даними, що пояснюють причини виявлених дефіцитів.  </w:t>
      </w:r>
    </w:p>
    <w:p w14:paraId="5768A8D8" w14:textId="77777777" w:rsidR="00334C25" w:rsidRPr="00334C25" w:rsidRDefault="00334C25" w:rsidP="00334C25">
      <w:pPr>
        <w:rPr>
          <w:color w:val="000000" w:themeColor="text1"/>
          <w:lang w:val="en-US"/>
        </w:rPr>
      </w:pPr>
    </w:p>
    <w:p w14:paraId="2428C7C5" w14:textId="73821ACD" w:rsidR="00334C25" w:rsidRPr="00334C25" w:rsidRDefault="00334C25" w:rsidP="00334C25">
      <w:pPr>
        <w:pStyle w:val="3"/>
        <w:numPr>
          <w:ilvl w:val="2"/>
          <w:numId w:val="4"/>
        </w:numPr>
        <w:rPr>
          <w:color w:val="000000" w:themeColor="text1"/>
        </w:rPr>
      </w:pPr>
      <w:bookmarkStart w:id="5" w:name="_Toc214217500"/>
      <w:r w:rsidRPr="00334C25">
        <w:rPr>
          <w:color w:val="000000" w:themeColor="text1"/>
        </w:rPr>
        <w:t>Організаційні моделі та підходи до надання послуг</w:t>
      </w:r>
      <w:bookmarkEnd w:id="5"/>
    </w:p>
    <w:p w14:paraId="1C8401DC" w14:textId="0643B681" w:rsidR="00334C25" w:rsidRPr="00334C25" w:rsidRDefault="00334C25" w:rsidP="00334C25">
      <w:pPr>
        <w:pStyle w:val="p1"/>
        <w:rPr>
          <w:color w:val="000000" w:themeColor="text1"/>
          <w:sz w:val="28"/>
          <w:szCs w:val="28"/>
        </w:rPr>
      </w:pPr>
      <w:r w:rsidRPr="00334C25">
        <w:rPr>
          <w:color w:val="000000" w:themeColor="text1"/>
          <w:sz w:val="28"/>
          <w:szCs w:val="28"/>
        </w:rPr>
        <w:t xml:space="preserve">У практиці організації допомоги постраждалому населенню виділяють кілька основних моделей надання послуг, які різняться за принципами координації, розподілом ролей між акторами та способом доступу громадян до пакету допомоги. Для оцінки придатності кожної моделі щодо </w:t>
      </w:r>
      <w:r w:rsidRPr="00334C25">
        <w:rPr>
          <w:color w:val="000000" w:themeColor="text1"/>
          <w:sz w:val="28"/>
          <w:szCs w:val="28"/>
        </w:rPr>
        <w:lastRenderedPageBreak/>
        <w:t>транзитних центрів важливо розглядати їх через призму критеріїв: своєчасність (час від звернення до надання послуги), повнота (наскільки пакет послуг відповідає базовим потребам), інтегрованість (координація між секторами), інклюзивність (доступ для вразливих груп) та стійкість (здатність функціонувати за обмежених ресурсів).</w:t>
      </w:r>
    </w:p>
    <w:p w14:paraId="0F481477" w14:textId="77777777" w:rsidR="00334C25" w:rsidRPr="00334C25" w:rsidRDefault="00334C25" w:rsidP="00334C25">
      <w:pPr>
        <w:pStyle w:val="p2"/>
        <w:spacing w:line="360" w:lineRule="auto"/>
        <w:jc w:val="both"/>
        <w:rPr>
          <w:color w:val="000000" w:themeColor="text1"/>
          <w:sz w:val="28"/>
          <w:szCs w:val="28"/>
        </w:rPr>
      </w:pPr>
    </w:p>
    <w:p w14:paraId="5B45CDE7"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1.1.4.1. Модель «єдиного вікна» (центр надання комплексних послуг)</w:t>
      </w:r>
    </w:p>
    <w:p w14:paraId="1FF90B5C" w14:textId="77777777" w:rsidR="00334C25" w:rsidRPr="00334C25" w:rsidRDefault="00334C25" w:rsidP="00334C25">
      <w:pPr>
        <w:pStyle w:val="p2"/>
        <w:spacing w:line="360" w:lineRule="auto"/>
        <w:jc w:val="both"/>
        <w:rPr>
          <w:color w:val="000000" w:themeColor="text1"/>
          <w:sz w:val="28"/>
          <w:szCs w:val="28"/>
        </w:rPr>
      </w:pPr>
    </w:p>
    <w:p w14:paraId="3035863D" w14:textId="6EBD1A93"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Опис моделі.</w:t>
      </w:r>
      <w:r w:rsidRPr="00334C25">
        <w:rPr>
          <w:color w:val="000000" w:themeColor="text1"/>
          <w:sz w:val="28"/>
          <w:szCs w:val="28"/>
        </w:rPr>
        <w:t xml:space="preserve"> Модель «єдиного вікна» передбачає створення одного фізичного або віртуального місця, де людина може отримати комплекс послуг, не переходячи між різними відомствами. Такий підхід поєднує адміністративні, соціальні, інформаційні та іноді медичні послуги в єдиному пункті обслуговування. У державному секторі це реалізується через центри на кшталт ЦНАП, а в кризових умовах </w:t>
      </w:r>
      <w:r w:rsidR="008D7B0D">
        <w:rPr>
          <w:color w:val="000000" w:themeColor="text1"/>
          <w:sz w:val="28"/>
          <w:szCs w:val="28"/>
        </w:rPr>
        <w:t>-</w:t>
      </w:r>
      <w:r w:rsidRPr="00334C25">
        <w:rPr>
          <w:color w:val="000000" w:themeColor="text1"/>
          <w:sz w:val="28"/>
          <w:szCs w:val="28"/>
        </w:rPr>
        <w:t xml:space="preserve"> через спеціально облаштовані центри для прийому переміщених осіб.</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7"/>
      </w:r>
    </w:p>
    <w:p w14:paraId="106BA662" w14:textId="77777777" w:rsidR="00334C25" w:rsidRPr="00334C25" w:rsidRDefault="00334C25" w:rsidP="00334C25">
      <w:pPr>
        <w:pStyle w:val="p2"/>
        <w:spacing w:line="360" w:lineRule="auto"/>
        <w:jc w:val="both"/>
        <w:rPr>
          <w:color w:val="000000" w:themeColor="text1"/>
          <w:sz w:val="28"/>
          <w:szCs w:val="28"/>
        </w:rPr>
      </w:pPr>
    </w:p>
    <w:p w14:paraId="0CDAB760"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Переваги:</w:t>
      </w:r>
      <w:r w:rsidRPr="00334C25">
        <w:rPr>
          <w:color w:val="000000" w:themeColor="text1"/>
          <w:sz w:val="28"/>
          <w:szCs w:val="28"/>
        </w:rPr>
        <w:t xml:space="preserve"> скорочення часу на отримання послуг, зменшення процедурних бар’єрів, підвищення зручності для користувача; полегшення координації між службами.</w:t>
      </w:r>
    </w:p>
    <w:p w14:paraId="3DB99313"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lastRenderedPageBreak/>
        <w:t>Недоліки:</w:t>
      </w:r>
      <w:r w:rsidRPr="00334C25">
        <w:rPr>
          <w:color w:val="000000" w:themeColor="text1"/>
          <w:sz w:val="28"/>
          <w:szCs w:val="28"/>
        </w:rPr>
        <w:t xml:space="preserve"> висока потреба в ресурсах (персонал, інфраструктура), складність у швидкій розгортці у випадку раптового потоку людей; ризик перевантаження точок при пікових навантаженнях.</w:t>
      </w:r>
    </w:p>
    <w:p w14:paraId="6950A205" w14:textId="6F03D6A9"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Українські практики:</w:t>
      </w:r>
      <w:r w:rsidRPr="00334C25">
        <w:rPr>
          <w:color w:val="000000" w:themeColor="text1"/>
          <w:sz w:val="28"/>
          <w:szCs w:val="28"/>
        </w:rPr>
        <w:t xml:space="preserve"> приклади реалізації «єдиного вікна» представлені в системі ЦНАП та «Дія» </w:t>
      </w:r>
      <w:r w:rsidR="008D7B0D">
        <w:rPr>
          <w:color w:val="000000" w:themeColor="text1"/>
          <w:sz w:val="28"/>
          <w:szCs w:val="28"/>
        </w:rPr>
        <w:t>-</w:t>
      </w:r>
      <w:r w:rsidRPr="00334C25">
        <w:rPr>
          <w:color w:val="000000" w:themeColor="text1"/>
          <w:sz w:val="28"/>
          <w:szCs w:val="28"/>
        </w:rPr>
        <w:t xml:space="preserve"> ці підходи використовуються як орієнтир при створенні центру прийому та надання послуг для внутрішньо переміщених осіб.</w:t>
      </w:r>
      <w:r w:rsidRPr="00334C25">
        <w:rPr>
          <w:rStyle w:val="apple-converted-space"/>
          <w:rFonts w:eastAsiaTheme="majorEastAsia"/>
          <w:color w:val="000000" w:themeColor="text1"/>
          <w:sz w:val="28"/>
          <w:szCs w:val="28"/>
        </w:rPr>
        <w:t xml:space="preserve">  </w:t>
      </w:r>
    </w:p>
    <w:p w14:paraId="0F0288AA" w14:textId="4EA86BAE"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 xml:space="preserve">1.1.4.2. Мережева модель «осередок </w:t>
      </w:r>
      <w:r w:rsidR="008D7B0D">
        <w:rPr>
          <w:rFonts w:cs="Times New Roman"/>
          <w:i w:val="0"/>
          <w:iCs w:val="0"/>
          <w:color w:val="000000" w:themeColor="text1"/>
          <w:sz w:val="28"/>
          <w:szCs w:val="28"/>
        </w:rPr>
        <w:t>-</w:t>
      </w:r>
      <w:r w:rsidRPr="00334C25">
        <w:rPr>
          <w:rFonts w:cs="Times New Roman"/>
          <w:i w:val="0"/>
          <w:iCs w:val="0"/>
          <w:color w:val="000000" w:themeColor="text1"/>
          <w:sz w:val="28"/>
          <w:szCs w:val="28"/>
        </w:rPr>
        <w:t xml:space="preserve"> відгалуження» (модель «осередок і відгалуження»)</w:t>
      </w:r>
    </w:p>
    <w:p w14:paraId="43AA9D96" w14:textId="2E2305C8"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Опис моделі.</w:t>
      </w:r>
      <w:r w:rsidRPr="00334C25">
        <w:rPr>
          <w:color w:val="000000" w:themeColor="text1"/>
          <w:sz w:val="28"/>
          <w:szCs w:val="28"/>
        </w:rPr>
        <w:t xml:space="preserve"> У цій моделі функціонує центральний осередок з розгорнутим набором послуг, навколо якого діє мережа менших, локальних пунктів (відгалужень). Центральний осередок забезпечує координацію, стандарти та спеціалізовану допомогу; відгалуження </w:t>
      </w:r>
      <w:r w:rsidR="008D7B0D">
        <w:rPr>
          <w:color w:val="000000" w:themeColor="text1"/>
          <w:sz w:val="28"/>
          <w:szCs w:val="28"/>
        </w:rPr>
        <w:t>-</w:t>
      </w:r>
      <w:r w:rsidRPr="00334C25">
        <w:rPr>
          <w:color w:val="000000" w:themeColor="text1"/>
          <w:sz w:val="28"/>
          <w:szCs w:val="28"/>
        </w:rPr>
        <w:t xml:space="preserve"> первинний прийом і прості послуги, а також перенаправлення до центру. Така архітектура сприяє розподілу навантаження і дозволяє зберегти оперативність у місцях із меншою щільністю населення.</w:t>
      </w:r>
      <w:r w:rsidRPr="00334C25">
        <w:rPr>
          <w:rStyle w:val="apple-converted-space"/>
          <w:rFonts w:eastAsiaTheme="majorEastAsia"/>
          <w:color w:val="000000" w:themeColor="text1"/>
          <w:sz w:val="28"/>
          <w:szCs w:val="28"/>
        </w:rPr>
        <w:t xml:space="preserve">  </w:t>
      </w:r>
    </w:p>
    <w:p w14:paraId="036C6906"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Переваги:</w:t>
      </w:r>
      <w:r w:rsidRPr="00334C25">
        <w:rPr>
          <w:color w:val="000000" w:themeColor="text1"/>
          <w:sz w:val="28"/>
          <w:szCs w:val="28"/>
        </w:rPr>
        <w:t xml:space="preserve"> баланс між доступністю та спеціалізацією, можливість централізованого управління ресурсами і локальної присутності.</w:t>
      </w:r>
    </w:p>
    <w:p w14:paraId="7105C360"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Недоліки:</w:t>
      </w:r>
      <w:r w:rsidRPr="00334C25">
        <w:rPr>
          <w:color w:val="000000" w:themeColor="text1"/>
          <w:sz w:val="28"/>
          <w:szCs w:val="28"/>
        </w:rPr>
        <w:t xml:space="preserve"> потреба в ефективних каналах комунікації і логістики між елементами мережі; уразливість при перевантаженні центрального осередку.</w:t>
      </w:r>
    </w:p>
    <w:p w14:paraId="7BC555F7" w14:textId="3758E74B"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Українські приклади:</w:t>
      </w:r>
      <w:r w:rsidRPr="00334C25">
        <w:rPr>
          <w:color w:val="000000" w:themeColor="text1"/>
          <w:sz w:val="28"/>
          <w:szCs w:val="28"/>
        </w:rPr>
        <w:t xml:space="preserve"> принципи мережевої організації застосовуються у транспортних логістичних системах та у розгортанні транзитних пунктів під час евакуацій (коли створюють центральні транзитні хаби та пунктів прийому в інших громадах).</w:t>
      </w:r>
      <w:r w:rsidRPr="00334C25">
        <w:rPr>
          <w:rStyle w:val="apple-converted-space"/>
          <w:rFonts w:eastAsiaTheme="majorEastAsia"/>
          <w:color w:val="000000" w:themeColor="text1"/>
          <w:sz w:val="28"/>
          <w:szCs w:val="28"/>
        </w:rPr>
        <w:t xml:space="preserve">  </w:t>
      </w:r>
    </w:p>
    <w:p w14:paraId="2E95F7FE" w14:textId="68ADF27F"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lastRenderedPageBreak/>
        <w:t>1.1.4.3. Модель мобільних виїзних бригад</w:t>
      </w:r>
    </w:p>
    <w:p w14:paraId="1E4F47C1" w14:textId="76A2518D"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Опис моделі.</w:t>
      </w:r>
      <w:r w:rsidRPr="00334C25">
        <w:rPr>
          <w:color w:val="000000" w:themeColor="text1"/>
          <w:sz w:val="28"/>
          <w:szCs w:val="28"/>
        </w:rPr>
        <w:t xml:space="preserve"> Мобільні бригади виїжджають безпосередньо до людей у місця скупчення, на блокпости, у сільські громади чи тимчасові табори. Вони надають медичну, психологічну, інформаційну та іншу первинну допомогу, а також інформують про наявні послуги і спрямовують на подальші елементи мережі. Ця модель важлива там, де стаціонарні пункти недоступні або коли переміщення людей відбувається у розрізнених локаціях.</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8"/>
      </w:r>
    </w:p>
    <w:p w14:paraId="62807A3F"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Переваги:</w:t>
      </w:r>
      <w:r w:rsidRPr="00334C25">
        <w:rPr>
          <w:color w:val="000000" w:themeColor="text1"/>
          <w:sz w:val="28"/>
          <w:szCs w:val="28"/>
        </w:rPr>
        <w:t xml:space="preserve"> висока оперативність і доступність у віддалених або небезпечних місцях; можливість швидкої реакції.</w:t>
      </w:r>
    </w:p>
    <w:p w14:paraId="75DEB97F"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Недоліки:</w:t>
      </w:r>
      <w:r w:rsidRPr="00334C25">
        <w:rPr>
          <w:color w:val="000000" w:themeColor="text1"/>
          <w:sz w:val="28"/>
          <w:szCs w:val="28"/>
        </w:rPr>
        <w:t xml:space="preserve"> обмежений перелік послуг при виїздах, залежність від логістики та безпеки, складність у наданні тривалого супроводу.</w:t>
      </w:r>
    </w:p>
    <w:p w14:paraId="35B7C2EE" w14:textId="51F7B03D"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Українські приклади:</w:t>
      </w:r>
      <w:r w:rsidRPr="00334C25">
        <w:rPr>
          <w:color w:val="000000" w:themeColor="text1"/>
          <w:sz w:val="28"/>
          <w:szCs w:val="28"/>
        </w:rPr>
        <w:t xml:space="preserve"> численні мобільні медичні та соціально-психологічні бригади, які працюють під егідою Червоного Хреста, ЮНІСЕФ, ЮНФПА та інших організацій, надають приклад успішного застосування цієї моделі.</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9"/>
      </w:r>
    </w:p>
    <w:p w14:paraId="41A7061D" w14:textId="65554BED"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1.1.4.4. Модель ведення випадків (центр індивідуального супроводу)</w:t>
      </w:r>
    </w:p>
    <w:p w14:paraId="54F601EC" w14:textId="144EBFC8"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Опис моделі.</w:t>
      </w:r>
      <w:r w:rsidRPr="00334C25">
        <w:rPr>
          <w:color w:val="000000" w:themeColor="text1"/>
          <w:sz w:val="28"/>
          <w:szCs w:val="28"/>
        </w:rPr>
        <w:t xml:space="preserve"> Підхід «ведення випадку» передбачає індивідуальний супровід особи або сім’ї через систему послуг: виявлення потреб, складання індивідуального плану, координація послуг і моніторинг результатів. Такий </w:t>
      </w:r>
      <w:r w:rsidRPr="00334C25">
        <w:rPr>
          <w:color w:val="000000" w:themeColor="text1"/>
          <w:sz w:val="28"/>
          <w:szCs w:val="28"/>
        </w:rPr>
        <w:lastRenderedPageBreak/>
        <w:t>підхід застосовується для складних випадків, які потребують багатосекторного реагування (медицина, житло, правова допомога, соціальний супровід).</w:t>
      </w:r>
      <w:r w:rsidRPr="00334C25">
        <w:rPr>
          <w:rStyle w:val="apple-converted-space"/>
          <w:rFonts w:eastAsiaTheme="majorEastAsia"/>
          <w:color w:val="000000" w:themeColor="text1"/>
          <w:sz w:val="28"/>
          <w:szCs w:val="28"/>
        </w:rPr>
        <w:t xml:space="preserve">  </w:t>
      </w:r>
    </w:p>
    <w:p w14:paraId="7CB4A880"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Переваги:</w:t>
      </w:r>
      <w:r w:rsidRPr="00334C25">
        <w:rPr>
          <w:color w:val="000000" w:themeColor="text1"/>
          <w:sz w:val="28"/>
          <w:szCs w:val="28"/>
        </w:rPr>
        <w:t xml:space="preserve"> високий рівень адресності і ефективності для складних випадків; можливість виміряти результати супроводу.</w:t>
      </w:r>
    </w:p>
    <w:p w14:paraId="39B13AAD"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Недоліки:</w:t>
      </w:r>
      <w:r w:rsidRPr="00334C25">
        <w:rPr>
          <w:color w:val="000000" w:themeColor="text1"/>
          <w:sz w:val="28"/>
          <w:szCs w:val="28"/>
        </w:rPr>
        <w:t xml:space="preserve"> ресурсозатратність (потрібні спеціалісти-супровідники, час), не підходить для масових одноразових прийомів без подальшого ресурсу на супровід.</w:t>
      </w:r>
    </w:p>
    <w:p w14:paraId="203B5069" w14:textId="1A210985"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Українські практики:</w:t>
      </w:r>
      <w:r w:rsidRPr="00334C25">
        <w:rPr>
          <w:color w:val="000000" w:themeColor="text1"/>
          <w:sz w:val="28"/>
          <w:szCs w:val="28"/>
        </w:rPr>
        <w:t xml:space="preserve"> кейс-менеджмент широко застосовується у службах зайнятості, соціальних службах і гуманітарних програмах для вразливих груп; у контексті транзитних центрів такий підхід доречний для відбору і супроводу найвразливіших випадків.</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10"/>
      </w:r>
    </w:p>
    <w:p w14:paraId="76D0FA34" w14:textId="66614C78"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 xml:space="preserve">1.1.4.5. </w:t>
      </w:r>
      <w:proofErr w:type="spellStart"/>
      <w:r w:rsidRPr="00334C25">
        <w:rPr>
          <w:rFonts w:cs="Times New Roman"/>
          <w:i w:val="0"/>
          <w:iCs w:val="0"/>
          <w:color w:val="000000" w:themeColor="text1"/>
          <w:sz w:val="28"/>
          <w:szCs w:val="28"/>
        </w:rPr>
        <w:t>Реферальний</w:t>
      </w:r>
      <w:proofErr w:type="spellEnd"/>
      <w:r w:rsidRPr="00334C25">
        <w:rPr>
          <w:rFonts w:cs="Times New Roman"/>
          <w:i w:val="0"/>
          <w:iCs w:val="0"/>
          <w:color w:val="000000" w:themeColor="text1"/>
          <w:sz w:val="28"/>
          <w:szCs w:val="28"/>
        </w:rPr>
        <w:t xml:space="preserve"> цент</w:t>
      </w:r>
      <w:r w:rsidRPr="00334C25">
        <w:rPr>
          <w:rFonts w:cs="Times New Roman"/>
          <w:i w:val="0"/>
          <w:iCs w:val="0"/>
          <w:color w:val="000000" w:themeColor="text1"/>
          <w:sz w:val="28"/>
          <w:szCs w:val="28"/>
        </w:rPr>
        <w:softHyphen/>
        <w:t>р (центр координації перенаправлень)</w:t>
      </w:r>
    </w:p>
    <w:p w14:paraId="21636816" w14:textId="3DBF7A93"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Опис моделі.</w:t>
      </w:r>
      <w:r w:rsidRPr="00334C25">
        <w:rPr>
          <w:color w:val="000000" w:themeColor="text1"/>
          <w:sz w:val="28"/>
          <w:szCs w:val="28"/>
        </w:rPr>
        <w:t xml:space="preserve"> Реферальний центр виступає координаційною ланкою, що не обов’язково надає всі послуги самостійно, але формалізує маршрути перенаправлення до спеціалізованих постачальників (медичні заклади, органи соцзахисту, притулки тощо) і відстежує результат. Така модель потрібна, коли спектр послуг широкий і їх надають різні установи.</w:t>
      </w:r>
      <w:r w:rsidRPr="00334C25">
        <w:rPr>
          <w:rStyle w:val="apple-converted-space"/>
          <w:rFonts w:eastAsiaTheme="majorEastAsia"/>
          <w:color w:val="000000" w:themeColor="text1"/>
          <w:sz w:val="28"/>
          <w:szCs w:val="28"/>
        </w:rPr>
        <w:t xml:space="preserve">  </w:t>
      </w:r>
    </w:p>
    <w:p w14:paraId="7D9CE2F7" w14:textId="7777777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Переваги:</w:t>
      </w:r>
      <w:r w:rsidRPr="00334C25">
        <w:rPr>
          <w:color w:val="000000" w:themeColor="text1"/>
          <w:sz w:val="28"/>
          <w:szCs w:val="28"/>
        </w:rPr>
        <w:t xml:space="preserve"> ефективна координація між акторами, зменшення дублювання послуг, можливість моніторингу результатів перенаправлень.</w:t>
      </w:r>
    </w:p>
    <w:p w14:paraId="06BC08CF" w14:textId="2FCB3063"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lastRenderedPageBreak/>
        <w:t>Недоліки:</w:t>
      </w:r>
      <w:r w:rsidRPr="00334C25">
        <w:rPr>
          <w:color w:val="000000" w:themeColor="text1"/>
          <w:sz w:val="28"/>
          <w:szCs w:val="28"/>
        </w:rPr>
        <w:t xml:space="preserve"> потреба в налагодженій інформаційній системі та довірі між партнерами; ризик «витоку» відповідальності (коли ніхто не несе кінцевої відповідальності за кейс).</w:t>
      </w:r>
      <w:r w:rsidR="00EE3A37">
        <w:rPr>
          <w:rStyle w:val="af6"/>
          <w:color w:val="000000" w:themeColor="text1"/>
          <w:sz w:val="28"/>
          <w:szCs w:val="28"/>
        </w:rPr>
        <w:footnoteReference w:id="11"/>
      </w:r>
    </w:p>
    <w:p w14:paraId="0864BB3C" w14:textId="75CE3137" w:rsidR="00334C25" w:rsidRPr="00334C25" w:rsidRDefault="00334C25" w:rsidP="00334C25">
      <w:pPr>
        <w:pStyle w:val="p1"/>
        <w:rPr>
          <w:color w:val="000000" w:themeColor="text1"/>
          <w:sz w:val="28"/>
          <w:szCs w:val="28"/>
        </w:rPr>
      </w:pPr>
      <w:r w:rsidRPr="00334C25">
        <w:rPr>
          <w:rStyle w:val="s2"/>
          <w:rFonts w:eastAsiaTheme="majorEastAsia"/>
          <w:b/>
          <w:bCs/>
          <w:color w:val="000000" w:themeColor="text1"/>
          <w:sz w:val="28"/>
          <w:szCs w:val="28"/>
        </w:rPr>
        <w:t>Українські приклади:</w:t>
      </w:r>
      <w:r w:rsidRPr="00334C25">
        <w:rPr>
          <w:color w:val="000000" w:themeColor="text1"/>
          <w:sz w:val="28"/>
          <w:szCs w:val="28"/>
        </w:rPr>
        <w:t xml:space="preserve"> практики рефералів і центрів координації застосовуються в роботі гуманітарних програм і місцевих служб для інтегрованого супроводу ВПО.</w:t>
      </w:r>
      <w:r w:rsidRPr="00334C25">
        <w:rPr>
          <w:rStyle w:val="apple-converted-space"/>
          <w:rFonts w:eastAsiaTheme="majorEastAsia"/>
          <w:color w:val="000000" w:themeColor="text1"/>
          <w:sz w:val="28"/>
          <w:szCs w:val="28"/>
        </w:rPr>
        <w:t xml:space="preserve">  </w:t>
      </w:r>
    </w:p>
    <w:p w14:paraId="2372F9F8" w14:textId="024306B1"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1.1.4.6. Критерії порівняння моделей</w:t>
      </w:r>
    </w:p>
    <w:p w14:paraId="0CEC5306" w14:textId="77777777" w:rsidR="00334C25" w:rsidRPr="00334C25" w:rsidRDefault="00334C25" w:rsidP="00334C25">
      <w:pPr>
        <w:pStyle w:val="p1"/>
        <w:rPr>
          <w:color w:val="000000" w:themeColor="text1"/>
          <w:sz w:val="28"/>
          <w:szCs w:val="28"/>
        </w:rPr>
      </w:pPr>
      <w:r w:rsidRPr="00334C25">
        <w:rPr>
          <w:color w:val="000000" w:themeColor="text1"/>
          <w:sz w:val="28"/>
          <w:szCs w:val="28"/>
        </w:rPr>
        <w:t>Для порівняння і вибору моделі доцільно застосувати такі критерії:</w:t>
      </w:r>
    </w:p>
    <w:p w14:paraId="6139BBEF" w14:textId="77777777" w:rsidR="00334C25" w:rsidRPr="00334C25" w:rsidRDefault="00334C25" w:rsidP="00334C25">
      <w:pPr>
        <w:pStyle w:val="p1"/>
        <w:numPr>
          <w:ilvl w:val="0"/>
          <w:numId w:val="26"/>
        </w:numPr>
        <w:rPr>
          <w:color w:val="000000" w:themeColor="text1"/>
          <w:sz w:val="28"/>
          <w:szCs w:val="28"/>
        </w:rPr>
      </w:pPr>
      <w:r w:rsidRPr="00334C25">
        <w:rPr>
          <w:rStyle w:val="s1"/>
          <w:rFonts w:eastAsiaTheme="majorEastAsia"/>
          <w:b/>
          <w:bCs/>
          <w:color w:val="000000" w:themeColor="text1"/>
          <w:sz w:val="28"/>
          <w:szCs w:val="28"/>
        </w:rPr>
        <w:t>Своєчасність.</w:t>
      </w:r>
      <w:r w:rsidRPr="00334C25">
        <w:rPr>
          <w:color w:val="000000" w:themeColor="text1"/>
          <w:sz w:val="28"/>
          <w:szCs w:val="28"/>
        </w:rPr>
        <w:t xml:space="preserve"> Оцінюється часом від прибуття до надання базової послуги або інформації. Мобільні бригади часто кращі в оперативному реагуванні, тоді як «єдине вікно» може забезпечити комплекс, але потребує більше часу на розгортання.</w:t>
      </w:r>
      <w:r w:rsidRPr="00334C25">
        <w:rPr>
          <w:rStyle w:val="apple-converted-space"/>
          <w:rFonts w:eastAsiaTheme="majorEastAsia"/>
          <w:color w:val="000000" w:themeColor="text1"/>
          <w:sz w:val="28"/>
          <w:szCs w:val="28"/>
        </w:rPr>
        <w:t xml:space="preserve">  </w:t>
      </w:r>
    </w:p>
    <w:p w14:paraId="7EEBA6D9" w14:textId="77777777" w:rsidR="00334C25" w:rsidRPr="00334C25" w:rsidRDefault="00334C25" w:rsidP="00334C25">
      <w:pPr>
        <w:pStyle w:val="p1"/>
        <w:numPr>
          <w:ilvl w:val="0"/>
          <w:numId w:val="26"/>
        </w:numPr>
        <w:rPr>
          <w:color w:val="000000" w:themeColor="text1"/>
          <w:sz w:val="28"/>
          <w:szCs w:val="28"/>
        </w:rPr>
      </w:pPr>
      <w:r w:rsidRPr="00334C25">
        <w:rPr>
          <w:rStyle w:val="s1"/>
          <w:rFonts w:eastAsiaTheme="majorEastAsia"/>
          <w:b/>
          <w:bCs/>
          <w:color w:val="000000" w:themeColor="text1"/>
          <w:sz w:val="28"/>
          <w:szCs w:val="28"/>
        </w:rPr>
        <w:t>Повнота.</w:t>
      </w:r>
      <w:r w:rsidRPr="00334C25">
        <w:rPr>
          <w:color w:val="000000" w:themeColor="text1"/>
          <w:sz w:val="28"/>
          <w:szCs w:val="28"/>
        </w:rPr>
        <w:t xml:space="preserve"> Наскільки пакет послуг відповідає мінімальним потребам (реєстрація, інформація, первинна допомога, перенаправлення). Центри «єдиного вікна» та мережеві осередки забезпечують більшу повноту.</w:t>
      </w:r>
      <w:r w:rsidRPr="00334C25">
        <w:rPr>
          <w:rStyle w:val="apple-converted-space"/>
          <w:rFonts w:eastAsiaTheme="majorEastAsia"/>
          <w:color w:val="000000" w:themeColor="text1"/>
          <w:sz w:val="28"/>
          <w:szCs w:val="28"/>
        </w:rPr>
        <w:t xml:space="preserve">  </w:t>
      </w:r>
    </w:p>
    <w:p w14:paraId="316CC9AB" w14:textId="77777777" w:rsidR="00334C25" w:rsidRPr="00334C25" w:rsidRDefault="00334C25" w:rsidP="00334C25">
      <w:pPr>
        <w:pStyle w:val="p1"/>
        <w:numPr>
          <w:ilvl w:val="0"/>
          <w:numId w:val="26"/>
        </w:numPr>
        <w:rPr>
          <w:color w:val="000000" w:themeColor="text1"/>
          <w:sz w:val="28"/>
          <w:szCs w:val="28"/>
        </w:rPr>
      </w:pPr>
      <w:r w:rsidRPr="00334C25">
        <w:rPr>
          <w:rStyle w:val="s1"/>
          <w:rFonts w:eastAsiaTheme="majorEastAsia"/>
          <w:b/>
          <w:bCs/>
          <w:color w:val="000000" w:themeColor="text1"/>
          <w:sz w:val="28"/>
          <w:szCs w:val="28"/>
        </w:rPr>
        <w:t>Інтегрованість.</w:t>
      </w:r>
      <w:r w:rsidRPr="00334C25">
        <w:rPr>
          <w:color w:val="000000" w:themeColor="text1"/>
          <w:sz w:val="28"/>
          <w:szCs w:val="28"/>
        </w:rPr>
        <w:t xml:space="preserve"> Ступінь координації між секторами і акторами. Мережеві моделі і реферальні центри зазвичай дають кращі механізми інтеграції.</w:t>
      </w:r>
      <w:r w:rsidRPr="00334C25">
        <w:rPr>
          <w:rStyle w:val="apple-converted-space"/>
          <w:rFonts w:eastAsiaTheme="majorEastAsia"/>
          <w:color w:val="000000" w:themeColor="text1"/>
          <w:sz w:val="28"/>
          <w:szCs w:val="28"/>
        </w:rPr>
        <w:t xml:space="preserve">  </w:t>
      </w:r>
    </w:p>
    <w:p w14:paraId="3581821C" w14:textId="77777777" w:rsidR="00334C25" w:rsidRPr="00334C25" w:rsidRDefault="00334C25" w:rsidP="00334C25">
      <w:pPr>
        <w:pStyle w:val="p1"/>
        <w:numPr>
          <w:ilvl w:val="0"/>
          <w:numId w:val="26"/>
        </w:numPr>
        <w:rPr>
          <w:color w:val="000000" w:themeColor="text1"/>
          <w:sz w:val="28"/>
          <w:szCs w:val="28"/>
        </w:rPr>
      </w:pPr>
      <w:r w:rsidRPr="00334C25">
        <w:rPr>
          <w:rStyle w:val="s1"/>
          <w:rFonts w:eastAsiaTheme="majorEastAsia"/>
          <w:b/>
          <w:bCs/>
          <w:color w:val="000000" w:themeColor="text1"/>
          <w:sz w:val="28"/>
          <w:szCs w:val="28"/>
        </w:rPr>
        <w:t>Інклюзивність.</w:t>
      </w:r>
      <w:r w:rsidRPr="00334C25">
        <w:rPr>
          <w:color w:val="000000" w:themeColor="text1"/>
          <w:sz w:val="28"/>
          <w:szCs w:val="28"/>
        </w:rPr>
        <w:t xml:space="preserve"> Наявність адаптацій для осіб з інвалідністю, гендерно-чутливих процедур і врахування потреб вразливих груп. Це питання залежить від протоколів і підготовки персоналу незалежно </w:t>
      </w:r>
      <w:r w:rsidRPr="00334C25">
        <w:rPr>
          <w:color w:val="000000" w:themeColor="text1"/>
          <w:sz w:val="28"/>
          <w:szCs w:val="28"/>
        </w:rPr>
        <w:lastRenderedPageBreak/>
        <w:t>від моделі, але «єдине вікно» при правильному дизайні має потенціал бути найбільш інклюзивним.</w:t>
      </w:r>
      <w:r w:rsidRPr="00334C25">
        <w:rPr>
          <w:rStyle w:val="apple-converted-space"/>
          <w:rFonts w:eastAsiaTheme="majorEastAsia"/>
          <w:color w:val="000000" w:themeColor="text1"/>
          <w:sz w:val="28"/>
          <w:szCs w:val="28"/>
        </w:rPr>
        <w:t xml:space="preserve">  </w:t>
      </w:r>
    </w:p>
    <w:p w14:paraId="1254396F" w14:textId="227D62A8" w:rsidR="00334C25" w:rsidRPr="00334C25" w:rsidRDefault="00334C25" w:rsidP="00334C25">
      <w:pPr>
        <w:pStyle w:val="p1"/>
        <w:numPr>
          <w:ilvl w:val="0"/>
          <w:numId w:val="26"/>
        </w:numPr>
        <w:rPr>
          <w:color w:val="000000" w:themeColor="text1"/>
          <w:sz w:val="28"/>
          <w:szCs w:val="28"/>
        </w:rPr>
      </w:pPr>
      <w:r w:rsidRPr="00334C25">
        <w:rPr>
          <w:rStyle w:val="s1"/>
          <w:rFonts w:eastAsiaTheme="majorEastAsia"/>
          <w:b/>
          <w:bCs/>
          <w:color w:val="000000" w:themeColor="text1"/>
          <w:sz w:val="28"/>
          <w:szCs w:val="28"/>
        </w:rPr>
        <w:t>Стійкість.</w:t>
      </w:r>
      <w:r w:rsidRPr="00334C25">
        <w:rPr>
          <w:color w:val="000000" w:themeColor="text1"/>
          <w:sz w:val="28"/>
          <w:szCs w:val="28"/>
        </w:rPr>
        <w:t xml:space="preserve"> Здатність моделі функціонувати у тривалому режимі за обмежених ресурсів; мережеві моделі та кейс-супровід можуть бути більш стійкими при належному фінансуванні, мобільні бригади </w:t>
      </w:r>
      <w:r w:rsidR="008D7B0D">
        <w:rPr>
          <w:color w:val="000000" w:themeColor="text1"/>
          <w:sz w:val="28"/>
          <w:szCs w:val="28"/>
        </w:rPr>
        <w:t>-</w:t>
      </w:r>
      <w:r w:rsidRPr="00334C25">
        <w:rPr>
          <w:color w:val="000000" w:themeColor="text1"/>
          <w:sz w:val="28"/>
          <w:szCs w:val="28"/>
        </w:rPr>
        <w:t xml:space="preserve"> при кризовій потребі.</w:t>
      </w:r>
      <w:r w:rsidRPr="00334C25">
        <w:rPr>
          <w:rStyle w:val="apple-converted-space"/>
          <w:rFonts w:eastAsiaTheme="majorEastAsia"/>
          <w:color w:val="000000" w:themeColor="text1"/>
          <w:sz w:val="28"/>
          <w:szCs w:val="28"/>
        </w:rPr>
        <w:t xml:space="preserve">  </w:t>
      </w:r>
    </w:p>
    <w:p w14:paraId="442C0EEC" w14:textId="1EF72A9A"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 xml:space="preserve">1.1.4.7. Приклади практик </w:t>
      </w:r>
    </w:p>
    <w:p w14:paraId="69454508" w14:textId="5C2485DA" w:rsidR="00334C25" w:rsidRPr="00334C25" w:rsidRDefault="00334C25" w:rsidP="00334C25">
      <w:pPr>
        <w:pStyle w:val="p1"/>
        <w:numPr>
          <w:ilvl w:val="0"/>
          <w:numId w:val="27"/>
        </w:numPr>
        <w:rPr>
          <w:color w:val="000000" w:themeColor="text1"/>
          <w:sz w:val="28"/>
          <w:szCs w:val="28"/>
        </w:rPr>
      </w:pPr>
      <w:r w:rsidRPr="00334C25">
        <w:rPr>
          <w:rStyle w:val="s1"/>
          <w:rFonts w:eastAsiaTheme="majorEastAsia"/>
          <w:b/>
          <w:bCs/>
          <w:color w:val="000000" w:themeColor="text1"/>
          <w:sz w:val="28"/>
          <w:szCs w:val="28"/>
        </w:rPr>
        <w:t>Україна:</w:t>
      </w:r>
      <w:r w:rsidRPr="00334C25">
        <w:rPr>
          <w:color w:val="000000" w:themeColor="text1"/>
          <w:sz w:val="28"/>
          <w:szCs w:val="28"/>
        </w:rPr>
        <w:t xml:space="preserve"> розгортання транзитних центрів у 2022–2025 роках на Д</w:t>
      </w:r>
      <w:proofErr w:type="spellStart"/>
      <w:r w:rsidRPr="00334C25">
        <w:rPr>
          <w:color w:val="000000" w:themeColor="text1"/>
          <w:sz w:val="28"/>
          <w:szCs w:val="28"/>
          <w:lang w:val="uk-UA"/>
        </w:rPr>
        <w:t>онеччині</w:t>
      </w:r>
      <w:proofErr w:type="spellEnd"/>
      <w:r w:rsidRPr="00334C25">
        <w:rPr>
          <w:color w:val="000000" w:themeColor="text1"/>
          <w:sz w:val="28"/>
          <w:szCs w:val="28"/>
          <w:lang w:val="en-US"/>
        </w:rPr>
        <w:t>,</w:t>
      </w:r>
      <w:r w:rsidRPr="00334C25">
        <w:rPr>
          <w:color w:val="000000" w:themeColor="text1"/>
          <w:sz w:val="28"/>
          <w:szCs w:val="28"/>
          <w:lang w:val="uk-UA"/>
        </w:rPr>
        <w:t xml:space="preserve"> Дніпропетровщині</w:t>
      </w:r>
      <w:r w:rsidRPr="00334C25">
        <w:rPr>
          <w:color w:val="000000" w:themeColor="text1"/>
          <w:sz w:val="28"/>
          <w:szCs w:val="28"/>
          <w:lang w:val="en-US"/>
        </w:rPr>
        <w:t>,</w:t>
      </w:r>
      <w:r w:rsidRPr="00334C25">
        <w:rPr>
          <w:color w:val="000000" w:themeColor="text1"/>
          <w:sz w:val="28"/>
          <w:szCs w:val="28"/>
          <w:lang w:val="uk-UA"/>
        </w:rPr>
        <w:t xml:space="preserve"> Сумщині та Харківщині</w:t>
      </w:r>
      <w:r w:rsidRPr="00334C25">
        <w:rPr>
          <w:color w:val="000000" w:themeColor="text1"/>
          <w:sz w:val="28"/>
          <w:szCs w:val="28"/>
        </w:rPr>
        <w:t xml:space="preserve"> демонструє комбінований підхід: стаціонарні центри для розміщення й «єдиного вікна», мобільні бригади для реагування у віддалених громадах та реферальні механізми для перенаправлення вразливих випадків.</w:t>
      </w:r>
      <w:r w:rsidRPr="00334C25">
        <w:rPr>
          <w:rStyle w:val="apple-converted-space"/>
          <w:rFonts w:eastAsiaTheme="majorEastAsia"/>
          <w:color w:val="000000" w:themeColor="text1"/>
          <w:sz w:val="28"/>
          <w:szCs w:val="28"/>
        </w:rPr>
        <w:t xml:space="preserve">  </w:t>
      </w:r>
    </w:p>
    <w:p w14:paraId="217620D2" w14:textId="77777777" w:rsidR="00334C25" w:rsidRPr="00334C25" w:rsidRDefault="00334C25" w:rsidP="00334C25">
      <w:pPr>
        <w:pStyle w:val="p1"/>
        <w:numPr>
          <w:ilvl w:val="0"/>
          <w:numId w:val="27"/>
        </w:numPr>
        <w:rPr>
          <w:color w:val="000000" w:themeColor="text1"/>
          <w:sz w:val="28"/>
          <w:szCs w:val="28"/>
        </w:rPr>
      </w:pPr>
      <w:r w:rsidRPr="00334C25">
        <w:rPr>
          <w:rStyle w:val="s1"/>
          <w:rFonts w:eastAsiaTheme="majorEastAsia"/>
          <w:b/>
          <w:bCs/>
          <w:color w:val="000000" w:themeColor="text1"/>
          <w:sz w:val="28"/>
          <w:szCs w:val="28"/>
        </w:rPr>
        <w:t>Державні сервіси:</w:t>
      </w:r>
      <w:r w:rsidRPr="00334C25">
        <w:rPr>
          <w:color w:val="000000" w:themeColor="text1"/>
          <w:sz w:val="28"/>
          <w:szCs w:val="28"/>
        </w:rPr>
        <w:t xml:space="preserve"> розвиток ЦНАП і центрів «Дія» як приклад застосування принципів «єдиного вікна» в Україні; ці рішення слугують шаблоном для організації комплексних пунктів прийому.</w:t>
      </w:r>
      <w:r w:rsidRPr="00334C25">
        <w:rPr>
          <w:rStyle w:val="apple-converted-space"/>
          <w:rFonts w:eastAsiaTheme="majorEastAsia"/>
          <w:color w:val="000000" w:themeColor="text1"/>
          <w:sz w:val="28"/>
          <w:szCs w:val="28"/>
        </w:rPr>
        <w:t xml:space="preserve">  </w:t>
      </w:r>
    </w:p>
    <w:p w14:paraId="654FE05B" w14:textId="557C9188" w:rsidR="00334C25" w:rsidRPr="00334C25" w:rsidRDefault="00334C25" w:rsidP="00334C25">
      <w:pPr>
        <w:pStyle w:val="p1"/>
        <w:numPr>
          <w:ilvl w:val="0"/>
          <w:numId w:val="27"/>
        </w:numPr>
        <w:rPr>
          <w:color w:val="000000" w:themeColor="text1"/>
          <w:sz w:val="28"/>
          <w:szCs w:val="28"/>
        </w:rPr>
      </w:pPr>
      <w:r w:rsidRPr="00334C25">
        <w:rPr>
          <w:rStyle w:val="s1"/>
          <w:rFonts w:eastAsiaTheme="majorEastAsia"/>
          <w:b/>
          <w:bCs/>
          <w:color w:val="000000" w:themeColor="text1"/>
          <w:sz w:val="28"/>
          <w:szCs w:val="28"/>
        </w:rPr>
        <w:t>Гуманітарні організації:</w:t>
      </w:r>
      <w:r w:rsidRPr="00334C25">
        <w:rPr>
          <w:color w:val="000000" w:themeColor="text1"/>
          <w:sz w:val="28"/>
          <w:szCs w:val="28"/>
        </w:rPr>
        <w:t xml:space="preserve"> мобільні медичні та соціально-психологічні бригади Червоного Хреста та ООН, які успішно надають послуги у польових умовах; кейс-менеджмент застосовується службами зайнятості та соціальними службами для індивідуального супроводу.</w:t>
      </w:r>
      <w:r w:rsidRPr="00334C25">
        <w:rPr>
          <w:rStyle w:val="apple-converted-space"/>
          <w:rFonts w:eastAsiaTheme="majorEastAsia"/>
          <w:color w:val="000000" w:themeColor="text1"/>
          <w:sz w:val="28"/>
          <w:szCs w:val="28"/>
        </w:rPr>
        <w:t xml:space="preserve">  </w:t>
      </w:r>
    </w:p>
    <w:p w14:paraId="06DCEEC4" w14:textId="26E7E001"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Висновки для дослідження</w:t>
      </w:r>
    </w:p>
    <w:p w14:paraId="64C079FE" w14:textId="77777777" w:rsidR="00334C25" w:rsidRPr="00334C25" w:rsidRDefault="00334C25" w:rsidP="00334C25">
      <w:pPr>
        <w:pStyle w:val="p1"/>
        <w:ind w:firstLine="708"/>
        <w:rPr>
          <w:color w:val="000000" w:themeColor="text1"/>
          <w:sz w:val="28"/>
          <w:szCs w:val="28"/>
        </w:rPr>
      </w:pPr>
      <w:r w:rsidRPr="00334C25">
        <w:rPr>
          <w:color w:val="000000" w:themeColor="text1"/>
          <w:sz w:val="28"/>
          <w:szCs w:val="28"/>
        </w:rPr>
        <w:t xml:space="preserve">Жодна модель не є універсально кращою: вибір залежить від контексту, масштабу потоку людей, наявних ресурсів і цілей (оперативний прийом vs довгострокова інтеграція). Для транзитних центрів доцільною є комбінована архітектура: стаціонарні центри «єдиного вікна» або мережеві осередки як основа, мобільні бригади для швидкого реагування та система </w:t>
      </w:r>
      <w:r w:rsidRPr="00334C25">
        <w:rPr>
          <w:color w:val="000000" w:themeColor="text1"/>
          <w:sz w:val="28"/>
          <w:szCs w:val="28"/>
        </w:rPr>
        <w:lastRenderedPageBreak/>
        <w:t>ведення випадків і реферальний центр для супроводу вразливих осіб. У наступних розділах потрібно буде окреслити критерії вимірювання ефективності кожної складової та запропонувати механізми інтеграції з місцевими службами й гуманітарними акторами.</w:t>
      </w:r>
      <w:r w:rsidRPr="00334C25">
        <w:rPr>
          <w:rStyle w:val="apple-converted-space"/>
          <w:rFonts w:eastAsiaTheme="majorEastAsia"/>
          <w:color w:val="000000" w:themeColor="text1"/>
          <w:sz w:val="28"/>
          <w:szCs w:val="28"/>
        </w:rPr>
        <w:t> </w:t>
      </w:r>
    </w:p>
    <w:p w14:paraId="40C43A6B" w14:textId="1B92EEAC" w:rsidR="00334C25" w:rsidRPr="00334C25" w:rsidRDefault="00334C25" w:rsidP="00334C25">
      <w:pPr>
        <w:rPr>
          <w:color w:val="000000" w:themeColor="text1"/>
        </w:rPr>
      </w:pPr>
      <w:r w:rsidRPr="00334C25">
        <w:rPr>
          <w:color w:val="000000" w:themeColor="text1"/>
        </w:rPr>
        <w:t xml:space="preserve"> Таблиця 1.1. Порівняння організаційних моделей надання послуг</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32"/>
        <w:gridCol w:w="1115"/>
        <w:gridCol w:w="1558"/>
        <w:gridCol w:w="1177"/>
        <w:gridCol w:w="1069"/>
        <w:gridCol w:w="1238"/>
        <w:gridCol w:w="1627"/>
      </w:tblGrid>
      <w:tr w:rsidR="00334C25" w:rsidRPr="00334C25" w14:paraId="31A8D2B8" w14:textId="77777777" w:rsidTr="00334C25">
        <w:trPr>
          <w:tblHeader/>
          <w:tblCellSpacing w:w="15" w:type="dxa"/>
        </w:trPr>
        <w:tc>
          <w:tcPr>
            <w:tcW w:w="0" w:type="auto"/>
            <w:vAlign w:val="center"/>
            <w:hideMark/>
          </w:tcPr>
          <w:p w14:paraId="1B415F99"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Модель</w:t>
            </w:r>
          </w:p>
        </w:tc>
        <w:tc>
          <w:tcPr>
            <w:tcW w:w="0" w:type="auto"/>
            <w:vAlign w:val="center"/>
            <w:hideMark/>
          </w:tcPr>
          <w:p w14:paraId="35FD2E40"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Своєчасність</w:t>
            </w:r>
          </w:p>
        </w:tc>
        <w:tc>
          <w:tcPr>
            <w:tcW w:w="0" w:type="auto"/>
            <w:vAlign w:val="center"/>
            <w:hideMark/>
          </w:tcPr>
          <w:p w14:paraId="4CE41388"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Повнота послуг</w:t>
            </w:r>
          </w:p>
        </w:tc>
        <w:tc>
          <w:tcPr>
            <w:tcW w:w="0" w:type="auto"/>
            <w:vAlign w:val="center"/>
            <w:hideMark/>
          </w:tcPr>
          <w:p w14:paraId="64CE30C8"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Інтегрованість</w:t>
            </w:r>
          </w:p>
        </w:tc>
        <w:tc>
          <w:tcPr>
            <w:tcW w:w="0" w:type="auto"/>
            <w:vAlign w:val="center"/>
            <w:hideMark/>
          </w:tcPr>
          <w:p w14:paraId="55324378"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Інклюзивність</w:t>
            </w:r>
          </w:p>
        </w:tc>
        <w:tc>
          <w:tcPr>
            <w:tcW w:w="0" w:type="auto"/>
            <w:vAlign w:val="center"/>
            <w:hideMark/>
          </w:tcPr>
          <w:p w14:paraId="04533222"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Стійкість</w:t>
            </w:r>
          </w:p>
        </w:tc>
        <w:tc>
          <w:tcPr>
            <w:tcW w:w="0" w:type="auto"/>
            <w:vAlign w:val="center"/>
            <w:hideMark/>
          </w:tcPr>
          <w:p w14:paraId="06B6E62C" w14:textId="77777777" w:rsidR="00334C25" w:rsidRPr="00334C25" w:rsidRDefault="00334C25" w:rsidP="00334C25">
            <w:pPr>
              <w:spacing w:before="100" w:beforeAutospacing="1" w:after="100" w:afterAutospacing="1" w:line="240" w:lineRule="auto"/>
              <w:jc w:val="center"/>
              <w:rPr>
                <w:b/>
                <w:bCs/>
                <w:color w:val="000000" w:themeColor="text1"/>
                <w:sz w:val="24"/>
                <w:szCs w:val="24"/>
                <w:lang w:val="ru-UA"/>
              </w:rPr>
            </w:pPr>
            <w:r w:rsidRPr="00334C25">
              <w:rPr>
                <w:b/>
                <w:bCs/>
                <w:color w:val="000000" w:themeColor="text1"/>
                <w:sz w:val="24"/>
                <w:szCs w:val="24"/>
                <w:lang w:val="ru-UA"/>
              </w:rPr>
              <w:t>Примітка / де найефективніше</w:t>
            </w:r>
          </w:p>
        </w:tc>
      </w:tr>
      <w:tr w:rsidR="00334C25" w:rsidRPr="00334C25" w14:paraId="74144DD4" w14:textId="77777777" w:rsidTr="00334C25">
        <w:trPr>
          <w:tblCellSpacing w:w="15" w:type="dxa"/>
        </w:trPr>
        <w:tc>
          <w:tcPr>
            <w:tcW w:w="0" w:type="auto"/>
            <w:vAlign w:val="center"/>
            <w:hideMark/>
          </w:tcPr>
          <w:p w14:paraId="34A8A12E"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b/>
                <w:bCs/>
                <w:color w:val="000000" w:themeColor="text1"/>
                <w:sz w:val="24"/>
                <w:szCs w:val="24"/>
                <w:lang w:val="ru-UA"/>
              </w:rPr>
              <w:t>«Єдине вікно» (центр комплексних послуг)</w:t>
            </w:r>
          </w:p>
        </w:tc>
        <w:tc>
          <w:tcPr>
            <w:tcW w:w="0" w:type="auto"/>
            <w:vAlign w:val="center"/>
            <w:hideMark/>
          </w:tcPr>
          <w:p w14:paraId="443C2E5D" w14:textId="5F9A6919"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потребує часу на розгортання та налаштування процесів</w:t>
            </w:r>
          </w:p>
        </w:tc>
        <w:tc>
          <w:tcPr>
            <w:tcW w:w="0" w:type="auto"/>
            <w:vAlign w:val="center"/>
            <w:hideMark/>
          </w:tcPr>
          <w:p w14:paraId="53CB78A8" w14:textId="4F43847D"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може надавати широкий пакет послуг на місці</w:t>
            </w:r>
          </w:p>
        </w:tc>
        <w:tc>
          <w:tcPr>
            <w:tcW w:w="0" w:type="auto"/>
            <w:vAlign w:val="center"/>
            <w:hideMark/>
          </w:tcPr>
          <w:p w14:paraId="3FE09AD3" w14:textId="38B39070"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об’єднує кілька секторів під одним дахом</w:t>
            </w:r>
          </w:p>
        </w:tc>
        <w:tc>
          <w:tcPr>
            <w:tcW w:w="0" w:type="auto"/>
            <w:vAlign w:val="center"/>
            <w:hideMark/>
          </w:tcPr>
          <w:p w14:paraId="26A069AB"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Висока (за умови продуманого дизайну)</w:t>
            </w:r>
          </w:p>
        </w:tc>
        <w:tc>
          <w:tcPr>
            <w:tcW w:w="0" w:type="auto"/>
            <w:vAlign w:val="center"/>
            <w:hideMark/>
          </w:tcPr>
          <w:p w14:paraId="730296DD" w14:textId="5E575814"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залежить від фінансування й персоналу</w:t>
            </w:r>
          </w:p>
        </w:tc>
        <w:tc>
          <w:tcPr>
            <w:tcW w:w="0" w:type="auto"/>
            <w:vAlign w:val="center"/>
            <w:hideMark/>
          </w:tcPr>
          <w:p w14:paraId="4562A302"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Найкраще в умовах міста/великої громади з ресурсами; зручно для комплексного обслуговування</w:t>
            </w:r>
          </w:p>
        </w:tc>
      </w:tr>
      <w:tr w:rsidR="00334C25" w:rsidRPr="00334C25" w14:paraId="38007313" w14:textId="77777777" w:rsidTr="00334C25">
        <w:trPr>
          <w:tblCellSpacing w:w="15" w:type="dxa"/>
        </w:trPr>
        <w:tc>
          <w:tcPr>
            <w:tcW w:w="0" w:type="auto"/>
            <w:vAlign w:val="center"/>
            <w:hideMark/>
          </w:tcPr>
          <w:p w14:paraId="49FAB081" w14:textId="049F9BED"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b/>
                <w:bCs/>
                <w:color w:val="000000" w:themeColor="text1"/>
                <w:sz w:val="24"/>
                <w:szCs w:val="24"/>
                <w:lang w:val="ru-UA"/>
              </w:rPr>
              <w:t xml:space="preserve">«Осередок </w:t>
            </w:r>
            <w:r w:rsidR="008D7B0D">
              <w:rPr>
                <w:b/>
                <w:bCs/>
                <w:color w:val="000000" w:themeColor="text1"/>
                <w:sz w:val="24"/>
                <w:szCs w:val="24"/>
                <w:lang w:val="ru-UA"/>
              </w:rPr>
              <w:t>-</w:t>
            </w:r>
            <w:r w:rsidRPr="00334C25">
              <w:rPr>
                <w:b/>
                <w:bCs/>
                <w:color w:val="000000" w:themeColor="text1"/>
                <w:sz w:val="24"/>
                <w:szCs w:val="24"/>
                <w:lang w:val="ru-UA"/>
              </w:rPr>
              <w:t xml:space="preserve"> відгалуження» (hub-and-spoke)</w:t>
            </w:r>
          </w:p>
        </w:tc>
        <w:tc>
          <w:tcPr>
            <w:tcW w:w="0" w:type="auto"/>
            <w:vAlign w:val="center"/>
            <w:hideMark/>
          </w:tcPr>
          <w:p w14:paraId="315233AF" w14:textId="41623220"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Середня–висока </w:t>
            </w:r>
            <w:r w:rsidR="008D7B0D">
              <w:rPr>
                <w:color w:val="000000" w:themeColor="text1"/>
                <w:sz w:val="24"/>
                <w:szCs w:val="24"/>
                <w:lang w:val="ru-UA"/>
              </w:rPr>
              <w:t>-</w:t>
            </w:r>
            <w:r w:rsidRPr="00334C25">
              <w:rPr>
                <w:color w:val="000000" w:themeColor="text1"/>
                <w:sz w:val="24"/>
                <w:szCs w:val="24"/>
                <w:lang w:val="ru-UA"/>
              </w:rPr>
              <w:t xml:space="preserve"> ближче до користувача завдяки локальним відгалуженням</w:t>
            </w:r>
          </w:p>
        </w:tc>
        <w:tc>
          <w:tcPr>
            <w:tcW w:w="0" w:type="auto"/>
            <w:vAlign w:val="center"/>
            <w:hideMark/>
          </w:tcPr>
          <w:p w14:paraId="39958CDA" w14:textId="03F5D5F1"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Середня–висока </w:t>
            </w:r>
            <w:r w:rsidR="008D7B0D">
              <w:rPr>
                <w:color w:val="000000" w:themeColor="text1"/>
                <w:sz w:val="24"/>
                <w:szCs w:val="24"/>
                <w:lang w:val="ru-UA"/>
              </w:rPr>
              <w:t>-</w:t>
            </w:r>
            <w:r w:rsidRPr="00334C25">
              <w:rPr>
                <w:color w:val="000000" w:themeColor="text1"/>
                <w:sz w:val="24"/>
                <w:szCs w:val="24"/>
                <w:lang w:val="ru-UA"/>
              </w:rPr>
              <w:t xml:space="preserve"> центральний осередок дає спецпослуги, відгалуження </w:t>
            </w:r>
            <w:r w:rsidR="008D7B0D">
              <w:rPr>
                <w:color w:val="000000" w:themeColor="text1"/>
                <w:sz w:val="24"/>
                <w:szCs w:val="24"/>
                <w:lang w:val="ru-UA"/>
              </w:rPr>
              <w:t>-</w:t>
            </w:r>
            <w:r w:rsidRPr="00334C25">
              <w:rPr>
                <w:color w:val="000000" w:themeColor="text1"/>
                <w:sz w:val="24"/>
                <w:szCs w:val="24"/>
                <w:lang w:val="ru-UA"/>
              </w:rPr>
              <w:t xml:space="preserve"> базові</w:t>
            </w:r>
          </w:p>
        </w:tc>
        <w:tc>
          <w:tcPr>
            <w:tcW w:w="0" w:type="auto"/>
            <w:vAlign w:val="center"/>
            <w:hideMark/>
          </w:tcPr>
          <w:p w14:paraId="39495D97" w14:textId="409F0202"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центральна координація + локальна присутність</w:t>
            </w:r>
          </w:p>
        </w:tc>
        <w:tc>
          <w:tcPr>
            <w:tcW w:w="0" w:type="auto"/>
            <w:vAlign w:val="center"/>
            <w:hideMark/>
          </w:tcPr>
          <w:p w14:paraId="4E982DE4" w14:textId="00E8B779"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залежить від оснащення відгалужень</w:t>
            </w:r>
          </w:p>
        </w:tc>
        <w:tc>
          <w:tcPr>
            <w:tcW w:w="0" w:type="auto"/>
            <w:vAlign w:val="center"/>
            <w:hideMark/>
          </w:tcPr>
          <w:p w14:paraId="3F255AF8" w14:textId="190EF500"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добре масштабовується і витримує навантаження</w:t>
            </w:r>
          </w:p>
        </w:tc>
        <w:tc>
          <w:tcPr>
            <w:tcW w:w="0" w:type="auto"/>
            <w:vAlign w:val="center"/>
            <w:hideMark/>
          </w:tcPr>
          <w:p w14:paraId="171FBF74"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Підходить для регіонів зі згуртованою мережею служб і логістикою</w:t>
            </w:r>
          </w:p>
        </w:tc>
      </w:tr>
      <w:tr w:rsidR="00334C25" w:rsidRPr="00334C25" w14:paraId="122F82C1" w14:textId="77777777" w:rsidTr="00334C25">
        <w:trPr>
          <w:tblCellSpacing w:w="15" w:type="dxa"/>
        </w:trPr>
        <w:tc>
          <w:tcPr>
            <w:tcW w:w="0" w:type="auto"/>
            <w:vAlign w:val="center"/>
            <w:hideMark/>
          </w:tcPr>
          <w:p w14:paraId="044B60A5"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b/>
                <w:bCs/>
                <w:color w:val="000000" w:themeColor="text1"/>
                <w:sz w:val="24"/>
                <w:szCs w:val="24"/>
                <w:lang w:val="ru-UA"/>
              </w:rPr>
              <w:t>Мобільні виїзні бригади</w:t>
            </w:r>
          </w:p>
        </w:tc>
        <w:tc>
          <w:tcPr>
            <w:tcW w:w="0" w:type="auto"/>
            <w:vAlign w:val="center"/>
            <w:hideMark/>
          </w:tcPr>
          <w:p w14:paraId="5AC74B05" w14:textId="52F0895F"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швидкий вихід до людей у польових умовах</w:t>
            </w:r>
          </w:p>
        </w:tc>
        <w:tc>
          <w:tcPr>
            <w:tcW w:w="0" w:type="auto"/>
            <w:vAlign w:val="center"/>
            <w:hideMark/>
          </w:tcPr>
          <w:p w14:paraId="2A95D7AF" w14:textId="66BF8023"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Низька–середня </w:t>
            </w:r>
            <w:r w:rsidR="008D7B0D">
              <w:rPr>
                <w:color w:val="000000" w:themeColor="text1"/>
                <w:sz w:val="24"/>
                <w:szCs w:val="24"/>
                <w:lang w:val="ru-UA"/>
              </w:rPr>
              <w:t>-</w:t>
            </w:r>
            <w:r w:rsidRPr="00334C25">
              <w:rPr>
                <w:color w:val="000000" w:themeColor="text1"/>
                <w:sz w:val="24"/>
                <w:szCs w:val="24"/>
                <w:lang w:val="ru-UA"/>
              </w:rPr>
              <w:t xml:space="preserve"> обмежений набір послуг на місці</w:t>
            </w:r>
          </w:p>
        </w:tc>
        <w:tc>
          <w:tcPr>
            <w:tcW w:w="0" w:type="auto"/>
            <w:vAlign w:val="center"/>
            <w:hideMark/>
          </w:tcPr>
          <w:p w14:paraId="51801862" w14:textId="3236A22F"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Низька </w:t>
            </w:r>
            <w:r w:rsidR="008D7B0D">
              <w:rPr>
                <w:color w:val="000000" w:themeColor="text1"/>
                <w:sz w:val="24"/>
                <w:szCs w:val="24"/>
                <w:lang w:val="ru-UA"/>
              </w:rPr>
              <w:t>-</w:t>
            </w:r>
            <w:r w:rsidRPr="00334C25">
              <w:rPr>
                <w:color w:val="000000" w:themeColor="text1"/>
                <w:sz w:val="24"/>
                <w:szCs w:val="24"/>
                <w:lang w:val="ru-UA"/>
              </w:rPr>
              <w:t xml:space="preserve"> потрібна координація з постійними пунктами</w:t>
            </w:r>
          </w:p>
        </w:tc>
        <w:tc>
          <w:tcPr>
            <w:tcW w:w="0" w:type="auto"/>
            <w:vAlign w:val="center"/>
            <w:hideMark/>
          </w:tcPr>
          <w:p w14:paraId="3A345034" w14:textId="051A302F"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можна адаптувати, але обмежені можливості</w:t>
            </w:r>
          </w:p>
        </w:tc>
        <w:tc>
          <w:tcPr>
            <w:tcW w:w="0" w:type="auto"/>
            <w:vAlign w:val="center"/>
            <w:hideMark/>
          </w:tcPr>
          <w:p w14:paraId="03F5A440" w14:textId="07C39A6A"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Низька–середня </w:t>
            </w:r>
            <w:r w:rsidR="008D7B0D">
              <w:rPr>
                <w:color w:val="000000" w:themeColor="text1"/>
                <w:sz w:val="24"/>
                <w:szCs w:val="24"/>
                <w:lang w:val="ru-UA"/>
              </w:rPr>
              <w:t>-</w:t>
            </w:r>
            <w:r w:rsidRPr="00334C25">
              <w:rPr>
                <w:color w:val="000000" w:themeColor="text1"/>
                <w:sz w:val="24"/>
                <w:szCs w:val="24"/>
                <w:lang w:val="ru-UA"/>
              </w:rPr>
              <w:t xml:space="preserve"> залежить від безпеки й логістики</w:t>
            </w:r>
          </w:p>
        </w:tc>
        <w:tc>
          <w:tcPr>
            <w:tcW w:w="0" w:type="auto"/>
            <w:vAlign w:val="center"/>
            <w:hideMark/>
          </w:tcPr>
          <w:p w14:paraId="01AAD810"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Найкраще для віддалених/небезпечних місць і термінових випадків</w:t>
            </w:r>
          </w:p>
        </w:tc>
      </w:tr>
      <w:tr w:rsidR="00334C25" w:rsidRPr="00334C25" w14:paraId="11460CDB" w14:textId="77777777" w:rsidTr="00334C25">
        <w:trPr>
          <w:tblCellSpacing w:w="15" w:type="dxa"/>
        </w:trPr>
        <w:tc>
          <w:tcPr>
            <w:tcW w:w="0" w:type="auto"/>
            <w:vAlign w:val="center"/>
            <w:hideMark/>
          </w:tcPr>
          <w:p w14:paraId="43B7EEA5"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b/>
                <w:bCs/>
                <w:color w:val="000000" w:themeColor="text1"/>
                <w:sz w:val="24"/>
                <w:szCs w:val="24"/>
                <w:lang w:val="ru-UA"/>
              </w:rPr>
              <w:t>Центр ведення випадків (case management)</w:t>
            </w:r>
          </w:p>
        </w:tc>
        <w:tc>
          <w:tcPr>
            <w:tcW w:w="0" w:type="auto"/>
            <w:vAlign w:val="center"/>
            <w:hideMark/>
          </w:tcPr>
          <w:p w14:paraId="024B1A32" w14:textId="19B96311"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Низька </w:t>
            </w:r>
            <w:r w:rsidR="008D7B0D">
              <w:rPr>
                <w:color w:val="000000" w:themeColor="text1"/>
                <w:sz w:val="24"/>
                <w:szCs w:val="24"/>
                <w:lang w:val="ru-UA"/>
              </w:rPr>
              <w:t>-</w:t>
            </w:r>
            <w:r w:rsidRPr="00334C25">
              <w:rPr>
                <w:color w:val="000000" w:themeColor="text1"/>
                <w:sz w:val="24"/>
                <w:szCs w:val="24"/>
                <w:lang w:val="ru-UA"/>
              </w:rPr>
              <w:t xml:space="preserve"> індивідуальний супровід потребує часу</w:t>
            </w:r>
          </w:p>
        </w:tc>
        <w:tc>
          <w:tcPr>
            <w:tcW w:w="0" w:type="auto"/>
            <w:vAlign w:val="center"/>
            <w:hideMark/>
          </w:tcPr>
          <w:p w14:paraId="16389302" w14:textId="22B4DF10"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глибокий, мультидисциплінарний супровід</w:t>
            </w:r>
          </w:p>
        </w:tc>
        <w:tc>
          <w:tcPr>
            <w:tcW w:w="0" w:type="auto"/>
            <w:vAlign w:val="center"/>
            <w:hideMark/>
          </w:tcPr>
          <w:p w14:paraId="136C78F7" w14:textId="5AB0295C"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координує кілька постачальників послуг</w:t>
            </w:r>
          </w:p>
        </w:tc>
        <w:tc>
          <w:tcPr>
            <w:tcW w:w="0" w:type="auto"/>
            <w:vAlign w:val="center"/>
            <w:hideMark/>
          </w:tcPr>
          <w:p w14:paraId="43695FEA" w14:textId="422C3CC5"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орієнтований на вразливі групи</w:t>
            </w:r>
          </w:p>
        </w:tc>
        <w:tc>
          <w:tcPr>
            <w:tcW w:w="0" w:type="auto"/>
            <w:vAlign w:val="center"/>
            <w:hideMark/>
          </w:tcPr>
          <w:p w14:paraId="3C917916" w14:textId="2479C844"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ресурсозатратний, але ефективний</w:t>
            </w:r>
          </w:p>
        </w:tc>
        <w:tc>
          <w:tcPr>
            <w:tcW w:w="0" w:type="auto"/>
            <w:vAlign w:val="center"/>
            <w:hideMark/>
          </w:tcPr>
          <w:p w14:paraId="33DF1C1B"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Оптимально для складних/вразливих випадків, потребує кваліфікованих кадрів</w:t>
            </w:r>
          </w:p>
        </w:tc>
      </w:tr>
      <w:tr w:rsidR="00334C25" w:rsidRPr="00334C25" w14:paraId="12C8CB0B" w14:textId="77777777" w:rsidTr="00334C25">
        <w:trPr>
          <w:tblCellSpacing w:w="15" w:type="dxa"/>
        </w:trPr>
        <w:tc>
          <w:tcPr>
            <w:tcW w:w="0" w:type="auto"/>
            <w:vAlign w:val="center"/>
            <w:hideMark/>
          </w:tcPr>
          <w:p w14:paraId="4767E741" w14:textId="7777777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b/>
                <w:bCs/>
                <w:color w:val="000000" w:themeColor="text1"/>
                <w:sz w:val="24"/>
                <w:szCs w:val="24"/>
                <w:lang w:val="ru-UA"/>
              </w:rPr>
              <w:lastRenderedPageBreak/>
              <w:t>Реферальний центр (координатор перенаправлень)</w:t>
            </w:r>
          </w:p>
        </w:tc>
        <w:tc>
          <w:tcPr>
            <w:tcW w:w="0" w:type="auto"/>
            <w:vAlign w:val="center"/>
            <w:hideMark/>
          </w:tcPr>
          <w:p w14:paraId="781F7D34" w14:textId="1F56F1CC"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може пришвидшувати доступ, але не надає всі послуги сам</w:t>
            </w:r>
          </w:p>
        </w:tc>
        <w:tc>
          <w:tcPr>
            <w:tcW w:w="0" w:type="auto"/>
            <w:vAlign w:val="center"/>
            <w:hideMark/>
          </w:tcPr>
          <w:p w14:paraId="6B1336DD" w14:textId="7FD0DB98"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Низька (не надає самостійно) </w:t>
            </w:r>
            <w:r w:rsidR="008D7B0D">
              <w:rPr>
                <w:color w:val="000000" w:themeColor="text1"/>
                <w:sz w:val="24"/>
                <w:szCs w:val="24"/>
                <w:lang w:val="ru-UA"/>
              </w:rPr>
              <w:t>-</w:t>
            </w:r>
            <w:r w:rsidRPr="00334C25">
              <w:rPr>
                <w:color w:val="000000" w:themeColor="text1"/>
                <w:sz w:val="24"/>
                <w:szCs w:val="24"/>
                <w:lang w:val="ru-UA"/>
              </w:rPr>
              <w:t xml:space="preserve"> забезпечує доступ до постачальників</w:t>
            </w:r>
          </w:p>
        </w:tc>
        <w:tc>
          <w:tcPr>
            <w:tcW w:w="0" w:type="auto"/>
            <w:vAlign w:val="center"/>
            <w:hideMark/>
          </w:tcPr>
          <w:p w14:paraId="5B2CA99B" w14:textId="35716017"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Висока </w:t>
            </w:r>
            <w:r w:rsidR="008D7B0D">
              <w:rPr>
                <w:color w:val="000000" w:themeColor="text1"/>
                <w:sz w:val="24"/>
                <w:szCs w:val="24"/>
                <w:lang w:val="ru-UA"/>
              </w:rPr>
              <w:t>-</w:t>
            </w:r>
            <w:r w:rsidRPr="00334C25">
              <w:rPr>
                <w:color w:val="000000" w:themeColor="text1"/>
                <w:sz w:val="24"/>
                <w:szCs w:val="24"/>
                <w:lang w:val="ru-UA"/>
              </w:rPr>
              <w:t xml:space="preserve"> центральний роутер між постачальниками</w:t>
            </w:r>
          </w:p>
        </w:tc>
        <w:tc>
          <w:tcPr>
            <w:tcW w:w="0" w:type="auto"/>
            <w:vAlign w:val="center"/>
            <w:hideMark/>
          </w:tcPr>
          <w:p w14:paraId="5B7379BF" w14:textId="234681B2"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залежить від партнерів та протоколів</w:t>
            </w:r>
          </w:p>
        </w:tc>
        <w:tc>
          <w:tcPr>
            <w:tcW w:w="0" w:type="auto"/>
            <w:vAlign w:val="center"/>
            <w:hideMark/>
          </w:tcPr>
          <w:p w14:paraId="78127770" w14:textId="500A364F"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 xml:space="preserve">Середня </w:t>
            </w:r>
            <w:r w:rsidR="008D7B0D">
              <w:rPr>
                <w:color w:val="000000" w:themeColor="text1"/>
                <w:sz w:val="24"/>
                <w:szCs w:val="24"/>
                <w:lang w:val="ru-UA"/>
              </w:rPr>
              <w:t>-</w:t>
            </w:r>
            <w:r w:rsidRPr="00334C25">
              <w:rPr>
                <w:color w:val="000000" w:themeColor="text1"/>
                <w:sz w:val="24"/>
                <w:szCs w:val="24"/>
                <w:lang w:val="ru-UA"/>
              </w:rPr>
              <w:t xml:space="preserve"> потребує налагоджених партнерств і систем обміну даними</w:t>
            </w:r>
          </w:p>
        </w:tc>
        <w:tc>
          <w:tcPr>
            <w:tcW w:w="0" w:type="auto"/>
            <w:vAlign w:val="center"/>
            <w:hideMark/>
          </w:tcPr>
          <w:p w14:paraId="777D08D5" w14:textId="675B2009" w:rsidR="00334C25" w:rsidRPr="00334C25" w:rsidRDefault="00334C25" w:rsidP="00334C25">
            <w:pPr>
              <w:spacing w:before="100" w:beforeAutospacing="1" w:after="100" w:afterAutospacing="1" w:line="240" w:lineRule="auto"/>
              <w:jc w:val="left"/>
              <w:rPr>
                <w:color w:val="000000" w:themeColor="text1"/>
                <w:sz w:val="24"/>
                <w:szCs w:val="24"/>
                <w:lang w:val="ru-UA"/>
              </w:rPr>
            </w:pPr>
            <w:r w:rsidRPr="00334C25">
              <w:rPr>
                <w:color w:val="000000" w:themeColor="text1"/>
                <w:sz w:val="24"/>
                <w:szCs w:val="24"/>
                <w:lang w:val="ru-UA"/>
              </w:rPr>
              <w:t>Ефективний у системах із широкою мережею постачальників послуг</w:t>
            </w:r>
          </w:p>
        </w:tc>
      </w:tr>
    </w:tbl>
    <w:p w14:paraId="2F047D31" w14:textId="77777777" w:rsidR="00334C25" w:rsidRPr="00334C25" w:rsidRDefault="00334C25" w:rsidP="00334C25">
      <w:pPr>
        <w:spacing w:before="100" w:beforeAutospacing="1" w:after="100" w:afterAutospacing="1"/>
        <w:jc w:val="left"/>
        <w:rPr>
          <w:color w:val="000000" w:themeColor="text1"/>
          <w:sz w:val="28"/>
          <w:szCs w:val="28"/>
          <w:lang w:val="ru-UA"/>
        </w:rPr>
      </w:pPr>
      <w:r w:rsidRPr="00334C25">
        <w:rPr>
          <w:b/>
          <w:bCs/>
          <w:color w:val="000000" w:themeColor="text1"/>
          <w:sz w:val="28"/>
          <w:szCs w:val="28"/>
          <w:lang w:val="ru-UA"/>
        </w:rPr>
        <w:t>Легенда.</w:t>
      </w:r>
    </w:p>
    <w:p w14:paraId="5A438A01" w14:textId="49F36C1B" w:rsidR="00334C25" w:rsidRPr="00334C25" w:rsidRDefault="00334C25" w:rsidP="00334C25">
      <w:pPr>
        <w:numPr>
          <w:ilvl w:val="0"/>
          <w:numId w:val="28"/>
        </w:numPr>
        <w:spacing w:before="100" w:beforeAutospacing="1" w:after="100" w:afterAutospacing="1"/>
        <w:jc w:val="left"/>
        <w:rPr>
          <w:color w:val="000000" w:themeColor="text1"/>
          <w:sz w:val="28"/>
          <w:szCs w:val="28"/>
          <w:lang w:val="ru-UA"/>
        </w:rPr>
      </w:pPr>
      <w:r w:rsidRPr="00334C25">
        <w:rPr>
          <w:color w:val="000000" w:themeColor="text1"/>
          <w:sz w:val="28"/>
          <w:szCs w:val="28"/>
          <w:lang w:val="ru-UA"/>
        </w:rPr>
        <w:t xml:space="preserve">Своєчасність </w:t>
      </w:r>
      <w:r w:rsidR="008D7B0D">
        <w:rPr>
          <w:color w:val="000000" w:themeColor="text1"/>
          <w:sz w:val="28"/>
          <w:szCs w:val="28"/>
          <w:lang w:val="ru-UA"/>
        </w:rPr>
        <w:t>-</w:t>
      </w:r>
      <w:r w:rsidRPr="00334C25">
        <w:rPr>
          <w:color w:val="000000" w:themeColor="text1"/>
          <w:sz w:val="28"/>
          <w:szCs w:val="28"/>
          <w:lang w:val="ru-UA"/>
        </w:rPr>
        <w:t xml:space="preserve"> швидкість першого контакту/реакції.</w:t>
      </w:r>
    </w:p>
    <w:p w14:paraId="6C1233F5" w14:textId="4CBE1381" w:rsidR="00334C25" w:rsidRPr="00334C25" w:rsidRDefault="00334C25" w:rsidP="00334C25">
      <w:pPr>
        <w:numPr>
          <w:ilvl w:val="0"/>
          <w:numId w:val="28"/>
        </w:numPr>
        <w:spacing w:before="100" w:beforeAutospacing="1" w:after="100" w:afterAutospacing="1"/>
        <w:jc w:val="left"/>
        <w:rPr>
          <w:color w:val="000000" w:themeColor="text1"/>
          <w:sz w:val="28"/>
          <w:szCs w:val="28"/>
          <w:lang w:val="ru-UA"/>
        </w:rPr>
      </w:pPr>
      <w:r w:rsidRPr="00334C25">
        <w:rPr>
          <w:color w:val="000000" w:themeColor="text1"/>
          <w:sz w:val="28"/>
          <w:szCs w:val="28"/>
          <w:lang w:val="ru-UA"/>
        </w:rPr>
        <w:t xml:space="preserve">Повнота послуг </w:t>
      </w:r>
      <w:r w:rsidR="008D7B0D">
        <w:rPr>
          <w:color w:val="000000" w:themeColor="text1"/>
          <w:sz w:val="28"/>
          <w:szCs w:val="28"/>
          <w:lang w:val="ru-UA"/>
        </w:rPr>
        <w:t>-</w:t>
      </w:r>
      <w:r w:rsidRPr="00334C25">
        <w:rPr>
          <w:color w:val="000000" w:themeColor="text1"/>
          <w:sz w:val="28"/>
          <w:szCs w:val="28"/>
          <w:lang w:val="ru-UA"/>
        </w:rPr>
        <w:t xml:space="preserve"> наскільки широкий/адекватний пакет послуг доступний на точці.</w:t>
      </w:r>
    </w:p>
    <w:p w14:paraId="116037EA" w14:textId="7D7D9CBE" w:rsidR="00334C25" w:rsidRPr="00334C25" w:rsidRDefault="00334C25" w:rsidP="00334C25">
      <w:pPr>
        <w:numPr>
          <w:ilvl w:val="0"/>
          <w:numId w:val="28"/>
        </w:numPr>
        <w:spacing w:before="100" w:beforeAutospacing="1" w:after="100" w:afterAutospacing="1"/>
        <w:jc w:val="left"/>
        <w:rPr>
          <w:color w:val="000000" w:themeColor="text1"/>
          <w:sz w:val="28"/>
          <w:szCs w:val="28"/>
          <w:lang w:val="ru-UA"/>
        </w:rPr>
      </w:pPr>
      <w:r w:rsidRPr="00334C25">
        <w:rPr>
          <w:color w:val="000000" w:themeColor="text1"/>
          <w:sz w:val="28"/>
          <w:szCs w:val="28"/>
          <w:lang w:val="ru-UA"/>
        </w:rPr>
        <w:t xml:space="preserve">Інтегрованість </w:t>
      </w:r>
      <w:r w:rsidR="008D7B0D">
        <w:rPr>
          <w:color w:val="000000" w:themeColor="text1"/>
          <w:sz w:val="28"/>
          <w:szCs w:val="28"/>
          <w:lang w:val="ru-UA"/>
        </w:rPr>
        <w:t>-</w:t>
      </w:r>
      <w:r w:rsidRPr="00334C25">
        <w:rPr>
          <w:color w:val="000000" w:themeColor="text1"/>
          <w:sz w:val="28"/>
          <w:szCs w:val="28"/>
          <w:lang w:val="ru-UA"/>
        </w:rPr>
        <w:t xml:space="preserve"> ступінь координації між секторами/акторами.</w:t>
      </w:r>
    </w:p>
    <w:p w14:paraId="334DD3DD" w14:textId="4804DDF5" w:rsidR="00334C25" w:rsidRPr="00334C25" w:rsidRDefault="00334C25" w:rsidP="00334C25">
      <w:pPr>
        <w:numPr>
          <w:ilvl w:val="0"/>
          <w:numId w:val="28"/>
        </w:numPr>
        <w:spacing w:before="100" w:beforeAutospacing="1" w:after="100" w:afterAutospacing="1"/>
        <w:jc w:val="left"/>
        <w:rPr>
          <w:color w:val="000000" w:themeColor="text1"/>
          <w:sz w:val="28"/>
          <w:szCs w:val="28"/>
          <w:lang w:val="ru-UA"/>
        </w:rPr>
      </w:pPr>
      <w:r w:rsidRPr="00334C25">
        <w:rPr>
          <w:color w:val="000000" w:themeColor="text1"/>
          <w:sz w:val="28"/>
          <w:szCs w:val="28"/>
          <w:lang w:val="ru-UA"/>
        </w:rPr>
        <w:t xml:space="preserve">Інклюзивність </w:t>
      </w:r>
      <w:r w:rsidR="008D7B0D">
        <w:rPr>
          <w:color w:val="000000" w:themeColor="text1"/>
          <w:sz w:val="28"/>
          <w:szCs w:val="28"/>
          <w:lang w:val="ru-UA"/>
        </w:rPr>
        <w:t>-</w:t>
      </w:r>
      <w:r w:rsidRPr="00334C25">
        <w:rPr>
          <w:color w:val="000000" w:themeColor="text1"/>
          <w:sz w:val="28"/>
          <w:szCs w:val="28"/>
          <w:lang w:val="ru-UA"/>
        </w:rPr>
        <w:t xml:space="preserve"> доступність для жінок, дітей, людей з інвалідністю та інших вразливих груп.</w:t>
      </w:r>
    </w:p>
    <w:p w14:paraId="4BC5A68B" w14:textId="604385B6" w:rsidR="00334C25" w:rsidRPr="00334C25" w:rsidRDefault="00334C25" w:rsidP="00334C25">
      <w:pPr>
        <w:numPr>
          <w:ilvl w:val="0"/>
          <w:numId w:val="28"/>
        </w:numPr>
        <w:spacing w:before="100" w:beforeAutospacing="1" w:after="100" w:afterAutospacing="1"/>
        <w:jc w:val="left"/>
        <w:rPr>
          <w:color w:val="000000" w:themeColor="text1"/>
          <w:sz w:val="28"/>
          <w:szCs w:val="28"/>
          <w:lang w:val="ru-UA"/>
        </w:rPr>
      </w:pPr>
      <w:r w:rsidRPr="00334C25">
        <w:rPr>
          <w:color w:val="000000" w:themeColor="text1"/>
          <w:sz w:val="28"/>
          <w:szCs w:val="28"/>
          <w:lang w:val="ru-UA"/>
        </w:rPr>
        <w:t xml:space="preserve">Стійкість </w:t>
      </w:r>
      <w:r w:rsidR="008D7B0D">
        <w:rPr>
          <w:color w:val="000000" w:themeColor="text1"/>
          <w:sz w:val="28"/>
          <w:szCs w:val="28"/>
          <w:lang w:val="ru-UA"/>
        </w:rPr>
        <w:t>-</w:t>
      </w:r>
      <w:r w:rsidRPr="00334C25">
        <w:rPr>
          <w:color w:val="000000" w:themeColor="text1"/>
          <w:sz w:val="28"/>
          <w:szCs w:val="28"/>
          <w:lang w:val="ru-UA"/>
        </w:rPr>
        <w:t xml:space="preserve"> здатність функціонувати тривалий час за обмежених ресурсів.</w:t>
      </w:r>
    </w:p>
    <w:p w14:paraId="58CF4125" w14:textId="77777777" w:rsidR="00334C25" w:rsidRPr="00334C25" w:rsidRDefault="00334C25" w:rsidP="00334C25">
      <w:pPr>
        <w:pStyle w:val="3"/>
        <w:ind w:left="720"/>
        <w:rPr>
          <w:color w:val="000000" w:themeColor="text1"/>
          <w:lang w:val="en-US"/>
        </w:rPr>
      </w:pPr>
    </w:p>
    <w:p w14:paraId="63A17FE7" w14:textId="2DE8D8BB" w:rsidR="00334C25" w:rsidRPr="00334C25" w:rsidRDefault="00334C25" w:rsidP="00334C25">
      <w:pPr>
        <w:pStyle w:val="3"/>
        <w:numPr>
          <w:ilvl w:val="2"/>
          <w:numId w:val="4"/>
        </w:numPr>
        <w:rPr>
          <w:color w:val="000000" w:themeColor="text1"/>
        </w:rPr>
      </w:pPr>
      <w:bookmarkStart w:id="6" w:name="_Toc214217501"/>
      <w:r w:rsidRPr="00334C25">
        <w:rPr>
          <w:color w:val="000000" w:themeColor="text1"/>
        </w:rPr>
        <w:t>П</w:t>
      </w:r>
      <w:proofErr w:type="spellStart"/>
      <w:r w:rsidRPr="00334C25">
        <w:rPr>
          <w:color w:val="000000" w:themeColor="text1"/>
          <w:lang w:val="en-US"/>
        </w:rPr>
        <w:t>ідхід</w:t>
      </w:r>
      <w:proofErr w:type="spellEnd"/>
      <w:r w:rsidRPr="00334C25">
        <w:rPr>
          <w:color w:val="000000" w:themeColor="text1"/>
          <w:lang w:val="en-US"/>
        </w:rPr>
        <w:t xml:space="preserve"> </w:t>
      </w:r>
      <w:proofErr w:type="spellStart"/>
      <w:r w:rsidRPr="00334C25">
        <w:rPr>
          <w:color w:val="000000" w:themeColor="text1"/>
          <w:lang w:val="en-US"/>
        </w:rPr>
        <w:t>захисту</w:t>
      </w:r>
      <w:proofErr w:type="spellEnd"/>
      <w:r w:rsidRPr="00334C25">
        <w:rPr>
          <w:color w:val="000000" w:themeColor="text1"/>
          <w:lang w:val="en-US"/>
        </w:rPr>
        <w:t xml:space="preserve">/Protection mainstreaming і </w:t>
      </w:r>
      <w:proofErr w:type="spellStart"/>
      <w:r w:rsidRPr="00334C25">
        <w:rPr>
          <w:color w:val="000000" w:themeColor="text1"/>
          <w:lang w:val="en-US"/>
        </w:rPr>
        <w:t>гуманітарні</w:t>
      </w:r>
      <w:proofErr w:type="spellEnd"/>
      <w:r w:rsidRPr="00334C25">
        <w:rPr>
          <w:color w:val="000000" w:themeColor="text1"/>
          <w:lang w:val="en-US"/>
        </w:rPr>
        <w:t xml:space="preserve"> </w:t>
      </w:r>
      <w:proofErr w:type="spellStart"/>
      <w:r w:rsidRPr="00334C25">
        <w:rPr>
          <w:color w:val="000000" w:themeColor="text1"/>
          <w:lang w:val="en-US"/>
        </w:rPr>
        <w:t>стандарти</w:t>
      </w:r>
      <w:bookmarkEnd w:id="6"/>
      <w:proofErr w:type="spellEnd"/>
    </w:p>
    <w:p w14:paraId="132E5E83" w14:textId="13DA9833" w:rsidR="00334C25" w:rsidRPr="00334C25" w:rsidRDefault="00334C25" w:rsidP="00334C25">
      <w:pPr>
        <w:pStyle w:val="p1"/>
        <w:rPr>
          <w:color w:val="000000" w:themeColor="text1"/>
          <w:sz w:val="28"/>
          <w:szCs w:val="28"/>
        </w:rPr>
      </w:pPr>
      <w:r w:rsidRPr="00334C25">
        <w:rPr>
          <w:color w:val="000000" w:themeColor="text1"/>
          <w:sz w:val="28"/>
          <w:szCs w:val="28"/>
        </w:rPr>
        <w:t xml:space="preserve">Підхід захисту в гуманітарній діяльності означає системне врахування питань безпеки, прав людини і мінімізації шкоди у всіх видах надання допомоги. Його суть </w:t>
      </w:r>
      <w:r w:rsidR="008D7B0D">
        <w:rPr>
          <w:color w:val="000000" w:themeColor="text1"/>
          <w:sz w:val="28"/>
          <w:szCs w:val="28"/>
        </w:rPr>
        <w:t>-</w:t>
      </w:r>
      <w:r w:rsidRPr="00334C25">
        <w:rPr>
          <w:color w:val="000000" w:themeColor="text1"/>
          <w:sz w:val="28"/>
          <w:szCs w:val="28"/>
        </w:rPr>
        <w:t xml:space="preserve"> не окрема секція чи програма, а інтеграція заходів, що спрямовані на запобігання шкоди, захист прав і підвищення доступу до послуг для всіх груп населення, у повсякденні операції центрів прийому та надання допомоги. Стандарти гуманітарної допомоги визначають </w:t>
      </w:r>
      <w:r w:rsidRPr="00334C25">
        <w:rPr>
          <w:color w:val="000000" w:themeColor="text1"/>
          <w:sz w:val="28"/>
          <w:szCs w:val="28"/>
        </w:rPr>
        <w:lastRenderedPageBreak/>
        <w:t>мінімальні вимоги до якості, обсягу й безпеки послуг, а також порядок дій у випадках ризику для населення.</w:t>
      </w:r>
      <w:r w:rsidR="00EE3A37">
        <w:rPr>
          <w:rStyle w:val="af6"/>
          <w:color w:val="000000" w:themeColor="text1"/>
          <w:sz w:val="28"/>
          <w:szCs w:val="28"/>
        </w:rPr>
        <w:footnoteReference w:id="12"/>
      </w:r>
    </w:p>
    <w:p w14:paraId="74EC81F5" w14:textId="77777777" w:rsidR="00334C25" w:rsidRPr="00334C25" w:rsidRDefault="00334C25" w:rsidP="00334C25">
      <w:pPr>
        <w:pStyle w:val="p2"/>
        <w:spacing w:line="360" w:lineRule="auto"/>
        <w:jc w:val="both"/>
        <w:rPr>
          <w:color w:val="000000" w:themeColor="text1"/>
          <w:sz w:val="28"/>
          <w:szCs w:val="28"/>
        </w:rPr>
      </w:pPr>
    </w:p>
    <w:p w14:paraId="304280F3"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Ключові принципи підходу захисту</w:t>
      </w:r>
    </w:p>
    <w:p w14:paraId="0259C82B" w14:textId="77777777" w:rsidR="00334C25" w:rsidRPr="00334C25" w:rsidRDefault="00334C25" w:rsidP="00334C25">
      <w:pPr>
        <w:pStyle w:val="p1"/>
        <w:numPr>
          <w:ilvl w:val="0"/>
          <w:numId w:val="29"/>
        </w:numPr>
        <w:rPr>
          <w:color w:val="000000" w:themeColor="text1"/>
          <w:sz w:val="28"/>
          <w:szCs w:val="28"/>
        </w:rPr>
      </w:pPr>
      <w:r w:rsidRPr="00334C25">
        <w:rPr>
          <w:rStyle w:val="s1"/>
          <w:rFonts w:eastAsiaTheme="majorEastAsia"/>
          <w:b/>
          <w:bCs/>
          <w:color w:val="000000" w:themeColor="text1"/>
          <w:sz w:val="28"/>
          <w:szCs w:val="28"/>
        </w:rPr>
        <w:t>Не завдавати шкоди.</w:t>
      </w:r>
      <w:r w:rsidRPr="00334C25">
        <w:rPr>
          <w:color w:val="000000" w:themeColor="text1"/>
          <w:sz w:val="28"/>
          <w:szCs w:val="28"/>
        </w:rPr>
        <w:t xml:space="preserve"> Кожен елемент діяльності має оцінюватися з погляду можливих ризиків для безпеки людей і мінімізувати ці ризики (розміщення пунктів, час видачі допомоги, зберігання персональних даних).</w:t>
      </w:r>
    </w:p>
    <w:p w14:paraId="4960BD96" w14:textId="77777777" w:rsidR="00334C25" w:rsidRPr="00334C25" w:rsidRDefault="00334C25" w:rsidP="00334C25">
      <w:pPr>
        <w:pStyle w:val="p1"/>
        <w:numPr>
          <w:ilvl w:val="0"/>
          <w:numId w:val="29"/>
        </w:numPr>
        <w:rPr>
          <w:color w:val="000000" w:themeColor="text1"/>
          <w:sz w:val="28"/>
          <w:szCs w:val="28"/>
        </w:rPr>
      </w:pPr>
      <w:r w:rsidRPr="00334C25">
        <w:rPr>
          <w:rStyle w:val="s1"/>
          <w:rFonts w:eastAsiaTheme="majorEastAsia"/>
          <w:b/>
          <w:bCs/>
          <w:color w:val="000000" w:themeColor="text1"/>
          <w:sz w:val="28"/>
          <w:szCs w:val="28"/>
        </w:rPr>
        <w:t>Підзвітність перед постраждалими.</w:t>
      </w:r>
      <w:r w:rsidRPr="00334C25">
        <w:rPr>
          <w:color w:val="000000" w:themeColor="text1"/>
          <w:sz w:val="28"/>
          <w:szCs w:val="28"/>
        </w:rPr>
        <w:t xml:space="preserve"> Постраждалі мають отримувати зрозумілу інформацію про права, послуги та механізми скарг, можуть впливати на рішення, що стосуються їхніх потреб.</w:t>
      </w:r>
    </w:p>
    <w:p w14:paraId="1F560487" w14:textId="77777777" w:rsidR="00334C25" w:rsidRPr="00334C25" w:rsidRDefault="00334C25" w:rsidP="00334C25">
      <w:pPr>
        <w:pStyle w:val="p1"/>
        <w:numPr>
          <w:ilvl w:val="0"/>
          <w:numId w:val="29"/>
        </w:numPr>
        <w:rPr>
          <w:color w:val="000000" w:themeColor="text1"/>
          <w:sz w:val="28"/>
          <w:szCs w:val="28"/>
        </w:rPr>
      </w:pPr>
      <w:r w:rsidRPr="00334C25">
        <w:rPr>
          <w:rStyle w:val="s1"/>
          <w:rFonts w:eastAsiaTheme="majorEastAsia"/>
          <w:b/>
          <w:bCs/>
          <w:color w:val="000000" w:themeColor="text1"/>
          <w:sz w:val="28"/>
          <w:szCs w:val="28"/>
        </w:rPr>
        <w:t>Пріоритет захисту найбільш вразливих.</w:t>
      </w:r>
      <w:r w:rsidRPr="00334C25">
        <w:rPr>
          <w:color w:val="000000" w:themeColor="text1"/>
          <w:sz w:val="28"/>
          <w:szCs w:val="28"/>
        </w:rPr>
        <w:t xml:space="preserve"> Жінки, діти, люди з інвалідністю, літні особи, особи з тяжкими хворобами та інші вразливі групи мають пріоритет у доступі до захисних інтервенцій та супроводу.</w:t>
      </w:r>
    </w:p>
    <w:p w14:paraId="41F88223" w14:textId="44D51471" w:rsidR="00334C25" w:rsidRPr="00334C25" w:rsidRDefault="00334C25" w:rsidP="00334C25">
      <w:pPr>
        <w:pStyle w:val="p1"/>
        <w:numPr>
          <w:ilvl w:val="0"/>
          <w:numId w:val="29"/>
        </w:numPr>
        <w:rPr>
          <w:color w:val="000000" w:themeColor="text1"/>
          <w:sz w:val="28"/>
          <w:szCs w:val="28"/>
        </w:rPr>
      </w:pPr>
      <w:r w:rsidRPr="00334C25">
        <w:rPr>
          <w:rStyle w:val="s1"/>
          <w:rFonts w:eastAsiaTheme="majorEastAsia"/>
          <w:b/>
          <w:bCs/>
          <w:color w:val="000000" w:themeColor="text1"/>
          <w:sz w:val="28"/>
          <w:szCs w:val="28"/>
        </w:rPr>
        <w:t>Інтегрованість.</w:t>
      </w:r>
      <w:r w:rsidRPr="00334C25">
        <w:rPr>
          <w:color w:val="000000" w:themeColor="text1"/>
          <w:sz w:val="28"/>
          <w:szCs w:val="28"/>
        </w:rPr>
        <w:t xml:space="preserve"> Питання захисту мають бути враховані в усіх секторах </w:t>
      </w:r>
      <w:r w:rsidR="008D7B0D">
        <w:rPr>
          <w:color w:val="000000" w:themeColor="text1"/>
          <w:sz w:val="28"/>
          <w:szCs w:val="28"/>
        </w:rPr>
        <w:t>-</w:t>
      </w:r>
      <w:r w:rsidRPr="00334C25">
        <w:rPr>
          <w:color w:val="000000" w:themeColor="text1"/>
          <w:sz w:val="28"/>
          <w:szCs w:val="28"/>
        </w:rPr>
        <w:t xml:space="preserve"> від реєстрації й видачі допомоги до житлового розміщення та охорони здоров’я.</w:t>
      </w:r>
    </w:p>
    <w:p w14:paraId="75A56369" w14:textId="77777777" w:rsidR="00334C25" w:rsidRPr="00334C25" w:rsidRDefault="00334C25" w:rsidP="00334C25">
      <w:pPr>
        <w:pStyle w:val="p1"/>
        <w:numPr>
          <w:ilvl w:val="0"/>
          <w:numId w:val="29"/>
        </w:numPr>
        <w:rPr>
          <w:color w:val="000000" w:themeColor="text1"/>
          <w:sz w:val="28"/>
          <w:szCs w:val="28"/>
        </w:rPr>
      </w:pPr>
      <w:r w:rsidRPr="00334C25">
        <w:rPr>
          <w:rStyle w:val="s1"/>
          <w:rFonts w:eastAsiaTheme="majorEastAsia"/>
          <w:b/>
          <w:bCs/>
          <w:color w:val="000000" w:themeColor="text1"/>
          <w:sz w:val="28"/>
          <w:szCs w:val="28"/>
        </w:rPr>
        <w:t>Безпека конфіденційності та повага до приватності.</w:t>
      </w:r>
      <w:r w:rsidRPr="00334C25">
        <w:rPr>
          <w:color w:val="000000" w:themeColor="text1"/>
          <w:sz w:val="28"/>
          <w:szCs w:val="28"/>
        </w:rPr>
        <w:t xml:space="preserve"> Особисті дані збираються тільки з явної згоди та з урахуванням ризиків їхнього розголошення.</w:t>
      </w:r>
    </w:p>
    <w:p w14:paraId="64E3A628" w14:textId="77777777" w:rsidR="00334C25" w:rsidRPr="00334C25" w:rsidRDefault="00334C25" w:rsidP="00334C25">
      <w:pPr>
        <w:pStyle w:val="p2"/>
        <w:spacing w:line="360" w:lineRule="auto"/>
        <w:jc w:val="both"/>
        <w:rPr>
          <w:color w:val="000000" w:themeColor="text1"/>
          <w:sz w:val="28"/>
          <w:szCs w:val="28"/>
        </w:rPr>
      </w:pPr>
    </w:p>
    <w:p w14:paraId="0C6A45D8"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lastRenderedPageBreak/>
        <w:t>Основні стандарти та напрямки (стисло)</w:t>
      </w:r>
    </w:p>
    <w:p w14:paraId="640625DD" w14:textId="77777777" w:rsidR="00334C25" w:rsidRPr="00334C25" w:rsidRDefault="00334C25" w:rsidP="00334C25">
      <w:pPr>
        <w:pStyle w:val="p1"/>
        <w:numPr>
          <w:ilvl w:val="0"/>
          <w:numId w:val="30"/>
        </w:numPr>
        <w:rPr>
          <w:color w:val="000000" w:themeColor="text1"/>
          <w:sz w:val="28"/>
          <w:szCs w:val="28"/>
        </w:rPr>
      </w:pPr>
      <w:r w:rsidRPr="00334C25">
        <w:rPr>
          <w:rStyle w:val="s1"/>
          <w:rFonts w:eastAsiaTheme="majorEastAsia"/>
          <w:b/>
          <w:bCs/>
          <w:color w:val="000000" w:themeColor="text1"/>
          <w:sz w:val="28"/>
          <w:szCs w:val="28"/>
        </w:rPr>
        <w:t>Мінімальні стандарти гуманітарної допомоги</w:t>
      </w:r>
      <w:r w:rsidRPr="00334C25">
        <w:rPr>
          <w:color w:val="000000" w:themeColor="text1"/>
          <w:sz w:val="28"/>
          <w:szCs w:val="28"/>
        </w:rPr>
        <w:t>: базові норми щодо житла, санітарії, водопостачання, охорони здоров’я і продовольства; вимоги до якості послуг і процедур.</w:t>
      </w:r>
    </w:p>
    <w:p w14:paraId="5AE78A8A" w14:textId="77777777" w:rsidR="00334C25" w:rsidRPr="00334C25" w:rsidRDefault="00334C25" w:rsidP="00334C25">
      <w:pPr>
        <w:pStyle w:val="p1"/>
        <w:numPr>
          <w:ilvl w:val="0"/>
          <w:numId w:val="30"/>
        </w:numPr>
        <w:rPr>
          <w:color w:val="000000" w:themeColor="text1"/>
          <w:sz w:val="28"/>
          <w:szCs w:val="28"/>
        </w:rPr>
      </w:pPr>
      <w:r w:rsidRPr="00334C25">
        <w:rPr>
          <w:rStyle w:val="s1"/>
          <w:rFonts w:eastAsiaTheme="majorEastAsia"/>
          <w:b/>
          <w:bCs/>
          <w:color w:val="000000" w:themeColor="text1"/>
          <w:sz w:val="28"/>
          <w:szCs w:val="28"/>
        </w:rPr>
        <w:t>Підхід до запобігання сексуальній експлуатації й зловживанню</w:t>
      </w:r>
      <w:r w:rsidRPr="00334C25">
        <w:rPr>
          <w:color w:val="000000" w:themeColor="text1"/>
          <w:sz w:val="28"/>
          <w:szCs w:val="28"/>
        </w:rPr>
        <w:t>: наявність політики, процедур реагування, контактних осіб, навчання персоналу й каналів для безпечних скарг.</w:t>
      </w:r>
    </w:p>
    <w:p w14:paraId="7FBAC89D" w14:textId="77777777" w:rsidR="00334C25" w:rsidRPr="00334C25" w:rsidRDefault="00334C25" w:rsidP="00334C25">
      <w:pPr>
        <w:pStyle w:val="p1"/>
        <w:numPr>
          <w:ilvl w:val="0"/>
          <w:numId w:val="30"/>
        </w:numPr>
        <w:rPr>
          <w:color w:val="000000" w:themeColor="text1"/>
          <w:sz w:val="28"/>
          <w:szCs w:val="28"/>
        </w:rPr>
      </w:pPr>
      <w:r w:rsidRPr="00334C25">
        <w:rPr>
          <w:rStyle w:val="s1"/>
          <w:rFonts w:eastAsiaTheme="majorEastAsia"/>
          <w:b/>
          <w:bCs/>
          <w:color w:val="000000" w:themeColor="text1"/>
          <w:sz w:val="28"/>
          <w:szCs w:val="28"/>
        </w:rPr>
        <w:t>Психосоціальна підтримка і базова допомога з ухилом на психічне здоров’я</w:t>
      </w:r>
      <w:r w:rsidRPr="00334C25">
        <w:rPr>
          <w:color w:val="000000" w:themeColor="text1"/>
          <w:sz w:val="28"/>
          <w:szCs w:val="28"/>
        </w:rPr>
        <w:t>: забезпечення первинної підтримки, скринінг на потребу у подальшій спеціалізованій допомозі і маршрути направлення.</w:t>
      </w:r>
    </w:p>
    <w:p w14:paraId="3BAF323C" w14:textId="77777777" w:rsidR="00334C25" w:rsidRPr="00334C25" w:rsidRDefault="00334C25" w:rsidP="00334C25">
      <w:pPr>
        <w:pStyle w:val="p1"/>
        <w:numPr>
          <w:ilvl w:val="0"/>
          <w:numId w:val="30"/>
        </w:numPr>
        <w:rPr>
          <w:color w:val="000000" w:themeColor="text1"/>
          <w:sz w:val="28"/>
          <w:szCs w:val="28"/>
        </w:rPr>
      </w:pPr>
      <w:r w:rsidRPr="00334C25">
        <w:rPr>
          <w:rStyle w:val="s1"/>
          <w:rFonts w:eastAsiaTheme="majorEastAsia"/>
          <w:b/>
          <w:bCs/>
          <w:color w:val="000000" w:themeColor="text1"/>
          <w:sz w:val="28"/>
          <w:szCs w:val="28"/>
        </w:rPr>
        <w:t>Підзвітність і участь постраждалих</w:t>
      </w:r>
      <w:r w:rsidRPr="00334C25">
        <w:rPr>
          <w:color w:val="000000" w:themeColor="text1"/>
          <w:sz w:val="28"/>
          <w:szCs w:val="28"/>
        </w:rPr>
        <w:t>: механізми зворотного зв’язку, системи скарг та реагування, інформаційні кампанії, доступ до інформації у зрозумілій формі.</w:t>
      </w:r>
    </w:p>
    <w:p w14:paraId="4B2703BC" w14:textId="77777777" w:rsidR="00334C25" w:rsidRPr="00334C25" w:rsidRDefault="00334C25" w:rsidP="00334C25">
      <w:pPr>
        <w:pStyle w:val="p2"/>
        <w:spacing w:line="360" w:lineRule="auto"/>
        <w:jc w:val="both"/>
        <w:rPr>
          <w:color w:val="000000" w:themeColor="text1"/>
          <w:sz w:val="28"/>
          <w:szCs w:val="28"/>
        </w:rPr>
      </w:pPr>
    </w:p>
    <w:p w14:paraId="32C71844"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Практичні вимоги для транзитних центрів</w:t>
      </w:r>
    </w:p>
    <w:p w14:paraId="1AFAC1CC"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Процедури та нормативні документи</w:t>
      </w:r>
    </w:p>
    <w:p w14:paraId="20E96177"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Розробити і мати в робочому пакеті стандартні операційні процедури (порядки) з урахуванням захисту: реєстрація, обробка персональних даних, напрямки на медичну/психологічну/правову допомогу, механізми скарг.</w:t>
      </w:r>
    </w:p>
    <w:p w14:paraId="344CC81B"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Мати політику та протокол із запобігання сексуальній експлуатації й зловживанню; визначити відповідального працівника (контактна особа).</w:t>
      </w:r>
    </w:p>
    <w:p w14:paraId="00A57E4B"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Просторова організація й інфраструктура</w:t>
      </w:r>
    </w:p>
    <w:p w14:paraId="67EAA57C"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lastRenderedPageBreak/>
        <w:t>Забезпечити приватні зони для реєстрації і консультування, окремі простори для жінок і для сімей з дітьми, доступні маршрути для людей з інвалідністю.</w:t>
      </w:r>
    </w:p>
    <w:p w14:paraId="2FDB86A0"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Влаштувати безпечні маршрути входу/виходу, уникати місць, де люди стоять у чергах без захисту.</w:t>
      </w:r>
    </w:p>
    <w:p w14:paraId="13C881BE"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Інформування і участь постраждалих</w:t>
      </w:r>
    </w:p>
    <w:p w14:paraId="0E2612CB"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Проводити інформування прибулого населення про доступні послуги, права, порядок отримання допомоги та механізми скарг на зрозумілій мові; використовувати друковані матеріали, усні оголошення та інформаційні таблички.</w:t>
      </w:r>
    </w:p>
    <w:p w14:paraId="65ABB522"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Створити доступні й безпечні канали зворотного зв’язку (ящики для скарг, телефони гарячої лінії, уповноважені особи).</w:t>
      </w:r>
    </w:p>
    <w:p w14:paraId="0750CCD2"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Механізми реагування</w:t>
      </w:r>
    </w:p>
    <w:p w14:paraId="41CE443E"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Встановити чіткі маршрути для направлення випадків насильства, зловживань або серйозих потреб до спеціалізованих служб та відстежувати результат перенаправлення.</w:t>
      </w:r>
    </w:p>
    <w:p w14:paraId="211CE1F5"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Забезпечити присутність контактних осіб для випадків захисту, у тому числі для роботи з дітьми та потерпілими від ґендерно зумовленого насильства.</w:t>
      </w:r>
    </w:p>
    <w:p w14:paraId="6C1528E7"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Підготовка персоналу</w:t>
      </w:r>
    </w:p>
    <w:p w14:paraId="02CF08E7"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Навчання для всіх працівників і волонтерів з питань захисту, поведінки з постраждалими, базової психологічної підтримки, стандартів запобігання сексуальній експлуатації.</w:t>
      </w:r>
    </w:p>
    <w:p w14:paraId="5B953772"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Періодичні тренінги з оновлення процедур і практика тренувальних сценаріїв.</w:t>
      </w:r>
    </w:p>
    <w:p w14:paraId="067CECBB"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Конфіденційність і захист даних</w:t>
      </w:r>
    </w:p>
    <w:p w14:paraId="01928406" w14:textId="77777777"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 xml:space="preserve">Дотримання правил збирання, зберігання і передачі персональних даних; зберігати лише необхідні дані; </w:t>
      </w:r>
      <w:r w:rsidRPr="00334C25">
        <w:rPr>
          <w:color w:val="000000" w:themeColor="text1"/>
          <w:sz w:val="28"/>
          <w:szCs w:val="28"/>
        </w:rPr>
        <w:lastRenderedPageBreak/>
        <w:t>використовувати захищені реєстри; обмежувати доступ до чутливої інформації.</w:t>
      </w:r>
    </w:p>
    <w:p w14:paraId="6CDF9598" w14:textId="77777777" w:rsidR="00334C25" w:rsidRPr="00334C25" w:rsidRDefault="00334C25" w:rsidP="00334C25">
      <w:pPr>
        <w:pStyle w:val="p1"/>
        <w:numPr>
          <w:ilvl w:val="0"/>
          <w:numId w:val="31"/>
        </w:numPr>
        <w:rPr>
          <w:color w:val="000000" w:themeColor="text1"/>
          <w:sz w:val="28"/>
          <w:szCs w:val="28"/>
        </w:rPr>
      </w:pPr>
      <w:r w:rsidRPr="00334C25">
        <w:rPr>
          <w:b/>
          <w:bCs/>
          <w:color w:val="000000" w:themeColor="text1"/>
          <w:sz w:val="28"/>
          <w:szCs w:val="28"/>
        </w:rPr>
        <w:t>Моніторинг і оцінка</w:t>
      </w:r>
    </w:p>
    <w:p w14:paraId="7E6FB1BA" w14:textId="69423133" w:rsidR="00334C25" w:rsidRPr="00334C25" w:rsidRDefault="00334C25" w:rsidP="00334C25">
      <w:pPr>
        <w:pStyle w:val="p1"/>
        <w:numPr>
          <w:ilvl w:val="1"/>
          <w:numId w:val="31"/>
        </w:numPr>
        <w:rPr>
          <w:color w:val="000000" w:themeColor="text1"/>
          <w:sz w:val="28"/>
          <w:szCs w:val="28"/>
        </w:rPr>
      </w:pPr>
      <w:r w:rsidRPr="00334C25">
        <w:rPr>
          <w:color w:val="000000" w:themeColor="text1"/>
          <w:sz w:val="28"/>
          <w:szCs w:val="28"/>
        </w:rPr>
        <w:t>Вести облік випадків скарг і їх розгляду; збирати дані про кількість і результат рефералів; проводити періодичні перевірки відповідності стандартам.</w:t>
      </w:r>
    </w:p>
    <w:p w14:paraId="1E022176" w14:textId="70D48131"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Показники ефективності</w:t>
      </w:r>
    </w:p>
    <w:p w14:paraId="52CA6D21" w14:textId="77777777" w:rsidR="00334C25" w:rsidRPr="00334C25" w:rsidRDefault="00334C25" w:rsidP="00334C25">
      <w:pPr>
        <w:pStyle w:val="p1"/>
        <w:numPr>
          <w:ilvl w:val="0"/>
          <w:numId w:val="32"/>
        </w:numPr>
        <w:rPr>
          <w:color w:val="000000" w:themeColor="text1"/>
          <w:sz w:val="28"/>
          <w:szCs w:val="28"/>
        </w:rPr>
      </w:pPr>
      <w:r w:rsidRPr="00334C25">
        <w:rPr>
          <w:color w:val="000000" w:themeColor="text1"/>
          <w:sz w:val="28"/>
          <w:szCs w:val="28"/>
        </w:rPr>
        <w:t>Відсоток персоналу, що пройшов навчання з питань захисту (ціль: ≥80%).</w:t>
      </w:r>
    </w:p>
    <w:p w14:paraId="3AC96CD8" w14:textId="27821B59" w:rsidR="00334C25" w:rsidRPr="00334C25" w:rsidRDefault="00334C25" w:rsidP="00334C25">
      <w:pPr>
        <w:pStyle w:val="p1"/>
        <w:numPr>
          <w:ilvl w:val="0"/>
          <w:numId w:val="32"/>
        </w:numPr>
        <w:rPr>
          <w:color w:val="000000" w:themeColor="text1"/>
          <w:sz w:val="28"/>
          <w:szCs w:val="28"/>
        </w:rPr>
      </w:pPr>
      <w:r w:rsidRPr="00334C25">
        <w:rPr>
          <w:color w:val="000000" w:themeColor="text1"/>
          <w:sz w:val="28"/>
          <w:szCs w:val="28"/>
        </w:rPr>
        <w:t xml:space="preserve">Наявність і доступність політики з попередження сексуальної експлуатації та зловживання (наявна </w:t>
      </w:r>
      <w:r w:rsidR="008D7B0D">
        <w:rPr>
          <w:color w:val="000000" w:themeColor="text1"/>
          <w:sz w:val="28"/>
          <w:szCs w:val="28"/>
        </w:rPr>
        <w:t>-</w:t>
      </w:r>
      <w:r w:rsidRPr="00334C25">
        <w:rPr>
          <w:color w:val="000000" w:themeColor="text1"/>
          <w:sz w:val="28"/>
          <w:szCs w:val="28"/>
        </w:rPr>
        <w:t xml:space="preserve"> так/ні).</w:t>
      </w:r>
    </w:p>
    <w:p w14:paraId="5C617CD9" w14:textId="77777777" w:rsidR="00334C25" w:rsidRPr="00334C25" w:rsidRDefault="00334C25" w:rsidP="00334C25">
      <w:pPr>
        <w:pStyle w:val="p1"/>
        <w:numPr>
          <w:ilvl w:val="0"/>
          <w:numId w:val="32"/>
        </w:numPr>
        <w:rPr>
          <w:color w:val="000000" w:themeColor="text1"/>
          <w:sz w:val="28"/>
          <w:szCs w:val="28"/>
        </w:rPr>
      </w:pPr>
      <w:r w:rsidRPr="00334C25">
        <w:rPr>
          <w:color w:val="000000" w:themeColor="text1"/>
          <w:sz w:val="28"/>
          <w:szCs w:val="28"/>
        </w:rPr>
        <w:t>Час від виявлення випадку з ризиком до первинної реакції/надання допомоги (ціль: ≤24 годин для критичних випадків).</w:t>
      </w:r>
    </w:p>
    <w:p w14:paraId="22FF7DA1" w14:textId="77777777" w:rsidR="00334C25" w:rsidRPr="00334C25" w:rsidRDefault="00334C25" w:rsidP="00334C25">
      <w:pPr>
        <w:pStyle w:val="p1"/>
        <w:numPr>
          <w:ilvl w:val="0"/>
          <w:numId w:val="32"/>
        </w:numPr>
        <w:rPr>
          <w:color w:val="000000" w:themeColor="text1"/>
          <w:sz w:val="28"/>
          <w:szCs w:val="28"/>
        </w:rPr>
      </w:pPr>
      <w:r w:rsidRPr="00334C25">
        <w:rPr>
          <w:color w:val="000000" w:themeColor="text1"/>
          <w:sz w:val="28"/>
          <w:szCs w:val="28"/>
        </w:rPr>
        <w:t>Частка рефералів, що отримали послугу в кінцевому пункті (ціль: ≥70%).</w:t>
      </w:r>
    </w:p>
    <w:p w14:paraId="3E835970" w14:textId="77777777" w:rsidR="00334C25" w:rsidRPr="00334C25" w:rsidRDefault="00334C25" w:rsidP="00334C25">
      <w:pPr>
        <w:pStyle w:val="p1"/>
        <w:numPr>
          <w:ilvl w:val="0"/>
          <w:numId w:val="32"/>
        </w:numPr>
        <w:rPr>
          <w:color w:val="000000" w:themeColor="text1"/>
          <w:sz w:val="28"/>
          <w:szCs w:val="28"/>
        </w:rPr>
      </w:pPr>
      <w:r w:rsidRPr="00334C25">
        <w:rPr>
          <w:color w:val="000000" w:themeColor="text1"/>
          <w:sz w:val="28"/>
          <w:szCs w:val="28"/>
        </w:rPr>
        <w:t>Наявність безпечних каналів скарг і кількість опрацьованих скарг із документованим результатом (ціль: 100% опрацьованих протягом визначеного часу).</w:t>
      </w:r>
    </w:p>
    <w:p w14:paraId="500AF042" w14:textId="77777777" w:rsidR="00334C25" w:rsidRPr="00334C25" w:rsidRDefault="00334C25" w:rsidP="00334C25">
      <w:pPr>
        <w:pStyle w:val="p1"/>
        <w:numPr>
          <w:ilvl w:val="0"/>
          <w:numId w:val="32"/>
        </w:numPr>
        <w:rPr>
          <w:color w:val="000000" w:themeColor="text1"/>
          <w:sz w:val="28"/>
          <w:szCs w:val="28"/>
        </w:rPr>
      </w:pPr>
      <w:r w:rsidRPr="00334C25">
        <w:rPr>
          <w:color w:val="000000" w:themeColor="text1"/>
          <w:sz w:val="28"/>
          <w:szCs w:val="28"/>
        </w:rPr>
        <w:t>Відсоток інформованих прибулих про права та механізми скарг (ціль: ≥80% опитаних).</w:t>
      </w:r>
    </w:p>
    <w:p w14:paraId="4EAFF442" w14:textId="77777777" w:rsidR="00334C25" w:rsidRPr="00334C25" w:rsidRDefault="00334C25" w:rsidP="00334C25">
      <w:pPr>
        <w:pStyle w:val="p2"/>
        <w:spacing w:line="360" w:lineRule="auto"/>
        <w:jc w:val="both"/>
        <w:rPr>
          <w:color w:val="000000" w:themeColor="text1"/>
          <w:sz w:val="28"/>
          <w:szCs w:val="28"/>
        </w:rPr>
      </w:pPr>
    </w:p>
    <w:p w14:paraId="4F3A717A" w14:textId="4B08CD64"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Короткий чек-лист для оцінки готовності транзитного центру</w:t>
      </w:r>
    </w:p>
    <w:p w14:paraId="10202592"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існують письмові процедури/інструкції з інтегрування захисту? (так/ні)</w:t>
      </w:r>
    </w:p>
    <w:p w14:paraId="3C4E1A1F"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визначено контактну особу з питань захисту та запобігання сексуальній експлуатації? (так/ні)</w:t>
      </w:r>
    </w:p>
    <w:p w14:paraId="1B4CE710"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lastRenderedPageBreak/>
        <w:t>Чи є конфіденційні простори для консультування та реєстрації? (так/ні)</w:t>
      </w:r>
    </w:p>
    <w:p w14:paraId="70491572"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проводиться інформування прибулих про права й механізми скарг у доступному форматі? (так/ні)</w:t>
      </w:r>
    </w:p>
    <w:p w14:paraId="3EC89EF0"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є доступні механізми подачі скарг і чи опрацьовується кожна скарга належним чином? (так/ні)</w:t>
      </w:r>
    </w:p>
    <w:p w14:paraId="31864603"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існують налагоджені маршрути рефералів до медичних, психологічних, правових та притулкових послуг? (так/ні)</w:t>
      </w:r>
    </w:p>
    <w:p w14:paraId="0738BF5A"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проходив персонал навчання з питань захисту й поводження з постраждалими? (так/ні)</w:t>
      </w:r>
    </w:p>
    <w:p w14:paraId="2711A681"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є заходи для захисту даних (зашифровані реєстри, обмежений доступ)? (так/ні)</w:t>
      </w:r>
    </w:p>
    <w:p w14:paraId="6B2D6F4A" w14:textId="77777777" w:rsidR="00334C25" w:rsidRPr="00334C25" w:rsidRDefault="00334C25" w:rsidP="00334C25">
      <w:pPr>
        <w:pStyle w:val="p1"/>
        <w:numPr>
          <w:ilvl w:val="0"/>
          <w:numId w:val="33"/>
        </w:numPr>
        <w:rPr>
          <w:color w:val="000000" w:themeColor="text1"/>
          <w:sz w:val="28"/>
          <w:szCs w:val="28"/>
        </w:rPr>
      </w:pPr>
      <w:r w:rsidRPr="00334C25">
        <w:rPr>
          <w:color w:val="000000" w:themeColor="text1"/>
          <w:sz w:val="28"/>
          <w:szCs w:val="28"/>
        </w:rPr>
        <w:t>Чи здійснюється моніторинг та збір даних щодо інцидентів захисту та рефералів? (так/ні)</w:t>
      </w:r>
    </w:p>
    <w:p w14:paraId="49134E36" w14:textId="77777777" w:rsidR="00334C25" w:rsidRPr="00334C25" w:rsidRDefault="00334C25" w:rsidP="00334C25">
      <w:pPr>
        <w:pStyle w:val="p2"/>
        <w:spacing w:line="360" w:lineRule="auto"/>
        <w:jc w:val="both"/>
        <w:rPr>
          <w:color w:val="000000" w:themeColor="text1"/>
          <w:sz w:val="28"/>
          <w:szCs w:val="28"/>
        </w:rPr>
      </w:pPr>
    </w:p>
    <w:p w14:paraId="04AC4FDA"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Приклад операційного запису для інциденту захисту</w:t>
      </w:r>
    </w:p>
    <w:p w14:paraId="618016B1" w14:textId="77777777" w:rsidR="00334C25" w:rsidRPr="00334C25" w:rsidRDefault="00334C25" w:rsidP="00334C25">
      <w:pPr>
        <w:pStyle w:val="p1"/>
        <w:numPr>
          <w:ilvl w:val="0"/>
          <w:numId w:val="34"/>
        </w:numPr>
        <w:rPr>
          <w:color w:val="000000" w:themeColor="text1"/>
          <w:sz w:val="28"/>
          <w:szCs w:val="28"/>
        </w:rPr>
      </w:pPr>
      <w:r w:rsidRPr="00334C25">
        <w:rPr>
          <w:color w:val="000000" w:themeColor="text1"/>
          <w:sz w:val="28"/>
          <w:szCs w:val="28"/>
        </w:rPr>
        <w:t>Дата й час виявлення; хто повідомив; короткий опис ризику; первинна дія (надання першої допомоги/психосоціальної підтримки); направлення (організація/контакт); час і результат перенаправлення; подальші кроки; відповідальна особа; дата закриття кейсу.</w:t>
      </w:r>
    </w:p>
    <w:p w14:paraId="09F35C7F" w14:textId="77777777" w:rsidR="00334C25" w:rsidRPr="00334C25" w:rsidRDefault="00334C25" w:rsidP="00334C25">
      <w:pPr>
        <w:pStyle w:val="p2"/>
        <w:spacing w:line="360" w:lineRule="auto"/>
        <w:jc w:val="both"/>
        <w:rPr>
          <w:color w:val="000000" w:themeColor="text1"/>
          <w:sz w:val="28"/>
          <w:szCs w:val="28"/>
        </w:rPr>
      </w:pPr>
    </w:p>
    <w:p w14:paraId="4938F18B" w14:textId="2BBC6174" w:rsidR="00334C25" w:rsidRPr="00334C25" w:rsidRDefault="00334C25" w:rsidP="00334C25">
      <w:pPr>
        <w:pStyle w:val="4"/>
        <w:rPr>
          <w:rFonts w:cs="Times New Roman"/>
          <w:i w:val="0"/>
          <w:iCs w:val="0"/>
          <w:color w:val="000000" w:themeColor="text1"/>
          <w:sz w:val="28"/>
          <w:szCs w:val="28"/>
          <w:lang w:val="en-US"/>
        </w:rPr>
      </w:pPr>
      <w:r w:rsidRPr="00334C25">
        <w:rPr>
          <w:rFonts w:cs="Times New Roman"/>
          <w:i w:val="0"/>
          <w:iCs w:val="0"/>
          <w:color w:val="000000" w:themeColor="text1"/>
          <w:sz w:val="28"/>
          <w:szCs w:val="28"/>
        </w:rPr>
        <w:t>Висновок</w:t>
      </w:r>
    </w:p>
    <w:p w14:paraId="3C751EB8" w14:textId="74F356BC" w:rsidR="00334C25" w:rsidRPr="00334C25" w:rsidRDefault="00334C25" w:rsidP="00334C25">
      <w:pPr>
        <w:pStyle w:val="p1"/>
        <w:rPr>
          <w:color w:val="000000" w:themeColor="text1"/>
          <w:sz w:val="28"/>
          <w:szCs w:val="28"/>
        </w:rPr>
      </w:pPr>
      <w:r w:rsidRPr="00334C25">
        <w:rPr>
          <w:color w:val="000000" w:themeColor="text1"/>
          <w:sz w:val="28"/>
          <w:szCs w:val="28"/>
        </w:rPr>
        <w:t xml:space="preserve">Інтегрування захисту та дотримання гуманітарних стандартів є обов’язковими складовими функціонування транзитних центрів. Вони забезпечують не лише безпеку й права прибулих, а й підвищують </w:t>
      </w:r>
      <w:r w:rsidRPr="00334C25">
        <w:rPr>
          <w:color w:val="000000" w:themeColor="text1"/>
          <w:sz w:val="28"/>
          <w:szCs w:val="28"/>
        </w:rPr>
        <w:lastRenderedPageBreak/>
        <w:t>ефективність надання послуг, зменшують ризики для організацій та сприяють довірі між постраждалими і постачальниками допомоги. У практичній частині дослідження необхідно включити оцінку наявності і якості вищезазначених процедур, навчань, інфраструктури та даних моніторингу.</w:t>
      </w:r>
    </w:p>
    <w:p w14:paraId="264011D4" w14:textId="3251E682" w:rsidR="00334C25" w:rsidRPr="00334C25" w:rsidRDefault="00334C25" w:rsidP="00334C25">
      <w:pPr>
        <w:pStyle w:val="3"/>
        <w:numPr>
          <w:ilvl w:val="2"/>
          <w:numId w:val="4"/>
        </w:numPr>
        <w:rPr>
          <w:color w:val="000000" w:themeColor="text1"/>
          <w:lang w:val="en-US"/>
        </w:rPr>
      </w:pPr>
      <w:bookmarkStart w:id="7" w:name="_Toc214217502"/>
      <w:proofErr w:type="spellStart"/>
      <w:r w:rsidRPr="00334C25">
        <w:rPr>
          <w:color w:val="000000" w:themeColor="text1"/>
          <w:lang w:val="en-US"/>
        </w:rPr>
        <w:t>Підходи</w:t>
      </w:r>
      <w:proofErr w:type="spellEnd"/>
      <w:r w:rsidRPr="00334C25">
        <w:rPr>
          <w:color w:val="000000" w:themeColor="text1"/>
          <w:lang w:val="en-US"/>
        </w:rPr>
        <w:t xml:space="preserve"> </w:t>
      </w:r>
      <w:proofErr w:type="spellStart"/>
      <w:r w:rsidRPr="00334C25">
        <w:rPr>
          <w:color w:val="000000" w:themeColor="text1"/>
          <w:lang w:val="en-US"/>
        </w:rPr>
        <w:t>до</w:t>
      </w:r>
      <w:proofErr w:type="spellEnd"/>
      <w:r w:rsidRPr="00334C25">
        <w:rPr>
          <w:color w:val="000000" w:themeColor="text1"/>
          <w:lang w:val="en-US"/>
        </w:rPr>
        <w:t xml:space="preserve"> </w:t>
      </w:r>
      <w:proofErr w:type="spellStart"/>
      <w:r w:rsidRPr="00334C25">
        <w:rPr>
          <w:color w:val="000000" w:themeColor="text1"/>
          <w:lang w:val="en-US"/>
        </w:rPr>
        <w:t>оцінювання</w:t>
      </w:r>
      <w:proofErr w:type="spellEnd"/>
      <w:r w:rsidRPr="00334C25">
        <w:rPr>
          <w:color w:val="000000" w:themeColor="text1"/>
          <w:lang w:val="en-US"/>
        </w:rPr>
        <w:t xml:space="preserve"> </w:t>
      </w:r>
      <w:proofErr w:type="spellStart"/>
      <w:r w:rsidRPr="00334C25">
        <w:rPr>
          <w:color w:val="000000" w:themeColor="text1"/>
          <w:lang w:val="en-US"/>
        </w:rPr>
        <w:t>ефективності</w:t>
      </w:r>
      <w:bookmarkEnd w:id="7"/>
      <w:proofErr w:type="spellEnd"/>
    </w:p>
    <w:p w14:paraId="4DE95F75" w14:textId="7464D2EC" w:rsidR="00334C25" w:rsidRPr="00334C25" w:rsidRDefault="00334C25" w:rsidP="00334C25">
      <w:pPr>
        <w:pStyle w:val="p1"/>
        <w:rPr>
          <w:rStyle w:val="s1"/>
          <w:color w:val="000000" w:themeColor="text1"/>
          <w:sz w:val="28"/>
          <w:szCs w:val="28"/>
          <w:lang w:val="uk-UA"/>
        </w:rPr>
      </w:pPr>
      <w:r w:rsidRPr="00334C25">
        <w:rPr>
          <w:color w:val="000000" w:themeColor="text1"/>
          <w:sz w:val="28"/>
          <w:szCs w:val="28"/>
        </w:rPr>
        <w:t>У цьому підпункті розкриваються підходи і методи оцінювання ефективності функціонування транзитних центрів у системі соціального забезпечення. Наводяться логіко-структурні інструменти планування і оцінювання, пропонуються ключові показники, способи їхнього вимірювання, джерела даних, методи обробки та інтерпретації результатів, а також рекомендації щодо моніторингу, забезпечення якості даних і етичних аспектів оцінювання.</w:t>
      </w:r>
    </w:p>
    <w:p w14:paraId="53A337C5" w14:textId="4AB39424"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 xml:space="preserve">1.1.6.1. Рамки оцінювання: цілі </w:t>
      </w:r>
      <w:r w:rsidR="008D7B0D">
        <w:rPr>
          <w:rFonts w:cs="Times New Roman"/>
          <w:i w:val="0"/>
          <w:iCs w:val="0"/>
          <w:color w:val="000000" w:themeColor="text1"/>
          <w:sz w:val="28"/>
          <w:szCs w:val="28"/>
        </w:rPr>
        <w:t>-</w:t>
      </w:r>
      <w:r w:rsidRPr="00334C25">
        <w:rPr>
          <w:rFonts w:cs="Times New Roman"/>
          <w:i w:val="0"/>
          <w:iCs w:val="0"/>
          <w:color w:val="000000" w:themeColor="text1"/>
          <w:sz w:val="28"/>
          <w:szCs w:val="28"/>
        </w:rPr>
        <w:t xml:space="preserve"> заходи </w:t>
      </w:r>
      <w:r w:rsidR="008D7B0D">
        <w:rPr>
          <w:rFonts w:cs="Times New Roman"/>
          <w:i w:val="0"/>
          <w:iCs w:val="0"/>
          <w:color w:val="000000" w:themeColor="text1"/>
          <w:sz w:val="28"/>
          <w:szCs w:val="28"/>
        </w:rPr>
        <w:t>-</w:t>
      </w:r>
      <w:r w:rsidRPr="00334C25">
        <w:rPr>
          <w:rFonts w:cs="Times New Roman"/>
          <w:i w:val="0"/>
          <w:iCs w:val="0"/>
          <w:color w:val="000000" w:themeColor="text1"/>
          <w:sz w:val="28"/>
          <w:szCs w:val="28"/>
        </w:rPr>
        <w:t xml:space="preserve"> результати</w:t>
      </w:r>
    </w:p>
    <w:p w14:paraId="379F7142" w14:textId="77777777" w:rsidR="00334C25" w:rsidRPr="00334C25" w:rsidRDefault="00334C25" w:rsidP="00334C25">
      <w:pPr>
        <w:pStyle w:val="p1"/>
        <w:rPr>
          <w:color w:val="000000" w:themeColor="text1"/>
          <w:sz w:val="28"/>
          <w:szCs w:val="28"/>
        </w:rPr>
      </w:pPr>
      <w:r w:rsidRPr="00334C25">
        <w:rPr>
          <w:color w:val="000000" w:themeColor="text1"/>
          <w:sz w:val="28"/>
          <w:szCs w:val="28"/>
        </w:rPr>
        <w:t>Для системного оцінювання доцільно використовувати логічну матрицю (матрицю цілей) і концепцію «теорії змін»:</w:t>
      </w:r>
    </w:p>
    <w:p w14:paraId="7AC8D201" w14:textId="77777777" w:rsidR="00334C25" w:rsidRPr="00334C25" w:rsidRDefault="00334C25" w:rsidP="00334C25">
      <w:pPr>
        <w:pStyle w:val="p1"/>
        <w:numPr>
          <w:ilvl w:val="0"/>
          <w:numId w:val="35"/>
        </w:numPr>
        <w:rPr>
          <w:color w:val="000000" w:themeColor="text1"/>
          <w:sz w:val="28"/>
          <w:szCs w:val="28"/>
        </w:rPr>
      </w:pPr>
      <w:r w:rsidRPr="00334C25">
        <w:rPr>
          <w:rStyle w:val="s1"/>
          <w:rFonts w:eastAsiaTheme="majorEastAsia"/>
          <w:b/>
          <w:bCs/>
          <w:color w:val="000000" w:themeColor="text1"/>
          <w:sz w:val="28"/>
          <w:szCs w:val="28"/>
        </w:rPr>
        <w:t>Матриця цілей</w:t>
      </w:r>
      <w:r w:rsidRPr="00334C25">
        <w:rPr>
          <w:color w:val="000000" w:themeColor="text1"/>
          <w:sz w:val="28"/>
          <w:szCs w:val="28"/>
        </w:rPr>
        <w:t xml:space="preserve"> (логічна матриця) пов’язує: ресурси → діяльність → продукти (виходи) → результат (коротко-/середньострокові наслідки) → вплив (довгострокова мета).</w:t>
      </w:r>
    </w:p>
    <w:p w14:paraId="052D7930" w14:textId="77777777" w:rsidR="00334C25" w:rsidRPr="00334C25" w:rsidRDefault="00334C25" w:rsidP="00334C25">
      <w:pPr>
        <w:pStyle w:val="p1"/>
        <w:numPr>
          <w:ilvl w:val="0"/>
          <w:numId w:val="35"/>
        </w:numPr>
        <w:rPr>
          <w:color w:val="000000" w:themeColor="text1"/>
          <w:sz w:val="28"/>
          <w:szCs w:val="28"/>
        </w:rPr>
      </w:pPr>
      <w:r w:rsidRPr="00334C25">
        <w:rPr>
          <w:rStyle w:val="s1"/>
          <w:rFonts w:eastAsiaTheme="majorEastAsia"/>
          <w:b/>
          <w:bCs/>
          <w:color w:val="000000" w:themeColor="text1"/>
          <w:sz w:val="28"/>
          <w:szCs w:val="28"/>
        </w:rPr>
        <w:t>Теорія змін</w:t>
      </w:r>
      <w:r w:rsidRPr="00334C25">
        <w:rPr>
          <w:color w:val="000000" w:themeColor="text1"/>
          <w:sz w:val="28"/>
          <w:szCs w:val="28"/>
        </w:rPr>
        <w:t xml:space="preserve"> формулює ланцюг гіпотез: які заходи в яких умовах і за яких допущень приведуть до бажаного результату.</w:t>
      </w:r>
    </w:p>
    <w:p w14:paraId="4D6D8D26" w14:textId="3A3F8935" w:rsidR="00334C25" w:rsidRPr="00334C25" w:rsidRDefault="00334C25" w:rsidP="00334C25">
      <w:pPr>
        <w:pStyle w:val="p1"/>
        <w:ind w:left="720"/>
        <w:rPr>
          <w:rStyle w:val="s1"/>
          <w:color w:val="000000" w:themeColor="text1"/>
          <w:sz w:val="28"/>
          <w:szCs w:val="28"/>
          <w:lang w:val="uk-UA"/>
        </w:rPr>
      </w:pPr>
      <w:r w:rsidRPr="00334C25">
        <w:rPr>
          <w:color w:val="000000" w:themeColor="text1"/>
          <w:sz w:val="28"/>
          <w:szCs w:val="28"/>
        </w:rPr>
        <w:t>Ці інструменти допомагають вибрати релевантні показники та визначити, які дані необхідно збирати для перевірки гіпотез дослідження.</w:t>
      </w:r>
    </w:p>
    <w:p w14:paraId="7ECCBDBF"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lastRenderedPageBreak/>
        <w:t>1.1.6.2. Підхід до вибору показників оцінювання</w:t>
      </w:r>
    </w:p>
    <w:p w14:paraId="0F984B84" w14:textId="77777777" w:rsidR="00334C25" w:rsidRPr="00334C25" w:rsidRDefault="00334C25" w:rsidP="00334C25">
      <w:pPr>
        <w:pStyle w:val="p3"/>
        <w:spacing w:line="360" w:lineRule="auto"/>
        <w:jc w:val="both"/>
        <w:rPr>
          <w:color w:val="000000" w:themeColor="text1"/>
          <w:sz w:val="28"/>
          <w:szCs w:val="28"/>
        </w:rPr>
      </w:pPr>
    </w:p>
    <w:p w14:paraId="6095B57B" w14:textId="77777777" w:rsidR="00334C25" w:rsidRPr="00334C25" w:rsidRDefault="00334C25" w:rsidP="00334C25">
      <w:pPr>
        <w:pStyle w:val="p1"/>
        <w:rPr>
          <w:color w:val="000000" w:themeColor="text1"/>
          <w:sz w:val="28"/>
          <w:szCs w:val="28"/>
        </w:rPr>
      </w:pPr>
      <w:r w:rsidRPr="00334C25">
        <w:rPr>
          <w:color w:val="000000" w:themeColor="text1"/>
          <w:sz w:val="28"/>
          <w:szCs w:val="28"/>
        </w:rPr>
        <w:t>Показники мають відповідати таким критеріям: релевантність (пов’язані з цілями), вимірюваність, чутливість до інтервенції, простота збору, прийнятність для зацікавлених сторін. Рекомендовано групувати показники за рівнями:</w:t>
      </w:r>
    </w:p>
    <w:p w14:paraId="6A60282B" w14:textId="77777777" w:rsidR="00334C25" w:rsidRPr="00334C25" w:rsidRDefault="00334C25" w:rsidP="00334C25">
      <w:pPr>
        <w:pStyle w:val="p1"/>
        <w:numPr>
          <w:ilvl w:val="0"/>
          <w:numId w:val="36"/>
        </w:numPr>
        <w:rPr>
          <w:color w:val="000000" w:themeColor="text1"/>
          <w:sz w:val="28"/>
          <w:szCs w:val="28"/>
        </w:rPr>
      </w:pPr>
      <w:r w:rsidRPr="00334C25">
        <w:rPr>
          <w:rStyle w:val="s1"/>
          <w:rFonts w:eastAsiaTheme="majorEastAsia"/>
          <w:b/>
          <w:bCs/>
          <w:color w:val="000000" w:themeColor="text1"/>
          <w:sz w:val="28"/>
          <w:szCs w:val="28"/>
        </w:rPr>
        <w:t>Вихідні показники (Outputs):</w:t>
      </w:r>
      <w:r w:rsidRPr="00334C25">
        <w:rPr>
          <w:color w:val="000000" w:themeColor="text1"/>
          <w:sz w:val="28"/>
          <w:szCs w:val="28"/>
        </w:rPr>
        <w:t xml:space="preserve"> кількість обслужених осіб, кількість проведених реєстрацій, кількість наданих інформаційних консультацій.</w:t>
      </w:r>
    </w:p>
    <w:p w14:paraId="05F1D676" w14:textId="77777777" w:rsidR="00334C25" w:rsidRPr="00334C25" w:rsidRDefault="00334C25" w:rsidP="00334C25">
      <w:pPr>
        <w:pStyle w:val="p1"/>
        <w:numPr>
          <w:ilvl w:val="0"/>
          <w:numId w:val="36"/>
        </w:numPr>
        <w:rPr>
          <w:color w:val="000000" w:themeColor="text1"/>
          <w:sz w:val="28"/>
          <w:szCs w:val="28"/>
        </w:rPr>
      </w:pPr>
      <w:r w:rsidRPr="00334C25">
        <w:rPr>
          <w:rStyle w:val="s1"/>
          <w:rFonts w:eastAsiaTheme="majorEastAsia"/>
          <w:b/>
          <w:bCs/>
          <w:color w:val="000000" w:themeColor="text1"/>
          <w:sz w:val="28"/>
          <w:szCs w:val="28"/>
        </w:rPr>
        <w:t>Показники результату (Outcomes):</w:t>
      </w:r>
      <w:r w:rsidRPr="00334C25">
        <w:rPr>
          <w:color w:val="000000" w:themeColor="text1"/>
          <w:sz w:val="28"/>
          <w:szCs w:val="28"/>
        </w:rPr>
        <w:t xml:space="preserve"> частка прибулих, які отримали мінімальний пакет послуг; середній час від прибуття до реєстрації; частка успішних рефералів.</w:t>
      </w:r>
    </w:p>
    <w:p w14:paraId="57DC3E26" w14:textId="3CDB3E60" w:rsidR="00334C25" w:rsidRPr="00334C25" w:rsidRDefault="00334C25" w:rsidP="00334C25">
      <w:pPr>
        <w:pStyle w:val="p1"/>
        <w:numPr>
          <w:ilvl w:val="0"/>
          <w:numId w:val="36"/>
        </w:numPr>
        <w:rPr>
          <w:rStyle w:val="s1"/>
          <w:color w:val="000000" w:themeColor="text1"/>
          <w:sz w:val="28"/>
          <w:szCs w:val="28"/>
        </w:rPr>
      </w:pPr>
      <w:r w:rsidRPr="00334C25">
        <w:rPr>
          <w:rStyle w:val="s1"/>
          <w:rFonts w:eastAsiaTheme="majorEastAsia"/>
          <w:b/>
          <w:bCs/>
          <w:color w:val="000000" w:themeColor="text1"/>
          <w:sz w:val="28"/>
          <w:szCs w:val="28"/>
        </w:rPr>
        <w:t>Показники впливу (Impact, опосередковано):</w:t>
      </w:r>
      <w:r w:rsidRPr="00334C25">
        <w:rPr>
          <w:color w:val="000000" w:themeColor="text1"/>
          <w:sz w:val="28"/>
          <w:szCs w:val="28"/>
        </w:rPr>
        <w:t xml:space="preserve"> зміни у доступі до соціальних виплат у регіоні, зниження часу очікування для отримання житла (можуть потребувати довгострокового вимірювання і зовнішніх даних).</w:t>
      </w:r>
    </w:p>
    <w:p w14:paraId="09B812CC" w14:textId="41F4ABB6"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1.1.6.3. Рекомендований набір ключових показників (з формулами)</w:t>
      </w:r>
    </w:p>
    <w:p w14:paraId="75B5D580" w14:textId="4DE8BBCD" w:rsidR="00334C25" w:rsidRPr="00334C25" w:rsidRDefault="00334C25" w:rsidP="00334C25">
      <w:pPr>
        <w:pStyle w:val="p1"/>
        <w:rPr>
          <w:color w:val="000000" w:themeColor="text1"/>
          <w:sz w:val="28"/>
          <w:szCs w:val="28"/>
        </w:rPr>
      </w:pPr>
      <w:r w:rsidRPr="00334C25">
        <w:rPr>
          <w:color w:val="000000" w:themeColor="text1"/>
          <w:sz w:val="28"/>
          <w:szCs w:val="28"/>
        </w:rPr>
        <w:t xml:space="preserve">Нижче </w:t>
      </w:r>
      <w:r w:rsidR="008D7B0D">
        <w:rPr>
          <w:color w:val="000000" w:themeColor="text1"/>
          <w:sz w:val="28"/>
          <w:szCs w:val="28"/>
        </w:rPr>
        <w:t>-</w:t>
      </w:r>
      <w:r w:rsidRPr="00334C25">
        <w:rPr>
          <w:color w:val="000000" w:themeColor="text1"/>
          <w:sz w:val="28"/>
          <w:szCs w:val="28"/>
        </w:rPr>
        <w:t xml:space="preserve"> перелік типових показників, формули розрахунку і джерела даних.</w:t>
      </w:r>
    </w:p>
    <w:p w14:paraId="5BCC94F2" w14:textId="77777777"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t>Своєчасність реєстрації (Timeliness of registration)</w:t>
      </w:r>
    </w:p>
    <w:p w14:paraId="527AF515"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Формула:</w:t>
      </w:r>
    </w:p>
    <w:p w14:paraId="5219196B" w14:textId="6C75CE07" w:rsidR="00334C25" w:rsidRPr="00334C25" w:rsidRDefault="00334C25" w:rsidP="00334C25">
      <w:pPr>
        <w:pStyle w:val="p3"/>
        <w:spacing w:line="360" w:lineRule="auto"/>
        <w:ind w:left="720"/>
        <w:jc w:val="both"/>
        <w:rPr>
          <w:color w:val="000000" w:themeColor="text1"/>
          <w:sz w:val="28"/>
          <w:szCs w:val="28"/>
          <w:lang w:val="uk-UA"/>
        </w:rPr>
      </w:pPr>
      <w:proofErr w:type="spellStart"/>
      <w:r w:rsidRPr="00334C25">
        <w:rPr>
          <w:rStyle w:val="s1"/>
          <w:rFonts w:eastAsiaTheme="majorEastAsia"/>
          <w:color w:val="000000" w:themeColor="text1"/>
          <w:sz w:val="28"/>
          <w:szCs w:val="28"/>
        </w:rPr>
        <w:t>Своєчасність</w:t>
      </w:r>
      <w:proofErr w:type="spellEnd"/>
      <w:r w:rsidRPr="00334C25">
        <w:rPr>
          <w:rStyle w:val="s1"/>
          <w:rFonts w:eastAsiaTheme="majorEastAsia"/>
          <w:color w:val="000000" w:themeColor="text1"/>
          <w:sz w:val="28"/>
          <w:szCs w:val="28"/>
          <w:lang w:val="uk-UA"/>
        </w:rPr>
        <w:t xml:space="preserve"> = (Кількість осіб</w:t>
      </w:r>
      <w:r w:rsidRPr="00334C25">
        <w:rPr>
          <w:rStyle w:val="s1"/>
          <w:rFonts w:eastAsiaTheme="majorEastAsia"/>
          <w:color w:val="000000" w:themeColor="text1"/>
          <w:sz w:val="28"/>
          <w:szCs w:val="28"/>
          <w:lang w:val="en-US"/>
        </w:rPr>
        <w:t>,</w:t>
      </w:r>
      <w:r w:rsidRPr="00334C25">
        <w:rPr>
          <w:rStyle w:val="s1"/>
          <w:rFonts w:eastAsiaTheme="majorEastAsia"/>
          <w:color w:val="000000" w:themeColor="text1"/>
          <w:sz w:val="28"/>
          <w:szCs w:val="28"/>
          <w:lang w:val="uk-UA"/>
        </w:rPr>
        <w:t xml:space="preserve"> </w:t>
      </w:r>
      <w:proofErr w:type="spellStart"/>
      <w:r w:rsidRPr="00334C25">
        <w:rPr>
          <w:rStyle w:val="s1"/>
          <w:rFonts w:eastAsiaTheme="majorEastAsia"/>
          <w:color w:val="000000" w:themeColor="text1"/>
          <w:sz w:val="28"/>
          <w:szCs w:val="28"/>
          <w:lang w:val="uk-UA"/>
        </w:rPr>
        <w:t>зареєстрованних</w:t>
      </w:r>
      <w:proofErr w:type="spellEnd"/>
      <w:r w:rsidRPr="00334C25">
        <w:rPr>
          <w:rStyle w:val="s1"/>
          <w:rFonts w:eastAsiaTheme="majorEastAsia"/>
          <w:color w:val="000000" w:themeColor="text1"/>
          <w:sz w:val="28"/>
          <w:szCs w:val="28"/>
          <w:lang w:val="uk-UA"/>
        </w:rPr>
        <w:t xml:space="preserve"> протягом </w:t>
      </w:r>
      <w:r w:rsidRPr="00334C25">
        <w:rPr>
          <w:rStyle w:val="s1"/>
          <w:rFonts w:eastAsiaTheme="majorEastAsia"/>
          <w:color w:val="000000" w:themeColor="text1"/>
          <w:sz w:val="28"/>
          <w:szCs w:val="28"/>
          <w:lang w:val="en-US"/>
        </w:rPr>
        <w:t xml:space="preserve">X </w:t>
      </w:r>
      <w:r w:rsidRPr="00334C25">
        <w:rPr>
          <w:rStyle w:val="s1"/>
          <w:rFonts w:eastAsiaTheme="majorEastAsia"/>
          <w:color w:val="000000" w:themeColor="text1"/>
          <w:sz w:val="28"/>
          <w:szCs w:val="28"/>
          <w:lang w:val="uk-UA"/>
        </w:rPr>
        <w:t xml:space="preserve">годин після прибуття </w:t>
      </w:r>
      <w:r w:rsidRPr="00334C25">
        <w:rPr>
          <w:rStyle w:val="s1"/>
          <w:rFonts w:eastAsiaTheme="majorEastAsia"/>
          <w:b/>
          <w:bCs/>
          <w:color w:val="000000" w:themeColor="text1"/>
          <w:sz w:val="28"/>
          <w:szCs w:val="28"/>
          <w:lang w:val="en-US"/>
        </w:rPr>
        <w:t>/</w:t>
      </w:r>
      <w:r w:rsidRPr="00334C25">
        <w:rPr>
          <w:rStyle w:val="s1"/>
          <w:rFonts w:eastAsiaTheme="majorEastAsia"/>
          <w:color w:val="000000" w:themeColor="text1"/>
          <w:sz w:val="28"/>
          <w:szCs w:val="28"/>
          <w:lang w:val="en-US"/>
        </w:rPr>
        <w:t xml:space="preserve"> </w:t>
      </w:r>
      <w:r w:rsidRPr="00334C25">
        <w:rPr>
          <w:rStyle w:val="s1"/>
          <w:rFonts w:eastAsiaTheme="majorEastAsia"/>
          <w:color w:val="000000" w:themeColor="text1"/>
          <w:sz w:val="28"/>
          <w:szCs w:val="28"/>
          <w:lang w:val="uk-UA"/>
        </w:rPr>
        <w:t xml:space="preserve">Загальна кількість прибулих) </w:t>
      </w:r>
      <w:r w:rsidRPr="00334C25">
        <w:rPr>
          <w:rStyle w:val="s1"/>
          <w:rFonts w:eastAsiaTheme="majorEastAsia"/>
          <w:b/>
          <w:bCs/>
          <w:color w:val="000000" w:themeColor="text1"/>
          <w:sz w:val="28"/>
          <w:szCs w:val="28"/>
          <w:lang w:val="uk-UA"/>
        </w:rPr>
        <w:t>*</w:t>
      </w:r>
      <w:r w:rsidRPr="00334C25">
        <w:rPr>
          <w:rStyle w:val="s1"/>
          <w:rFonts w:eastAsiaTheme="majorEastAsia"/>
          <w:color w:val="000000" w:themeColor="text1"/>
          <w:sz w:val="28"/>
          <w:szCs w:val="28"/>
          <w:lang w:val="uk-UA"/>
        </w:rPr>
        <w:t xml:space="preserve"> 100%</w:t>
      </w:r>
    </w:p>
    <w:p w14:paraId="27F10234"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Джерела: журнали реєстрації, анкетні картки.</w:t>
      </w:r>
    </w:p>
    <w:p w14:paraId="63EE40AE" w14:textId="77777777"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lastRenderedPageBreak/>
        <w:t>Повнота надання мінімального пакета послуг (Completeness of basic package)</w:t>
      </w:r>
    </w:p>
    <w:p w14:paraId="46345177" w14:textId="6407AD84" w:rsidR="00334C25" w:rsidRPr="00334C25" w:rsidRDefault="00334C25" w:rsidP="00334C25">
      <w:pPr>
        <w:pStyle w:val="p2"/>
        <w:spacing w:line="360" w:lineRule="auto"/>
        <w:ind w:left="720"/>
        <w:jc w:val="both"/>
        <w:rPr>
          <w:color w:val="000000" w:themeColor="text1"/>
          <w:sz w:val="28"/>
          <w:szCs w:val="28"/>
          <w:lang w:val="uk-UA"/>
        </w:rPr>
      </w:pPr>
      <w:r w:rsidRPr="00334C25">
        <w:rPr>
          <w:color w:val="000000" w:themeColor="text1"/>
          <w:sz w:val="28"/>
          <w:szCs w:val="28"/>
        </w:rPr>
        <w:t>Формула:</w:t>
      </w:r>
      <w:r w:rsidRPr="00334C25">
        <w:rPr>
          <w:color w:val="000000" w:themeColor="text1"/>
          <w:sz w:val="28"/>
          <w:szCs w:val="28"/>
          <w:lang w:val="uk-UA"/>
        </w:rPr>
        <w:t xml:space="preserve"> </w:t>
      </w:r>
    </w:p>
    <w:p w14:paraId="51EED005" w14:textId="1C4D40D0" w:rsidR="00334C25" w:rsidRPr="00334C25" w:rsidRDefault="00334C25" w:rsidP="00334C25">
      <w:pPr>
        <w:pStyle w:val="p2"/>
        <w:spacing w:line="360" w:lineRule="auto"/>
        <w:ind w:left="720"/>
        <w:jc w:val="both"/>
        <w:rPr>
          <w:color w:val="000000" w:themeColor="text1"/>
          <w:sz w:val="28"/>
          <w:szCs w:val="28"/>
          <w:lang w:val="uk-UA"/>
        </w:rPr>
      </w:pPr>
      <w:r w:rsidRPr="00334C25">
        <w:rPr>
          <w:color w:val="000000" w:themeColor="text1"/>
          <w:sz w:val="28"/>
          <w:szCs w:val="28"/>
          <w:lang w:val="uk-UA"/>
        </w:rPr>
        <w:t>Повнота = (Кількість осіб</w:t>
      </w:r>
      <w:r w:rsidRPr="00334C25">
        <w:rPr>
          <w:color w:val="000000" w:themeColor="text1"/>
          <w:sz w:val="28"/>
          <w:szCs w:val="28"/>
          <w:lang w:val="en-US"/>
        </w:rPr>
        <w:t xml:space="preserve">, </w:t>
      </w:r>
      <w:r w:rsidRPr="00334C25">
        <w:rPr>
          <w:color w:val="000000" w:themeColor="text1"/>
          <w:sz w:val="28"/>
          <w:szCs w:val="28"/>
          <w:lang w:val="uk-UA"/>
        </w:rPr>
        <w:t xml:space="preserve">що отримали усі </w:t>
      </w:r>
      <w:proofErr w:type="spellStart"/>
      <w:r w:rsidRPr="00334C25">
        <w:rPr>
          <w:color w:val="000000" w:themeColor="text1"/>
          <w:sz w:val="28"/>
          <w:szCs w:val="28"/>
          <w:lang w:val="uk-UA"/>
        </w:rPr>
        <w:t>ел</w:t>
      </w:r>
      <w:proofErr w:type="spellEnd"/>
      <w:r w:rsidRPr="00334C25">
        <w:rPr>
          <w:color w:val="000000" w:themeColor="text1"/>
          <w:sz w:val="28"/>
          <w:szCs w:val="28"/>
          <w:lang w:val="uk-UA"/>
        </w:rPr>
        <w:t xml:space="preserve">-ти мінімального пакета </w:t>
      </w:r>
      <w:r w:rsidRPr="00334C25">
        <w:rPr>
          <w:b/>
          <w:bCs/>
          <w:color w:val="000000" w:themeColor="text1"/>
          <w:sz w:val="28"/>
          <w:szCs w:val="28"/>
          <w:lang w:val="en-US"/>
        </w:rPr>
        <w:t>/</w:t>
      </w:r>
      <w:r w:rsidRPr="00334C25">
        <w:rPr>
          <w:color w:val="000000" w:themeColor="text1"/>
          <w:sz w:val="28"/>
          <w:szCs w:val="28"/>
          <w:lang w:val="uk-UA"/>
        </w:rPr>
        <w:t xml:space="preserve"> </w:t>
      </w:r>
      <w:proofErr w:type="spellStart"/>
      <w:r w:rsidRPr="00334C25">
        <w:rPr>
          <w:color w:val="000000" w:themeColor="text1"/>
          <w:sz w:val="28"/>
          <w:szCs w:val="28"/>
          <w:lang w:val="uk-UA"/>
        </w:rPr>
        <w:t>кількисть</w:t>
      </w:r>
      <w:proofErr w:type="spellEnd"/>
      <w:r w:rsidRPr="00334C25">
        <w:rPr>
          <w:color w:val="000000" w:themeColor="text1"/>
          <w:sz w:val="28"/>
          <w:szCs w:val="28"/>
          <w:lang w:val="uk-UA"/>
        </w:rPr>
        <w:t xml:space="preserve"> тих,</w:t>
      </w:r>
      <w:r w:rsidRPr="00334C25">
        <w:rPr>
          <w:color w:val="000000" w:themeColor="text1"/>
          <w:sz w:val="28"/>
          <w:szCs w:val="28"/>
          <w:lang w:val="en-US"/>
        </w:rPr>
        <w:t xml:space="preserve"> </w:t>
      </w:r>
      <w:r w:rsidRPr="00334C25">
        <w:rPr>
          <w:color w:val="000000" w:themeColor="text1"/>
          <w:sz w:val="28"/>
          <w:szCs w:val="28"/>
          <w:lang w:val="uk-UA"/>
        </w:rPr>
        <w:t>кому був запропонований мінімальний пакет) * 100%</w:t>
      </w:r>
    </w:p>
    <w:p w14:paraId="316E8BF2" w14:textId="5BAE89F1"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Джерела: журнали видачі допомоги, опитування клієнтів.</w:t>
      </w:r>
    </w:p>
    <w:p w14:paraId="78FB8765" w14:textId="77777777"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t>Ефективність реферальної системи (Referral success rate)</w:t>
      </w:r>
    </w:p>
    <w:p w14:paraId="64862EA4" w14:textId="00D05520" w:rsidR="00334C25" w:rsidRPr="00334C25" w:rsidRDefault="00334C25" w:rsidP="00334C25">
      <w:pPr>
        <w:pStyle w:val="p2"/>
        <w:spacing w:line="360" w:lineRule="auto"/>
        <w:ind w:left="720"/>
        <w:jc w:val="both"/>
        <w:rPr>
          <w:color w:val="000000" w:themeColor="text1"/>
          <w:sz w:val="28"/>
          <w:szCs w:val="28"/>
          <w:lang w:val="uk-UA"/>
        </w:rPr>
      </w:pPr>
      <w:r w:rsidRPr="00334C25">
        <w:rPr>
          <w:color w:val="000000" w:themeColor="text1"/>
          <w:sz w:val="28"/>
          <w:szCs w:val="28"/>
        </w:rPr>
        <w:t>Формула:</w:t>
      </w:r>
      <w:r w:rsidRPr="00334C25">
        <w:rPr>
          <w:color w:val="000000" w:themeColor="text1"/>
          <w:sz w:val="28"/>
          <w:szCs w:val="28"/>
          <w:lang w:val="uk-UA"/>
        </w:rPr>
        <w:t xml:space="preserve"> </w:t>
      </w:r>
    </w:p>
    <w:p w14:paraId="3CDBB696" w14:textId="01D13DC4" w:rsidR="00334C25" w:rsidRPr="00334C25" w:rsidRDefault="00334C25" w:rsidP="00334C25">
      <w:pPr>
        <w:pStyle w:val="p2"/>
        <w:spacing w:line="360" w:lineRule="auto"/>
        <w:ind w:left="720"/>
        <w:jc w:val="both"/>
        <w:rPr>
          <w:color w:val="000000" w:themeColor="text1"/>
          <w:sz w:val="28"/>
          <w:szCs w:val="28"/>
          <w:lang w:val="uk-UA"/>
        </w:rPr>
      </w:pPr>
      <w:r w:rsidRPr="00334C25">
        <w:rPr>
          <w:color w:val="000000" w:themeColor="text1"/>
          <w:sz w:val="28"/>
          <w:szCs w:val="28"/>
          <w:lang w:val="uk-UA"/>
        </w:rPr>
        <w:t xml:space="preserve">Ефективність перенаправлень  = (Кількість перенаправлень що завершились наданням цільової послуги </w:t>
      </w:r>
      <w:r w:rsidRPr="00334C25">
        <w:rPr>
          <w:b/>
          <w:bCs/>
          <w:color w:val="000000" w:themeColor="text1"/>
          <w:sz w:val="28"/>
          <w:szCs w:val="28"/>
          <w:lang w:val="en-US"/>
        </w:rPr>
        <w:t>/</w:t>
      </w:r>
      <w:r w:rsidRPr="00334C25">
        <w:rPr>
          <w:color w:val="000000" w:themeColor="text1"/>
          <w:sz w:val="28"/>
          <w:szCs w:val="28"/>
          <w:lang w:val="uk-UA"/>
        </w:rPr>
        <w:t xml:space="preserve"> Загальна кількість перенаправлень) * 100%</w:t>
      </w:r>
    </w:p>
    <w:p w14:paraId="67A4EB17" w14:textId="77777777" w:rsidR="00334C25" w:rsidRPr="00334C25" w:rsidRDefault="00334C25" w:rsidP="00334C25">
      <w:pPr>
        <w:pStyle w:val="p2"/>
        <w:spacing w:line="360" w:lineRule="auto"/>
        <w:ind w:left="720"/>
        <w:jc w:val="both"/>
        <w:rPr>
          <w:color w:val="000000" w:themeColor="text1"/>
          <w:sz w:val="28"/>
          <w:szCs w:val="28"/>
          <w:lang w:val="uk-UA"/>
        </w:rPr>
      </w:pPr>
    </w:p>
    <w:p w14:paraId="58AEA973"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Джерела: журнали рефералів, підтвердження від приймаючих служб.</w:t>
      </w:r>
    </w:p>
    <w:p w14:paraId="3FA794FE" w14:textId="77777777"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t>Охоплення (Coverage)</w:t>
      </w:r>
    </w:p>
    <w:p w14:paraId="1B0BA38D"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Формула:</w:t>
      </w:r>
    </w:p>
    <w:p w14:paraId="1A662538" w14:textId="75EB64E6" w:rsidR="00334C25" w:rsidRPr="00334C25" w:rsidRDefault="00334C25" w:rsidP="00334C25">
      <w:pPr>
        <w:pStyle w:val="p2"/>
        <w:spacing w:line="360" w:lineRule="auto"/>
        <w:ind w:left="720"/>
        <w:jc w:val="both"/>
        <w:rPr>
          <w:color w:val="000000" w:themeColor="text1"/>
          <w:sz w:val="28"/>
          <w:szCs w:val="28"/>
          <w:lang w:val="uk-UA"/>
        </w:rPr>
      </w:pPr>
      <w:r w:rsidRPr="00334C25">
        <w:rPr>
          <w:color w:val="000000" w:themeColor="text1"/>
          <w:sz w:val="28"/>
          <w:szCs w:val="28"/>
          <w:lang w:val="uk-UA"/>
        </w:rPr>
        <w:t xml:space="preserve">Охоплення = (Кількість обслугованих у центрі за період </w:t>
      </w:r>
      <w:r w:rsidRPr="00334C25">
        <w:rPr>
          <w:color w:val="000000" w:themeColor="text1"/>
          <w:sz w:val="28"/>
          <w:szCs w:val="28"/>
          <w:lang w:val="en-US"/>
        </w:rPr>
        <w:t>/</w:t>
      </w:r>
      <w:r w:rsidRPr="00334C25">
        <w:rPr>
          <w:color w:val="000000" w:themeColor="text1"/>
          <w:sz w:val="28"/>
          <w:szCs w:val="28"/>
          <w:lang w:val="uk-UA"/>
        </w:rPr>
        <w:t xml:space="preserve"> Оціночна кількість ВПО у зоні обслуговування) * 100%</w:t>
      </w:r>
    </w:p>
    <w:p w14:paraId="6D66580F" w14:textId="6D3325A2"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br/>
        <w:t>Джерела: реєстри центру, оцінки чисельності ВПО за адміністративними даними.</w:t>
      </w:r>
    </w:p>
    <w:p w14:paraId="0A4D1D95" w14:textId="77777777"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t>Індекс задоволеності користувачів (User satisfaction score)</w:t>
      </w:r>
    </w:p>
    <w:p w14:paraId="4B74806B"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lastRenderedPageBreak/>
        <w:t>Метод: анкета з 3–5 запитаннями, оцінка за шкалою (наприклад, 1–5).</w:t>
      </w:r>
    </w:p>
    <w:p w14:paraId="4F6F77EA"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Формула середнього балу: сума балів / N респондентів.</w:t>
      </w:r>
    </w:p>
    <w:p w14:paraId="02582D32"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Джерела: прямі опитування після отримання послуги.</w:t>
      </w:r>
    </w:p>
    <w:p w14:paraId="0BCA7AD5" w14:textId="743A6D8B"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t xml:space="preserve">Інклюзивність </w:t>
      </w:r>
      <w:r w:rsidR="008D7B0D">
        <w:rPr>
          <w:b/>
          <w:bCs/>
          <w:color w:val="000000" w:themeColor="text1"/>
          <w:sz w:val="28"/>
          <w:szCs w:val="28"/>
        </w:rPr>
        <w:t>-</w:t>
      </w:r>
      <w:r w:rsidRPr="00334C25">
        <w:rPr>
          <w:b/>
          <w:bCs/>
          <w:color w:val="000000" w:themeColor="text1"/>
          <w:sz w:val="28"/>
          <w:szCs w:val="28"/>
        </w:rPr>
        <w:t xml:space="preserve"> показник доступності для осіб з інвалідністю</w:t>
      </w:r>
    </w:p>
    <w:p w14:paraId="71D7028A"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Формула: частка користувачів з інвалідністю серед загалу, які отримали послугу; наявність інфраструктурних адаптацій (так/ні як бінарний показник).</w:t>
      </w:r>
    </w:p>
    <w:p w14:paraId="60894BB4"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Джерела: інспекція локації, опитування.</w:t>
      </w:r>
    </w:p>
    <w:p w14:paraId="0E2A1262" w14:textId="77777777" w:rsidR="00334C25" w:rsidRPr="00334C25" w:rsidRDefault="00334C25" w:rsidP="00334C25">
      <w:pPr>
        <w:pStyle w:val="p1"/>
        <w:numPr>
          <w:ilvl w:val="0"/>
          <w:numId w:val="37"/>
        </w:numPr>
        <w:rPr>
          <w:color w:val="000000" w:themeColor="text1"/>
          <w:sz w:val="28"/>
          <w:szCs w:val="28"/>
        </w:rPr>
      </w:pPr>
      <w:r w:rsidRPr="00334C25">
        <w:rPr>
          <w:b/>
          <w:bCs/>
          <w:color w:val="000000" w:themeColor="text1"/>
          <w:sz w:val="28"/>
          <w:szCs w:val="28"/>
        </w:rPr>
        <w:t>Показник реагування на інциденти захисту</w:t>
      </w:r>
    </w:p>
    <w:p w14:paraId="7F0FF2D8"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Формула: частка інцидентів, опрацьованих згідно протоколу, від загальної кількості зареєстрованих інцидентів.</w:t>
      </w:r>
    </w:p>
    <w:p w14:paraId="21E43FFB" w14:textId="77777777" w:rsidR="00334C25" w:rsidRPr="00334C25" w:rsidRDefault="00334C25" w:rsidP="00334C25">
      <w:pPr>
        <w:pStyle w:val="p2"/>
        <w:spacing w:line="360" w:lineRule="auto"/>
        <w:ind w:left="720"/>
        <w:jc w:val="both"/>
        <w:rPr>
          <w:color w:val="000000" w:themeColor="text1"/>
          <w:sz w:val="28"/>
          <w:szCs w:val="28"/>
        </w:rPr>
      </w:pPr>
      <w:r w:rsidRPr="00334C25">
        <w:rPr>
          <w:color w:val="000000" w:themeColor="text1"/>
          <w:sz w:val="28"/>
          <w:szCs w:val="28"/>
        </w:rPr>
        <w:t>Джерела: журнал інцидентів, протоколи реагування.</w:t>
      </w:r>
    </w:p>
    <w:p w14:paraId="4C774F3C" w14:textId="5202140D" w:rsidR="00334C25" w:rsidRPr="00334C25" w:rsidRDefault="00334C25" w:rsidP="00334C25">
      <w:pPr>
        <w:rPr>
          <w:rStyle w:val="s1"/>
          <w:rFonts w:eastAsiaTheme="majorEastAsia"/>
          <w:color w:val="000000" w:themeColor="text1"/>
          <w:sz w:val="28"/>
          <w:szCs w:val="28"/>
        </w:rPr>
      </w:pPr>
    </w:p>
    <w:p w14:paraId="18277C7A"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1.1.6.4. Підходи до збору даних і методи аналізу</w:t>
      </w:r>
    </w:p>
    <w:p w14:paraId="3DDF1954" w14:textId="77777777" w:rsidR="00334C25" w:rsidRPr="00334C25" w:rsidRDefault="00334C25" w:rsidP="00334C25">
      <w:pPr>
        <w:pStyle w:val="p1"/>
        <w:numPr>
          <w:ilvl w:val="0"/>
          <w:numId w:val="38"/>
        </w:numPr>
        <w:rPr>
          <w:color w:val="000000" w:themeColor="text1"/>
          <w:sz w:val="28"/>
          <w:szCs w:val="28"/>
        </w:rPr>
      </w:pPr>
      <w:r w:rsidRPr="00334C25">
        <w:rPr>
          <w:rStyle w:val="s1"/>
          <w:rFonts w:eastAsiaTheme="majorEastAsia"/>
          <w:b/>
          <w:bCs/>
          <w:color w:val="000000" w:themeColor="text1"/>
          <w:sz w:val="28"/>
          <w:szCs w:val="28"/>
        </w:rPr>
        <w:t>Кількісний збір:</w:t>
      </w:r>
      <w:r w:rsidRPr="00334C25">
        <w:rPr>
          <w:color w:val="000000" w:themeColor="text1"/>
          <w:sz w:val="28"/>
          <w:szCs w:val="28"/>
        </w:rPr>
        <w:t xml:space="preserve"> реєстраційні журнали, електронні реєстри, табличні дані про видачу допомоги, структуровані анкети. Забезпечити стандартизовані поля (дата/час прибуття, надані послуги, направлення).</w:t>
      </w:r>
    </w:p>
    <w:p w14:paraId="32DB9085" w14:textId="77777777" w:rsidR="00334C25" w:rsidRPr="00334C25" w:rsidRDefault="00334C25" w:rsidP="00334C25">
      <w:pPr>
        <w:pStyle w:val="p1"/>
        <w:numPr>
          <w:ilvl w:val="0"/>
          <w:numId w:val="38"/>
        </w:numPr>
        <w:rPr>
          <w:color w:val="000000" w:themeColor="text1"/>
          <w:sz w:val="28"/>
          <w:szCs w:val="28"/>
        </w:rPr>
      </w:pPr>
      <w:r w:rsidRPr="00334C25">
        <w:rPr>
          <w:rStyle w:val="s1"/>
          <w:rFonts w:eastAsiaTheme="majorEastAsia"/>
          <w:b/>
          <w:bCs/>
          <w:color w:val="000000" w:themeColor="text1"/>
          <w:sz w:val="28"/>
          <w:szCs w:val="28"/>
        </w:rPr>
        <w:t>Якісний збір:</w:t>
      </w:r>
      <w:r w:rsidRPr="00334C25">
        <w:rPr>
          <w:color w:val="000000" w:themeColor="text1"/>
          <w:sz w:val="28"/>
          <w:szCs w:val="28"/>
        </w:rPr>
        <w:t xml:space="preserve"> напівструктуровані інтерв’ю з адміністрацією та персоналом, фокусні групи з користувачами, спостереження «на місці», кейсові описи.</w:t>
      </w:r>
    </w:p>
    <w:p w14:paraId="2C441276" w14:textId="77777777" w:rsidR="00334C25" w:rsidRPr="00334C25" w:rsidRDefault="00334C25" w:rsidP="00334C25">
      <w:pPr>
        <w:pStyle w:val="p1"/>
        <w:numPr>
          <w:ilvl w:val="0"/>
          <w:numId w:val="38"/>
        </w:numPr>
        <w:rPr>
          <w:color w:val="000000" w:themeColor="text1"/>
          <w:sz w:val="28"/>
          <w:szCs w:val="28"/>
        </w:rPr>
      </w:pPr>
      <w:r w:rsidRPr="00334C25">
        <w:rPr>
          <w:rStyle w:val="s1"/>
          <w:rFonts w:eastAsiaTheme="majorEastAsia"/>
          <w:b/>
          <w:bCs/>
          <w:color w:val="000000" w:themeColor="text1"/>
          <w:sz w:val="28"/>
          <w:szCs w:val="28"/>
        </w:rPr>
        <w:lastRenderedPageBreak/>
        <w:t>Методи обробки:</w:t>
      </w:r>
      <w:r w:rsidRPr="00334C25">
        <w:rPr>
          <w:color w:val="000000" w:themeColor="text1"/>
          <w:sz w:val="28"/>
          <w:szCs w:val="28"/>
        </w:rPr>
        <w:t xml:space="preserve"> описова статистика для кількісних показників (середні, медіани, відсотки), порівняльний аналіз за періодами (до/після впровадження змін), тематичний аналіз для якісних даних.</w:t>
      </w:r>
    </w:p>
    <w:p w14:paraId="4A851208" w14:textId="77777777" w:rsidR="00334C25" w:rsidRPr="00334C25" w:rsidRDefault="00334C25" w:rsidP="00334C25">
      <w:pPr>
        <w:pStyle w:val="p1"/>
        <w:numPr>
          <w:ilvl w:val="0"/>
          <w:numId w:val="38"/>
        </w:numPr>
        <w:rPr>
          <w:color w:val="000000" w:themeColor="text1"/>
          <w:sz w:val="28"/>
          <w:szCs w:val="28"/>
        </w:rPr>
      </w:pPr>
      <w:r w:rsidRPr="00334C25">
        <w:rPr>
          <w:rStyle w:val="s1"/>
          <w:rFonts w:eastAsiaTheme="majorEastAsia"/>
          <w:b/>
          <w:bCs/>
          <w:color w:val="000000" w:themeColor="text1"/>
          <w:sz w:val="28"/>
          <w:szCs w:val="28"/>
        </w:rPr>
        <w:t>Змішаний підхід (комбінований):</w:t>
      </w:r>
      <w:r w:rsidRPr="00334C25">
        <w:rPr>
          <w:color w:val="000000" w:themeColor="text1"/>
          <w:sz w:val="28"/>
          <w:szCs w:val="28"/>
        </w:rPr>
        <w:t xml:space="preserve"> кількісні дані визначають масштаби проблеми, якісні дають пояснення причин і контексту; триангуляція посилює довіру до висновків.</w:t>
      </w:r>
    </w:p>
    <w:p w14:paraId="6E119C96" w14:textId="1C16FA47" w:rsidR="00334C25" w:rsidRPr="00334C25" w:rsidRDefault="00334C25" w:rsidP="00334C25">
      <w:pPr>
        <w:rPr>
          <w:rStyle w:val="s1"/>
          <w:rFonts w:eastAsiaTheme="majorEastAsia"/>
          <w:color w:val="000000" w:themeColor="text1"/>
          <w:sz w:val="28"/>
          <w:szCs w:val="28"/>
        </w:rPr>
      </w:pPr>
    </w:p>
    <w:p w14:paraId="34B124F9"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1.1.6.5. Базовий рівень, моніторинг та оцінювання (базові практики)</w:t>
      </w:r>
    </w:p>
    <w:p w14:paraId="0AE42F50" w14:textId="77777777" w:rsidR="00334C25" w:rsidRPr="00334C25" w:rsidRDefault="00334C25" w:rsidP="00334C25">
      <w:pPr>
        <w:pStyle w:val="p1"/>
        <w:numPr>
          <w:ilvl w:val="0"/>
          <w:numId w:val="39"/>
        </w:numPr>
        <w:rPr>
          <w:color w:val="000000" w:themeColor="text1"/>
          <w:sz w:val="28"/>
          <w:szCs w:val="28"/>
        </w:rPr>
      </w:pPr>
      <w:r w:rsidRPr="00334C25">
        <w:rPr>
          <w:rStyle w:val="s1"/>
          <w:rFonts w:eastAsiaTheme="majorEastAsia"/>
          <w:b/>
          <w:bCs/>
          <w:color w:val="000000" w:themeColor="text1"/>
          <w:sz w:val="28"/>
          <w:szCs w:val="28"/>
        </w:rPr>
        <w:t>Вихідна оцінка (базовий рівень).</w:t>
      </w:r>
      <w:r w:rsidRPr="00334C25">
        <w:rPr>
          <w:color w:val="000000" w:themeColor="text1"/>
          <w:sz w:val="28"/>
          <w:szCs w:val="28"/>
        </w:rPr>
        <w:t xml:space="preserve"> До початку активної фази роботи слід провести збір вихідних даних за ключовими показниками (час обробки, наявність інфраструктури, рівень поінформованості). Це дасть змогу виміряти зміни.</w:t>
      </w:r>
    </w:p>
    <w:p w14:paraId="6EF7D525" w14:textId="77777777" w:rsidR="00334C25" w:rsidRPr="00334C25" w:rsidRDefault="00334C25" w:rsidP="00334C25">
      <w:pPr>
        <w:pStyle w:val="p1"/>
        <w:numPr>
          <w:ilvl w:val="0"/>
          <w:numId w:val="39"/>
        </w:numPr>
        <w:rPr>
          <w:color w:val="000000" w:themeColor="text1"/>
          <w:sz w:val="28"/>
          <w:szCs w:val="28"/>
        </w:rPr>
      </w:pPr>
      <w:r w:rsidRPr="00334C25">
        <w:rPr>
          <w:rStyle w:val="s1"/>
          <w:rFonts w:eastAsiaTheme="majorEastAsia"/>
          <w:b/>
          <w:bCs/>
          <w:color w:val="000000" w:themeColor="text1"/>
          <w:sz w:val="28"/>
          <w:szCs w:val="28"/>
        </w:rPr>
        <w:t>Моніторинг у реальному часі.</w:t>
      </w:r>
      <w:r w:rsidRPr="00334C25">
        <w:rPr>
          <w:color w:val="000000" w:themeColor="text1"/>
          <w:sz w:val="28"/>
          <w:szCs w:val="28"/>
        </w:rPr>
        <w:t xml:space="preserve"> Просте щоденне/щотижневе звітування ключових показників (кількість реєстрацій, кількість рефералів, середній час). Використання простих таблиць або електронного реєстру прискорює моніторинг.</w:t>
      </w:r>
    </w:p>
    <w:p w14:paraId="32532A9B" w14:textId="13BEDC52" w:rsidR="00334C25" w:rsidRPr="00334C25" w:rsidRDefault="00334C25" w:rsidP="00334C25">
      <w:pPr>
        <w:pStyle w:val="p1"/>
        <w:numPr>
          <w:ilvl w:val="0"/>
          <w:numId w:val="39"/>
        </w:numPr>
        <w:rPr>
          <w:rStyle w:val="s1"/>
          <w:color w:val="000000" w:themeColor="text1"/>
          <w:sz w:val="28"/>
          <w:szCs w:val="28"/>
        </w:rPr>
      </w:pPr>
      <w:r w:rsidRPr="00334C25">
        <w:rPr>
          <w:rStyle w:val="s1"/>
          <w:rFonts w:eastAsiaTheme="majorEastAsia"/>
          <w:b/>
          <w:bCs/>
          <w:color w:val="000000" w:themeColor="text1"/>
          <w:sz w:val="28"/>
          <w:szCs w:val="28"/>
        </w:rPr>
        <w:t>Кінцева оцінка (ex-post).</w:t>
      </w:r>
      <w:r w:rsidRPr="00334C25">
        <w:rPr>
          <w:color w:val="000000" w:themeColor="text1"/>
          <w:sz w:val="28"/>
          <w:szCs w:val="28"/>
        </w:rPr>
        <w:t xml:space="preserve"> Після визначеного періоду (наприклад, 3–6 місяців) проводиться комплексна оцінка ефективності з використанням кількісних і якісних даних.</w:t>
      </w:r>
    </w:p>
    <w:p w14:paraId="3B965CD1"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1.1.6.6. Забезпечення надійності даних і методи контролю якості</w:t>
      </w:r>
    </w:p>
    <w:p w14:paraId="127395F8" w14:textId="77777777" w:rsidR="00334C25" w:rsidRPr="00334C25" w:rsidRDefault="00334C25" w:rsidP="00334C25">
      <w:pPr>
        <w:pStyle w:val="p1"/>
        <w:numPr>
          <w:ilvl w:val="0"/>
          <w:numId w:val="40"/>
        </w:numPr>
        <w:rPr>
          <w:color w:val="000000" w:themeColor="text1"/>
          <w:sz w:val="28"/>
          <w:szCs w:val="28"/>
        </w:rPr>
      </w:pPr>
      <w:r w:rsidRPr="00334C25">
        <w:rPr>
          <w:rStyle w:val="s1"/>
          <w:rFonts w:eastAsiaTheme="majorEastAsia"/>
          <w:b/>
          <w:bCs/>
          <w:color w:val="000000" w:themeColor="text1"/>
          <w:sz w:val="28"/>
          <w:szCs w:val="28"/>
        </w:rPr>
        <w:t>Протокол збору даних:</w:t>
      </w:r>
      <w:r w:rsidRPr="00334C25">
        <w:rPr>
          <w:color w:val="000000" w:themeColor="text1"/>
          <w:sz w:val="28"/>
          <w:szCs w:val="28"/>
        </w:rPr>
        <w:t xml:space="preserve"> стандартизовані форми, інструкції для респондентів і інтерв’юерів.</w:t>
      </w:r>
    </w:p>
    <w:p w14:paraId="774D0EFA" w14:textId="77777777" w:rsidR="00334C25" w:rsidRPr="00334C25" w:rsidRDefault="00334C25" w:rsidP="00334C25">
      <w:pPr>
        <w:pStyle w:val="p1"/>
        <w:numPr>
          <w:ilvl w:val="0"/>
          <w:numId w:val="40"/>
        </w:numPr>
        <w:rPr>
          <w:color w:val="000000" w:themeColor="text1"/>
          <w:sz w:val="28"/>
          <w:szCs w:val="28"/>
        </w:rPr>
      </w:pPr>
      <w:r w:rsidRPr="00334C25">
        <w:rPr>
          <w:rStyle w:val="s1"/>
          <w:rFonts w:eastAsiaTheme="majorEastAsia"/>
          <w:b/>
          <w:bCs/>
          <w:color w:val="000000" w:themeColor="text1"/>
          <w:sz w:val="28"/>
          <w:szCs w:val="28"/>
        </w:rPr>
        <w:t>Пілотування інструментів:</w:t>
      </w:r>
      <w:r w:rsidRPr="00334C25">
        <w:rPr>
          <w:color w:val="000000" w:themeColor="text1"/>
          <w:sz w:val="28"/>
          <w:szCs w:val="28"/>
        </w:rPr>
        <w:t xml:space="preserve"> перед масовим збором перевірити анкети і журнали на 5–10 випадках.</w:t>
      </w:r>
    </w:p>
    <w:p w14:paraId="62447C63" w14:textId="77777777" w:rsidR="00334C25" w:rsidRPr="00334C25" w:rsidRDefault="00334C25" w:rsidP="00334C25">
      <w:pPr>
        <w:pStyle w:val="p1"/>
        <w:numPr>
          <w:ilvl w:val="0"/>
          <w:numId w:val="40"/>
        </w:numPr>
        <w:rPr>
          <w:color w:val="000000" w:themeColor="text1"/>
          <w:sz w:val="28"/>
          <w:szCs w:val="28"/>
        </w:rPr>
      </w:pPr>
      <w:r w:rsidRPr="00334C25">
        <w:rPr>
          <w:rStyle w:val="s1"/>
          <w:rFonts w:eastAsiaTheme="majorEastAsia"/>
          <w:b/>
          <w:bCs/>
          <w:color w:val="000000" w:themeColor="text1"/>
          <w:sz w:val="28"/>
          <w:szCs w:val="28"/>
        </w:rPr>
        <w:t>Перехресна перевірка (тріангуляція):</w:t>
      </w:r>
      <w:r w:rsidRPr="00334C25">
        <w:rPr>
          <w:color w:val="000000" w:themeColor="text1"/>
          <w:sz w:val="28"/>
          <w:szCs w:val="28"/>
        </w:rPr>
        <w:t xml:space="preserve"> зіставляти дані реєстрів з відгуками клієнтів і журналами рефералів.</w:t>
      </w:r>
    </w:p>
    <w:p w14:paraId="7864CDA2" w14:textId="77777777" w:rsidR="00334C25" w:rsidRPr="00334C25" w:rsidRDefault="00334C25" w:rsidP="00334C25">
      <w:pPr>
        <w:pStyle w:val="p1"/>
        <w:numPr>
          <w:ilvl w:val="0"/>
          <w:numId w:val="40"/>
        </w:numPr>
        <w:rPr>
          <w:color w:val="000000" w:themeColor="text1"/>
          <w:sz w:val="28"/>
          <w:szCs w:val="28"/>
        </w:rPr>
      </w:pPr>
      <w:r w:rsidRPr="00334C25">
        <w:rPr>
          <w:rStyle w:val="s1"/>
          <w:rFonts w:eastAsiaTheme="majorEastAsia"/>
          <w:b/>
          <w:bCs/>
          <w:color w:val="000000" w:themeColor="text1"/>
          <w:sz w:val="28"/>
          <w:szCs w:val="28"/>
        </w:rPr>
        <w:lastRenderedPageBreak/>
        <w:t>Валідація:</w:t>
      </w:r>
      <w:r w:rsidRPr="00334C25">
        <w:rPr>
          <w:color w:val="000000" w:themeColor="text1"/>
          <w:sz w:val="28"/>
          <w:szCs w:val="28"/>
        </w:rPr>
        <w:t xml:space="preserve"> перевірка аномалій (надто короткі/довгі часи обробки), перехресні вибірки для перевірки правильності введення.</w:t>
      </w:r>
    </w:p>
    <w:p w14:paraId="65BB8998" w14:textId="19DE38C6" w:rsidR="00334C25" w:rsidRPr="00334C25" w:rsidRDefault="00334C25" w:rsidP="00334C25">
      <w:pPr>
        <w:pStyle w:val="p1"/>
        <w:numPr>
          <w:ilvl w:val="0"/>
          <w:numId w:val="40"/>
        </w:numPr>
        <w:rPr>
          <w:rStyle w:val="s1"/>
          <w:color w:val="000000" w:themeColor="text1"/>
          <w:sz w:val="28"/>
          <w:szCs w:val="28"/>
        </w:rPr>
      </w:pPr>
      <w:r w:rsidRPr="00334C25">
        <w:rPr>
          <w:rStyle w:val="s1"/>
          <w:rFonts w:eastAsiaTheme="majorEastAsia"/>
          <w:b/>
          <w:bCs/>
          <w:color w:val="000000" w:themeColor="text1"/>
          <w:sz w:val="28"/>
          <w:szCs w:val="28"/>
        </w:rPr>
        <w:t>Оцінка надійності:</w:t>
      </w:r>
      <w:r w:rsidRPr="00334C25">
        <w:rPr>
          <w:color w:val="000000" w:themeColor="text1"/>
          <w:sz w:val="28"/>
          <w:szCs w:val="28"/>
        </w:rPr>
        <w:t xml:space="preserve"> для кількісних шкал </w:t>
      </w:r>
      <w:r w:rsidR="008D7B0D">
        <w:rPr>
          <w:color w:val="000000" w:themeColor="text1"/>
          <w:sz w:val="28"/>
          <w:szCs w:val="28"/>
        </w:rPr>
        <w:t>-</w:t>
      </w:r>
      <w:r w:rsidRPr="00334C25">
        <w:rPr>
          <w:color w:val="000000" w:themeColor="text1"/>
          <w:sz w:val="28"/>
          <w:szCs w:val="28"/>
        </w:rPr>
        <w:t xml:space="preserve"> розрахунок коефіцієнту внутрішньої узгодженості (наприклад, α Кронбаха для сумарних індексів), для якісних кодів </w:t>
      </w:r>
      <w:r w:rsidR="008D7B0D">
        <w:rPr>
          <w:color w:val="000000" w:themeColor="text1"/>
          <w:sz w:val="28"/>
          <w:szCs w:val="28"/>
        </w:rPr>
        <w:t>-</w:t>
      </w:r>
      <w:r w:rsidRPr="00334C25">
        <w:rPr>
          <w:color w:val="000000" w:themeColor="text1"/>
          <w:sz w:val="28"/>
          <w:szCs w:val="28"/>
        </w:rPr>
        <w:t xml:space="preserve"> між-кодовий коефіцієнт узгодженості.</w:t>
      </w:r>
    </w:p>
    <w:p w14:paraId="669A66E1"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1.1.6.7. Вибірка і розмір вибірки для оцінювань</w:t>
      </w:r>
    </w:p>
    <w:p w14:paraId="4C69BDB3" w14:textId="69CD59A1" w:rsidR="00334C25" w:rsidRPr="00334C25" w:rsidRDefault="00334C25" w:rsidP="00334C25">
      <w:pPr>
        <w:pStyle w:val="p1"/>
        <w:numPr>
          <w:ilvl w:val="0"/>
          <w:numId w:val="41"/>
        </w:numPr>
        <w:rPr>
          <w:color w:val="000000" w:themeColor="text1"/>
          <w:sz w:val="28"/>
          <w:szCs w:val="28"/>
        </w:rPr>
      </w:pPr>
      <w:r w:rsidRPr="00334C25">
        <w:rPr>
          <w:color w:val="000000" w:themeColor="text1"/>
          <w:sz w:val="28"/>
          <w:szCs w:val="28"/>
        </w:rPr>
        <w:t xml:space="preserve">Для кількісних опитувань рекомендується мінімум 200–300 опитаних клієнтів для базових оцінок задоволеності й показників доступу (за наявності такої кількості прибулих). Якщо потік менший </w:t>
      </w:r>
      <w:r w:rsidR="008D7B0D">
        <w:rPr>
          <w:color w:val="000000" w:themeColor="text1"/>
          <w:sz w:val="28"/>
          <w:szCs w:val="28"/>
        </w:rPr>
        <w:t>-</w:t>
      </w:r>
      <w:r w:rsidRPr="00334C25">
        <w:rPr>
          <w:color w:val="000000" w:themeColor="text1"/>
          <w:sz w:val="28"/>
          <w:szCs w:val="28"/>
        </w:rPr>
        <w:t xml:space="preserve"> робити всеохопне опитування або репрезентативну вибірку за часовими кроками.</w:t>
      </w:r>
    </w:p>
    <w:p w14:paraId="0F9F4E74" w14:textId="0B293D72" w:rsidR="00334C25" w:rsidRPr="00334C25" w:rsidRDefault="00334C25" w:rsidP="00334C25">
      <w:pPr>
        <w:pStyle w:val="p1"/>
        <w:numPr>
          <w:ilvl w:val="0"/>
          <w:numId w:val="41"/>
        </w:numPr>
        <w:rPr>
          <w:color w:val="000000" w:themeColor="text1"/>
          <w:sz w:val="28"/>
          <w:szCs w:val="28"/>
        </w:rPr>
      </w:pPr>
      <w:r w:rsidRPr="00334C25">
        <w:rPr>
          <w:color w:val="000000" w:themeColor="text1"/>
          <w:sz w:val="28"/>
          <w:szCs w:val="28"/>
        </w:rPr>
        <w:t xml:space="preserve">Для якісних інтерв’ю </w:t>
      </w:r>
      <w:r w:rsidR="008D7B0D">
        <w:rPr>
          <w:color w:val="000000" w:themeColor="text1"/>
          <w:sz w:val="28"/>
          <w:szCs w:val="28"/>
        </w:rPr>
        <w:t>-</w:t>
      </w:r>
      <w:r w:rsidRPr="00334C25">
        <w:rPr>
          <w:color w:val="000000" w:themeColor="text1"/>
          <w:sz w:val="28"/>
          <w:szCs w:val="28"/>
        </w:rPr>
        <w:t xml:space="preserve"> 15–25 інтерв’ю з ключовими інформантами і 3–6 фокусних груп досягають насичення тем.</w:t>
      </w:r>
    </w:p>
    <w:p w14:paraId="6D91641F" w14:textId="77777777" w:rsidR="00334C25" w:rsidRPr="00334C25" w:rsidRDefault="00334C25" w:rsidP="00334C25">
      <w:pPr>
        <w:pStyle w:val="p1"/>
        <w:ind w:left="720"/>
        <w:rPr>
          <w:color w:val="000000" w:themeColor="text1"/>
          <w:sz w:val="28"/>
          <w:szCs w:val="28"/>
        </w:rPr>
      </w:pPr>
      <w:r w:rsidRPr="00334C25">
        <w:rPr>
          <w:color w:val="000000" w:themeColor="text1"/>
          <w:sz w:val="28"/>
          <w:szCs w:val="28"/>
        </w:rPr>
        <w:t>(Конкретні числа треба коригувати з урахуванням масштабу центру і ресурсів.)</w:t>
      </w:r>
    </w:p>
    <w:p w14:paraId="7DBAEB00" w14:textId="29A1A85A" w:rsidR="00334C25" w:rsidRPr="00334C25" w:rsidRDefault="00334C25" w:rsidP="00334C25">
      <w:pPr>
        <w:rPr>
          <w:rStyle w:val="s1"/>
          <w:rFonts w:eastAsiaTheme="majorEastAsia"/>
          <w:color w:val="000000" w:themeColor="text1"/>
          <w:sz w:val="28"/>
          <w:szCs w:val="28"/>
        </w:rPr>
      </w:pPr>
    </w:p>
    <w:p w14:paraId="06D654DE"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1.1.6.8. Етичні та правові аспекти оцінювання</w:t>
      </w:r>
    </w:p>
    <w:p w14:paraId="6782717B" w14:textId="77777777" w:rsidR="00334C25" w:rsidRPr="00334C25" w:rsidRDefault="00334C25" w:rsidP="00334C25">
      <w:pPr>
        <w:pStyle w:val="p1"/>
        <w:numPr>
          <w:ilvl w:val="0"/>
          <w:numId w:val="42"/>
        </w:numPr>
        <w:rPr>
          <w:color w:val="000000" w:themeColor="text1"/>
          <w:sz w:val="28"/>
          <w:szCs w:val="28"/>
        </w:rPr>
      </w:pPr>
      <w:r w:rsidRPr="00334C25">
        <w:rPr>
          <w:color w:val="000000" w:themeColor="text1"/>
          <w:sz w:val="28"/>
          <w:szCs w:val="28"/>
        </w:rPr>
        <w:t>Отримання інформованої згоди від респондентів; забезпечення анонімності там, де необхідно.</w:t>
      </w:r>
    </w:p>
    <w:p w14:paraId="12487BAA" w14:textId="77777777" w:rsidR="00334C25" w:rsidRPr="00334C25" w:rsidRDefault="00334C25" w:rsidP="00334C25">
      <w:pPr>
        <w:pStyle w:val="p1"/>
        <w:numPr>
          <w:ilvl w:val="0"/>
          <w:numId w:val="42"/>
        </w:numPr>
        <w:rPr>
          <w:color w:val="000000" w:themeColor="text1"/>
          <w:sz w:val="28"/>
          <w:szCs w:val="28"/>
        </w:rPr>
      </w:pPr>
      <w:r w:rsidRPr="00334C25">
        <w:rPr>
          <w:color w:val="000000" w:themeColor="text1"/>
          <w:sz w:val="28"/>
          <w:szCs w:val="28"/>
        </w:rPr>
        <w:t>Забезпечення безпеки даних (шифрування, обмеження доступу).</w:t>
      </w:r>
    </w:p>
    <w:p w14:paraId="01BCE587" w14:textId="77777777" w:rsidR="00334C25" w:rsidRPr="00334C25" w:rsidRDefault="00334C25" w:rsidP="00334C25">
      <w:pPr>
        <w:pStyle w:val="p1"/>
        <w:numPr>
          <w:ilvl w:val="0"/>
          <w:numId w:val="42"/>
        </w:numPr>
        <w:rPr>
          <w:color w:val="000000" w:themeColor="text1"/>
          <w:sz w:val="28"/>
          <w:szCs w:val="28"/>
        </w:rPr>
      </w:pPr>
      <w:r w:rsidRPr="00334C25">
        <w:rPr>
          <w:color w:val="000000" w:themeColor="text1"/>
          <w:sz w:val="28"/>
          <w:szCs w:val="28"/>
        </w:rPr>
        <w:t>Особлива увага до вразливих груп: збір чутливої інформації тільки за необхідності і з додатковими заходами захисту.</w:t>
      </w:r>
    </w:p>
    <w:p w14:paraId="08950E6E" w14:textId="0702AAF0" w:rsidR="00334C25" w:rsidRPr="00334C25" w:rsidRDefault="00334C25" w:rsidP="00334C25">
      <w:pPr>
        <w:pStyle w:val="p1"/>
        <w:numPr>
          <w:ilvl w:val="0"/>
          <w:numId w:val="42"/>
        </w:numPr>
        <w:rPr>
          <w:rStyle w:val="s1"/>
          <w:color w:val="000000" w:themeColor="text1"/>
          <w:sz w:val="28"/>
          <w:szCs w:val="28"/>
        </w:rPr>
      </w:pPr>
      <w:r w:rsidRPr="00334C25">
        <w:rPr>
          <w:color w:val="000000" w:themeColor="text1"/>
          <w:sz w:val="28"/>
          <w:szCs w:val="28"/>
        </w:rPr>
        <w:t>Передача результатів місцевим партнерам у формі, придатній для покращення практики (зворотний зв’язок).</w:t>
      </w:r>
    </w:p>
    <w:p w14:paraId="595758EB"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lastRenderedPageBreak/>
        <w:t>1.1.6.9. Інтерпретація результатів і обмеження методів</w:t>
      </w:r>
    </w:p>
    <w:p w14:paraId="06FB09BD" w14:textId="77777777" w:rsidR="00334C25" w:rsidRPr="00334C25" w:rsidRDefault="00334C25" w:rsidP="00334C25">
      <w:pPr>
        <w:pStyle w:val="p1"/>
        <w:numPr>
          <w:ilvl w:val="0"/>
          <w:numId w:val="43"/>
        </w:numPr>
        <w:rPr>
          <w:color w:val="000000" w:themeColor="text1"/>
          <w:sz w:val="28"/>
          <w:szCs w:val="28"/>
        </w:rPr>
      </w:pPr>
      <w:r w:rsidRPr="00334C25">
        <w:rPr>
          <w:color w:val="000000" w:themeColor="text1"/>
          <w:sz w:val="28"/>
          <w:szCs w:val="28"/>
        </w:rPr>
        <w:t>Пам’ятати, що кореляція не означає причинно-наслідкового зв’язку: для доведення впливу може знадобитися дизайн з порівняльними групами або часовими серіями.</w:t>
      </w:r>
    </w:p>
    <w:p w14:paraId="67B14D62" w14:textId="1AB876E1" w:rsidR="00334C25" w:rsidRPr="00334C25" w:rsidRDefault="00334C25" w:rsidP="00334C25">
      <w:pPr>
        <w:pStyle w:val="p1"/>
        <w:numPr>
          <w:ilvl w:val="0"/>
          <w:numId w:val="43"/>
        </w:numPr>
        <w:rPr>
          <w:color w:val="000000" w:themeColor="text1"/>
          <w:sz w:val="28"/>
          <w:szCs w:val="28"/>
        </w:rPr>
      </w:pPr>
      <w:r w:rsidRPr="00334C25">
        <w:rPr>
          <w:color w:val="000000" w:themeColor="text1"/>
          <w:sz w:val="28"/>
          <w:szCs w:val="28"/>
        </w:rPr>
        <w:t xml:space="preserve">Якісні дані пояснюють «чому» змінюється показник; кількісні </w:t>
      </w:r>
      <w:r w:rsidR="008D7B0D">
        <w:rPr>
          <w:color w:val="000000" w:themeColor="text1"/>
          <w:sz w:val="28"/>
          <w:szCs w:val="28"/>
        </w:rPr>
        <w:t>-</w:t>
      </w:r>
      <w:r w:rsidRPr="00334C25">
        <w:rPr>
          <w:color w:val="000000" w:themeColor="text1"/>
          <w:sz w:val="28"/>
          <w:szCs w:val="28"/>
        </w:rPr>
        <w:t xml:space="preserve"> «наскільки». Комбінований підхід є найбільш інформативним.</w:t>
      </w:r>
    </w:p>
    <w:p w14:paraId="4EDECB13" w14:textId="131BB955" w:rsidR="00334C25" w:rsidRPr="00334C25" w:rsidRDefault="00334C25" w:rsidP="00334C25">
      <w:pPr>
        <w:pStyle w:val="p1"/>
        <w:numPr>
          <w:ilvl w:val="0"/>
          <w:numId w:val="43"/>
        </w:numPr>
        <w:rPr>
          <w:rStyle w:val="s1"/>
          <w:color w:val="000000" w:themeColor="text1"/>
          <w:sz w:val="28"/>
          <w:szCs w:val="28"/>
        </w:rPr>
      </w:pPr>
      <w:r w:rsidRPr="00334C25">
        <w:rPr>
          <w:color w:val="000000" w:themeColor="text1"/>
          <w:sz w:val="28"/>
          <w:szCs w:val="28"/>
        </w:rPr>
        <w:t>Обмеження: неповнота даних, зсув вибірки (наприклад, у разі опитування лише тих, хто звернувся), ризик упередженості відповідачів.</w:t>
      </w:r>
    </w:p>
    <w:p w14:paraId="5421715E"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1.1.6.10. Практичні рекомендації для впровадження системи оцінювання в транзитному центрі</w:t>
      </w:r>
    </w:p>
    <w:p w14:paraId="2206F858" w14:textId="77777777" w:rsidR="00334C25" w:rsidRPr="00334C25" w:rsidRDefault="00334C25" w:rsidP="00334C25">
      <w:pPr>
        <w:pStyle w:val="p1"/>
        <w:numPr>
          <w:ilvl w:val="0"/>
          <w:numId w:val="44"/>
        </w:numPr>
        <w:rPr>
          <w:color w:val="000000" w:themeColor="text1"/>
          <w:sz w:val="28"/>
          <w:szCs w:val="28"/>
        </w:rPr>
      </w:pPr>
      <w:r w:rsidRPr="00334C25">
        <w:rPr>
          <w:color w:val="000000" w:themeColor="text1"/>
          <w:sz w:val="28"/>
          <w:szCs w:val="28"/>
        </w:rPr>
        <w:t>Розробити логічну матрицю проекту з чітким переліком показників і джерел даних.</w:t>
      </w:r>
    </w:p>
    <w:p w14:paraId="00720F9B" w14:textId="77777777" w:rsidR="00334C25" w:rsidRPr="00334C25" w:rsidRDefault="00334C25" w:rsidP="00334C25">
      <w:pPr>
        <w:pStyle w:val="p1"/>
        <w:numPr>
          <w:ilvl w:val="0"/>
          <w:numId w:val="44"/>
        </w:numPr>
        <w:rPr>
          <w:color w:val="000000" w:themeColor="text1"/>
          <w:sz w:val="28"/>
          <w:szCs w:val="28"/>
        </w:rPr>
      </w:pPr>
      <w:r w:rsidRPr="00334C25">
        <w:rPr>
          <w:color w:val="000000" w:themeColor="text1"/>
          <w:sz w:val="28"/>
          <w:szCs w:val="28"/>
        </w:rPr>
        <w:t>Встановити базові значення (вихідні дані) до початку операцій або до впровадження змін.</w:t>
      </w:r>
    </w:p>
    <w:p w14:paraId="32CD534C" w14:textId="77777777" w:rsidR="00334C25" w:rsidRPr="00334C25" w:rsidRDefault="00334C25" w:rsidP="00334C25">
      <w:pPr>
        <w:pStyle w:val="p1"/>
        <w:numPr>
          <w:ilvl w:val="0"/>
          <w:numId w:val="44"/>
        </w:numPr>
        <w:rPr>
          <w:color w:val="000000" w:themeColor="text1"/>
          <w:sz w:val="28"/>
          <w:szCs w:val="28"/>
        </w:rPr>
      </w:pPr>
      <w:r w:rsidRPr="00334C25">
        <w:rPr>
          <w:color w:val="000000" w:themeColor="text1"/>
          <w:sz w:val="28"/>
          <w:szCs w:val="28"/>
        </w:rPr>
        <w:t>Запровадити простий щоденний звіт (ключові показники в електронній таблиці).</w:t>
      </w:r>
    </w:p>
    <w:p w14:paraId="0A0167FA" w14:textId="77777777" w:rsidR="00334C25" w:rsidRPr="00334C25" w:rsidRDefault="00334C25" w:rsidP="00334C25">
      <w:pPr>
        <w:pStyle w:val="p1"/>
        <w:numPr>
          <w:ilvl w:val="0"/>
          <w:numId w:val="44"/>
        </w:numPr>
        <w:rPr>
          <w:color w:val="000000" w:themeColor="text1"/>
          <w:sz w:val="28"/>
          <w:szCs w:val="28"/>
        </w:rPr>
      </w:pPr>
      <w:r w:rsidRPr="00334C25">
        <w:rPr>
          <w:color w:val="000000" w:themeColor="text1"/>
          <w:sz w:val="28"/>
          <w:szCs w:val="28"/>
        </w:rPr>
        <w:t>Проводити регулярний аналіз (щотижневий і щомісячний) з короткими висновками і коригувальними діями.</w:t>
      </w:r>
    </w:p>
    <w:p w14:paraId="72FE86DF" w14:textId="77777777" w:rsidR="00334C25" w:rsidRPr="00334C25" w:rsidRDefault="00334C25" w:rsidP="00334C25">
      <w:pPr>
        <w:pStyle w:val="p1"/>
        <w:numPr>
          <w:ilvl w:val="0"/>
          <w:numId w:val="44"/>
        </w:numPr>
        <w:rPr>
          <w:color w:val="000000" w:themeColor="text1"/>
          <w:sz w:val="28"/>
          <w:szCs w:val="28"/>
        </w:rPr>
      </w:pPr>
      <w:r w:rsidRPr="00334C25">
        <w:rPr>
          <w:color w:val="000000" w:themeColor="text1"/>
          <w:sz w:val="28"/>
          <w:szCs w:val="28"/>
        </w:rPr>
        <w:t>Забезпечити періодичну зовнішню оцінку (через 3–6 місяців) для отримання незалежної оцінки ефективності.</w:t>
      </w:r>
    </w:p>
    <w:p w14:paraId="2988FF2E" w14:textId="77777777" w:rsidR="00334C25" w:rsidRPr="00334C25" w:rsidRDefault="00334C25" w:rsidP="00334C25">
      <w:pPr>
        <w:pStyle w:val="p1"/>
        <w:numPr>
          <w:ilvl w:val="0"/>
          <w:numId w:val="44"/>
        </w:numPr>
        <w:rPr>
          <w:color w:val="000000" w:themeColor="text1"/>
          <w:sz w:val="28"/>
          <w:szCs w:val="28"/>
        </w:rPr>
      </w:pPr>
      <w:r w:rsidRPr="00334C25">
        <w:rPr>
          <w:color w:val="000000" w:themeColor="text1"/>
          <w:sz w:val="28"/>
          <w:szCs w:val="28"/>
        </w:rPr>
        <w:t>Підготувати шаблони звітності та візуалізації (прості діаграми/таблиці) для оперативного використання керівництвом.</w:t>
      </w:r>
    </w:p>
    <w:p w14:paraId="792EEE43" w14:textId="77777777" w:rsidR="00334C25" w:rsidRPr="00334C25" w:rsidRDefault="00334C25" w:rsidP="00334C25">
      <w:pPr>
        <w:rPr>
          <w:color w:val="000000" w:themeColor="text1"/>
          <w:lang w:val="en-US"/>
        </w:rPr>
      </w:pPr>
    </w:p>
    <w:p w14:paraId="2FD432F4" w14:textId="77777777" w:rsidR="00334C25" w:rsidRPr="00334C25" w:rsidRDefault="00334C25" w:rsidP="00334C25">
      <w:pPr>
        <w:rPr>
          <w:color w:val="000000" w:themeColor="text1"/>
        </w:rPr>
      </w:pPr>
    </w:p>
    <w:p w14:paraId="08435EC3" w14:textId="4A02E98E" w:rsidR="00334C25" w:rsidRPr="00334C25" w:rsidRDefault="0020188B" w:rsidP="00334C25">
      <w:pPr>
        <w:pStyle w:val="2"/>
        <w:numPr>
          <w:ilvl w:val="1"/>
          <w:numId w:val="4"/>
        </w:numPr>
        <w:rPr>
          <w:rFonts w:ascii="Times New Roman" w:hAnsi="Times New Roman" w:cs="Times New Roman"/>
          <w:color w:val="000000" w:themeColor="text1"/>
          <w:sz w:val="28"/>
          <w:szCs w:val="28"/>
        </w:rPr>
      </w:pPr>
      <w:bookmarkStart w:id="8" w:name="_Toc214217503"/>
      <w:r w:rsidRPr="00334C25">
        <w:rPr>
          <w:rFonts w:ascii="Times New Roman" w:hAnsi="Times New Roman" w:cs="Times New Roman"/>
          <w:color w:val="000000" w:themeColor="text1"/>
          <w:sz w:val="28"/>
          <w:szCs w:val="28"/>
        </w:rPr>
        <w:lastRenderedPageBreak/>
        <w:t>Законодавча та політична база (національні процедури, нормативні акти).</w:t>
      </w:r>
      <w:bookmarkEnd w:id="8"/>
    </w:p>
    <w:p w14:paraId="1B97238D" w14:textId="77777777"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Правове та політичне поле, в якому функціонують транзитні центри для внутрішньо переміщених осіб (ВПО), складається з кількох рівнів: конституційних норм і законів, спеціальних законодавчих актів щодо прав ВПО, нормативних актів Кабінету Міністрів та підзаконних документів (інструкцій, порядків, наказів міністерств), а також електронних процедур реєстрації й міжвідомчої координації. Нижче подано ключові нормативні акти та коротку характеристику їхнього значення для організації роботи транзитних центрів.</w:t>
      </w:r>
    </w:p>
    <w:p w14:paraId="103BA15B" w14:textId="77777777" w:rsidR="00334C25" w:rsidRPr="00334C25" w:rsidRDefault="00334C25" w:rsidP="00334C25">
      <w:pPr>
        <w:pStyle w:val="p2"/>
        <w:spacing w:line="360" w:lineRule="auto"/>
        <w:jc w:val="both"/>
        <w:rPr>
          <w:color w:val="000000" w:themeColor="text1"/>
          <w:sz w:val="28"/>
          <w:szCs w:val="28"/>
        </w:rPr>
      </w:pPr>
    </w:p>
    <w:p w14:paraId="5AA9DE53" w14:textId="77777777" w:rsidR="00334C25" w:rsidRPr="00334C25" w:rsidRDefault="00334C25" w:rsidP="00334C25">
      <w:pPr>
        <w:pStyle w:val="3"/>
        <w:rPr>
          <w:rFonts w:cs="Times New Roman"/>
          <w:color w:val="000000" w:themeColor="text1"/>
        </w:rPr>
      </w:pPr>
      <w:bookmarkStart w:id="9" w:name="_Toc214217504"/>
      <w:r w:rsidRPr="00334C25">
        <w:rPr>
          <w:rFonts w:cs="Times New Roman"/>
          <w:color w:val="000000" w:themeColor="text1"/>
        </w:rPr>
        <w:t>1.2.1. Основні закони та їхня роль</w:t>
      </w:r>
      <w:bookmarkEnd w:id="9"/>
    </w:p>
    <w:p w14:paraId="41C2EDD2" w14:textId="04584162" w:rsidR="00334C25" w:rsidRPr="00334C25" w:rsidRDefault="00334C25" w:rsidP="00334C25">
      <w:pPr>
        <w:pStyle w:val="p1"/>
        <w:numPr>
          <w:ilvl w:val="0"/>
          <w:numId w:val="45"/>
        </w:numPr>
        <w:rPr>
          <w:color w:val="000000" w:themeColor="text1"/>
          <w:sz w:val="28"/>
          <w:szCs w:val="28"/>
        </w:rPr>
      </w:pPr>
      <w:r w:rsidRPr="00334C25">
        <w:rPr>
          <w:rStyle w:val="s1"/>
          <w:rFonts w:eastAsiaTheme="majorEastAsia"/>
          <w:b/>
          <w:bCs/>
          <w:color w:val="000000" w:themeColor="text1"/>
          <w:sz w:val="28"/>
          <w:szCs w:val="28"/>
        </w:rPr>
        <w:t>Закон України «Про соціальні послуги» (№ 2671-VIII)</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встановлює загальні правові та організаційні засади надання соціальних послуг в Україні, визначає компетенції органів влади, права одержувачів та мінімальні вимоги до надання послуг. Для транзитних центрів цей закон є базовим: він визначає, які соціальні послуги можуть і мають надаватися особам, що опинилися в складних життєвих обставинах, та окреслює вимоги до якості й організації надання таких послуг.</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13"/>
      </w:r>
    </w:p>
    <w:p w14:paraId="6E2A58B1" w14:textId="1CDC1913" w:rsidR="00334C25" w:rsidRPr="00334C25" w:rsidRDefault="00334C25" w:rsidP="00334C25">
      <w:pPr>
        <w:pStyle w:val="p1"/>
        <w:numPr>
          <w:ilvl w:val="0"/>
          <w:numId w:val="45"/>
        </w:numPr>
        <w:rPr>
          <w:color w:val="000000" w:themeColor="text1"/>
          <w:sz w:val="28"/>
          <w:szCs w:val="28"/>
        </w:rPr>
      </w:pPr>
      <w:r w:rsidRPr="00334C25">
        <w:rPr>
          <w:rStyle w:val="s1"/>
          <w:rFonts w:eastAsiaTheme="majorEastAsia"/>
          <w:b/>
          <w:bCs/>
          <w:color w:val="000000" w:themeColor="text1"/>
          <w:sz w:val="28"/>
          <w:szCs w:val="28"/>
        </w:rPr>
        <w:t>Закон України «Про забезпечення прав і свобод внутрішньо переміщених осіб» (№ 1706-VII, 2014 р.)</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визначає статус ВПО, порядок взяття на облік, гарантовані права переміщених осіб та основні принципи взаємодії з державними органами. Закон регулює процедури взяття на облік і право ВПО на соціальну підтримку, що </w:t>
      </w:r>
      <w:r w:rsidRPr="00334C25">
        <w:rPr>
          <w:color w:val="000000" w:themeColor="text1"/>
          <w:sz w:val="28"/>
          <w:szCs w:val="28"/>
        </w:rPr>
        <w:lastRenderedPageBreak/>
        <w:t>прямо впливає на процедури, які мають бути доступні у транзитних центрах (реєстрація, довідки, інформаційна підтримка).</w:t>
      </w:r>
      <w:r w:rsidRPr="00334C25">
        <w:rPr>
          <w:rStyle w:val="apple-converted-space"/>
          <w:rFonts w:eastAsiaTheme="majorEastAsia"/>
          <w:color w:val="000000" w:themeColor="text1"/>
          <w:sz w:val="28"/>
          <w:szCs w:val="28"/>
        </w:rPr>
        <w:t> </w:t>
      </w:r>
      <w:r w:rsidR="00EE3A37">
        <w:rPr>
          <w:rStyle w:val="af6"/>
          <w:rFonts w:eastAsiaTheme="majorEastAsia"/>
          <w:color w:val="000000" w:themeColor="text1"/>
          <w:sz w:val="28"/>
          <w:szCs w:val="28"/>
        </w:rPr>
        <w:footnoteReference w:id="14"/>
      </w:r>
      <w:r w:rsidRPr="00334C25">
        <w:rPr>
          <w:rStyle w:val="apple-converted-space"/>
          <w:rFonts w:eastAsiaTheme="majorEastAsia"/>
          <w:color w:val="000000" w:themeColor="text1"/>
          <w:sz w:val="28"/>
          <w:szCs w:val="28"/>
        </w:rPr>
        <w:t xml:space="preserve"> </w:t>
      </w:r>
    </w:p>
    <w:p w14:paraId="69998279" w14:textId="77777777" w:rsidR="00334C25" w:rsidRPr="00334C25" w:rsidRDefault="00334C25" w:rsidP="00334C25">
      <w:pPr>
        <w:pStyle w:val="p2"/>
        <w:spacing w:line="360" w:lineRule="auto"/>
        <w:jc w:val="both"/>
        <w:rPr>
          <w:color w:val="000000" w:themeColor="text1"/>
          <w:sz w:val="28"/>
          <w:szCs w:val="28"/>
        </w:rPr>
      </w:pPr>
    </w:p>
    <w:p w14:paraId="412F45AE" w14:textId="77777777" w:rsidR="00334C25" w:rsidRPr="00334C25" w:rsidRDefault="00334C25" w:rsidP="00334C25">
      <w:pPr>
        <w:pStyle w:val="3"/>
        <w:rPr>
          <w:rFonts w:cs="Times New Roman"/>
          <w:color w:val="000000" w:themeColor="text1"/>
        </w:rPr>
      </w:pPr>
      <w:bookmarkStart w:id="10" w:name="_Toc214217505"/>
      <w:r w:rsidRPr="00334C25">
        <w:rPr>
          <w:rFonts w:cs="Times New Roman"/>
          <w:color w:val="000000" w:themeColor="text1"/>
        </w:rPr>
        <w:t>1.2.2. Постанови Кабінету Міністрів та підзаконні акти, які регулюють реєстрацію, евакуацію та соцзабезпечення</w:t>
      </w:r>
      <w:bookmarkEnd w:id="10"/>
    </w:p>
    <w:p w14:paraId="4D91095D" w14:textId="6D6BDE83" w:rsidR="00334C25" w:rsidRPr="00334C25" w:rsidRDefault="00334C25" w:rsidP="00334C25">
      <w:pPr>
        <w:pStyle w:val="p1"/>
        <w:numPr>
          <w:ilvl w:val="0"/>
          <w:numId w:val="46"/>
        </w:numPr>
        <w:rPr>
          <w:color w:val="000000" w:themeColor="text1"/>
          <w:sz w:val="28"/>
          <w:szCs w:val="28"/>
        </w:rPr>
      </w:pPr>
      <w:r w:rsidRPr="00334C25">
        <w:rPr>
          <w:rStyle w:val="s1"/>
          <w:rFonts w:eastAsiaTheme="majorEastAsia"/>
          <w:b/>
          <w:bCs/>
          <w:color w:val="000000" w:themeColor="text1"/>
          <w:sz w:val="28"/>
          <w:szCs w:val="28"/>
        </w:rPr>
        <w:t xml:space="preserve">Порядок обліку внутрішньо переміщених осіб </w:t>
      </w:r>
      <w:r w:rsidR="008D7B0D">
        <w:rPr>
          <w:rStyle w:val="s1"/>
          <w:rFonts w:eastAsiaTheme="majorEastAsia"/>
          <w:b/>
          <w:bCs/>
          <w:color w:val="000000" w:themeColor="text1"/>
          <w:sz w:val="28"/>
          <w:szCs w:val="28"/>
        </w:rPr>
        <w:t>-</w:t>
      </w:r>
      <w:r w:rsidRPr="00334C25">
        <w:rPr>
          <w:rStyle w:val="s1"/>
          <w:rFonts w:eastAsiaTheme="majorEastAsia"/>
          <w:b/>
          <w:bCs/>
          <w:color w:val="000000" w:themeColor="text1"/>
          <w:sz w:val="28"/>
          <w:szCs w:val="28"/>
        </w:rPr>
        <w:t xml:space="preserve"> постанова КМУ (проект/постійні редакції, зокрема №509 від 01.10.2014 та оновлення)</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визначає процедуру видачі довідки про взяття на облік ВПО, алгоритм дій структурних підрозділів соціального захисту та порядок документального оформлення. Наявність цього порядку </w:t>
      </w:r>
      <w:r w:rsidR="008D7B0D">
        <w:rPr>
          <w:color w:val="000000" w:themeColor="text1"/>
          <w:sz w:val="28"/>
          <w:szCs w:val="28"/>
        </w:rPr>
        <w:t>-</w:t>
      </w:r>
      <w:r w:rsidRPr="00334C25">
        <w:rPr>
          <w:color w:val="000000" w:themeColor="text1"/>
          <w:sz w:val="28"/>
          <w:szCs w:val="28"/>
        </w:rPr>
        <w:t xml:space="preserve"> основа для операцій у транзитних центрах, адже одним із перших кроків для більшості прибулих є отримання довідки та відповідних супровідних документів.</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15"/>
      </w:r>
    </w:p>
    <w:p w14:paraId="502116DE" w14:textId="52DA103C" w:rsidR="00334C25" w:rsidRPr="00334C25" w:rsidRDefault="00334C25" w:rsidP="00334C25">
      <w:pPr>
        <w:pStyle w:val="p1"/>
        <w:numPr>
          <w:ilvl w:val="0"/>
          <w:numId w:val="46"/>
        </w:numPr>
        <w:rPr>
          <w:color w:val="000000" w:themeColor="text1"/>
          <w:sz w:val="28"/>
          <w:szCs w:val="28"/>
        </w:rPr>
      </w:pPr>
      <w:r w:rsidRPr="00334C25">
        <w:rPr>
          <w:rStyle w:val="s1"/>
          <w:rFonts w:eastAsiaTheme="majorEastAsia"/>
          <w:b/>
          <w:bCs/>
          <w:color w:val="000000" w:themeColor="text1"/>
          <w:sz w:val="28"/>
          <w:szCs w:val="28"/>
        </w:rPr>
        <w:t>Постанови щодо соціальних виплат та компенсацій (приклад: постанова КМУ №332 та інші нормативи щодо нарахування допомоги ВПО)</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урегульовують порядок призначення і виплати деяких видів допомоги, критерії та строки. Ці постанови визначають, які послуги та виплати можуть бути оформлені на місці або за сприяння транзитного центру, а також витримують часові рамки для перерахунків.</w:t>
      </w:r>
      <w:r w:rsidR="00EE3A37" w:rsidRPr="00EE3A37">
        <w:rPr>
          <w:rStyle w:val="af6"/>
          <w:color w:val="000000" w:themeColor="text1"/>
          <w:sz w:val="28"/>
          <w:szCs w:val="28"/>
        </w:rPr>
        <w:t xml:space="preserve"> </w:t>
      </w:r>
      <w:r w:rsidR="00EE3A37">
        <w:rPr>
          <w:rStyle w:val="af6"/>
          <w:color w:val="000000" w:themeColor="text1"/>
          <w:sz w:val="28"/>
          <w:szCs w:val="28"/>
        </w:rPr>
        <w:footnoteReference w:id="16"/>
      </w:r>
      <w:r w:rsidR="00EE3A37" w:rsidRPr="00334C25">
        <w:rPr>
          <w:rStyle w:val="apple-converted-space"/>
          <w:rFonts w:eastAsiaTheme="majorEastAsia"/>
          <w:color w:val="000000" w:themeColor="text1"/>
          <w:sz w:val="28"/>
          <w:szCs w:val="28"/>
        </w:rPr>
        <w:t> </w:t>
      </w:r>
      <w:r w:rsidRPr="00334C25">
        <w:rPr>
          <w:rStyle w:val="apple-converted-space"/>
          <w:rFonts w:eastAsiaTheme="majorEastAsia"/>
          <w:color w:val="000000" w:themeColor="text1"/>
          <w:sz w:val="28"/>
          <w:szCs w:val="28"/>
        </w:rPr>
        <w:t xml:space="preserve">  </w:t>
      </w:r>
    </w:p>
    <w:p w14:paraId="20771393" w14:textId="12ADB02E" w:rsidR="00334C25" w:rsidRPr="00334C25" w:rsidRDefault="00334C25" w:rsidP="00334C25">
      <w:pPr>
        <w:pStyle w:val="p1"/>
        <w:numPr>
          <w:ilvl w:val="0"/>
          <w:numId w:val="46"/>
        </w:numPr>
        <w:rPr>
          <w:color w:val="000000" w:themeColor="text1"/>
          <w:sz w:val="28"/>
          <w:szCs w:val="28"/>
        </w:rPr>
      </w:pPr>
      <w:r w:rsidRPr="00334C25">
        <w:rPr>
          <w:rStyle w:val="s1"/>
          <w:rFonts w:eastAsiaTheme="majorEastAsia"/>
          <w:b/>
          <w:bCs/>
          <w:color w:val="000000" w:themeColor="text1"/>
          <w:sz w:val="28"/>
          <w:szCs w:val="28"/>
        </w:rPr>
        <w:lastRenderedPageBreak/>
        <w:t>Останні зміни у порядку евакуації та організації прийому (Постанова КМУ №1307 від 10.10.2025 та супутні акти)</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документація щодо евакуації населення, визначення пунктів збору, організації проміжних і приймальних пунктів, а також строків і відповідальності органів влади під час масових переміщень. Нові норми встановлюють вимоги до координації, розташування та обладнання пунктів прийому/транзитних центрів, що безпосередньо впливає на їхню операційну модель і функції.</w:t>
      </w:r>
      <w:r w:rsidR="00EE3A37">
        <w:rPr>
          <w:rStyle w:val="af6"/>
          <w:color w:val="000000" w:themeColor="text1"/>
          <w:sz w:val="28"/>
          <w:szCs w:val="28"/>
        </w:rPr>
        <w:footnoteReference w:id="17"/>
      </w:r>
      <w:r w:rsidRPr="00334C25">
        <w:rPr>
          <w:rStyle w:val="apple-converted-space"/>
          <w:rFonts w:eastAsiaTheme="majorEastAsia"/>
          <w:color w:val="000000" w:themeColor="text1"/>
          <w:sz w:val="28"/>
          <w:szCs w:val="28"/>
        </w:rPr>
        <w:t xml:space="preserve"> </w:t>
      </w:r>
    </w:p>
    <w:p w14:paraId="1336A87A" w14:textId="77777777" w:rsidR="00334C25" w:rsidRPr="00334C25" w:rsidRDefault="00334C25" w:rsidP="00334C25">
      <w:pPr>
        <w:pStyle w:val="p2"/>
        <w:spacing w:line="360" w:lineRule="auto"/>
        <w:jc w:val="both"/>
        <w:rPr>
          <w:color w:val="000000" w:themeColor="text1"/>
          <w:sz w:val="28"/>
          <w:szCs w:val="28"/>
        </w:rPr>
      </w:pPr>
    </w:p>
    <w:p w14:paraId="32E9FB08" w14:textId="77777777" w:rsidR="00334C25" w:rsidRPr="00334C25" w:rsidRDefault="00334C25" w:rsidP="00334C25">
      <w:pPr>
        <w:rPr>
          <w:color w:val="000000" w:themeColor="text1"/>
          <w:sz w:val="28"/>
          <w:szCs w:val="28"/>
        </w:rPr>
      </w:pPr>
      <w:r w:rsidRPr="00334C25">
        <w:rPr>
          <w:rStyle w:val="s2"/>
          <w:rFonts w:eastAsiaTheme="majorEastAsia"/>
          <w:b/>
          <w:bCs/>
          <w:color w:val="000000" w:themeColor="text1"/>
          <w:sz w:val="28"/>
          <w:szCs w:val="28"/>
        </w:rPr>
        <w:t xml:space="preserve">Практична </w:t>
      </w:r>
      <w:proofErr w:type="spellStart"/>
      <w:r w:rsidRPr="00334C25">
        <w:rPr>
          <w:rStyle w:val="s2"/>
          <w:rFonts w:eastAsiaTheme="majorEastAsia"/>
          <w:b/>
          <w:bCs/>
          <w:color w:val="000000" w:themeColor="text1"/>
          <w:sz w:val="28"/>
          <w:szCs w:val="28"/>
        </w:rPr>
        <w:t>наслідність</w:t>
      </w:r>
      <w:proofErr w:type="spellEnd"/>
      <w:r w:rsidRPr="00334C25">
        <w:rPr>
          <w:rStyle w:val="s2"/>
          <w:rFonts w:eastAsiaTheme="majorEastAsia"/>
          <w:b/>
          <w:bCs/>
          <w:color w:val="000000" w:themeColor="text1"/>
          <w:sz w:val="28"/>
          <w:szCs w:val="28"/>
        </w:rPr>
        <w:t xml:space="preserve"> для дослідження:</w:t>
      </w:r>
      <w:r w:rsidRPr="00334C25">
        <w:rPr>
          <w:color w:val="000000" w:themeColor="text1"/>
          <w:sz w:val="28"/>
          <w:szCs w:val="28"/>
        </w:rPr>
        <w:t xml:space="preserve"> під час польової частини потрібно перевіряти відповідність процедур транзитних центрів вимогам згаданих постанов (наявність протоколів реєстрації ВПО, порядок нарахування допомоги, маршрути евакуації та плани прийому).</w:t>
      </w:r>
    </w:p>
    <w:p w14:paraId="555029E9" w14:textId="77777777" w:rsidR="00334C25" w:rsidRPr="00334C25" w:rsidRDefault="00334C25" w:rsidP="00334C25">
      <w:pPr>
        <w:pStyle w:val="p2"/>
        <w:spacing w:line="360" w:lineRule="auto"/>
        <w:jc w:val="both"/>
        <w:rPr>
          <w:color w:val="000000" w:themeColor="text1"/>
          <w:sz w:val="28"/>
          <w:szCs w:val="28"/>
        </w:rPr>
      </w:pPr>
    </w:p>
    <w:p w14:paraId="7F64BED6" w14:textId="77777777" w:rsidR="00334C25" w:rsidRPr="00334C25" w:rsidRDefault="00334C25" w:rsidP="00334C25">
      <w:pPr>
        <w:pStyle w:val="3"/>
        <w:rPr>
          <w:rFonts w:cs="Times New Roman"/>
          <w:color w:val="000000" w:themeColor="text1"/>
        </w:rPr>
      </w:pPr>
      <w:bookmarkStart w:id="11" w:name="_Toc214217506"/>
      <w:r w:rsidRPr="00334C25">
        <w:rPr>
          <w:rFonts w:cs="Times New Roman"/>
          <w:color w:val="000000" w:themeColor="text1"/>
        </w:rPr>
        <w:t>1.2.3. Адміністративні процедури та електронні сервіси</w:t>
      </w:r>
      <w:bookmarkEnd w:id="11"/>
    </w:p>
    <w:p w14:paraId="56FA06DC" w14:textId="6DB32EFB" w:rsidR="00334C25" w:rsidRPr="00334C25" w:rsidRDefault="00334C25" w:rsidP="00334C25">
      <w:pPr>
        <w:pStyle w:val="p1"/>
        <w:numPr>
          <w:ilvl w:val="0"/>
          <w:numId w:val="47"/>
        </w:numPr>
        <w:rPr>
          <w:color w:val="000000" w:themeColor="text1"/>
          <w:sz w:val="28"/>
          <w:szCs w:val="28"/>
        </w:rPr>
      </w:pPr>
      <w:r w:rsidRPr="00334C25">
        <w:rPr>
          <w:rStyle w:val="s1"/>
          <w:rFonts w:eastAsiaTheme="majorEastAsia"/>
          <w:b/>
          <w:bCs/>
          <w:color w:val="000000" w:themeColor="text1"/>
          <w:sz w:val="28"/>
          <w:szCs w:val="28"/>
        </w:rPr>
        <w:t>Електронна послуга «Видача довідки про взяття на облік внутрішньо переміщеної особи» (портал «Дія» / місцеві ЦНАПи)</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спрощує реєстрацію і дозволяє подавати заяви дистанційно; у практиці транзитних центрів важлива як альтернатива або доповнення до паперової процедури взяття на облік. Це також впливає на те, які дані можуть бути зібрані в телефонному/електронному режимі та як швидко люди отримують довідку.</w:t>
      </w:r>
      <w:r w:rsidRPr="00334C25">
        <w:rPr>
          <w:rStyle w:val="apple-converted-space"/>
          <w:rFonts w:eastAsiaTheme="majorEastAsia"/>
          <w:color w:val="000000" w:themeColor="text1"/>
          <w:sz w:val="28"/>
          <w:szCs w:val="28"/>
        </w:rPr>
        <w:t xml:space="preserve">  </w:t>
      </w:r>
    </w:p>
    <w:p w14:paraId="50E60E25" w14:textId="38641D53" w:rsidR="00334C25" w:rsidRPr="00334C25" w:rsidRDefault="00334C25" w:rsidP="00334C25">
      <w:pPr>
        <w:pStyle w:val="p1"/>
        <w:numPr>
          <w:ilvl w:val="0"/>
          <w:numId w:val="47"/>
        </w:numPr>
        <w:rPr>
          <w:color w:val="000000" w:themeColor="text1"/>
          <w:sz w:val="28"/>
          <w:szCs w:val="28"/>
        </w:rPr>
      </w:pPr>
      <w:r w:rsidRPr="00334C25">
        <w:rPr>
          <w:rStyle w:val="s1"/>
          <w:rFonts w:eastAsiaTheme="majorEastAsia"/>
          <w:b/>
          <w:bCs/>
          <w:color w:val="000000" w:themeColor="text1"/>
          <w:sz w:val="28"/>
          <w:szCs w:val="28"/>
        </w:rPr>
        <w:lastRenderedPageBreak/>
        <w:t>Накази і методичні рекомендації Міністерства соціальної політики та інших відомств</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деталізують процедури надання окремих видів допомоги, критерії відбору отримувачів, форми звітності й методи обліку. У методологічній частині дослідження варто врахувати локальні настанови МСП та їхні розрізнення по областях.</w:t>
      </w:r>
      <w:r w:rsidRPr="00334C25">
        <w:rPr>
          <w:rStyle w:val="apple-converted-space"/>
          <w:rFonts w:eastAsiaTheme="majorEastAsia"/>
          <w:color w:val="000000" w:themeColor="text1"/>
          <w:sz w:val="28"/>
          <w:szCs w:val="28"/>
        </w:rPr>
        <w:t xml:space="preserve">  </w:t>
      </w:r>
    </w:p>
    <w:p w14:paraId="24B994AF" w14:textId="77777777" w:rsidR="00334C25" w:rsidRPr="00334C25" w:rsidRDefault="00334C25" w:rsidP="00334C25">
      <w:pPr>
        <w:pStyle w:val="p2"/>
        <w:spacing w:line="360" w:lineRule="auto"/>
        <w:jc w:val="both"/>
        <w:rPr>
          <w:color w:val="000000" w:themeColor="text1"/>
          <w:sz w:val="28"/>
          <w:szCs w:val="28"/>
        </w:rPr>
      </w:pPr>
    </w:p>
    <w:p w14:paraId="7E89BEFC" w14:textId="77777777" w:rsidR="00334C25" w:rsidRPr="00334C25" w:rsidRDefault="00334C25" w:rsidP="00334C25">
      <w:pPr>
        <w:pStyle w:val="3"/>
        <w:rPr>
          <w:rFonts w:cs="Times New Roman"/>
          <w:color w:val="000000" w:themeColor="text1"/>
        </w:rPr>
      </w:pPr>
      <w:bookmarkStart w:id="12" w:name="_Toc214217507"/>
      <w:r w:rsidRPr="00334C25">
        <w:rPr>
          <w:rFonts w:cs="Times New Roman"/>
          <w:color w:val="000000" w:themeColor="text1"/>
        </w:rPr>
        <w:t>1.2.4. Розподіл відповідальності між суб’єктами і взаємодія з місцевою владою</w:t>
      </w:r>
      <w:bookmarkEnd w:id="12"/>
    </w:p>
    <w:p w14:paraId="0570B958" w14:textId="77777777" w:rsidR="00334C25" w:rsidRPr="00334C25" w:rsidRDefault="00334C25" w:rsidP="00334C25">
      <w:pPr>
        <w:pStyle w:val="p2"/>
        <w:spacing w:line="360" w:lineRule="auto"/>
        <w:jc w:val="both"/>
        <w:rPr>
          <w:color w:val="000000" w:themeColor="text1"/>
          <w:sz w:val="28"/>
          <w:szCs w:val="28"/>
        </w:rPr>
      </w:pPr>
    </w:p>
    <w:p w14:paraId="508318BE" w14:textId="05E61B57"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 xml:space="preserve">Законодавство і підзаконні акти визначають, що за організацію прийому та первинного обслуговування відповідають як державні органи (структури соціального захисту, місцеві адміністрації, ОВА/РВА), так і місцеве самоврядування (ЦНАПи), а також за необхідності </w:t>
      </w:r>
      <w:r w:rsidR="008D7B0D">
        <w:rPr>
          <w:color w:val="000000" w:themeColor="text1"/>
          <w:sz w:val="28"/>
          <w:szCs w:val="28"/>
        </w:rPr>
        <w:t>-</w:t>
      </w:r>
      <w:r w:rsidRPr="00334C25">
        <w:rPr>
          <w:color w:val="000000" w:themeColor="text1"/>
          <w:sz w:val="28"/>
          <w:szCs w:val="28"/>
        </w:rPr>
        <w:t xml:space="preserve"> органи ДСНС та інші служби. Практично це означає, що транзитні центри повинні діяти у тісній координації з місцевими управліннями соціального захисту, центрами зайнятості, службами охорони здоров’я й гуманітарними акторами; нормативні акти часто покладають на місцеву владу обов’язки з облаштування пунктів прийому та забезпечення базових умов.</w:t>
      </w:r>
      <w:r w:rsidRPr="00334C25">
        <w:rPr>
          <w:rStyle w:val="apple-converted-space"/>
          <w:rFonts w:eastAsiaTheme="majorEastAsia"/>
          <w:color w:val="000000" w:themeColor="text1"/>
          <w:sz w:val="28"/>
          <w:szCs w:val="28"/>
        </w:rPr>
        <w:t xml:space="preserve">  </w:t>
      </w:r>
    </w:p>
    <w:p w14:paraId="50591E91" w14:textId="77777777" w:rsidR="00334C25" w:rsidRPr="00334C25" w:rsidRDefault="00334C25" w:rsidP="00334C25">
      <w:pPr>
        <w:pStyle w:val="p2"/>
        <w:spacing w:line="360" w:lineRule="auto"/>
        <w:jc w:val="both"/>
        <w:rPr>
          <w:color w:val="000000" w:themeColor="text1"/>
          <w:sz w:val="28"/>
          <w:szCs w:val="28"/>
        </w:rPr>
      </w:pPr>
    </w:p>
    <w:p w14:paraId="05F68FF3" w14:textId="77777777" w:rsidR="00334C25" w:rsidRPr="00334C25" w:rsidRDefault="00334C25" w:rsidP="00334C25">
      <w:pPr>
        <w:pStyle w:val="3"/>
        <w:rPr>
          <w:rFonts w:cs="Times New Roman"/>
          <w:color w:val="000000" w:themeColor="text1"/>
        </w:rPr>
      </w:pPr>
      <w:bookmarkStart w:id="13" w:name="_Toc214217508"/>
      <w:r w:rsidRPr="00334C25">
        <w:rPr>
          <w:rFonts w:cs="Times New Roman"/>
          <w:color w:val="000000" w:themeColor="text1"/>
        </w:rPr>
        <w:t>1.2.5. Міжнародні зобов’язання і стандарти (коротко)</w:t>
      </w:r>
      <w:bookmarkEnd w:id="13"/>
    </w:p>
    <w:p w14:paraId="5EFD06A3" w14:textId="77777777" w:rsidR="00334C25" w:rsidRPr="00334C25" w:rsidRDefault="00334C25" w:rsidP="00334C25">
      <w:pPr>
        <w:pStyle w:val="p2"/>
        <w:spacing w:line="360" w:lineRule="auto"/>
        <w:jc w:val="both"/>
        <w:rPr>
          <w:color w:val="000000" w:themeColor="text1"/>
          <w:sz w:val="28"/>
          <w:szCs w:val="28"/>
        </w:rPr>
      </w:pPr>
    </w:p>
    <w:p w14:paraId="2BF47F3F" w14:textId="6CC4624D"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 xml:space="preserve">Хоча предмет цього підпункту </w:t>
      </w:r>
      <w:r w:rsidR="008D7B0D">
        <w:rPr>
          <w:color w:val="000000" w:themeColor="text1"/>
          <w:sz w:val="28"/>
          <w:szCs w:val="28"/>
        </w:rPr>
        <w:t>-</w:t>
      </w:r>
      <w:r w:rsidRPr="00334C25">
        <w:rPr>
          <w:color w:val="000000" w:themeColor="text1"/>
          <w:sz w:val="28"/>
          <w:szCs w:val="28"/>
        </w:rPr>
        <w:t xml:space="preserve"> національна правова база, варто зазначити, що багато національних рішень імплементуються з урахуванням </w:t>
      </w:r>
      <w:r w:rsidRPr="00334C25">
        <w:rPr>
          <w:color w:val="000000" w:themeColor="text1"/>
          <w:sz w:val="28"/>
          <w:szCs w:val="28"/>
        </w:rPr>
        <w:lastRenderedPageBreak/>
        <w:t>міжнародних гуманітарних стандартів (наприклад, «Сфера», настанови IASC) та міжнародних зобов’язань України. Це позначається на вимогах до безпеки, захисту вразливих груп і механізмів відповідальності (PSEA тощо). У нормативних актах національного рівня все частіше вбудовуються положення, що узгоджують національні процедури з цими стандартами.</w:t>
      </w:r>
      <w:r w:rsidRPr="00334C25">
        <w:rPr>
          <w:rStyle w:val="apple-converted-space"/>
          <w:rFonts w:eastAsiaTheme="majorEastAsia"/>
          <w:color w:val="000000" w:themeColor="text1"/>
          <w:sz w:val="28"/>
          <w:szCs w:val="28"/>
        </w:rPr>
        <w:t xml:space="preserve">  </w:t>
      </w:r>
    </w:p>
    <w:p w14:paraId="5DC25A2B" w14:textId="77777777" w:rsidR="00334C25" w:rsidRPr="00334C25" w:rsidRDefault="00334C25" w:rsidP="00334C25">
      <w:pPr>
        <w:pStyle w:val="p2"/>
        <w:spacing w:line="360" w:lineRule="auto"/>
        <w:jc w:val="both"/>
        <w:rPr>
          <w:color w:val="000000" w:themeColor="text1"/>
          <w:sz w:val="28"/>
          <w:szCs w:val="28"/>
        </w:rPr>
      </w:pPr>
    </w:p>
    <w:p w14:paraId="040A0C00" w14:textId="77777777" w:rsidR="00334C25" w:rsidRPr="00334C25" w:rsidRDefault="00334C25" w:rsidP="00334C25">
      <w:pPr>
        <w:pStyle w:val="3"/>
        <w:rPr>
          <w:rFonts w:cs="Times New Roman"/>
          <w:color w:val="000000" w:themeColor="text1"/>
        </w:rPr>
      </w:pPr>
      <w:bookmarkStart w:id="14" w:name="_Toc214217509"/>
      <w:r w:rsidRPr="00334C25">
        <w:rPr>
          <w:rFonts w:cs="Times New Roman"/>
          <w:color w:val="000000" w:themeColor="text1"/>
        </w:rPr>
        <w:t>1.2.6. Практичні наслідки для проєкту та рекомендації щодо методології</w:t>
      </w:r>
      <w:bookmarkEnd w:id="14"/>
    </w:p>
    <w:p w14:paraId="107B1074" w14:textId="77777777" w:rsidR="00334C25" w:rsidRPr="00334C25" w:rsidRDefault="00334C25" w:rsidP="00334C25">
      <w:pPr>
        <w:pStyle w:val="p1"/>
        <w:numPr>
          <w:ilvl w:val="0"/>
          <w:numId w:val="48"/>
        </w:numPr>
        <w:rPr>
          <w:color w:val="000000" w:themeColor="text1"/>
          <w:sz w:val="28"/>
          <w:szCs w:val="28"/>
        </w:rPr>
      </w:pPr>
      <w:r w:rsidRPr="00334C25">
        <w:rPr>
          <w:rStyle w:val="s1"/>
          <w:rFonts w:eastAsiaTheme="majorEastAsia"/>
          <w:b/>
          <w:bCs/>
          <w:color w:val="000000" w:themeColor="text1"/>
          <w:sz w:val="28"/>
          <w:szCs w:val="28"/>
        </w:rPr>
        <w:t>Перевірка відповідності процедур.</w:t>
      </w:r>
      <w:r w:rsidRPr="00334C25">
        <w:rPr>
          <w:color w:val="000000" w:themeColor="text1"/>
          <w:sz w:val="28"/>
          <w:szCs w:val="28"/>
        </w:rPr>
        <w:t xml:space="preserve"> У польовому інструментарії слід передбачити питання/чек-ліст для перевірки: чи центр може оформити довідку ВПО; чи співпрацює з ЦНАПом чи «Дією»; які постанови регламентують його діяльність; чи є протоколи нарахування допомоги. (Джерела: Закони, постанови КМУ).</w:t>
      </w:r>
      <w:r w:rsidRPr="00334C25">
        <w:rPr>
          <w:rStyle w:val="apple-converted-space"/>
          <w:rFonts w:eastAsiaTheme="majorEastAsia"/>
          <w:color w:val="000000" w:themeColor="text1"/>
          <w:sz w:val="28"/>
          <w:szCs w:val="28"/>
        </w:rPr>
        <w:t xml:space="preserve">  </w:t>
      </w:r>
    </w:p>
    <w:p w14:paraId="5C32EB4F" w14:textId="14DA0891" w:rsidR="00334C25" w:rsidRPr="00334C25" w:rsidRDefault="00334C25" w:rsidP="00334C25">
      <w:pPr>
        <w:pStyle w:val="p1"/>
        <w:numPr>
          <w:ilvl w:val="0"/>
          <w:numId w:val="48"/>
        </w:numPr>
        <w:rPr>
          <w:color w:val="000000" w:themeColor="text1"/>
          <w:sz w:val="28"/>
          <w:szCs w:val="28"/>
        </w:rPr>
      </w:pPr>
      <w:r w:rsidRPr="00334C25">
        <w:rPr>
          <w:rStyle w:val="s1"/>
          <w:rFonts w:eastAsiaTheme="majorEastAsia"/>
          <w:b/>
          <w:bCs/>
          <w:color w:val="000000" w:themeColor="text1"/>
          <w:sz w:val="28"/>
          <w:szCs w:val="28"/>
        </w:rPr>
        <w:t>Визначення відповідальних органів.</w:t>
      </w:r>
      <w:r w:rsidRPr="00334C25">
        <w:rPr>
          <w:color w:val="000000" w:themeColor="text1"/>
          <w:sz w:val="28"/>
          <w:szCs w:val="28"/>
        </w:rPr>
        <w:t xml:space="preserve"> У карті акторів для кожного центру треба фіксувати, які саме органи відповідають за реєстрацію, нарахування виплат, житлове забезпечення та евакуацію </w:t>
      </w:r>
      <w:r w:rsidR="008D7B0D">
        <w:rPr>
          <w:color w:val="000000" w:themeColor="text1"/>
          <w:sz w:val="28"/>
          <w:szCs w:val="28"/>
        </w:rPr>
        <w:t>-</w:t>
      </w:r>
      <w:r w:rsidRPr="00334C25">
        <w:rPr>
          <w:color w:val="000000" w:themeColor="text1"/>
          <w:sz w:val="28"/>
          <w:szCs w:val="28"/>
        </w:rPr>
        <w:t xml:space="preserve"> це дозволить зіставити практику з нормативними вимогами.</w:t>
      </w:r>
      <w:r w:rsidRPr="00334C25">
        <w:rPr>
          <w:rStyle w:val="apple-converted-space"/>
          <w:rFonts w:eastAsiaTheme="majorEastAsia"/>
          <w:color w:val="000000" w:themeColor="text1"/>
          <w:sz w:val="28"/>
          <w:szCs w:val="28"/>
        </w:rPr>
        <w:t xml:space="preserve">  </w:t>
      </w:r>
    </w:p>
    <w:p w14:paraId="287A263E" w14:textId="64AA2930" w:rsidR="00334C25" w:rsidRPr="00334C25" w:rsidRDefault="00334C25" w:rsidP="00334C25">
      <w:pPr>
        <w:pStyle w:val="p1"/>
        <w:numPr>
          <w:ilvl w:val="0"/>
          <w:numId w:val="48"/>
        </w:numPr>
        <w:rPr>
          <w:color w:val="000000" w:themeColor="text1"/>
          <w:sz w:val="28"/>
          <w:szCs w:val="28"/>
        </w:rPr>
      </w:pPr>
      <w:r w:rsidRPr="00334C25">
        <w:rPr>
          <w:rStyle w:val="s1"/>
          <w:rFonts w:eastAsiaTheme="majorEastAsia"/>
          <w:b/>
          <w:bCs/>
          <w:color w:val="000000" w:themeColor="text1"/>
          <w:sz w:val="28"/>
          <w:szCs w:val="28"/>
        </w:rPr>
        <w:t>Моніторинг нормативних змін.</w:t>
      </w:r>
      <w:r w:rsidRPr="00334C25">
        <w:rPr>
          <w:color w:val="000000" w:themeColor="text1"/>
          <w:sz w:val="28"/>
          <w:szCs w:val="28"/>
        </w:rPr>
        <w:t xml:space="preserve"> Оскільки нормативне поле щодо переміщення і евакуації є динамічним (приклад </w:t>
      </w:r>
      <w:r w:rsidR="008D7B0D">
        <w:rPr>
          <w:color w:val="000000" w:themeColor="text1"/>
          <w:sz w:val="28"/>
          <w:szCs w:val="28"/>
        </w:rPr>
        <w:t>-</w:t>
      </w:r>
      <w:r w:rsidRPr="00334C25">
        <w:rPr>
          <w:color w:val="000000" w:themeColor="text1"/>
          <w:sz w:val="28"/>
          <w:szCs w:val="28"/>
        </w:rPr>
        <w:t xml:space="preserve"> постанова №1307/2025), дослідження має враховувати можливі недавні зміни і їх вплив на функції транзитних центрів. Рекомендується фіксувати дату перевірки нормативної бази у звіті.</w:t>
      </w:r>
      <w:r w:rsidRPr="00334C25">
        <w:rPr>
          <w:rStyle w:val="apple-converted-space"/>
          <w:rFonts w:eastAsiaTheme="majorEastAsia"/>
          <w:color w:val="000000" w:themeColor="text1"/>
          <w:sz w:val="28"/>
          <w:szCs w:val="28"/>
        </w:rPr>
        <w:t xml:space="preserve">  </w:t>
      </w:r>
    </w:p>
    <w:p w14:paraId="23454D27" w14:textId="77777777" w:rsidR="00334C25" w:rsidRPr="00334C25" w:rsidRDefault="00334C25" w:rsidP="00334C25">
      <w:pPr>
        <w:rPr>
          <w:color w:val="000000" w:themeColor="text1"/>
        </w:rPr>
      </w:pPr>
    </w:p>
    <w:p w14:paraId="0C1A9AE6" w14:textId="6CB1B976" w:rsidR="00334C25" w:rsidRPr="00334C25" w:rsidRDefault="0020188B" w:rsidP="00334C25">
      <w:pPr>
        <w:pStyle w:val="2"/>
        <w:numPr>
          <w:ilvl w:val="1"/>
          <w:numId w:val="4"/>
        </w:numPr>
        <w:rPr>
          <w:rFonts w:ascii="Times New Roman" w:hAnsi="Times New Roman" w:cs="Times New Roman"/>
          <w:color w:val="000000" w:themeColor="text1"/>
          <w:sz w:val="28"/>
          <w:szCs w:val="28"/>
          <w:lang w:val="en-US"/>
        </w:rPr>
      </w:pPr>
      <w:bookmarkStart w:id="15" w:name="_Toc214217510"/>
      <w:r w:rsidRPr="00334C25">
        <w:rPr>
          <w:rFonts w:ascii="Times New Roman" w:hAnsi="Times New Roman" w:cs="Times New Roman"/>
          <w:color w:val="000000" w:themeColor="text1"/>
          <w:sz w:val="28"/>
          <w:szCs w:val="28"/>
        </w:rPr>
        <w:t>Огляд практик і моделей транзитних центрів (досвід інших областей/країн, оцінки ефективності).</w:t>
      </w:r>
      <w:bookmarkEnd w:id="15"/>
    </w:p>
    <w:p w14:paraId="73B5189B" w14:textId="77777777"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 xml:space="preserve">У відповіді на масові або хвилеподібні переміщення населення держави й гуманітарні партнери застосовують різні організаційні рішення для </w:t>
      </w:r>
      <w:r w:rsidRPr="00334C25">
        <w:rPr>
          <w:color w:val="000000" w:themeColor="text1"/>
          <w:sz w:val="28"/>
          <w:szCs w:val="28"/>
        </w:rPr>
        <w:lastRenderedPageBreak/>
        <w:t>організації раннього прийому й перенаправлення людей: від швидкорозгортуваних транзитних пунктів і мобільних бригад до стаціонарних «центрів єдиного вікна» та мережевих хабів із супровідними рефералами. Досвід практик в Україні й за кордоном дає змогу виокремити фактори, які визначають їхню ефективність: швидкість первинного контакту, повнота мінімального пакета послуг, здатність до перенаправлення вразливих випадків, дотримання стандартів захисту та здатність інтегруватися з місцевими сервісами.</w:t>
      </w:r>
      <w:r w:rsidRPr="00334C25">
        <w:rPr>
          <w:rStyle w:val="apple-converted-space"/>
          <w:rFonts w:eastAsiaTheme="majorEastAsia"/>
          <w:color w:val="000000" w:themeColor="text1"/>
          <w:sz w:val="28"/>
          <w:szCs w:val="28"/>
        </w:rPr>
        <w:t xml:space="preserve">  </w:t>
      </w:r>
    </w:p>
    <w:p w14:paraId="057DF536" w14:textId="77777777" w:rsidR="00334C25" w:rsidRPr="00334C25" w:rsidRDefault="00334C25" w:rsidP="00334C25">
      <w:pPr>
        <w:pStyle w:val="p2"/>
        <w:spacing w:line="360" w:lineRule="auto"/>
        <w:jc w:val="both"/>
        <w:rPr>
          <w:color w:val="000000" w:themeColor="text1"/>
          <w:sz w:val="28"/>
          <w:szCs w:val="28"/>
        </w:rPr>
      </w:pPr>
    </w:p>
    <w:p w14:paraId="4C34D8AE" w14:textId="2EEBA26B" w:rsidR="00334C25" w:rsidRPr="00334C25" w:rsidRDefault="00334C25" w:rsidP="00334C25">
      <w:pPr>
        <w:pStyle w:val="4"/>
        <w:rPr>
          <w:i w:val="0"/>
          <w:iCs w:val="0"/>
          <w:color w:val="000000" w:themeColor="text1"/>
          <w:sz w:val="28"/>
          <w:szCs w:val="28"/>
        </w:rPr>
      </w:pPr>
      <w:r w:rsidRPr="00334C25">
        <w:rPr>
          <w:i w:val="0"/>
          <w:iCs w:val="0"/>
          <w:color w:val="000000" w:themeColor="text1"/>
          <w:sz w:val="28"/>
          <w:szCs w:val="28"/>
        </w:rPr>
        <w:t xml:space="preserve">1.3.1. Досвід України </w:t>
      </w:r>
      <w:r w:rsidR="008D7B0D">
        <w:rPr>
          <w:i w:val="0"/>
          <w:iCs w:val="0"/>
          <w:color w:val="000000" w:themeColor="text1"/>
          <w:sz w:val="28"/>
          <w:szCs w:val="28"/>
        </w:rPr>
        <w:t>-</w:t>
      </w:r>
      <w:r w:rsidRPr="00334C25">
        <w:rPr>
          <w:i w:val="0"/>
          <w:iCs w:val="0"/>
          <w:color w:val="000000" w:themeColor="text1"/>
          <w:sz w:val="28"/>
          <w:szCs w:val="28"/>
        </w:rPr>
        <w:t xml:space="preserve"> оперативні центри прийому та транзитні пункти</w:t>
      </w:r>
    </w:p>
    <w:p w14:paraId="226970AA" w14:textId="77777777" w:rsidR="00334C25" w:rsidRPr="00334C25" w:rsidRDefault="00334C25" w:rsidP="00334C25">
      <w:pPr>
        <w:pStyle w:val="p2"/>
        <w:spacing w:line="360" w:lineRule="auto"/>
        <w:jc w:val="both"/>
        <w:rPr>
          <w:color w:val="000000" w:themeColor="text1"/>
          <w:sz w:val="28"/>
          <w:szCs w:val="28"/>
        </w:rPr>
      </w:pPr>
    </w:p>
    <w:p w14:paraId="42140159" w14:textId="691C2BCE"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 xml:space="preserve">Під час широкомасштабного переміщення 2022–2025 років в Україні створювалися різні форми пунктів прийому: швидкорозгорнуті транзитні пункти на кордонах і в ключових вузлах, стаціонарні центри «єдиного вікна» в обласних центрах та мобільні бригади, які працювали у віддалених громадах. Звіти відмічають, що транзитні центри у Харківській області та Ізюмі обслуговували значну кількість евакуйованих і були важливою ланкою для первинної ідентифікації й перенаправлення до місцевих служб. У той же час моніторинг вказує на системні проблеми </w:t>
      </w:r>
      <w:r w:rsidR="008D7B0D">
        <w:rPr>
          <w:color w:val="000000" w:themeColor="text1"/>
          <w:sz w:val="28"/>
          <w:szCs w:val="28"/>
        </w:rPr>
        <w:t>-</w:t>
      </w:r>
      <w:r w:rsidRPr="00334C25">
        <w:rPr>
          <w:color w:val="000000" w:themeColor="text1"/>
          <w:sz w:val="28"/>
          <w:szCs w:val="28"/>
        </w:rPr>
        <w:t xml:space="preserve"> невідповідність процедур реєстрації, затримки у нарахуванні виплат та брак інфраструктурних адаптацій для осіб з особливими потребами.</w:t>
      </w:r>
      <w:r w:rsidRPr="00334C25">
        <w:rPr>
          <w:rStyle w:val="apple-converted-space"/>
          <w:rFonts w:eastAsiaTheme="majorEastAsia"/>
          <w:color w:val="000000" w:themeColor="text1"/>
          <w:sz w:val="28"/>
          <w:szCs w:val="28"/>
        </w:rPr>
        <w:t xml:space="preserve">  </w:t>
      </w:r>
    </w:p>
    <w:p w14:paraId="14849A23" w14:textId="77777777" w:rsidR="00334C25" w:rsidRPr="00334C25" w:rsidRDefault="00334C25" w:rsidP="00334C25">
      <w:pPr>
        <w:pStyle w:val="p2"/>
        <w:spacing w:line="360" w:lineRule="auto"/>
        <w:jc w:val="both"/>
        <w:rPr>
          <w:color w:val="000000" w:themeColor="text1"/>
          <w:sz w:val="28"/>
          <w:szCs w:val="28"/>
        </w:rPr>
      </w:pPr>
    </w:p>
    <w:p w14:paraId="3E19EC49" w14:textId="77777777" w:rsidR="00334C25" w:rsidRPr="00334C25" w:rsidRDefault="00334C25" w:rsidP="00334C25">
      <w:pPr>
        <w:pStyle w:val="4"/>
        <w:rPr>
          <w:i w:val="0"/>
          <w:iCs w:val="0"/>
          <w:color w:val="000000" w:themeColor="text1"/>
          <w:sz w:val="28"/>
          <w:szCs w:val="28"/>
        </w:rPr>
      </w:pPr>
      <w:r w:rsidRPr="00334C25">
        <w:rPr>
          <w:i w:val="0"/>
          <w:iCs w:val="0"/>
          <w:color w:val="000000" w:themeColor="text1"/>
          <w:sz w:val="28"/>
          <w:szCs w:val="28"/>
        </w:rPr>
        <w:t>1.3.2. Приклади з інших країн та регіонів (коротко)</w:t>
      </w:r>
    </w:p>
    <w:p w14:paraId="038A6F82" w14:textId="77777777" w:rsidR="00334C25" w:rsidRPr="00334C25" w:rsidRDefault="00334C25" w:rsidP="00334C25">
      <w:pPr>
        <w:pStyle w:val="p1"/>
        <w:numPr>
          <w:ilvl w:val="0"/>
          <w:numId w:val="49"/>
        </w:numPr>
        <w:rPr>
          <w:color w:val="000000" w:themeColor="text1"/>
          <w:sz w:val="28"/>
          <w:szCs w:val="28"/>
        </w:rPr>
      </w:pPr>
      <w:r w:rsidRPr="00334C25">
        <w:rPr>
          <w:rStyle w:val="s1"/>
          <w:rFonts w:eastAsiaTheme="majorEastAsia"/>
          <w:b/>
          <w:bCs/>
          <w:color w:val="000000" w:themeColor="text1"/>
          <w:sz w:val="28"/>
          <w:szCs w:val="28"/>
        </w:rPr>
        <w:t>Польща (прийом біженців 2022):</w:t>
      </w:r>
      <w:r w:rsidRPr="00334C25">
        <w:rPr>
          <w:color w:val="000000" w:themeColor="text1"/>
          <w:sz w:val="28"/>
          <w:szCs w:val="28"/>
        </w:rPr>
        <w:t xml:space="preserve"> на перших етапах потоку українців у 2022 році Польща застосувала комбіновану модель: тимчасові </w:t>
      </w:r>
      <w:r w:rsidRPr="00334C25">
        <w:rPr>
          <w:color w:val="000000" w:themeColor="text1"/>
          <w:sz w:val="28"/>
          <w:szCs w:val="28"/>
        </w:rPr>
        <w:lastRenderedPageBreak/>
        <w:t>центри при кордонах, великі приймальні пункти у прикордонних містах і широке залучення муніципалітетів для перепрофілювання житлового фонду. Оцінки показують, що масова мобілізація ресурсів дозволила забезпечити швидкий прийом, але в багатьох містах виникли проблеми з довгостроковим житлом і доступом до ринку праці.</w:t>
      </w:r>
      <w:r w:rsidRPr="00334C25">
        <w:rPr>
          <w:rStyle w:val="apple-converted-space"/>
          <w:rFonts w:eastAsiaTheme="majorEastAsia"/>
          <w:color w:val="000000" w:themeColor="text1"/>
          <w:sz w:val="28"/>
          <w:szCs w:val="28"/>
        </w:rPr>
        <w:t xml:space="preserve">  </w:t>
      </w:r>
    </w:p>
    <w:p w14:paraId="70E49089" w14:textId="08AD6E33" w:rsidR="00334C25" w:rsidRPr="00334C25" w:rsidRDefault="00334C25" w:rsidP="00334C25">
      <w:pPr>
        <w:pStyle w:val="p1"/>
        <w:numPr>
          <w:ilvl w:val="0"/>
          <w:numId w:val="49"/>
        </w:numPr>
        <w:rPr>
          <w:color w:val="000000" w:themeColor="text1"/>
          <w:sz w:val="28"/>
          <w:szCs w:val="28"/>
        </w:rPr>
      </w:pPr>
      <w:r w:rsidRPr="00334C25">
        <w:rPr>
          <w:rStyle w:val="s1"/>
          <w:rFonts w:eastAsiaTheme="majorEastAsia"/>
          <w:b/>
          <w:bCs/>
          <w:color w:val="000000" w:themeColor="text1"/>
          <w:sz w:val="28"/>
          <w:szCs w:val="28"/>
        </w:rPr>
        <w:t>Глобальні огляди (IOM, UNHCR, ПРООН):</w:t>
      </w:r>
      <w:r w:rsidRPr="00334C25">
        <w:rPr>
          <w:color w:val="000000" w:themeColor="text1"/>
          <w:sz w:val="28"/>
          <w:szCs w:val="28"/>
        </w:rPr>
        <w:t xml:space="preserve"> міжнародні звіти підкреслюють, що успішні моделі поєднують оперативні «міні-хаби» з можливістю перенаправлення в мережу послуг та з інструментами інклюзивності й захисту; ефективність залежить від координації між державними структурами та гуманітарними акторами. Також наголошується необхідність швидкого запровадження стандартів захисту й механізмів зворотного зв’язку.</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18"/>
      </w:r>
      <w:r w:rsidR="00EE3A37">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19"/>
      </w:r>
    </w:p>
    <w:p w14:paraId="0B89CE76" w14:textId="77777777" w:rsidR="00334C25" w:rsidRPr="00334C25" w:rsidRDefault="00334C25" w:rsidP="00334C25">
      <w:pPr>
        <w:pStyle w:val="p2"/>
        <w:spacing w:line="360" w:lineRule="auto"/>
        <w:jc w:val="both"/>
        <w:rPr>
          <w:color w:val="000000" w:themeColor="text1"/>
          <w:sz w:val="28"/>
          <w:szCs w:val="28"/>
        </w:rPr>
      </w:pPr>
    </w:p>
    <w:p w14:paraId="40C22D8E" w14:textId="62EFAE95" w:rsidR="00334C25" w:rsidRPr="00334C25" w:rsidRDefault="00334C25" w:rsidP="00334C25">
      <w:pPr>
        <w:pStyle w:val="4"/>
        <w:rPr>
          <w:i w:val="0"/>
          <w:iCs w:val="0"/>
          <w:color w:val="000000" w:themeColor="text1"/>
          <w:sz w:val="28"/>
          <w:szCs w:val="28"/>
        </w:rPr>
      </w:pPr>
      <w:r w:rsidRPr="00334C25">
        <w:rPr>
          <w:i w:val="0"/>
          <w:iCs w:val="0"/>
          <w:color w:val="000000" w:themeColor="text1"/>
          <w:sz w:val="28"/>
          <w:szCs w:val="28"/>
        </w:rPr>
        <w:t xml:space="preserve">1.3.3. Оцінки ефективності </w:t>
      </w:r>
      <w:r w:rsidR="008D7B0D">
        <w:rPr>
          <w:i w:val="0"/>
          <w:iCs w:val="0"/>
          <w:color w:val="000000" w:themeColor="text1"/>
          <w:sz w:val="28"/>
          <w:szCs w:val="28"/>
        </w:rPr>
        <w:t>-</w:t>
      </w:r>
      <w:r w:rsidRPr="00334C25">
        <w:rPr>
          <w:i w:val="0"/>
          <w:iCs w:val="0"/>
          <w:color w:val="000000" w:themeColor="text1"/>
          <w:sz w:val="28"/>
          <w:szCs w:val="28"/>
        </w:rPr>
        <w:t xml:space="preserve"> що показують дослідження і моніторинг</w:t>
      </w:r>
    </w:p>
    <w:p w14:paraId="745A6C43" w14:textId="77777777" w:rsidR="00334C25" w:rsidRPr="00334C25" w:rsidRDefault="00334C25" w:rsidP="00334C25">
      <w:pPr>
        <w:pStyle w:val="p2"/>
        <w:spacing w:line="360" w:lineRule="auto"/>
        <w:jc w:val="both"/>
        <w:rPr>
          <w:color w:val="000000" w:themeColor="text1"/>
          <w:sz w:val="28"/>
          <w:szCs w:val="28"/>
        </w:rPr>
      </w:pPr>
    </w:p>
    <w:p w14:paraId="4BF831B6" w14:textId="77777777"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Аналіз звітів і моніторингових даних дозволяє виділити такі найбільш навантажувані показники ефективності транзитних центрів:</w:t>
      </w:r>
    </w:p>
    <w:p w14:paraId="0B97F833" w14:textId="00695D84" w:rsidR="00334C25" w:rsidRPr="00334C25" w:rsidRDefault="00334C25" w:rsidP="00334C25">
      <w:pPr>
        <w:pStyle w:val="p1"/>
        <w:numPr>
          <w:ilvl w:val="0"/>
          <w:numId w:val="50"/>
        </w:numPr>
        <w:rPr>
          <w:color w:val="000000" w:themeColor="text1"/>
          <w:sz w:val="28"/>
          <w:szCs w:val="28"/>
        </w:rPr>
      </w:pPr>
      <w:r w:rsidRPr="00334C25">
        <w:rPr>
          <w:rStyle w:val="s1"/>
          <w:rFonts w:eastAsiaTheme="majorEastAsia"/>
          <w:b/>
          <w:bCs/>
          <w:color w:val="000000" w:themeColor="text1"/>
          <w:sz w:val="28"/>
          <w:szCs w:val="28"/>
        </w:rPr>
        <w:t>Своєчасність першого контакту.</w:t>
      </w:r>
      <w:r w:rsidRPr="00334C25">
        <w:rPr>
          <w:color w:val="000000" w:themeColor="text1"/>
          <w:sz w:val="28"/>
          <w:szCs w:val="28"/>
        </w:rPr>
        <w:t xml:space="preserve"> Центри, що забезпечували реєстрацію і перший контакт протягом 24–48 годин після прибуття, </w:t>
      </w:r>
      <w:r w:rsidRPr="00334C25">
        <w:rPr>
          <w:color w:val="000000" w:themeColor="text1"/>
          <w:sz w:val="28"/>
          <w:szCs w:val="28"/>
        </w:rPr>
        <w:lastRenderedPageBreak/>
        <w:t>показували вищий рівень задоволеності та менший ризик втрати людей у системі. Звіт IOM/DTM фіксує варіативність у часі обробки випадків залежно від регіону.</w:t>
      </w:r>
      <w:r w:rsidRPr="00334C25">
        <w:rPr>
          <w:rStyle w:val="apple-converted-space"/>
          <w:rFonts w:eastAsiaTheme="majorEastAsia"/>
          <w:color w:val="000000" w:themeColor="text1"/>
          <w:sz w:val="28"/>
          <w:szCs w:val="28"/>
        </w:rPr>
        <w:t xml:space="preserve">  </w:t>
      </w:r>
      <w:r w:rsidR="00EE3A37">
        <w:rPr>
          <w:rStyle w:val="af6"/>
          <w:rFonts w:eastAsiaTheme="majorEastAsia"/>
          <w:color w:val="000000" w:themeColor="text1"/>
          <w:sz w:val="28"/>
          <w:szCs w:val="28"/>
        </w:rPr>
        <w:footnoteReference w:id="20"/>
      </w:r>
    </w:p>
    <w:p w14:paraId="60197146" w14:textId="77777777" w:rsidR="00334C25" w:rsidRPr="00334C25" w:rsidRDefault="00334C25" w:rsidP="00334C25">
      <w:pPr>
        <w:pStyle w:val="p1"/>
        <w:numPr>
          <w:ilvl w:val="0"/>
          <w:numId w:val="50"/>
        </w:numPr>
        <w:rPr>
          <w:color w:val="000000" w:themeColor="text1"/>
          <w:sz w:val="28"/>
          <w:szCs w:val="28"/>
        </w:rPr>
      </w:pPr>
      <w:r w:rsidRPr="00334C25">
        <w:rPr>
          <w:rStyle w:val="s1"/>
          <w:rFonts w:eastAsiaTheme="majorEastAsia"/>
          <w:b/>
          <w:bCs/>
          <w:color w:val="000000" w:themeColor="text1"/>
          <w:sz w:val="28"/>
          <w:szCs w:val="28"/>
        </w:rPr>
        <w:t>Повнота мінімального пакета.</w:t>
      </w:r>
      <w:r w:rsidRPr="00334C25">
        <w:rPr>
          <w:color w:val="000000" w:themeColor="text1"/>
          <w:sz w:val="28"/>
          <w:szCs w:val="28"/>
        </w:rPr>
        <w:t xml:space="preserve"> Ефективні практики забезпечували не лише реєстрацію, а й оперативну інформаційну підтримку, скринінг на вразливість і перші перенаправлення (медичні, правові, житлові). Відсутність одного з елементів знижує загальну ефективність.</w:t>
      </w:r>
      <w:r w:rsidRPr="00334C25">
        <w:rPr>
          <w:rStyle w:val="apple-converted-space"/>
          <w:rFonts w:eastAsiaTheme="majorEastAsia"/>
          <w:color w:val="000000" w:themeColor="text1"/>
          <w:sz w:val="28"/>
          <w:szCs w:val="28"/>
        </w:rPr>
        <w:t xml:space="preserve">  </w:t>
      </w:r>
    </w:p>
    <w:p w14:paraId="4B1B85D6" w14:textId="29F78E32" w:rsidR="00334C25" w:rsidRPr="00334C25" w:rsidRDefault="00334C25" w:rsidP="00334C25">
      <w:pPr>
        <w:pStyle w:val="p1"/>
        <w:numPr>
          <w:ilvl w:val="0"/>
          <w:numId w:val="50"/>
        </w:numPr>
        <w:rPr>
          <w:color w:val="000000" w:themeColor="text1"/>
          <w:sz w:val="28"/>
          <w:szCs w:val="28"/>
        </w:rPr>
      </w:pPr>
      <w:r w:rsidRPr="00334C25">
        <w:rPr>
          <w:rStyle w:val="s1"/>
          <w:rFonts w:eastAsiaTheme="majorEastAsia"/>
          <w:b/>
          <w:bCs/>
          <w:color w:val="000000" w:themeColor="text1"/>
          <w:sz w:val="28"/>
          <w:szCs w:val="28"/>
        </w:rPr>
        <w:t>Інтеграція з місцевими послугами.</w:t>
      </w:r>
      <w:r w:rsidRPr="00334C25">
        <w:rPr>
          <w:color w:val="000000" w:themeColor="text1"/>
          <w:sz w:val="28"/>
          <w:szCs w:val="28"/>
        </w:rPr>
        <w:t xml:space="preserve"> Центри, які мали формалізовані маршрути рефералів і домовленості з місцевою владою та організаціями, мали вищий відсоток успішно завершених рефералів. Звіт УВКБ/ООН фіксує позитивний вплив таких домовленостей у кількох областях України.</w:t>
      </w:r>
      <w:r w:rsidR="00EE3A37">
        <w:rPr>
          <w:rStyle w:val="af6"/>
          <w:color w:val="000000" w:themeColor="text1"/>
          <w:sz w:val="28"/>
          <w:szCs w:val="28"/>
        </w:rPr>
        <w:footnoteReference w:id="21"/>
      </w:r>
      <w:r w:rsidRPr="00334C25">
        <w:rPr>
          <w:rStyle w:val="apple-converted-space"/>
          <w:rFonts w:eastAsiaTheme="majorEastAsia"/>
          <w:color w:val="000000" w:themeColor="text1"/>
          <w:sz w:val="28"/>
          <w:szCs w:val="28"/>
        </w:rPr>
        <w:t xml:space="preserve">  </w:t>
      </w:r>
    </w:p>
    <w:p w14:paraId="79EA42CC" w14:textId="77777777" w:rsidR="00334C25" w:rsidRPr="00334C25" w:rsidRDefault="00334C25" w:rsidP="00334C25">
      <w:pPr>
        <w:pStyle w:val="p1"/>
        <w:numPr>
          <w:ilvl w:val="0"/>
          <w:numId w:val="50"/>
        </w:numPr>
        <w:rPr>
          <w:color w:val="000000" w:themeColor="text1"/>
          <w:sz w:val="28"/>
          <w:szCs w:val="28"/>
        </w:rPr>
      </w:pPr>
      <w:r w:rsidRPr="00334C25">
        <w:rPr>
          <w:rStyle w:val="s1"/>
          <w:rFonts w:eastAsiaTheme="majorEastAsia"/>
          <w:b/>
          <w:bCs/>
          <w:color w:val="000000" w:themeColor="text1"/>
          <w:sz w:val="28"/>
          <w:szCs w:val="28"/>
        </w:rPr>
        <w:t>Дотримання стандартів захисту та інклюзія.</w:t>
      </w:r>
      <w:r w:rsidRPr="00334C25">
        <w:rPr>
          <w:color w:val="000000" w:themeColor="text1"/>
          <w:sz w:val="28"/>
          <w:szCs w:val="28"/>
        </w:rPr>
        <w:t xml:space="preserve"> Оцінки показують, що наявність процедур PSEA, конфіденційних просторів і механізмів скарг підвищує довіру та доступ до послуг, натомість їх відсутність створює ризики для вразливих груп.</w:t>
      </w:r>
      <w:r w:rsidRPr="00334C25">
        <w:rPr>
          <w:rStyle w:val="apple-converted-space"/>
          <w:rFonts w:eastAsiaTheme="majorEastAsia"/>
          <w:color w:val="000000" w:themeColor="text1"/>
          <w:sz w:val="28"/>
          <w:szCs w:val="28"/>
        </w:rPr>
        <w:t xml:space="preserve">  </w:t>
      </w:r>
    </w:p>
    <w:p w14:paraId="2B118711" w14:textId="77777777" w:rsidR="00334C25" w:rsidRPr="00334C25" w:rsidRDefault="00334C25" w:rsidP="00334C25">
      <w:pPr>
        <w:pStyle w:val="p1"/>
        <w:numPr>
          <w:ilvl w:val="0"/>
          <w:numId w:val="50"/>
        </w:numPr>
        <w:rPr>
          <w:color w:val="000000" w:themeColor="text1"/>
          <w:sz w:val="28"/>
          <w:szCs w:val="28"/>
        </w:rPr>
      </w:pPr>
      <w:r w:rsidRPr="00334C25">
        <w:rPr>
          <w:rStyle w:val="s1"/>
          <w:rFonts w:eastAsiaTheme="majorEastAsia"/>
          <w:b/>
          <w:bCs/>
          <w:color w:val="000000" w:themeColor="text1"/>
          <w:sz w:val="28"/>
          <w:szCs w:val="28"/>
        </w:rPr>
        <w:t>Стійкість і перехід до довгострокових рішень.</w:t>
      </w:r>
      <w:r w:rsidRPr="00334C25">
        <w:rPr>
          <w:color w:val="000000" w:themeColor="text1"/>
          <w:sz w:val="28"/>
          <w:szCs w:val="28"/>
        </w:rPr>
        <w:t xml:space="preserve"> Багато приймальних пунктів були ефективні для першого прийому, але нездатні забезпечити довгостроковий супровід (житло, працевлаштування). Це класифікують як вузьке місце у переході від гуманітарного реагування до відновлення.</w:t>
      </w:r>
      <w:r w:rsidRPr="00334C25">
        <w:rPr>
          <w:rStyle w:val="apple-converted-space"/>
          <w:rFonts w:eastAsiaTheme="majorEastAsia"/>
          <w:color w:val="000000" w:themeColor="text1"/>
          <w:sz w:val="28"/>
          <w:szCs w:val="28"/>
        </w:rPr>
        <w:t xml:space="preserve">  </w:t>
      </w:r>
    </w:p>
    <w:p w14:paraId="5A7773DC" w14:textId="77777777" w:rsidR="00334C25" w:rsidRPr="00334C25" w:rsidRDefault="00334C25" w:rsidP="00334C25">
      <w:pPr>
        <w:pStyle w:val="p2"/>
        <w:spacing w:line="360" w:lineRule="auto"/>
        <w:jc w:val="both"/>
        <w:rPr>
          <w:color w:val="000000" w:themeColor="text1"/>
          <w:sz w:val="28"/>
          <w:szCs w:val="28"/>
        </w:rPr>
      </w:pPr>
    </w:p>
    <w:p w14:paraId="33A4B336" w14:textId="77777777" w:rsidR="00334C25" w:rsidRPr="00334C25" w:rsidRDefault="00334C25" w:rsidP="00334C25">
      <w:pPr>
        <w:pStyle w:val="4"/>
        <w:rPr>
          <w:i w:val="0"/>
          <w:iCs w:val="0"/>
          <w:color w:val="000000" w:themeColor="text1"/>
          <w:sz w:val="28"/>
          <w:szCs w:val="28"/>
        </w:rPr>
      </w:pPr>
      <w:r w:rsidRPr="00334C25">
        <w:rPr>
          <w:i w:val="0"/>
          <w:iCs w:val="0"/>
          <w:color w:val="000000" w:themeColor="text1"/>
          <w:sz w:val="28"/>
          <w:szCs w:val="28"/>
        </w:rPr>
        <w:lastRenderedPageBreak/>
        <w:t>1.3.4. Короткі кейс-витяги (практична ілюстрація)</w:t>
      </w:r>
    </w:p>
    <w:p w14:paraId="507BF4DC" w14:textId="2E8F6D00" w:rsidR="00334C25" w:rsidRPr="00334C25" w:rsidRDefault="00334C25" w:rsidP="00334C25">
      <w:pPr>
        <w:pStyle w:val="p1"/>
        <w:numPr>
          <w:ilvl w:val="0"/>
          <w:numId w:val="51"/>
        </w:numPr>
        <w:rPr>
          <w:color w:val="000000" w:themeColor="text1"/>
          <w:sz w:val="28"/>
          <w:szCs w:val="28"/>
        </w:rPr>
      </w:pPr>
      <w:r w:rsidRPr="00334C25">
        <w:rPr>
          <w:rStyle w:val="s1"/>
          <w:rFonts w:eastAsiaTheme="majorEastAsia"/>
          <w:b/>
          <w:bCs/>
          <w:color w:val="000000" w:themeColor="text1"/>
          <w:sz w:val="28"/>
          <w:szCs w:val="28"/>
        </w:rPr>
        <w:t>Харківська/Ізюмська локації (Україна):</w:t>
      </w:r>
      <w:r w:rsidRPr="00334C25">
        <w:rPr>
          <w:color w:val="000000" w:themeColor="text1"/>
          <w:sz w:val="28"/>
          <w:szCs w:val="28"/>
        </w:rPr>
        <w:t xml:space="preserve"> транзитні центри приймали евакуйованих, проводили первинну реєстрацію й направляли на місцевий супровід; моніторинг від УВКБ вказував на сильні сторони у координації з гуманітарними партнерами, але й на брак стандартизованих протоколів по інклюзії.</w:t>
      </w:r>
      <w:r w:rsidR="00EE3A37">
        <w:rPr>
          <w:rStyle w:val="af6"/>
          <w:color w:val="000000" w:themeColor="text1"/>
          <w:sz w:val="28"/>
          <w:szCs w:val="28"/>
        </w:rPr>
        <w:footnoteReference w:id="22"/>
      </w:r>
      <w:r w:rsidRPr="00334C25">
        <w:rPr>
          <w:rStyle w:val="apple-converted-space"/>
          <w:rFonts w:eastAsiaTheme="majorEastAsia"/>
          <w:color w:val="000000" w:themeColor="text1"/>
          <w:sz w:val="28"/>
          <w:szCs w:val="28"/>
        </w:rPr>
        <w:t xml:space="preserve">  </w:t>
      </w:r>
    </w:p>
    <w:p w14:paraId="3E6D7862" w14:textId="77777777" w:rsidR="00334C25" w:rsidRPr="00334C25" w:rsidRDefault="00334C25" w:rsidP="00334C25">
      <w:pPr>
        <w:pStyle w:val="p1"/>
        <w:numPr>
          <w:ilvl w:val="0"/>
          <w:numId w:val="51"/>
        </w:numPr>
        <w:rPr>
          <w:color w:val="000000" w:themeColor="text1"/>
          <w:sz w:val="28"/>
          <w:szCs w:val="28"/>
        </w:rPr>
      </w:pPr>
      <w:r w:rsidRPr="00334C25">
        <w:rPr>
          <w:rStyle w:val="s1"/>
          <w:rFonts w:eastAsiaTheme="majorEastAsia"/>
          <w:b/>
          <w:bCs/>
          <w:color w:val="000000" w:themeColor="text1"/>
          <w:sz w:val="28"/>
          <w:szCs w:val="28"/>
        </w:rPr>
        <w:t>Польща (пункти прийому на кордоні):</w:t>
      </w:r>
      <w:r w:rsidRPr="00334C25">
        <w:rPr>
          <w:color w:val="000000" w:themeColor="text1"/>
          <w:sz w:val="28"/>
          <w:szCs w:val="28"/>
        </w:rPr>
        <w:t xml:space="preserve"> швидкість прийому і широке залучення місцевих ресурсів дозволили прийняти великий потік, але відсутність планів на середньо- і довгострокові рішення щодо житла спричинила навантаження на міські сервіси.</w:t>
      </w:r>
      <w:r w:rsidRPr="00334C25">
        <w:rPr>
          <w:rStyle w:val="apple-converted-space"/>
          <w:rFonts w:eastAsiaTheme="majorEastAsia"/>
          <w:color w:val="000000" w:themeColor="text1"/>
          <w:sz w:val="28"/>
          <w:szCs w:val="28"/>
        </w:rPr>
        <w:t xml:space="preserve">  </w:t>
      </w:r>
    </w:p>
    <w:p w14:paraId="08B026FD" w14:textId="77777777" w:rsidR="00334C25" w:rsidRPr="00334C25" w:rsidRDefault="00334C25" w:rsidP="00334C25">
      <w:pPr>
        <w:pStyle w:val="p2"/>
        <w:spacing w:line="360" w:lineRule="auto"/>
        <w:jc w:val="both"/>
        <w:rPr>
          <w:color w:val="000000" w:themeColor="text1"/>
          <w:sz w:val="28"/>
          <w:szCs w:val="28"/>
        </w:rPr>
      </w:pPr>
    </w:p>
    <w:p w14:paraId="68D47426" w14:textId="77777777" w:rsidR="00334C25" w:rsidRPr="00334C25" w:rsidRDefault="00334C25" w:rsidP="00334C25">
      <w:pPr>
        <w:pStyle w:val="4"/>
        <w:rPr>
          <w:i w:val="0"/>
          <w:iCs w:val="0"/>
          <w:color w:val="000000" w:themeColor="text1"/>
          <w:sz w:val="28"/>
          <w:szCs w:val="28"/>
        </w:rPr>
      </w:pPr>
      <w:r w:rsidRPr="00334C25">
        <w:rPr>
          <w:i w:val="0"/>
          <w:iCs w:val="0"/>
          <w:color w:val="000000" w:themeColor="text1"/>
          <w:sz w:val="28"/>
          <w:szCs w:val="28"/>
        </w:rPr>
        <w:t xml:space="preserve">1.3.5. </w:t>
      </w:r>
      <w:proofErr w:type="spellStart"/>
      <w:r w:rsidRPr="00334C25">
        <w:rPr>
          <w:i w:val="0"/>
          <w:iCs w:val="0"/>
          <w:color w:val="000000" w:themeColor="text1"/>
          <w:sz w:val="28"/>
          <w:szCs w:val="28"/>
        </w:rPr>
        <w:t>Уроки</w:t>
      </w:r>
      <w:proofErr w:type="spellEnd"/>
      <w:r w:rsidRPr="00334C25">
        <w:rPr>
          <w:i w:val="0"/>
          <w:iCs w:val="0"/>
          <w:color w:val="000000" w:themeColor="text1"/>
          <w:sz w:val="28"/>
          <w:szCs w:val="28"/>
        </w:rPr>
        <w:t xml:space="preserve"> і рекомендації для транзитних центрів (з огляду на практики)</w:t>
      </w:r>
    </w:p>
    <w:p w14:paraId="3978D782" w14:textId="77777777" w:rsidR="00334C25" w:rsidRPr="00334C25" w:rsidRDefault="00334C25" w:rsidP="00334C25">
      <w:pPr>
        <w:pStyle w:val="p1"/>
        <w:numPr>
          <w:ilvl w:val="0"/>
          <w:numId w:val="52"/>
        </w:numPr>
        <w:rPr>
          <w:color w:val="000000" w:themeColor="text1"/>
          <w:sz w:val="28"/>
          <w:szCs w:val="28"/>
        </w:rPr>
      </w:pPr>
      <w:r w:rsidRPr="00334C25">
        <w:rPr>
          <w:rStyle w:val="s1"/>
          <w:rFonts w:eastAsiaTheme="majorEastAsia"/>
          <w:b/>
          <w:bCs/>
          <w:color w:val="000000" w:themeColor="text1"/>
          <w:sz w:val="28"/>
          <w:szCs w:val="28"/>
        </w:rPr>
        <w:t>Комбінована архітектура.</w:t>
      </w:r>
      <w:r w:rsidRPr="00334C25">
        <w:rPr>
          <w:color w:val="000000" w:themeColor="text1"/>
          <w:sz w:val="28"/>
          <w:szCs w:val="28"/>
        </w:rPr>
        <w:t xml:space="preserve"> Найефективніші рішення поєднують стаціонарні пункти «єдиного вікна» з мережею відгалужень і мобільними бригадами для охоплення віддалених локацій.</w:t>
      </w:r>
      <w:r w:rsidRPr="00334C25">
        <w:rPr>
          <w:rStyle w:val="apple-converted-space"/>
          <w:rFonts w:eastAsiaTheme="majorEastAsia"/>
          <w:color w:val="000000" w:themeColor="text1"/>
          <w:sz w:val="28"/>
          <w:szCs w:val="28"/>
        </w:rPr>
        <w:t xml:space="preserve">  </w:t>
      </w:r>
    </w:p>
    <w:p w14:paraId="6BF059CF" w14:textId="77777777" w:rsidR="00334C25" w:rsidRPr="00334C25" w:rsidRDefault="00334C25" w:rsidP="00334C25">
      <w:pPr>
        <w:pStyle w:val="p1"/>
        <w:numPr>
          <w:ilvl w:val="0"/>
          <w:numId w:val="52"/>
        </w:numPr>
        <w:rPr>
          <w:color w:val="000000" w:themeColor="text1"/>
          <w:sz w:val="28"/>
          <w:szCs w:val="28"/>
        </w:rPr>
      </w:pPr>
      <w:r w:rsidRPr="00334C25">
        <w:rPr>
          <w:rStyle w:val="s1"/>
          <w:rFonts w:eastAsiaTheme="majorEastAsia"/>
          <w:b/>
          <w:bCs/>
          <w:color w:val="000000" w:themeColor="text1"/>
          <w:sz w:val="28"/>
          <w:szCs w:val="28"/>
        </w:rPr>
        <w:t>Формалізовані реферальні маршрути.</w:t>
      </w:r>
      <w:r w:rsidRPr="00334C25">
        <w:rPr>
          <w:color w:val="000000" w:themeColor="text1"/>
          <w:sz w:val="28"/>
          <w:szCs w:val="28"/>
        </w:rPr>
        <w:t xml:space="preserve"> Наявність письмових угод і протоколів між транзитним центром і постачальниками спеціалізованих послуг підвищує відсоток успішних рефералів.</w:t>
      </w:r>
      <w:r w:rsidRPr="00334C25">
        <w:rPr>
          <w:rStyle w:val="apple-converted-space"/>
          <w:rFonts w:eastAsiaTheme="majorEastAsia"/>
          <w:color w:val="000000" w:themeColor="text1"/>
          <w:sz w:val="28"/>
          <w:szCs w:val="28"/>
        </w:rPr>
        <w:t xml:space="preserve">  </w:t>
      </w:r>
    </w:p>
    <w:p w14:paraId="7EB25441" w14:textId="77777777" w:rsidR="00334C25" w:rsidRPr="00334C25" w:rsidRDefault="00334C25" w:rsidP="00334C25">
      <w:pPr>
        <w:pStyle w:val="p1"/>
        <w:numPr>
          <w:ilvl w:val="0"/>
          <w:numId w:val="52"/>
        </w:numPr>
        <w:rPr>
          <w:color w:val="000000" w:themeColor="text1"/>
          <w:sz w:val="28"/>
          <w:szCs w:val="28"/>
        </w:rPr>
      </w:pPr>
      <w:r w:rsidRPr="00334C25">
        <w:rPr>
          <w:rStyle w:val="s1"/>
          <w:rFonts w:eastAsiaTheme="majorEastAsia"/>
          <w:b/>
          <w:bCs/>
          <w:color w:val="000000" w:themeColor="text1"/>
          <w:sz w:val="28"/>
          <w:szCs w:val="28"/>
        </w:rPr>
        <w:t>Запровадження стандартів захисту з першого дня.</w:t>
      </w:r>
      <w:r w:rsidRPr="00334C25">
        <w:rPr>
          <w:color w:val="000000" w:themeColor="text1"/>
          <w:sz w:val="28"/>
          <w:szCs w:val="28"/>
        </w:rPr>
        <w:t xml:space="preserve"> Стандарти PSEA, конфіденційність і механізми скарг мають бути частиною базової комплектації центру.</w:t>
      </w:r>
      <w:r w:rsidRPr="00334C25">
        <w:rPr>
          <w:rStyle w:val="apple-converted-space"/>
          <w:rFonts w:eastAsiaTheme="majorEastAsia"/>
          <w:color w:val="000000" w:themeColor="text1"/>
          <w:sz w:val="28"/>
          <w:szCs w:val="28"/>
        </w:rPr>
        <w:t xml:space="preserve">  </w:t>
      </w:r>
    </w:p>
    <w:p w14:paraId="1A573DC6" w14:textId="77777777" w:rsidR="00334C25" w:rsidRPr="00334C25" w:rsidRDefault="00334C25" w:rsidP="00334C25">
      <w:pPr>
        <w:pStyle w:val="p1"/>
        <w:numPr>
          <w:ilvl w:val="0"/>
          <w:numId w:val="52"/>
        </w:numPr>
        <w:rPr>
          <w:color w:val="000000" w:themeColor="text1"/>
          <w:sz w:val="28"/>
          <w:szCs w:val="28"/>
        </w:rPr>
      </w:pPr>
      <w:r w:rsidRPr="00334C25">
        <w:rPr>
          <w:rStyle w:val="s1"/>
          <w:rFonts w:eastAsiaTheme="majorEastAsia"/>
          <w:b/>
          <w:bCs/>
          <w:color w:val="000000" w:themeColor="text1"/>
          <w:sz w:val="28"/>
          <w:szCs w:val="28"/>
        </w:rPr>
        <w:t>Моніторинг і базовий рівень даних.</w:t>
      </w:r>
      <w:r w:rsidRPr="00334C25">
        <w:rPr>
          <w:color w:val="000000" w:themeColor="text1"/>
          <w:sz w:val="28"/>
          <w:szCs w:val="28"/>
        </w:rPr>
        <w:t xml:space="preserve"> Ведення простих реєстрів (час прибуття, надані послуги, реферали) забезпечує оперативний моніторинг і дає змогу оцінювати ефективність у реальному часі.</w:t>
      </w:r>
      <w:r w:rsidRPr="00334C25">
        <w:rPr>
          <w:rStyle w:val="apple-converted-space"/>
          <w:rFonts w:eastAsiaTheme="majorEastAsia"/>
          <w:color w:val="000000" w:themeColor="text1"/>
          <w:sz w:val="28"/>
          <w:szCs w:val="28"/>
        </w:rPr>
        <w:t xml:space="preserve">  </w:t>
      </w:r>
    </w:p>
    <w:p w14:paraId="069441F1" w14:textId="77777777" w:rsidR="00334C25" w:rsidRPr="00334C25" w:rsidRDefault="00334C25" w:rsidP="00334C25">
      <w:pPr>
        <w:rPr>
          <w:color w:val="000000" w:themeColor="text1"/>
          <w:lang w:val="en-US"/>
        </w:rPr>
      </w:pPr>
    </w:p>
    <w:p w14:paraId="6683792D" w14:textId="54B0D1DD" w:rsidR="00334C25" w:rsidRPr="00334C25" w:rsidRDefault="0020188B" w:rsidP="00334C25">
      <w:pPr>
        <w:pStyle w:val="2"/>
        <w:numPr>
          <w:ilvl w:val="1"/>
          <w:numId w:val="4"/>
        </w:numPr>
        <w:rPr>
          <w:rFonts w:ascii="Times New Roman" w:hAnsi="Times New Roman" w:cs="Times New Roman"/>
          <w:color w:val="000000" w:themeColor="text1"/>
          <w:sz w:val="28"/>
          <w:szCs w:val="28"/>
          <w:lang w:val="en-US"/>
        </w:rPr>
      </w:pPr>
      <w:bookmarkStart w:id="16" w:name="_Toc214217511"/>
      <w:r w:rsidRPr="00334C25">
        <w:rPr>
          <w:rFonts w:ascii="Times New Roman" w:hAnsi="Times New Roman" w:cs="Times New Roman"/>
          <w:color w:val="000000" w:themeColor="text1"/>
          <w:sz w:val="28"/>
          <w:szCs w:val="28"/>
        </w:rPr>
        <w:lastRenderedPageBreak/>
        <w:t>Критичний аналіз наявних досліджень</w:t>
      </w:r>
      <w:bookmarkEnd w:id="16"/>
    </w:p>
    <w:p w14:paraId="5E119474" w14:textId="77777777" w:rsidR="00334C25" w:rsidRPr="00334C25" w:rsidRDefault="00334C25" w:rsidP="00334C25">
      <w:pPr>
        <w:pStyle w:val="3"/>
        <w:rPr>
          <w:color w:val="000000" w:themeColor="text1"/>
          <w:lang w:val="ru-UA"/>
        </w:rPr>
      </w:pPr>
      <w:bookmarkStart w:id="17" w:name="_Toc214217512"/>
      <w:r w:rsidRPr="00334C25">
        <w:rPr>
          <w:color w:val="000000" w:themeColor="text1"/>
        </w:rPr>
        <w:t>1.4.1. Загальні тематичні висновки літератури</w:t>
      </w:r>
      <w:bookmarkEnd w:id="17"/>
    </w:p>
    <w:p w14:paraId="63791748" w14:textId="77777777" w:rsidR="00334C25" w:rsidRPr="00334C25" w:rsidRDefault="00334C25" w:rsidP="00334C25">
      <w:pPr>
        <w:pStyle w:val="p1"/>
        <w:numPr>
          <w:ilvl w:val="0"/>
          <w:numId w:val="53"/>
        </w:numPr>
        <w:rPr>
          <w:color w:val="000000" w:themeColor="text1"/>
          <w:sz w:val="28"/>
          <w:szCs w:val="28"/>
        </w:rPr>
      </w:pPr>
      <w:r w:rsidRPr="00334C25">
        <w:rPr>
          <w:rStyle w:val="s1"/>
          <w:rFonts w:eastAsiaTheme="majorEastAsia"/>
          <w:b/>
          <w:bCs/>
          <w:color w:val="000000" w:themeColor="text1"/>
          <w:sz w:val="28"/>
          <w:szCs w:val="28"/>
        </w:rPr>
        <w:t>Модельні підходи та їхні переваги/обмеження.</w:t>
      </w:r>
      <w:r w:rsidRPr="00334C25">
        <w:rPr>
          <w:color w:val="000000" w:themeColor="text1"/>
          <w:sz w:val="28"/>
          <w:szCs w:val="28"/>
        </w:rPr>
        <w:t xml:space="preserve"> Існуючі звіти констатують, що найефективніші практики поєднують кілька організаційних рішень (стаціонарні пункти «єдиного вікна», мережеві хаби і мобільні бригади), бо така комбінована архітектура дає змогу одночасно забезпечити швидкий прийом і перенаправлення на спеціалізовані послуги. Це підтверджують раунди моніторингу внутрішнього переміщення та аналітичні огляди УВКБ/МОМ.</w:t>
      </w:r>
      <w:r w:rsidRPr="00334C25">
        <w:rPr>
          <w:rStyle w:val="apple-converted-space"/>
          <w:rFonts w:eastAsiaTheme="majorEastAsia"/>
          <w:color w:val="000000" w:themeColor="text1"/>
          <w:sz w:val="28"/>
          <w:szCs w:val="28"/>
        </w:rPr>
        <w:t xml:space="preserve">  </w:t>
      </w:r>
    </w:p>
    <w:p w14:paraId="377F09A3" w14:textId="77777777" w:rsidR="00334C25" w:rsidRPr="00334C25" w:rsidRDefault="00334C25" w:rsidP="00334C25">
      <w:pPr>
        <w:pStyle w:val="p1"/>
        <w:numPr>
          <w:ilvl w:val="0"/>
          <w:numId w:val="53"/>
        </w:numPr>
        <w:rPr>
          <w:color w:val="000000" w:themeColor="text1"/>
          <w:sz w:val="28"/>
          <w:szCs w:val="28"/>
        </w:rPr>
      </w:pPr>
      <w:r w:rsidRPr="00334C25">
        <w:rPr>
          <w:rStyle w:val="s1"/>
          <w:rFonts w:eastAsiaTheme="majorEastAsia"/>
          <w:b/>
          <w:bCs/>
          <w:color w:val="000000" w:themeColor="text1"/>
          <w:sz w:val="28"/>
          <w:szCs w:val="28"/>
        </w:rPr>
        <w:t>Практична ефективність мобільних бригад.</w:t>
      </w:r>
      <w:r w:rsidRPr="00334C25">
        <w:rPr>
          <w:color w:val="000000" w:themeColor="text1"/>
          <w:sz w:val="28"/>
          <w:szCs w:val="28"/>
        </w:rPr>
        <w:t xml:space="preserve"> Дослідження та звіти про роботу мобільних бригад демонструють їхню високу оперативність у наданні первинної соціально-психологічної та медичної допомоги, але водночас підкреслюють обмеженість їхнього функціоналу для довготривалого супроводу потреб.</w:t>
      </w:r>
      <w:r w:rsidRPr="00334C25">
        <w:rPr>
          <w:rStyle w:val="apple-converted-space"/>
          <w:rFonts w:eastAsiaTheme="majorEastAsia"/>
          <w:color w:val="000000" w:themeColor="text1"/>
          <w:sz w:val="28"/>
          <w:szCs w:val="28"/>
        </w:rPr>
        <w:t xml:space="preserve">  </w:t>
      </w:r>
    </w:p>
    <w:p w14:paraId="1FA17BF2" w14:textId="77777777" w:rsidR="00334C25" w:rsidRPr="00334C25" w:rsidRDefault="00334C25" w:rsidP="00334C25">
      <w:pPr>
        <w:pStyle w:val="p1"/>
        <w:numPr>
          <w:ilvl w:val="0"/>
          <w:numId w:val="53"/>
        </w:numPr>
        <w:rPr>
          <w:color w:val="000000" w:themeColor="text1"/>
          <w:sz w:val="28"/>
          <w:szCs w:val="28"/>
        </w:rPr>
      </w:pPr>
      <w:r w:rsidRPr="00334C25">
        <w:rPr>
          <w:rStyle w:val="s1"/>
          <w:rFonts w:eastAsiaTheme="majorEastAsia"/>
          <w:b/>
          <w:bCs/>
          <w:color w:val="000000" w:themeColor="text1"/>
          <w:sz w:val="28"/>
          <w:szCs w:val="28"/>
        </w:rPr>
        <w:t>Проблеми доступності й інклюзії.</w:t>
      </w:r>
      <w:r w:rsidRPr="00334C25">
        <w:rPr>
          <w:color w:val="000000" w:themeColor="text1"/>
          <w:sz w:val="28"/>
          <w:szCs w:val="28"/>
        </w:rPr>
        <w:t xml:space="preserve"> Моніторингові звіти на місцях фіксують системні бар’єри: затримки реєстрації, недосконалі процедури верифікації, відсутність адекватних адаптацій для осіб з інвалідністю та неоднорідну якість інформування прибулих. Це знижує реальний доступ до соціальних послуг навіть там, де формально вони надані.</w:t>
      </w:r>
      <w:r w:rsidRPr="00334C25">
        <w:rPr>
          <w:rStyle w:val="apple-converted-space"/>
          <w:rFonts w:eastAsiaTheme="majorEastAsia"/>
          <w:color w:val="000000" w:themeColor="text1"/>
          <w:sz w:val="28"/>
          <w:szCs w:val="28"/>
        </w:rPr>
        <w:t xml:space="preserve">  </w:t>
      </w:r>
    </w:p>
    <w:p w14:paraId="111CC291" w14:textId="77777777" w:rsidR="00334C25" w:rsidRPr="00334C25" w:rsidRDefault="00334C25" w:rsidP="00334C25">
      <w:pPr>
        <w:pStyle w:val="p1"/>
        <w:numPr>
          <w:ilvl w:val="0"/>
          <w:numId w:val="53"/>
        </w:numPr>
        <w:rPr>
          <w:color w:val="000000" w:themeColor="text1"/>
          <w:sz w:val="28"/>
          <w:szCs w:val="28"/>
        </w:rPr>
      </w:pPr>
      <w:r w:rsidRPr="00334C25">
        <w:rPr>
          <w:rStyle w:val="s1"/>
          <w:rFonts w:eastAsiaTheme="majorEastAsia"/>
          <w:b/>
          <w:bCs/>
          <w:color w:val="000000" w:themeColor="text1"/>
          <w:sz w:val="28"/>
          <w:szCs w:val="28"/>
        </w:rPr>
        <w:t>Зв’язок гуманітарного реагування та довгострокових рішень.</w:t>
      </w:r>
      <w:r w:rsidRPr="00334C25">
        <w:rPr>
          <w:color w:val="000000" w:themeColor="text1"/>
          <w:sz w:val="28"/>
          <w:szCs w:val="28"/>
        </w:rPr>
        <w:t xml:space="preserve"> Багато оцінок показують, що центри добре справляються з «пожежогасінням» на ранніх етапах, але менш придатні для сприяння довгостроковій інтеграції (житло, працевлаштування, стійка соціальна підтримка). Це вказує на розрив між гуманітарною та соціальною політикою.</w:t>
      </w:r>
      <w:r w:rsidRPr="00334C25">
        <w:rPr>
          <w:rStyle w:val="apple-converted-space"/>
          <w:rFonts w:eastAsiaTheme="majorEastAsia"/>
          <w:color w:val="000000" w:themeColor="text1"/>
          <w:sz w:val="28"/>
          <w:szCs w:val="28"/>
        </w:rPr>
        <w:t xml:space="preserve">  </w:t>
      </w:r>
    </w:p>
    <w:p w14:paraId="1760EB60" w14:textId="1F287038" w:rsidR="00334C25" w:rsidRPr="00334C25" w:rsidRDefault="00334C25" w:rsidP="00334C25">
      <w:pPr>
        <w:rPr>
          <w:rStyle w:val="s1"/>
          <w:rFonts w:eastAsiaTheme="majorEastAsia"/>
          <w:color w:val="000000" w:themeColor="text1"/>
          <w:sz w:val="28"/>
          <w:szCs w:val="28"/>
        </w:rPr>
      </w:pPr>
    </w:p>
    <w:p w14:paraId="7C328C47" w14:textId="77777777" w:rsidR="00334C25" w:rsidRPr="00334C25" w:rsidRDefault="00334C25" w:rsidP="00334C25">
      <w:pPr>
        <w:pStyle w:val="3"/>
        <w:rPr>
          <w:color w:val="000000" w:themeColor="text1"/>
        </w:rPr>
      </w:pPr>
      <w:bookmarkStart w:id="18" w:name="_Toc214217513"/>
      <w:r w:rsidRPr="00334C25">
        <w:rPr>
          <w:color w:val="000000" w:themeColor="text1"/>
        </w:rPr>
        <w:lastRenderedPageBreak/>
        <w:t>1.4.2. Методологічні зауваження та обмеження існуючих досліджень</w:t>
      </w:r>
      <w:bookmarkEnd w:id="18"/>
    </w:p>
    <w:p w14:paraId="3A3C67CB" w14:textId="77777777" w:rsidR="00334C25" w:rsidRPr="00334C25" w:rsidRDefault="00334C25" w:rsidP="00334C25">
      <w:pPr>
        <w:pStyle w:val="p1"/>
        <w:numPr>
          <w:ilvl w:val="0"/>
          <w:numId w:val="54"/>
        </w:numPr>
        <w:rPr>
          <w:color w:val="000000" w:themeColor="text1"/>
          <w:sz w:val="28"/>
          <w:szCs w:val="28"/>
        </w:rPr>
      </w:pPr>
      <w:r w:rsidRPr="00334C25">
        <w:rPr>
          <w:rStyle w:val="s1"/>
          <w:rFonts w:eastAsiaTheme="majorEastAsia"/>
          <w:b/>
          <w:bCs/>
          <w:color w:val="000000" w:themeColor="text1"/>
          <w:sz w:val="28"/>
          <w:szCs w:val="28"/>
        </w:rPr>
        <w:t>Нерівномірність і фрагментарність даних.</w:t>
      </w:r>
      <w:r w:rsidRPr="00334C25">
        <w:rPr>
          <w:color w:val="000000" w:themeColor="text1"/>
          <w:sz w:val="28"/>
          <w:szCs w:val="28"/>
        </w:rPr>
        <w:t xml:space="preserve"> Більшість досліджень покладаються на адміністративні реєстри центрів, разові моніторингові візити або різні методології опитувань, що ускладнює порівняння результатів між регіонами і оцінку впливу інтервенцій у часі.</w:t>
      </w:r>
      <w:r w:rsidRPr="00334C25">
        <w:rPr>
          <w:rStyle w:val="apple-converted-space"/>
          <w:rFonts w:eastAsiaTheme="majorEastAsia"/>
          <w:color w:val="000000" w:themeColor="text1"/>
          <w:sz w:val="28"/>
          <w:szCs w:val="28"/>
        </w:rPr>
        <w:t xml:space="preserve">  </w:t>
      </w:r>
    </w:p>
    <w:p w14:paraId="3A66B515" w14:textId="77777777" w:rsidR="00334C25" w:rsidRPr="00334C25" w:rsidRDefault="00334C25" w:rsidP="00334C25">
      <w:pPr>
        <w:pStyle w:val="p1"/>
        <w:numPr>
          <w:ilvl w:val="0"/>
          <w:numId w:val="54"/>
        </w:numPr>
        <w:rPr>
          <w:color w:val="000000" w:themeColor="text1"/>
          <w:sz w:val="28"/>
          <w:szCs w:val="28"/>
        </w:rPr>
      </w:pPr>
      <w:r w:rsidRPr="00334C25">
        <w:rPr>
          <w:rStyle w:val="s1"/>
          <w:rFonts w:eastAsiaTheme="majorEastAsia"/>
          <w:b/>
          <w:bCs/>
          <w:color w:val="000000" w:themeColor="text1"/>
          <w:sz w:val="28"/>
          <w:szCs w:val="28"/>
        </w:rPr>
        <w:t>Переважання короткострокових оцінок.</w:t>
      </w:r>
      <w:r w:rsidRPr="00334C25">
        <w:rPr>
          <w:color w:val="000000" w:themeColor="text1"/>
          <w:sz w:val="28"/>
          <w:szCs w:val="28"/>
        </w:rPr>
        <w:t xml:space="preserve"> Докомплектовані вимірювання фокусуються на оперативних виходах (скільки людей обслужили, скільки видано пакетів допомоги) і рідко відстежують середньо- та довгострокові результати (сталість отриманих послуг, інтеграція в громаду, економічна стабілізація).</w:t>
      </w:r>
      <w:r w:rsidRPr="00334C25">
        <w:rPr>
          <w:rStyle w:val="apple-converted-space"/>
          <w:rFonts w:eastAsiaTheme="majorEastAsia"/>
          <w:color w:val="000000" w:themeColor="text1"/>
          <w:sz w:val="28"/>
          <w:szCs w:val="28"/>
        </w:rPr>
        <w:t xml:space="preserve">  </w:t>
      </w:r>
    </w:p>
    <w:p w14:paraId="113DB468" w14:textId="77777777" w:rsidR="00334C25" w:rsidRPr="00334C25" w:rsidRDefault="00334C25" w:rsidP="00334C25">
      <w:pPr>
        <w:pStyle w:val="p1"/>
        <w:numPr>
          <w:ilvl w:val="0"/>
          <w:numId w:val="54"/>
        </w:numPr>
        <w:rPr>
          <w:color w:val="000000" w:themeColor="text1"/>
          <w:sz w:val="28"/>
          <w:szCs w:val="28"/>
        </w:rPr>
      </w:pPr>
      <w:r w:rsidRPr="00334C25">
        <w:rPr>
          <w:rStyle w:val="s1"/>
          <w:rFonts w:eastAsiaTheme="majorEastAsia"/>
          <w:b/>
          <w:bCs/>
          <w:color w:val="000000" w:themeColor="text1"/>
          <w:sz w:val="28"/>
          <w:szCs w:val="28"/>
        </w:rPr>
        <w:t>Недостатня уніфікація індикаторів.</w:t>
      </w:r>
      <w:r w:rsidRPr="00334C25">
        <w:rPr>
          <w:color w:val="000000" w:themeColor="text1"/>
          <w:sz w:val="28"/>
          <w:szCs w:val="28"/>
        </w:rPr>
        <w:t xml:space="preserve"> Бракує спільних, стандартизованих індикаторів ефективності транзитних центрів (є розмаїття місцевих чек-лістів і форм реєстрації). Через це важко узагальнювати висновки на національному рівні.</w:t>
      </w:r>
      <w:r w:rsidRPr="00334C25">
        <w:rPr>
          <w:rStyle w:val="apple-converted-space"/>
          <w:rFonts w:eastAsiaTheme="majorEastAsia"/>
          <w:color w:val="000000" w:themeColor="text1"/>
          <w:sz w:val="28"/>
          <w:szCs w:val="28"/>
        </w:rPr>
        <w:t xml:space="preserve">  </w:t>
      </w:r>
    </w:p>
    <w:p w14:paraId="073EC217" w14:textId="77777777" w:rsidR="00334C25" w:rsidRPr="00334C25" w:rsidRDefault="00334C25" w:rsidP="00334C25">
      <w:pPr>
        <w:pStyle w:val="p1"/>
        <w:numPr>
          <w:ilvl w:val="0"/>
          <w:numId w:val="54"/>
        </w:numPr>
        <w:rPr>
          <w:color w:val="000000" w:themeColor="text1"/>
          <w:sz w:val="28"/>
          <w:szCs w:val="28"/>
        </w:rPr>
      </w:pPr>
      <w:r w:rsidRPr="00334C25">
        <w:rPr>
          <w:rStyle w:val="s1"/>
          <w:rFonts w:eastAsiaTheme="majorEastAsia"/>
          <w:b/>
          <w:bCs/>
          <w:color w:val="000000" w:themeColor="text1"/>
          <w:sz w:val="28"/>
          <w:szCs w:val="28"/>
        </w:rPr>
        <w:t>Обмежене залучення голосу постраждалих у дослідженнях.</w:t>
      </w:r>
      <w:r w:rsidRPr="00334C25">
        <w:rPr>
          <w:color w:val="000000" w:themeColor="text1"/>
          <w:sz w:val="28"/>
          <w:szCs w:val="28"/>
        </w:rPr>
        <w:t xml:space="preserve"> Хоча є фокус-групи та окремі інтерв’ю, значна частина оцінок не має систематичного аналізу сприйняття послуг самими ВПО (рівень інформованості, причин невикористання послуг, бар’єрів) у репрезентативному вигляді.</w:t>
      </w:r>
      <w:r w:rsidRPr="00334C25">
        <w:rPr>
          <w:rStyle w:val="apple-converted-space"/>
          <w:rFonts w:eastAsiaTheme="majorEastAsia"/>
          <w:color w:val="000000" w:themeColor="text1"/>
          <w:sz w:val="28"/>
          <w:szCs w:val="28"/>
        </w:rPr>
        <w:t xml:space="preserve">  </w:t>
      </w:r>
    </w:p>
    <w:p w14:paraId="0DA8AAB3" w14:textId="77777777" w:rsidR="00334C25" w:rsidRPr="00334C25" w:rsidRDefault="00334C25" w:rsidP="00334C25">
      <w:pPr>
        <w:pStyle w:val="p1"/>
        <w:numPr>
          <w:ilvl w:val="0"/>
          <w:numId w:val="54"/>
        </w:numPr>
        <w:rPr>
          <w:color w:val="000000" w:themeColor="text1"/>
          <w:sz w:val="28"/>
          <w:szCs w:val="28"/>
        </w:rPr>
      </w:pPr>
      <w:r w:rsidRPr="00334C25">
        <w:rPr>
          <w:rStyle w:val="s1"/>
          <w:rFonts w:eastAsiaTheme="majorEastAsia"/>
          <w:b/>
          <w:bCs/>
          <w:color w:val="000000" w:themeColor="text1"/>
          <w:sz w:val="28"/>
          <w:szCs w:val="28"/>
        </w:rPr>
        <w:t>Нечітка фіксація вразливості та інклюзії.</w:t>
      </w:r>
      <w:r w:rsidRPr="00334C25">
        <w:rPr>
          <w:color w:val="000000" w:themeColor="text1"/>
          <w:sz w:val="28"/>
          <w:szCs w:val="28"/>
        </w:rPr>
        <w:t xml:space="preserve"> Багато звітів фіксують загальні проблеми доступності, але мало досліджень пропонують кількісні метрики інклюзії (наприклад, частка людей з інвалідністю, що отримали адаптовані послуги) або аналізують гендерно-вікові відмінності систематично.</w:t>
      </w:r>
      <w:r w:rsidRPr="00334C25">
        <w:rPr>
          <w:rStyle w:val="apple-converted-space"/>
          <w:rFonts w:eastAsiaTheme="majorEastAsia"/>
          <w:color w:val="000000" w:themeColor="text1"/>
          <w:sz w:val="28"/>
          <w:szCs w:val="28"/>
        </w:rPr>
        <w:t xml:space="preserve">  </w:t>
      </w:r>
    </w:p>
    <w:p w14:paraId="1AA94D4D" w14:textId="2F605EFA" w:rsidR="00334C25" w:rsidRPr="00334C25" w:rsidRDefault="00334C25" w:rsidP="00334C25">
      <w:pPr>
        <w:rPr>
          <w:rStyle w:val="s1"/>
          <w:rFonts w:eastAsiaTheme="majorEastAsia"/>
          <w:color w:val="000000" w:themeColor="text1"/>
          <w:sz w:val="28"/>
          <w:szCs w:val="28"/>
        </w:rPr>
      </w:pPr>
    </w:p>
    <w:p w14:paraId="6C074642" w14:textId="77777777" w:rsidR="00334C25" w:rsidRPr="00334C25" w:rsidRDefault="00334C25" w:rsidP="00334C25">
      <w:pPr>
        <w:pStyle w:val="3"/>
        <w:rPr>
          <w:color w:val="000000" w:themeColor="text1"/>
        </w:rPr>
      </w:pPr>
      <w:bookmarkStart w:id="19" w:name="_Toc214217514"/>
      <w:r w:rsidRPr="00334C25">
        <w:rPr>
          <w:color w:val="000000" w:themeColor="text1"/>
        </w:rPr>
        <w:lastRenderedPageBreak/>
        <w:t>1.4.3. Прогалини у знанні та суперечливі результати</w:t>
      </w:r>
      <w:bookmarkEnd w:id="19"/>
    </w:p>
    <w:p w14:paraId="6E1F3029" w14:textId="77777777" w:rsidR="00334C25" w:rsidRPr="00334C25" w:rsidRDefault="00334C25" w:rsidP="00334C25">
      <w:pPr>
        <w:pStyle w:val="p1"/>
        <w:numPr>
          <w:ilvl w:val="0"/>
          <w:numId w:val="55"/>
        </w:numPr>
        <w:rPr>
          <w:color w:val="000000" w:themeColor="text1"/>
          <w:sz w:val="28"/>
          <w:szCs w:val="28"/>
        </w:rPr>
      </w:pPr>
      <w:r w:rsidRPr="00334C25">
        <w:rPr>
          <w:rStyle w:val="s1"/>
          <w:rFonts w:eastAsiaTheme="majorEastAsia"/>
          <w:b/>
          <w:bCs/>
          <w:color w:val="000000" w:themeColor="text1"/>
          <w:sz w:val="28"/>
          <w:szCs w:val="28"/>
        </w:rPr>
        <w:t>Відсутність порівняльних довгострокових досліджень.</w:t>
      </w:r>
      <w:r w:rsidRPr="00334C25">
        <w:rPr>
          <w:color w:val="000000" w:themeColor="text1"/>
          <w:sz w:val="28"/>
          <w:szCs w:val="28"/>
        </w:rPr>
        <w:t xml:space="preserve"> Досі мало робіт, які б порівнювали ефективність моделей (one-stop-shop vs hub-and-spoke vs мобільні бригади) у часовому вимірі та їхній вплив на стабілізацію родин/осіб через 6–12 місяців. Це унеможливлює рекомендації щодо трансформації тимчасових рішень у сталі.</w:t>
      </w:r>
      <w:r w:rsidRPr="00334C25">
        <w:rPr>
          <w:rStyle w:val="apple-converted-space"/>
          <w:rFonts w:eastAsiaTheme="majorEastAsia"/>
          <w:color w:val="000000" w:themeColor="text1"/>
          <w:sz w:val="28"/>
          <w:szCs w:val="28"/>
        </w:rPr>
        <w:t xml:space="preserve">  </w:t>
      </w:r>
    </w:p>
    <w:p w14:paraId="3D877B2C" w14:textId="77777777" w:rsidR="00334C25" w:rsidRPr="00334C25" w:rsidRDefault="00334C25" w:rsidP="00334C25">
      <w:pPr>
        <w:pStyle w:val="p1"/>
        <w:numPr>
          <w:ilvl w:val="0"/>
          <w:numId w:val="55"/>
        </w:numPr>
        <w:rPr>
          <w:color w:val="000000" w:themeColor="text1"/>
          <w:sz w:val="28"/>
          <w:szCs w:val="28"/>
        </w:rPr>
      </w:pPr>
      <w:r w:rsidRPr="00334C25">
        <w:rPr>
          <w:rStyle w:val="s1"/>
          <w:rFonts w:eastAsiaTheme="majorEastAsia"/>
          <w:b/>
          <w:bCs/>
          <w:color w:val="000000" w:themeColor="text1"/>
          <w:sz w:val="28"/>
          <w:szCs w:val="28"/>
        </w:rPr>
        <w:t>Різні висновки щодо вартості й стійкості моделей.</w:t>
      </w:r>
      <w:r w:rsidRPr="00334C25">
        <w:rPr>
          <w:color w:val="000000" w:themeColor="text1"/>
          <w:sz w:val="28"/>
          <w:szCs w:val="28"/>
        </w:rPr>
        <w:t xml:space="preserve"> Деякі звіти вказують, що «єдине вікно» найбільш ефективне за повнотою послуг, інші наголошують на високих витратах і складності розгортання в кризі; потрібні аналітичні дослідження з оцінкою вартості на одиницю обслуговування.</w:t>
      </w:r>
      <w:r w:rsidRPr="00334C25">
        <w:rPr>
          <w:rStyle w:val="apple-converted-space"/>
          <w:rFonts w:eastAsiaTheme="majorEastAsia"/>
          <w:color w:val="000000" w:themeColor="text1"/>
          <w:sz w:val="28"/>
          <w:szCs w:val="28"/>
        </w:rPr>
        <w:t xml:space="preserve">  </w:t>
      </w:r>
    </w:p>
    <w:p w14:paraId="118D1E94" w14:textId="77777777" w:rsidR="00334C25" w:rsidRPr="00334C25" w:rsidRDefault="00334C25" w:rsidP="00334C25">
      <w:pPr>
        <w:pStyle w:val="p1"/>
        <w:numPr>
          <w:ilvl w:val="0"/>
          <w:numId w:val="55"/>
        </w:numPr>
        <w:rPr>
          <w:color w:val="000000" w:themeColor="text1"/>
          <w:sz w:val="28"/>
          <w:szCs w:val="28"/>
        </w:rPr>
      </w:pPr>
      <w:r w:rsidRPr="00334C25">
        <w:rPr>
          <w:rStyle w:val="s1"/>
          <w:rFonts w:eastAsiaTheme="majorEastAsia"/>
          <w:b/>
          <w:bCs/>
          <w:color w:val="000000" w:themeColor="text1"/>
          <w:sz w:val="28"/>
          <w:szCs w:val="28"/>
        </w:rPr>
        <w:t>Недостатня увага до локального контексту.</w:t>
      </w:r>
      <w:r w:rsidRPr="00334C25">
        <w:rPr>
          <w:color w:val="000000" w:themeColor="text1"/>
          <w:sz w:val="28"/>
          <w:szCs w:val="28"/>
        </w:rPr>
        <w:t xml:space="preserve"> Дослідження часто ігнорують відмінності між областями (інфраструктура, здатність місцевої влади, наявність НДО), через що рекомендації виявляються універсальними, але не завжди практично здійсненними.</w:t>
      </w:r>
      <w:r w:rsidRPr="00334C25">
        <w:rPr>
          <w:rStyle w:val="apple-converted-space"/>
          <w:rFonts w:eastAsiaTheme="majorEastAsia"/>
          <w:color w:val="000000" w:themeColor="text1"/>
          <w:sz w:val="28"/>
          <w:szCs w:val="28"/>
        </w:rPr>
        <w:t xml:space="preserve">  </w:t>
      </w:r>
    </w:p>
    <w:p w14:paraId="452334E4" w14:textId="77777777" w:rsidR="00334C25" w:rsidRPr="00334C25" w:rsidRDefault="00334C25" w:rsidP="00334C25">
      <w:pPr>
        <w:rPr>
          <w:color w:val="000000" w:themeColor="text1"/>
          <w:lang w:val="en-US"/>
        </w:rPr>
      </w:pPr>
    </w:p>
    <w:p w14:paraId="38B8B9FD" w14:textId="77777777" w:rsidR="0020188B" w:rsidRPr="00334C25" w:rsidRDefault="0020188B" w:rsidP="0020188B">
      <w:pPr>
        <w:pStyle w:val="2"/>
        <w:rPr>
          <w:rFonts w:ascii="Times New Roman" w:hAnsi="Times New Roman" w:cs="Times New Roman"/>
          <w:color w:val="000000" w:themeColor="text1"/>
          <w:sz w:val="28"/>
          <w:szCs w:val="28"/>
        </w:rPr>
      </w:pPr>
      <w:bookmarkStart w:id="20" w:name="_Toc214217515"/>
      <w:r w:rsidRPr="00334C25">
        <w:rPr>
          <w:rFonts w:ascii="Times New Roman" w:hAnsi="Times New Roman" w:cs="Times New Roman"/>
          <w:color w:val="000000" w:themeColor="text1"/>
          <w:sz w:val="28"/>
          <w:szCs w:val="28"/>
        </w:rPr>
        <w:t>1.5. Короткі висновки по розділу (що з теорії витікає для вашого дослідження).</w:t>
      </w:r>
      <w:bookmarkEnd w:id="20"/>
    </w:p>
    <w:p w14:paraId="6E2A14A5" w14:textId="1C475CCB" w:rsidR="00334C25" w:rsidRPr="00334C25" w:rsidRDefault="00334C25" w:rsidP="00334C25">
      <w:pPr>
        <w:pStyle w:val="p1"/>
        <w:rPr>
          <w:color w:val="000000" w:themeColor="text1"/>
          <w:sz w:val="28"/>
          <w:szCs w:val="28"/>
        </w:rPr>
      </w:pPr>
      <w:r w:rsidRPr="00334C25">
        <w:rPr>
          <w:color w:val="000000" w:themeColor="text1"/>
          <w:sz w:val="28"/>
          <w:szCs w:val="28"/>
        </w:rPr>
        <w:t>У підсумку теоретичного розгляду виокремлюються ключові положення, які прямо визначають дизайн емпіричної частини, вибір інструментів і критерії оцінки транзитних центрів. Нижче наведено стислі висновки та практичні наслідки для вашого дослідження.</w:t>
      </w:r>
    </w:p>
    <w:p w14:paraId="5F67008A" w14:textId="77777777" w:rsidR="00334C25" w:rsidRPr="00334C25" w:rsidRDefault="00334C25" w:rsidP="00334C25">
      <w:pPr>
        <w:pStyle w:val="2"/>
        <w:rPr>
          <w:rFonts w:ascii="Times New Roman" w:hAnsi="Times New Roman" w:cs="Times New Roman"/>
          <w:color w:val="000000" w:themeColor="text1"/>
          <w:sz w:val="28"/>
          <w:szCs w:val="28"/>
        </w:rPr>
      </w:pPr>
      <w:bookmarkStart w:id="21" w:name="_Toc214217516"/>
      <w:r w:rsidRPr="00334C25">
        <w:rPr>
          <w:rFonts w:ascii="Times New Roman" w:hAnsi="Times New Roman" w:cs="Times New Roman"/>
          <w:color w:val="000000" w:themeColor="text1"/>
          <w:sz w:val="28"/>
          <w:szCs w:val="28"/>
        </w:rPr>
        <w:t>Ключові висновки</w:t>
      </w:r>
      <w:bookmarkEnd w:id="21"/>
    </w:p>
    <w:p w14:paraId="0D8C9F0E" w14:textId="77777777"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Необхідність міждисциплінарної рамки.</w:t>
      </w:r>
      <w:r w:rsidRPr="00334C25">
        <w:rPr>
          <w:color w:val="000000" w:themeColor="text1"/>
          <w:sz w:val="28"/>
          <w:szCs w:val="28"/>
        </w:rPr>
        <w:t xml:space="preserve"> Поєднання підходу прав людини, теорій соціального захисту та фазового уявлення про </w:t>
      </w:r>
      <w:r w:rsidRPr="00334C25">
        <w:rPr>
          <w:color w:val="000000" w:themeColor="text1"/>
          <w:sz w:val="28"/>
          <w:szCs w:val="28"/>
        </w:rPr>
        <w:lastRenderedPageBreak/>
        <w:t>переміщення формує більш повну аналітичну основу, ніж застосування лише однієї шкали.</w:t>
      </w:r>
    </w:p>
    <w:p w14:paraId="66BE854B" w14:textId="7559F11A"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Фазовість потреб переміщених осіб.</w:t>
      </w:r>
      <w:r w:rsidRPr="00334C25">
        <w:rPr>
          <w:color w:val="000000" w:themeColor="text1"/>
          <w:sz w:val="28"/>
          <w:szCs w:val="28"/>
        </w:rPr>
        <w:t xml:space="preserve"> Потреби змінюються залежно від фази переміщення (початкова </w:t>
      </w:r>
      <w:r w:rsidR="008D7B0D">
        <w:rPr>
          <w:color w:val="000000" w:themeColor="text1"/>
          <w:sz w:val="28"/>
          <w:szCs w:val="28"/>
        </w:rPr>
        <w:t>-</w:t>
      </w:r>
      <w:r w:rsidRPr="00334C25">
        <w:rPr>
          <w:color w:val="000000" w:themeColor="text1"/>
          <w:sz w:val="28"/>
          <w:szCs w:val="28"/>
        </w:rPr>
        <w:t xml:space="preserve"> перехідна </w:t>
      </w:r>
      <w:r w:rsidR="008D7B0D">
        <w:rPr>
          <w:color w:val="000000" w:themeColor="text1"/>
          <w:sz w:val="28"/>
          <w:szCs w:val="28"/>
        </w:rPr>
        <w:t>-</w:t>
      </w:r>
      <w:r w:rsidRPr="00334C25">
        <w:rPr>
          <w:color w:val="000000" w:themeColor="text1"/>
          <w:sz w:val="28"/>
          <w:szCs w:val="28"/>
        </w:rPr>
        <w:t xml:space="preserve"> довгострокова); транзитні центри виконують першочергові функції, але мають бути інтегровані в мережу послуг для переходу до сталих рішень.</w:t>
      </w:r>
    </w:p>
    <w:p w14:paraId="360C8AB4" w14:textId="77777777"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Модельна неоднорідність та контекстуальність.</w:t>
      </w:r>
      <w:r w:rsidRPr="00334C25">
        <w:rPr>
          <w:color w:val="000000" w:themeColor="text1"/>
          <w:sz w:val="28"/>
          <w:szCs w:val="28"/>
        </w:rPr>
        <w:t xml:space="preserve"> Жодна модель не є універсально кращою: ефективність моделі залежить від масштабу потоку людей, ресурсів і локального контексту (місто/село, наявність партнерів).</w:t>
      </w:r>
    </w:p>
    <w:p w14:paraId="1A31E9EB" w14:textId="48570424"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 xml:space="preserve">Бар’єри доступу </w:t>
      </w:r>
      <w:r w:rsidR="008D7B0D">
        <w:rPr>
          <w:rStyle w:val="s1"/>
          <w:rFonts w:eastAsiaTheme="majorEastAsia"/>
          <w:b/>
          <w:bCs/>
          <w:color w:val="000000" w:themeColor="text1"/>
          <w:sz w:val="28"/>
          <w:szCs w:val="28"/>
        </w:rPr>
        <w:t>-</w:t>
      </w:r>
      <w:r w:rsidRPr="00334C25">
        <w:rPr>
          <w:rStyle w:val="s1"/>
          <w:rFonts w:eastAsiaTheme="majorEastAsia"/>
          <w:b/>
          <w:bCs/>
          <w:color w:val="000000" w:themeColor="text1"/>
          <w:sz w:val="28"/>
          <w:szCs w:val="28"/>
        </w:rPr>
        <w:t xml:space="preserve"> багатоаспектна проблема.</w:t>
      </w:r>
      <w:r w:rsidRPr="00334C25">
        <w:rPr>
          <w:color w:val="000000" w:themeColor="text1"/>
          <w:sz w:val="28"/>
          <w:szCs w:val="28"/>
        </w:rPr>
        <w:t xml:space="preserve"> Правові, географічні, інформаційні, економічні та соціокультурні бар’єри мають бути виміряні окремо, оскільки кожен тип бар’єра вимагає своєї інтервенції.</w:t>
      </w:r>
    </w:p>
    <w:p w14:paraId="07E79DA3" w14:textId="77777777"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Значення інтегрованості й рефералів.</w:t>
      </w:r>
      <w:r w:rsidRPr="00334C25">
        <w:rPr>
          <w:color w:val="000000" w:themeColor="text1"/>
          <w:sz w:val="28"/>
          <w:szCs w:val="28"/>
        </w:rPr>
        <w:t xml:space="preserve"> Формалізовані маршрути перенаправлення і домовленості між акторами підвищують шанс на успішне рішення потреб вразливих груп.</w:t>
      </w:r>
    </w:p>
    <w:p w14:paraId="5B9731B5" w14:textId="77777777"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Потреба у стандартизованих індикаторах.</w:t>
      </w:r>
      <w:r w:rsidRPr="00334C25">
        <w:rPr>
          <w:color w:val="000000" w:themeColor="text1"/>
          <w:sz w:val="28"/>
          <w:szCs w:val="28"/>
        </w:rPr>
        <w:t xml:space="preserve"> Відсутність уніфікованих показників ускладнює порівняння; дослідження має використовувати чітко визначені, відтворювані індикатори.</w:t>
      </w:r>
    </w:p>
    <w:p w14:paraId="525ACF22" w14:textId="2EFF73E0" w:rsidR="00334C25" w:rsidRPr="00334C25"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 xml:space="preserve">Захист та підзвітність </w:t>
      </w:r>
      <w:r w:rsidR="008D7B0D">
        <w:rPr>
          <w:rStyle w:val="s1"/>
          <w:rFonts w:eastAsiaTheme="majorEastAsia"/>
          <w:b/>
          <w:bCs/>
          <w:color w:val="000000" w:themeColor="text1"/>
          <w:sz w:val="28"/>
          <w:szCs w:val="28"/>
        </w:rPr>
        <w:t>-</w:t>
      </w:r>
      <w:r w:rsidRPr="00334C25">
        <w:rPr>
          <w:rStyle w:val="s1"/>
          <w:rFonts w:eastAsiaTheme="majorEastAsia"/>
          <w:b/>
          <w:bCs/>
          <w:color w:val="000000" w:themeColor="text1"/>
          <w:sz w:val="28"/>
          <w:szCs w:val="28"/>
        </w:rPr>
        <w:t xml:space="preserve"> обов’язкові складові.</w:t>
      </w:r>
      <w:r w:rsidRPr="00334C25">
        <w:rPr>
          <w:color w:val="000000" w:themeColor="text1"/>
          <w:sz w:val="28"/>
          <w:szCs w:val="28"/>
        </w:rPr>
        <w:t xml:space="preserve"> Інтегрування заходів захисту (PSEA, механізми скарг, конфіденційність) впливає на якість доступу та довіру користувачів.</w:t>
      </w:r>
    </w:p>
    <w:p w14:paraId="427BD9C1" w14:textId="42332904" w:rsidR="00334C25" w:rsidRPr="008D7B0D" w:rsidRDefault="00334C25" w:rsidP="00334C25">
      <w:pPr>
        <w:pStyle w:val="p1"/>
        <w:numPr>
          <w:ilvl w:val="0"/>
          <w:numId w:val="56"/>
        </w:numPr>
        <w:rPr>
          <w:color w:val="000000" w:themeColor="text1"/>
          <w:sz w:val="28"/>
          <w:szCs w:val="28"/>
        </w:rPr>
      </w:pPr>
      <w:r w:rsidRPr="00334C25">
        <w:rPr>
          <w:rStyle w:val="s1"/>
          <w:rFonts w:eastAsiaTheme="majorEastAsia"/>
          <w:b/>
          <w:bCs/>
          <w:color w:val="000000" w:themeColor="text1"/>
          <w:sz w:val="28"/>
          <w:szCs w:val="28"/>
        </w:rPr>
        <w:t xml:space="preserve">Комбінований метод </w:t>
      </w:r>
      <w:r w:rsidR="008D7B0D">
        <w:rPr>
          <w:rStyle w:val="s1"/>
          <w:rFonts w:eastAsiaTheme="majorEastAsia"/>
          <w:b/>
          <w:bCs/>
          <w:color w:val="000000" w:themeColor="text1"/>
          <w:sz w:val="28"/>
          <w:szCs w:val="28"/>
        </w:rPr>
        <w:t>-</w:t>
      </w:r>
      <w:r w:rsidRPr="00334C25">
        <w:rPr>
          <w:rStyle w:val="s1"/>
          <w:rFonts w:eastAsiaTheme="majorEastAsia"/>
          <w:b/>
          <w:bCs/>
          <w:color w:val="000000" w:themeColor="text1"/>
          <w:sz w:val="28"/>
          <w:szCs w:val="28"/>
        </w:rPr>
        <w:t xml:space="preserve"> оптимальний вибір.</w:t>
      </w:r>
      <w:r w:rsidRPr="00334C25">
        <w:rPr>
          <w:color w:val="000000" w:themeColor="text1"/>
          <w:sz w:val="28"/>
          <w:szCs w:val="28"/>
        </w:rPr>
        <w:t xml:space="preserve"> Кількісні дані дають масштабні вимірювання, якісні </w:t>
      </w:r>
      <w:r w:rsidR="008D7B0D">
        <w:rPr>
          <w:color w:val="000000" w:themeColor="text1"/>
          <w:sz w:val="28"/>
          <w:szCs w:val="28"/>
        </w:rPr>
        <w:t>-</w:t>
      </w:r>
      <w:r w:rsidRPr="00334C25">
        <w:rPr>
          <w:color w:val="000000" w:themeColor="text1"/>
          <w:sz w:val="28"/>
          <w:szCs w:val="28"/>
        </w:rPr>
        <w:t xml:space="preserve"> пояснюють причини й контекст; їхнє поєднання підвищує валідність висновків.</w:t>
      </w:r>
    </w:p>
    <w:p w14:paraId="245D93B0" w14:textId="77777777" w:rsidR="00334C25" w:rsidRPr="00334C25" w:rsidRDefault="00334C25" w:rsidP="00334C25">
      <w:pPr>
        <w:pStyle w:val="2"/>
        <w:rPr>
          <w:rFonts w:ascii="Times New Roman" w:hAnsi="Times New Roman" w:cs="Times New Roman"/>
          <w:color w:val="000000" w:themeColor="text1"/>
          <w:sz w:val="28"/>
          <w:szCs w:val="28"/>
        </w:rPr>
      </w:pPr>
      <w:bookmarkStart w:id="22" w:name="_Toc214217517"/>
      <w:r w:rsidRPr="00334C25">
        <w:rPr>
          <w:rFonts w:ascii="Times New Roman" w:hAnsi="Times New Roman" w:cs="Times New Roman"/>
          <w:color w:val="000000" w:themeColor="text1"/>
          <w:sz w:val="28"/>
          <w:szCs w:val="28"/>
        </w:rPr>
        <w:lastRenderedPageBreak/>
        <w:t>Практичні наслідки для методології дослідження (що включити)</w:t>
      </w:r>
      <w:bookmarkEnd w:id="22"/>
    </w:p>
    <w:p w14:paraId="34F78C52" w14:textId="77777777"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t>Операціоналізувати ключові поняття.</w:t>
      </w:r>
      <w:r w:rsidRPr="00334C25">
        <w:rPr>
          <w:color w:val="000000" w:themeColor="text1"/>
          <w:sz w:val="28"/>
          <w:szCs w:val="28"/>
        </w:rPr>
        <w:t xml:space="preserve"> Включити в методологію чіткі робочі визначення (транзитний центр, мінімальний пакет послуг, успішний реферал, інклюзія тощо) із відповідними показниками.</w:t>
      </w:r>
    </w:p>
    <w:p w14:paraId="17CF0746" w14:textId="77777777" w:rsidR="00334C25" w:rsidRPr="00334C25" w:rsidRDefault="00334C25" w:rsidP="00334C25">
      <w:pPr>
        <w:pStyle w:val="p1"/>
        <w:numPr>
          <w:ilvl w:val="0"/>
          <w:numId w:val="57"/>
        </w:numPr>
        <w:rPr>
          <w:color w:val="000000" w:themeColor="text1"/>
          <w:sz w:val="28"/>
          <w:szCs w:val="28"/>
        </w:rPr>
      </w:pPr>
      <w:r w:rsidRPr="00334C25">
        <w:rPr>
          <w:b/>
          <w:bCs/>
          <w:color w:val="000000" w:themeColor="text1"/>
          <w:sz w:val="28"/>
          <w:szCs w:val="28"/>
        </w:rPr>
        <w:t>Ввести уніфікований набір індикаторів:</w:t>
      </w:r>
    </w:p>
    <w:p w14:paraId="7C56C7F7" w14:textId="77777777" w:rsidR="00334C25" w:rsidRPr="00334C25" w:rsidRDefault="00334C25" w:rsidP="00334C25">
      <w:pPr>
        <w:pStyle w:val="p1"/>
        <w:numPr>
          <w:ilvl w:val="1"/>
          <w:numId w:val="57"/>
        </w:numPr>
        <w:rPr>
          <w:color w:val="000000" w:themeColor="text1"/>
          <w:sz w:val="28"/>
          <w:szCs w:val="28"/>
        </w:rPr>
      </w:pPr>
      <w:r w:rsidRPr="00334C25">
        <w:rPr>
          <w:color w:val="000000" w:themeColor="text1"/>
          <w:sz w:val="28"/>
          <w:szCs w:val="28"/>
        </w:rPr>
        <w:t>Своєчасність реєстрації (час від прибуття до первинної реєстрації).</w:t>
      </w:r>
    </w:p>
    <w:p w14:paraId="28425022" w14:textId="77777777" w:rsidR="00334C25" w:rsidRPr="00334C25" w:rsidRDefault="00334C25" w:rsidP="00334C25">
      <w:pPr>
        <w:pStyle w:val="p1"/>
        <w:numPr>
          <w:ilvl w:val="1"/>
          <w:numId w:val="57"/>
        </w:numPr>
        <w:rPr>
          <w:color w:val="000000" w:themeColor="text1"/>
          <w:sz w:val="28"/>
          <w:szCs w:val="28"/>
        </w:rPr>
      </w:pPr>
      <w:r w:rsidRPr="00334C25">
        <w:rPr>
          <w:color w:val="000000" w:themeColor="text1"/>
          <w:sz w:val="28"/>
          <w:szCs w:val="28"/>
        </w:rPr>
        <w:t>Повнота мінімального пакета (% отримавших усі елементи).</w:t>
      </w:r>
    </w:p>
    <w:p w14:paraId="1308F681" w14:textId="77777777" w:rsidR="00334C25" w:rsidRPr="00334C25" w:rsidRDefault="00334C25" w:rsidP="00334C25">
      <w:pPr>
        <w:pStyle w:val="p1"/>
        <w:numPr>
          <w:ilvl w:val="1"/>
          <w:numId w:val="57"/>
        </w:numPr>
        <w:rPr>
          <w:color w:val="000000" w:themeColor="text1"/>
          <w:sz w:val="28"/>
          <w:szCs w:val="28"/>
        </w:rPr>
      </w:pPr>
      <w:r w:rsidRPr="00334C25">
        <w:rPr>
          <w:color w:val="000000" w:themeColor="text1"/>
          <w:sz w:val="28"/>
          <w:szCs w:val="28"/>
        </w:rPr>
        <w:t>Успішність рефералів (% завершених рефералів).</w:t>
      </w:r>
    </w:p>
    <w:p w14:paraId="59E577A5" w14:textId="77777777" w:rsidR="00334C25" w:rsidRPr="00334C25" w:rsidRDefault="00334C25" w:rsidP="00334C25">
      <w:pPr>
        <w:pStyle w:val="p1"/>
        <w:numPr>
          <w:ilvl w:val="1"/>
          <w:numId w:val="57"/>
        </w:numPr>
        <w:rPr>
          <w:color w:val="000000" w:themeColor="text1"/>
          <w:sz w:val="28"/>
          <w:szCs w:val="28"/>
        </w:rPr>
      </w:pPr>
      <w:r w:rsidRPr="00334C25">
        <w:rPr>
          <w:color w:val="000000" w:themeColor="text1"/>
          <w:sz w:val="28"/>
          <w:szCs w:val="28"/>
        </w:rPr>
        <w:t>Індекс інклюзії (наявність адаптацій + % користувачів з інвалідністю, що отримали послугу).</w:t>
      </w:r>
    </w:p>
    <w:p w14:paraId="532BEB67" w14:textId="77777777" w:rsidR="00334C25" w:rsidRPr="00334C25" w:rsidRDefault="00334C25" w:rsidP="00334C25">
      <w:pPr>
        <w:pStyle w:val="p1"/>
        <w:numPr>
          <w:ilvl w:val="1"/>
          <w:numId w:val="57"/>
        </w:numPr>
        <w:rPr>
          <w:color w:val="000000" w:themeColor="text1"/>
          <w:sz w:val="28"/>
          <w:szCs w:val="28"/>
        </w:rPr>
      </w:pPr>
      <w:r w:rsidRPr="00334C25">
        <w:rPr>
          <w:color w:val="000000" w:themeColor="text1"/>
          <w:sz w:val="28"/>
          <w:szCs w:val="28"/>
        </w:rPr>
        <w:t>Задоволеність користувачів.</w:t>
      </w:r>
    </w:p>
    <w:p w14:paraId="56F2AEED" w14:textId="77777777"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t>Застосувати змішану методологію:</w:t>
      </w:r>
      <w:r w:rsidRPr="00334C25">
        <w:rPr>
          <w:color w:val="000000" w:themeColor="text1"/>
          <w:sz w:val="28"/>
          <w:szCs w:val="28"/>
        </w:rPr>
        <w:t xml:space="preserve"> кількісні реєстри + опитування користувачів (мінімум N ≈ 200 для середнього центру, або повне охоплення при невеликому потоці) + 15–25 напівструктурованих інтерв’ю з персоналом і ключовими інформантами + 3–5 фокусних груп.</w:t>
      </w:r>
    </w:p>
    <w:p w14:paraId="372D9224" w14:textId="77777777"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t>Планувати повторні вимірювання (T0, T1, T2).</w:t>
      </w:r>
      <w:r w:rsidRPr="00334C25">
        <w:rPr>
          <w:color w:val="000000" w:themeColor="text1"/>
          <w:sz w:val="28"/>
          <w:szCs w:val="28"/>
        </w:rPr>
        <w:t xml:space="preserve"> Вимірювання на старті, через 1–3 місяці і через 6 місяців дозволить оцінити коротко- та середньостроковий вплив.</w:t>
      </w:r>
    </w:p>
    <w:p w14:paraId="6A4C32F6" w14:textId="77777777"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t>Включити економічний компонент.</w:t>
      </w:r>
      <w:r w:rsidRPr="00334C25">
        <w:rPr>
          <w:color w:val="000000" w:themeColor="text1"/>
          <w:sz w:val="28"/>
          <w:szCs w:val="28"/>
        </w:rPr>
        <w:t xml:space="preserve"> Простий розрахунок витрат на особу/пакет дозволить порівнювати стійкість моделей.</w:t>
      </w:r>
    </w:p>
    <w:p w14:paraId="084BF6F0" w14:textId="77777777"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t>Перевірка відповідності законодавству та стандартам.</w:t>
      </w:r>
      <w:r w:rsidRPr="00334C25">
        <w:rPr>
          <w:color w:val="000000" w:themeColor="text1"/>
          <w:sz w:val="28"/>
          <w:szCs w:val="28"/>
        </w:rPr>
        <w:t xml:space="preserve"> Включити в інструментарій чек-ліст відповідності нормативним актам і гуманітарним стандартам (PSEA, конфіденційність, SOP щодо реєстрації ВПО).</w:t>
      </w:r>
    </w:p>
    <w:p w14:paraId="654D1A6B" w14:textId="77777777"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lastRenderedPageBreak/>
        <w:t>Приділити увагу голосу користувачів.</w:t>
      </w:r>
      <w:r w:rsidRPr="00334C25">
        <w:rPr>
          <w:color w:val="000000" w:themeColor="text1"/>
          <w:sz w:val="28"/>
          <w:szCs w:val="28"/>
        </w:rPr>
        <w:t xml:space="preserve"> Збирати систематичні дані про причини невикористання послуг, перешкоди та пропозиції самих ВПО.</w:t>
      </w:r>
    </w:p>
    <w:p w14:paraId="1EBBE471" w14:textId="717639A8" w:rsidR="00334C25" w:rsidRPr="00334C25" w:rsidRDefault="00334C25" w:rsidP="00334C25">
      <w:pPr>
        <w:pStyle w:val="p1"/>
        <w:numPr>
          <w:ilvl w:val="0"/>
          <w:numId w:val="57"/>
        </w:numPr>
        <w:rPr>
          <w:color w:val="000000" w:themeColor="text1"/>
          <w:sz w:val="28"/>
          <w:szCs w:val="28"/>
        </w:rPr>
      </w:pPr>
      <w:r w:rsidRPr="00334C25">
        <w:rPr>
          <w:rStyle w:val="s1"/>
          <w:rFonts w:eastAsiaTheme="majorEastAsia"/>
          <w:b/>
          <w:bCs/>
          <w:color w:val="000000" w:themeColor="text1"/>
          <w:sz w:val="28"/>
          <w:szCs w:val="28"/>
        </w:rPr>
        <w:t>Розділяти аналіз за контекстом.</w:t>
      </w:r>
      <w:r w:rsidRPr="00334C25">
        <w:rPr>
          <w:color w:val="000000" w:themeColor="text1"/>
          <w:sz w:val="28"/>
          <w:szCs w:val="28"/>
        </w:rPr>
        <w:t xml:space="preserve"> Окремі підвибірки для міських і сільських центрів, для центрів з різними моделями організації.</w:t>
      </w:r>
    </w:p>
    <w:p w14:paraId="293776FA" w14:textId="77777777" w:rsidR="00334C25" w:rsidRPr="00334C25" w:rsidRDefault="00334C25" w:rsidP="00334C25">
      <w:pPr>
        <w:pStyle w:val="2"/>
        <w:rPr>
          <w:rFonts w:ascii="Times New Roman" w:hAnsi="Times New Roman" w:cs="Times New Roman"/>
          <w:color w:val="000000" w:themeColor="text1"/>
          <w:sz w:val="28"/>
          <w:szCs w:val="28"/>
        </w:rPr>
      </w:pPr>
      <w:bookmarkStart w:id="23" w:name="_Toc214217518"/>
      <w:r w:rsidRPr="00334C25">
        <w:rPr>
          <w:rFonts w:ascii="Times New Roman" w:hAnsi="Times New Roman" w:cs="Times New Roman"/>
          <w:color w:val="000000" w:themeColor="text1"/>
          <w:sz w:val="28"/>
          <w:szCs w:val="28"/>
        </w:rPr>
        <w:t>Очікуваний внесок дослідження</w:t>
      </w:r>
      <w:bookmarkEnd w:id="23"/>
    </w:p>
    <w:p w14:paraId="4FDC29F0" w14:textId="77777777" w:rsidR="00334C25" w:rsidRPr="00334C25" w:rsidRDefault="00334C25" w:rsidP="00334C25">
      <w:pPr>
        <w:pStyle w:val="p1"/>
        <w:numPr>
          <w:ilvl w:val="0"/>
          <w:numId w:val="58"/>
        </w:numPr>
        <w:rPr>
          <w:color w:val="000000" w:themeColor="text1"/>
          <w:sz w:val="28"/>
          <w:szCs w:val="28"/>
        </w:rPr>
      </w:pPr>
      <w:r w:rsidRPr="00334C25">
        <w:rPr>
          <w:color w:val="000000" w:themeColor="text1"/>
          <w:sz w:val="28"/>
          <w:szCs w:val="28"/>
        </w:rPr>
        <w:t>Надання уніфікованого набору індикаторів для оцінки транзитних центрів.</w:t>
      </w:r>
    </w:p>
    <w:p w14:paraId="4C41C337" w14:textId="77777777" w:rsidR="00334C25" w:rsidRPr="00334C25" w:rsidRDefault="00334C25" w:rsidP="00334C25">
      <w:pPr>
        <w:pStyle w:val="p1"/>
        <w:numPr>
          <w:ilvl w:val="0"/>
          <w:numId w:val="58"/>
        </w:numPr>
        <w:rPr>
          <w:color w:val="000000" w:themeColor="text1"/>
          <w:sz w:val="28"/>
          <w:szCs w:val="28"/>
        </w:rPr>
      </w:pPr>
      <w:r w:rsidRPr="00334C25">
        <w:rPr>
          <w:color w:val="000000" w:themeColor="text1"/>
          <w:sz w:val="28"/>
          <w:szCs w:val="28"/>
        </w:rPr>
        <w:t>Порівняльний аналіз моделей у конкретному регіональному контексті із врахуванням вартості та інклюзії.</w:t>
      </w:r>
    </w:p>
    <w:p w14:paraId="11EAE575" w14:textId="77777777" w:rsidR="00334C25" w:rsidRPr="00334C25" w:rsidRDefault="00334C25" w:rsidP="00334C25">
      <w:pPr>
        <w:pStyle w:val="p1"/>
        <w:numPr>
          <w:ilvl w:val="0"/>
          <w:numId w:val="58"/>
        </w:numPr>
        <w:rPr>
          <w:color w:val="000000" w:themeColor="text1"/>
          <w:sz w:val="28"/>
          <w:szCs w:val="28"/>
        </w:rPr>
      </w:pPr>
      <w:r w:rsidRPr="00334C25">
        <w:rPr>
          <w:color w:val="000000" w:themeColor="text1"/>
          <w:sz w:val="28"/>
          <w:szCs w:val="28"/>
        </w:rPr>
        <w:t>Практичні рекомендації для органів місцевого управління й гуманітарних партнерів щодо оптимального поєднання моделей і процедур для підвищення своєчасності, повноти та інклюзивності обслуговування.</w:t>
      </w:r>
    </w:p>
    <w:p w14:paraId="72DBA810" w14:textId="77777777" w:rsidR="0020188B" w:rsidRPr="00334C25" w:rsidRDefault="0020188B" w:rsidP="0020188B">
      <w:pPr>
        <w:rPr>
          <w:color w:val="000000" w:themeColor="text1"/>
          <w:lang w:eastAsia="en-US"/>
        </w:rPr>
      </w:pPr>
    </w:p>
    <w:p w14:paraId="68E9B0FA" w14:textId="77777777" w:rsidR="0020188B" w:rsidRPr="00334C25" w:rsidRDefault="0020188B" w:rsidP="0020188B">
      <w:pPr>
        <w:rPr>
          <w:color w:val="000000" w:themeColor="text1"/>
          <w:lang w:eastAsia="en-US"/>
        </w:rPr>
      </w:pPr>
    </w:p>
    <w:p w14:paraId="2C5092B4" w14:textId="77777777" w:rsidR="0020188B" w:rsidRPr="00334C25" w:rsidRDefault="0020188B" w:rsidP="0020188B">
      <w:pPr>
        <w:rPr>
          <w:color w:val="000000" w:themeColor="text1"/>
          <w:lang w:eastAsia="en-US"/>
        </w:rPr>
      </w:pPr>
    </w:p>
    <w:p w14:paraId="53153CC1" w14:textId="77777777" w:rsidR="0020188B" w:rsidRPr="00334C25" w:rsidRDefault="0020188B" w:rsidP="0020188B">
      <w:pPr>
        <w:rPr>
          <w:color w:val="000000" w:themeColor="text1"/>
          <w:lang w:eastAsia="en-US"/>
        </w:rPr>
      </w:pPr>
    </w:p>
    <w:p w14:paraId="5AF59F67" w14:textId="77777777" w:rsidR="0020188B" w:rsidRPr="00334C25" w:rsidRDefault="0020188B" w:rsidP="0020188B">
      <w:pPr>
        <w:rPr>
          <w:color w:val="000000" w:themeColor="text1"/>
          <w:lang w:eastAsia="en-US"/>
        </w:rPr>
      </w:pPr>
    </w:p>
    <w:p w14:paraId="0DE81E2E" w14:textId="77777777" w:rsidR="0020188B" w:rsidRPr="00334C25" w:rsidRDefault="0020188B" w:rsidP="0020188B">
      <w:pPr>
        <w:rPr>
          <w:color w:val="000000" w:themeColor="text1"/>
          <w:lang w:eastAsia="en-US"/>
        </w:rPr>
      </w:pPr>
    </w:p>
    <w:p w14:paraId="0680B998" w14:textId="77777777" w:rsidR="0020188B" w:rsidRPr="00334C25" w:rsidRDefault="0020188B" w:rsidP="0020188B">
      <w:pPr>
        <w:rPr>
          <w:color w:val="000000" w:themeColor="text1"/>
          <w:lang w:eastAsia="en-US"/>
        </w:rPr>
      </w:pPr>
    </w:p>
    <w:p w14:paraId="665CCADE" w14:textId="77777777" w:rsidR="0020188B" w:rsidRPr="00334C25" w:rsidRDefault="0020188B" w:rsidP="0020188B">
      <w:pPr>
        <w:rPr>
          <w:color w:val="000000" w:themeColor="text1"/>
          <w:lang w:eastAsia="en-US"/>
        </w:rPr>
      </w:pPr>
    </w:p>
    <w:p w14:paraId="6CDD6436" w14:textId="77777777" w:rsidR="0020188B" w:rsidRPr="00334C25" w:rsidRDefault="0020188B" w:rsidP="0020188B">
      <w:pPr>
        <w:rPr>
          <w:color w:val="000000" w:themeColor="text1"/>
          <w:lang w:eastAsia="en-US"/>
        </w:rPr>
      </w:pPr>
    </w:p>
    <w:p w14:paraId="1C266631" w14:textId="77777777" w:rsidR="0020188B" w:rsidRPr="00334C25" w:rsidRDefault="0020188B" w:rsidP="0020188B">
      <w:pPr>
        <w:rPr>
          <w:color w:val="000000" w:themeColor="text1"/>
          <w:lang w:eastAsia="en-US"/>
        </w:rPr>
      </w:pPr>
    </w:p>
    <w:p w14:paraId="7D18B50D" w14:textId="77777777" w:rsidR="0020188B" w:rsidRPr="00334C25" w:rsidRDefault="0020188B" w:rsidP="0020188B">
      <w:pPr>
        <w:rPr>
          <w:color w:val="000000" w:themeColor="text1"/>
          <w:lang w:eastAsia="en-US"/>
        </w:rPr>
      </w:pPr>
    </w:p>
    <w:p w14:paraId="266695BB" w14:textId="77777777" w:rsidR="0020188B" w:rsidRPr="00334C25" w:rsidRDefault="0020188B" w:rsidP="0020188B">
      <w:pPr>
        <w:rPr>
          <w:color w:val="000000" w:themeColor="text1"/>
          <w:lang w:eastAsia="en-US"/>
        </w:rPr>
      </w:pPr>
    </w:p>
    <w:p w14:paraId="160E7019" w14:textId="77777777" w:rsidR="0020188B" w:rsidRPr="00334C25" w:rsidRDefault="0020188B" w:rsidP="0020188B">
      <w:pPr>
        <w:rPr>
          <w:color w:val="000000" w:themeColor="text1"/>
          <w:lang w:eastAsia="en-US"/>
        </w:rPr>
      </w:pPr>
    </w:p>
    <w:p w14:paraId="6D102278" w14:textId="77777777" w:rsidR="0020188B" w:rsidRPr="00334C25" w:rsidRDefault="0020188B" w:rsidP="0020188B">
      <w:pPr>
        <w:rPr>
          <w:color w:val="000000" w:themeColor="text1"/>
          <w:lang w:eastAsia="en-US"/>
        </w:rPr>
      </w:pPr>
    </w:p>
    <w:p w14:paraId="7611B4AF" w14:textId="77777777" w:rsidR="0020188B" w:rsidRPr="00334C25" w:rsidRDefault="0020188B" w:rsidP="0020188B">
      <w:pPr>
        <w:rPr>
          <w:color w:val="000000" w:themeColor="text1"/>
          <w:lang w:eastAsia="en-US"/>
        </w:rPr>
      </w:pPr>
    </w:p>
    <w:p w14:paraId="5DD2BFA5" w14:textId="77777777" w:rsidR="0020188B" w:rsidRPr="00334C25" w:rsidRDefault="0020188B" w:rsidP="0020188B">
      <w:pPr>
        <w:rPr>
          <w:color w:val="000000" w:themeColor="text1"/>
          <w:lang w:eastAsia="en-US"/>
        </w:rPr>
      </w:pPr>
    </w:p>
    <w:p w14:paraId="4DAE0D5F" w14:textId="77777777" w:rsidR="0020188B" w:rsidRPr="00334C25" w:rsidRDefault="0020188B" w:rsidP="0020188B">
      <w:pPr>
        <w:rPr>
          <w:color w:val="000000" w:themeColor="text1"/>
          <w:lang w:eastAsia="en-US"/>
        </w:rPr>
      </w:pPr>
    </w:p>
    <w:p w14:paraId="4DDEBB7E" w14:textId="6E7E0FE0" w:rsidR="0020188B" w:rsidRPr="00334C25" w:rsidRDefault="0020188B" w:rsidP="0020188B">
      <w:pPr>
        <w:pStyle w:val="1"/>
        <w:rPr>
          <w:color w:val="000000" w:themeColor="text1"/>
          <w:lang w:val="uk-UA"/>
        </w:rPr>
      </w:pPr>
      <w:bookmarkStart w:id="24" w:name="_Toc214217519"/>
      <w:r w:rsidRPr="00334C25">
        <w:rPr>
          <w:color w:val="000000" w:themeColor="text1"/>
        </w:rPr>
        <w:lastRenderedPageBreak/>
        <w:t>Розділ 2. М</w:t>
      </w:r>
      <w:r w:rsidRPr="00334C25">
        <w:rPr>
          <w:color w:val="000000" w:themeColor="text1"/>
          <w:lang w:val="uk-UA"/>
        </w:rPr>
        <w:t>ЕТОДОЛОГІЯ ДОСЛІДЖЕННЯ</w:t>
      </w:r>
      <w:bookmarkEnd w:id="24"/>
    </w:p>
    <w:p w14:paraId="36F55721" w14:textId="388E0DE3" w:rsidR="0020188B" w:rsidRPr="00334C25" w:rsidRDefault="0020188B" w:rsidP="0020188B">
      <w:pPr>
        <w:pStyle w:val="2"/>
        <w:rPr>
          <w:rFonts w:ascii="Times New Roman" w:hAnsi="Times New Roman" w:cs="Times New Roman"/>
          <w:color w:val="000000" w:themeColor="text1"/>
          <w:sz w:val="28"/>
          <w:szCs w:val="28"/>
        </w:rPr>
      </w:pPr>
      <w:bookmarkStart w:id="25" w:name="_Toc214217520"/>
      <w:r w:rsidRPr="00334C25">
        <w:rPr>
          <w:rFonts w:ascii="Times New Roman" w:hAnsi="Times New Roman" w:cs="Times New Roman"/>
          <w:color w:val="000000" w:themeColor="text1"/>
          <w:sz w:val="28"/>
          <w:szCs w:val="28"/>
        </w:rPr>
        <w:t>2.1. Дизайн дослідження</w:t>
      </w:r>
      <w:bookmarkEnd w:id="25"/>
      <w:r w:rsidRPr="00334C25">
        <w:rPr>
          <w:rFonts w:ascii="Times New Roman" w:hAnsi="Times New Roman" w:cs="Times New Roman"/>
          <w:color w:val="000000" w:themeColor="text1"/>
          <w:sz w:val="28"/>
          <w:szCs w:val="28"/>
        </w:rPr>
        <w:t xml:space="preserve"> </w:t>
      </w:r>
    </w:p>
    <w:p w14:paraId="447E9C76" w14:textId="44352A27"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Мета розділу </w:t>
      </w:r>
      <w:r w:rsidR="008D7B0D">
        <w:rPr>
          <w:color w:val="000000" w:themeColor="text1"/>
          <w:sz w:val="28"/>
          <w:szCs w:val="28"/>
          <w:lang w:val="ru-UA"/>
        </w:rPr>
        <w:t>-</w:t>
      </w:r>
      <w:r w:rsidRPr="00334C25">
        <w:rPr>
          <w:color w:val="000000" w:themeColor="text1"/>
          <w:sz w:val="28"/>
          <w:szCs w:val="28"/>
          <w:lang w:val="ru-UA"/>
        </w:rPr>
        <w:t xml:space="preserve"> відобразити логіку дослідницького дизайну, описати вибірку, інструменти і процедури збору даних, етичні гарантії, а також методи обробки й оцінки надійності та валідності результатів. Дослідження має прикладний спрямунок і орієнтоване на виявлення прогалин у системі соціального забезпечення під час евакуації та функціонування транзитних центрів.</w:t>
      </w:r>
    </w:p>
    <w:p w14:paraId="51FC5EA7" w14:textId="77777777"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Дослідження реалізовано як якісно-кількісне (з переважанням якісної частини) з елементами порівняльного аналізу практик. Воно поєднує:</w:t>
      </w:r>
    </w:p>
    <w:p w14:paraId="59C7FE30" w14:textId="77777777" w:rsidR="00334C25" w:rsidRPr="00334C25" w:rsidRDefault="00334C25" w:rsidP="00334C25">
      <w:pPr>
        <w:numPr>
          <w:ilvl w:val="0"/>
          <w:numId w:val="59"/>
        </w:numPr>
        <w:spacing w:before="100" w:beforeAutospacing="1" w:after="100" w:afterAutospacing="1"/>
        <w:rPr>
          <w:color w:val="000000" w:themeColor="text1"/>
          <w:sz w:val="28"/>
          <w:szCs w:val="28"/>
          <w:lang w:val="ru-UA"/>
        </w:rPr>
      </w:pPr>
      <w:r w:rsidRPr="00334C25">
        <w:rPr>
          <w:color w:val="000000" w:themeColor="text1"/>
          <w:sz w:val="28"/>
          <w:szCs w:val="28"/>
          <w:lang w:val="ru-UA"/>
        </w:rPr>
        <w:t>напівструктуровані інтерв’ю з ключовими інформантами (представники волонтерських/гуманітарних організацій, адміністратори транзитних центрів, працівники органів місцевої влади та соціальних служб);</w:t>
      </w:r>
    </w:p>
    <w:p w14:paraId="686F6940" w14:textId="77777777" w:rsidR="00334C25" w:rsidRPr="00334C25" w:rsidRDefault="00334C25" w:rsidP="00334C25">
      <w:pPr>
        <w:numPr>
          <w:ilvl w:val="0"/>
          <w:numId w:val="59"/>
        </w:numPr>
        <w:spacing w:before="100" w:beforeAutospacing="1" w:after="100" w:afterAutospacing="1"/>
        <w:rPr>
          <w:color w:val="000000" w:themeColor="text1"/>
          <w:sz w:val="28"/>
          <w:szCs w:val="28"/>
          <w:lang w:val="ru-UA"/>
        </w:rPr>
      </w:pPr>
      <w:r w:rsidRPr="00334C25">
        <w:rPr>
          <w:color w:val="000000" w:themeColor="text1"/>
          <w:sz w:val="28"/>
          <w:szCs w:val="28"/>
          <w:lang w:val="ru-UA"/>
        </w:rPr>
        <w:t>огляд вторинних джерел (національні процедури, нормативні акти, моніторингові та аналітичні звіти);</w:t>
      </w:r>
    </w:p>
    <w:p w14:paraId="1525B915" w14:textId="5923B7FF" w:rsidR="00334C25" w:rsidRPr="00334C25" w:rsidRDefault="00334C25" w:rsidP="00334C25">
      <w:pPr>
        <w:numPr>
          <w:ilvl w:val="0"/>
          <w:numId w:val="59"/>
        </w:num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за можливості </w:t>
      </w:r>
      <w:r w:rsidR="008D7B0D">
        <w:rPr>
          <w:color w:val="000000" w:themeColor="text1"/>
          <w:sz w:val="28"/>
          <w:szCs w:val="28"/>
          <w:lang w:val="ru-UA"/>
        </w:rPr>
        <w:t>-</w:t>
      </w:r>
      <w:r w:rsidRPr="00334C25">
        <w:rPr>
          <w:color w:val="000000" w:themeColor="text1"/>
          <w:sz w:val="28"/>
          <w:szCs w:val="28"/>
          <w:lang w:val="ru-UA"/>
        </w:rPr>
        <w:t xml:space="preserve"> фокусну групу (якщо етичні міркування і безпека дозволять) або ж квазіексперимент на основі аналізу вторинних даних (коли порівнюються центри з різними моделями організації для виявлення відмінностей у своєчасності та повноті послуг).</w:t>
      </w:r>
    </w:p>
    <w:p w14:paraId="633A25A1" w14:textId="77777777" w:rsidR="00334C25" w:rsidRPr="00334C25" w:rsidRDefault="00334C25" w:rsidP="00334C25">
      <w:pPr>
        <w:spacing w:before="100" w:beforeAutospacing="1" w:after="100" w:afterAutospacing="1"/>
        <w:rPr>
          <w:color w:val="000000" w:themeColor="text1"/>
          <w:sz w:val="28"/>
          <w:szCs w:val="28"/>
          <w:lang w:val="ru-UA"/>
        </w:rPr>
      </w:pPr>
    </w:p>
    <w:p w14:paraId="48C28ADF" w14:textId="77777777"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Динаміка опитування будувалася за трьома етапами евакуаційного ланцюга: 1) виїзд із небезпечних зон; 2) робота транзитних центрів; 3) адаптація після евакуації. Така структура дозволяє відстежувати, де саме виникають прогалини та як моделі організації впливають на результати.</w:t>
      </w:r>
    </w:p>
    <w:p w14:paraId="5F33D5A4" w14:textId="77777777" w:rsidR="00334C25" w:rsidRPr="00334C25" w:rsidRDefault="00334C25" w:rsidP="00334C25">
      <w:pPr>
        <w:rPr>
          <w:color w:val="000000" w:themeColor="text1"/>
        </w:rPr>
      </w:pPr>
    </w:p>
    <w:p w14:paraId="08AAF98D" w14:textId="1CEC83EE" w:rsidR="0020188B" w:rsidRPr="00334C25" w:rsidRDefault="0020188B" w:rsidP="0020188B">
      <w:pPr>
        <w:pStyle w:val="2"/>
        <w:rPr>
          <w:rFonts w:ascii="Times New Roman" w:hAnsi="Times New Roman" w:cs="Times New Roman"/>
          <w:color w:val="000000" w:themeColor="text1"/>
          <w:sz w:val="28"/>
          <w:szCs w:val="28"/>
        </w:rPr>
      </w:pPr>
      <w:bookmarkStart w:id="26" w:name="_Toc214217521"/>
      <w:r w:rsidRPr="00334C25">
        <w:rPr>
          <w:rFonts w:ascii="Times New Roman" w:hAnsi="Times New Roman" w:cs="Times New Roman"/>
          <w:color w:val="000000" w:themeColor="text1"/>
          <w:sz w:val="28"/>
          <w:szCs w:val="28"/>
        </w:rPr>
        <w:t>2.2. Вибірка та критерії відбору</w:t>
      </w:r>
      <w:bookmarkEnd w:id="26"/>
      <w:r w:rsidRPr="00334C25">
        <w:rPr>
          <w:rFonts w:ascii="Times New Roman" w:hAnsi="Times New Roman" w:cs="Times New Roman"/>
          <w:color w:val="000000" w:themeColor="text1"/>
          <w:sz w:val="28"/>
          <w:szCs w:val="28"/>
        </w:rPr>
        <w:t xml:space="preserve"> </w:t>
      </w:r>
    </w:p>
    <w:p w14:paraId="100AD504" w14:textId="16A7F4EB" w:rsidR="00334C25" w:rsidRPr="00334C25" w:rsidRDefault="00334C25" w:rsidP="00334C25">
      <w:pPr>
        <w:pStyle w:val="3"/>
        <w:rPr>
          <w:color w:val="000000" w:themeColor="text1"/>
          <w:lang w:val="ru-UA"/>
        </w:rPr>
      </w:pPr>
      <w:bookmarkStart w:id="27" w:name="_Toc214217522"/>
      <w:r w:rsidRPr="00334C25">
        <w:rPr>
          <w:color w:val="000000" w:themeColor="text1"/>
        </w:rPr>
        <w:t>Цільова популяція</w:t>
      </w:r>
      <w:bookmarkEnd w:id="27"/>
    </w:p>
    <w:p w14:paraId="6A7F9B99" w14:textId="1A5BAD7C" w:rsidR="00334C25" w:rsidRPr="00334C25" w:rsidRDefault="00334C25" w:rsidP="00334C25">
      <w:pPr>
        <w:pStyle w:val="p3"/>
        <w:spacing w:line="360" w:lineRule="auto"/>
        <w:jc w:val="both"/>
        <w:rPr>
          <w:color w:val="000000" w:themeColor="text1"/>
          <w:sz w:val="28"/>
          <w:szCs w:val="28"/>
          <w:lang w:val="uk-UA"/>
        </w:rPr>
      </w:pPr>
      <w:r w:rsidRPr="00334C25">
        <w:rPr>
          <w:color w:val="000000" w:themeColor="text1"/>
          <w:sz w:val="28"/>
          <w:szCs w:val="28"/>
        </w:rPr>
        <w:t xml:space="preserve">Ключові інформанти </w:t>
      </w:r>
      <w:r w:rsidR="008D7B0D">
        <w:rPr>
          <w:color w:val="000000" w:themeColor="text1"/>
          <w:sz w:val="28"/>
          <w:szCs w:val="28"/>
        </w:rPr>
        <w:t>-</w:t>
      </w:r>
      <w:r w:rsidRPr="00334C25">
        <w:rPr>
          <w:color w:val="000000" w:themeColor="text1"/>
          <w:sz w:val="28"/>
          <w:szCs w:val="28"/>
        </w:rPr>
        <w:t xml:space="preserve"> особи, безпосередньо залучені до процесу евакуації й надання послуг: представники місцевих адміністрацій, оператори транзитних центрів, волонтерські та гуманітарні організації, працівники служб соціального захисту, медичні та психологічні працівники, а також за наявності </w:t>
      </w:r>
      <w:r w:rsidR="008D7B0D">
        <w:rPr>
          <w:color w:val="000000" w:themeColor="text1"/>
          <w:sz w:val="28"/>
          <w:szCs w:val="28"/>
        </w:rPr>
        <w:t>-</w:t>
      </w:r>
      <w:r w:rsidRPr="00334C25">
        <w:rPr>
          <w:color w:val="000000" w:themeColor="text1"/>
          <w:sz w:val="28"/>
          <w:szCs w:val="28"/>
        </w:rPr>
        <w:t xml:space="preserve"> місцеві активісти й керівники громад.</w:t>
      </w:r>
    </w:p>
    <w:p w14:paraId="3C812435" w14:textId="77777777" w:rsidR="00334C25" w:rsidRPr="00334C25" w:rsidRDefault="00334C25" w:rsidP="00334C25">
      <w:pPr>
        <w:pStyle w:val="3"/>
        <w:rPr>
          <w:color w:val="000000" w:themeColor="text1"/>
        </w:rPr>
      </w:pPr>
      <w:bookmarkStart w:id="28" w:name="_Toc214217523"/>
      <w:r w:rsidRPr="00334C25">
        <w:rPr>
          <w:color w:val="000000" w:themeColor="text1"/>
        </w:rPr>
        <w:t>Критерії відбору</w:t>
      </w:r>
      <w:bookmarkEnd w:id="28"/>
    </w:p>
    <w:p w14:paraId="4156E71C" w14:textId="15D04643" w:rsidR="00334C25" w:rsidRPr="00334C25" w:rsidRDefault="00334C25" w:rsidP="00334C25">
      <w:pPr>
        <w:pStyle w:val="p1"/>
        <w:numPr>
          <w:ilvl w:val="0"/>
          <w:numId w:val="60"/>
        </w:numPr>
        <w:rPr>
          <w:color w:val="000000" w:themeColor="text1"/>
          <w:sz w:val="28"/>
          <w:szCs w:val="28"/>
        </w:rPr>
      </w:pPr>
      <w:r w:rsidRPr="00334C25">
        <w:rPr>
          <w:color w:val="000000" w:themeColor="text1"/>
          <w:sz w:val="28"/>
          <w:szCs w:val="28"/>
        </w:rPr>
        <w:t xml:space="preserve">Безпосередня участь у одному або кількох етапах евакуації (виїзд </w:t>
      </w:r>
      <w:r w:rsidR="008D7B0D">
        <w:rPr>
          <w:color w:val="000000" w:themeColor="text1"/>
          <w:sz w:val="28"/>
          <w:szCs w:val="28"/>
        </w:rPr>
        <w:t>-</w:t>
      </w:r>
      <w:r w:rsidRPr="00334C25">
        <w:rPr>
          <w:color w:val="000000" w:themeColor="text1"/>
          <w:sz w:val="28"/>
          <w:szCs w:val="28"/>
        </w:rPr>
        <w:t xml:space="preserve"> транзит </w:t>
      </w:r>
      <w:r w:rsidR="008D7B0D">
        <w:rPr>
          <w:color w:val="000000" w:themeColor="text1"/>
          <w:sz w:val="28"/>
          <w:szCs w:val="28"/>
        </w:rPr>
        <w:t>-</w:t>
      </w:r>
      <w:r w:rsidRPr="00334C25">
        <w:rPr>
          <w:color w:val="000000" w:themeColor="text1"/>
          <w:sz w:val="28"/>
          <w:szCs w:val="28"/>
        </w:rPr>
        <w:t xml:space="preserve"> адаптація).</w:t>
      </w:r>
    </w:p>
    <w:p w14:paraId="3DECFF8E" w14:textId="77777777" w:rsidR="00334C25" w:rsidRPr="00334C25" w:rsidRDefault="00334C25" w:rsidP="00334C25">
      <w:pPr>
        <w:pStyle w:val="p1"/>
        <w:numPr>
          <w:ilvl w:val="0"/>
          <w:numId w:val="60"/>
        </w:numPr>
        <w:rPr>
          <w:color w:val="000000" w:themeColor="text1"/>
          <w:sz w:val="28"/>
          <w:szCs w:val="28"/>
        </w:rPr>
      </w:pPr>
      <w:r w:rsidRPr="00334C25">
        <w:rPr>
          <w:color w:val="000000" w:themeColor="text1"/>
          <w:sz w:val="28"/>
          <w:szCs w:val="28"/>
        </w:rPr>
        <w:t>Представництво різних типів організацій (державні структури, місцеве самоврядування, НДО/волонтерські ініціативи).</w:t>
      </w:r>
    </w:p>
    <w:p w14:paraId="4814B105" w14:textId="77777777" w:rsidR="00334C25" w:rsidRPr="00334C25" w:rsidRDefault="00334C25" w:rsidP="00334C25">
      <w:pPr>
        <w:pStyle w:val="p1"/>
        <w:numPr>
          <w:ilvl w:val="0"/>
          <w:numId w:val="60"/>
        </w:numPr>
        <w:rPr>
          <w:color w:val="000000" w:themeColor="text1"/>
          <w:sz w:val="28"/>
          <w:szCs w:val="28"/>
        </w:rPr>
      </w:pPr>
      <w:r w:rsidRPr="00334C25">
        <w:rPr>
          <w:color w:val="000000" w:themeColor="text1"/>
          <w:sz w:val="28"/>
          <w:szCs w:val="28"/>
        </w:rPr>
        <w:t>Різні регіони/типи локацій (міські центри, райони з обмеженою інфраструктурою), щоб врахувати контекстуальні відмінності.</w:t>
      </w:r>
    </w:p>
    <w:p w14:paraId="603D1DC6" w14:textId="722A51A7" w:rsidR="00334C25" w:rsidRPr="00334C25" w:rsidRDefault="00334C25" w:rsidP="00334C25">
      <w:pPr>
        <w:pStyle w:val="p1"/>
        <w:numPr>
          <w:ilvl w:val="0"/>
          <w:numId w:val="60"/>
        </w:numPr>
        <w:rPr>
          <w:color w:val="000000" w:themeColor="text1"/>
          <w:sz w:val="28"/>
          <w:szCs w:val="28"/>
        </w:rPr>
      </w:pPr>
      <w:r w:rsidRPr="00334C25">
        <w:rPr>
          <w:color w:val="000000" w:themeColor="text1"/>
          <w:sz w:val="28"/>
          <w:szCs w:val="28"/>
        </w:rPr>
        <w:t xml:space="preserve">Кваліфікаційний принцип </w:t>
      </w:r>
      <w:r w:rsidR="008D7B0D">
        <w:rPr>
          <w:color w:val="000000" w:themeColor="text1"/>
          <w:sz w:val="28"/>
          <w:szCs w:val="28"/>
        </w:rPr>
        <w:t>-</w:t>
      </w:r>
      <w:r w:rsidRPr="00334C25">
        <w:rPr>
          <w:color w:val="000000" w:themeColor="text1"/>
          <w:sz w:val="28"/>
          <w:szCs w:val="28"/>
        </w:rPr>
        <w:t xml:space="preserve"> бажано охопити як адміністративний рівень (керівники), так і працівників першої лінії (адміністратори, реєстратори, бригади).</w:t>
      </w:r>
    </w:p>
    <w:p w14:paraId="1BB6A21E" w14:textId="776EBECE" w:rsidR="00334C25" w:rsidRPr="00334C25" w:rsidRDefault="00334C25" w:rsidP="00334C25">
      <w:pPr>
        <w:pStyle w:val="3"/>
        <w:rPr>
          <w:color w:val="000000" w:themeColor="text1"/>
        </w:rPr>
      </w:pPr>
      <w:bookmarkStart w:id="29" w:name="_Toc214217524"/>
      <w:r w:rsidRPr="00334C25">
        <w:rPr>
          <w:color w:val="000000" w:themeColor="text1"/>
        </w:rPr>
        <w:t>Обсяг вибірки</w:t>
      </w:r>
      <w:bookmarkEnd w:id="29"/>
    </w:p>
    <w:p w14:paraId="4421540B" w14:textId="6C704930" w:rsidR="00334C25" w:rsidRPr="00334C25" w:rsidRDefault="00334C25" w:rsidP="00334C25">
      <w:pPr>
        <w:pStyle w:val="p3"/>
        <w:spacing w:line="360" w:lineRule="auto"/>
        <w:jc w:val="both"/>
        <w:rPr>
          <w:color w:val="000000" w:themeColor="text1"/>
          <w:sz w:val="28"/>
          <w:szCs w:val="28"/>
          <w:lang w:val="uk-UA"/>
        </w:rPr>
      </w:pPr>
      <w:r w:rsidRPr="00334C25">
        <w:rPr>
          <w:color w:val="000000" w:themeColor="text1"/>
          <w:sz w:val="28"/>
          <w:szCs w:val="28"/>
        </w:rPr>
        <w:t xml:space="preserve">У межах дипломної роботи було проведено </w:t>
      </w:r>
      <w:r w:rsidRPr="00334C25">
        <w:rPr>
          <w:color w:val="000000" w:themeColor="text1"/>
          <w:sz w:val="28"/>
          <w:szCs w:val="28"/>
          <w:lang w:val="uk-UA"/>
        </w:rPr>
        <w:t>20</w:t>
      </w:r>
      <w:r w:rsidRPr="00334C25">
        <w:rPr>
          <w:color w:val="000000" w:themeColor="text1"/>
          <w:sz w:val="28"/>
          <w:szCs w:val="28"/>
        </w:rPr>
        <w:t xml:space="preserve"> інтерв’ю з ключовими інформантами із представленням різних секторів. Для якісного насичення рекомендується 15–25 інтерв’ю; якщо ресурсів більше </w:t>
      </w:r>
      <w:r w:rsidR="008D7B0D">
        <w:rPr>
          <w:color w:val="000000" w:themeColor="text1"/>
          <w:sz w:val="28"/>
          <w:szCs w:val="28"/>
        </w:rPr>
        <w:t>-</w:t>
      </w:r>
      <w:r w:rsidRPr="00334C25">
        <w:rPr>
          <w:color w:val="000000" w:themeColor="text1"/>
          <w:sz w:val="28"/>
          <w:szCs w:val="28"/>
        </w:rPr>
        <w:t xml:space="preserve"> можна розширити до 30. Якщо фокусні групи неможливі</w:t>
      </w:r>
      <w:r w:rsidRPr="00334C25">
        <w:rPr>
          <w:color w:val="000000" w:themeColor="text1"/>
          <w:sz w:val="28"/>
          <w:szCs w:val="28"/>
          <w:lang w:val="uk-UA"/>
        </w:rPr>
        <w:t xml:space="preserve"> </w:t>
      </w:r>
      <w:r w:rsidRPr="00334C25">
        <w:rPr>
          <w:color w:val="000000" w:themeColor="text1"/>
          <w:sz w:val="28"/>
          <w:szCs w:val="28"/>
        </w:rPr>
        <w:t>порівняльний аналіз вторинних даних слугують додатковим джерелом верифікації.</w:t>
      </w:r>
    </w:p>
    <w:p w14:paraId="33765175" w14:textId="36A2C1AB" w:rsidR="0020188B" w:rsidRPr="00334C25" w:rsidRDefault="0020188B" w:rsidP="0020188B">
      <w:pPr>
        <w:pStyle w:val="2"/>
        <w:rPr>
          <w:rFonts w:ascii="Times New Roman" w:hAnsi="Times New Roman" w:cs="Times New Roman"/>
          <w:color w:val="000000" w:themeColor="text1"/>
          <w:sz w:val="28"/>
          <w:szCs w:val="28"/>
        </w:rPr>
      </w:pPr>
      <w:bookmarkStart w:id="30" w:name="_Toc214217525"/>
      <w:r w:rsidRPr="00334C25">
        <w:rPr>
          <w:rFonts w:ascii="Times New Roman" w:hAnsi="Times New Roman" w:cs="Times New Roman"/>
          <w:color w:val="000000" w:themeColor="text1"/>
          <w:sz w:val="28"/>
          <w:szCs w:val="28"/>
        </w:rPr>
        <w:lastRenderedPageBreak/>
        <w:t>2.3. Інструменти збору даних</w:t>
      </w:r>
      <w:bookmarkEnd w:id="30"/>
      <w:r w:rsidRPr="00334C25">
        <w:rPr>
          <w:rFonts w:ascii="Times New Roman" w:hAnsi="Times New Roman" w:cs="Times New Roman"/>
          <w:color w:val="000000" w:themeColor="text1"/>
          <w:sz w:val="28"/>
          <w:szCs w:val="28"/>
        </w:rPr>
        <w:t xml:space="preserve"> </w:t>
      </w:r>
    </w:p>
    <w:p w14:paraId="1C565EBB" w14:textId="1982AE6C" w:rsidR="00334C25" w:rsidRPr="00334C25" w:rsidRDefault="00334C25" w:rsidP="00334C25">
      <w:pPr>
        <w:numPr>
          <w:ilvl w:val="0"/>
          <w:numId w:val="61"/>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Напівструктуроване інтерв’ю</w:t>
      </w:r>
    </w:p>
    <w:p w14:paraId="387CEBB3" w14:textId="0C147B99"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Тематичні блоки: роль інформанта в процесі евакуації; операційні процедури в момент виїзду; реєстрація, інформація, перенаправлення; наявність і застосування гуманітарних стандартів; випадки вразливих груп; оцінка своєчасності та повноти послуг; виклики та пропозиції щодо удосконалення.</w:t>
      </w:r>
    </w:p>
    <w:p w14:paraId="2B6AFB9C" w14:textId="77777777"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Тривалість: 45–70 хв.</w:t>
      </w:r>
    </w:p>
    <w:p w14:paraId="42435162" w14:textId="6FFAF854"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Запис: згодою інформанта </w:t>
      </w:r>
      <w:r w:rsidR="008D7B0D">
        <w:rPr>
          <w:color w:val="000000" w:themeColor="text1"/>
          <w:sz w:val="28"/>
          <w:szCs w:val="28"/>
          <w:lang w:val="ru-UA"/>
        </w:rPr>
        <w:t>-</w:t>
      </w:r>
      <w:r w:rsidRPr="00334C25">
        <w:rPr>
          <w:color w:val="000000" w:themeColor="text1"/>
          <w:sz w:val="28"/>
          <w:szCs w:val="28"/>
          <w:lang w:val="ru-UA"/>
        </w:rPr>
        <w:t xml:space="preserve"> аудіозапис та нотатки.</w:t>
      </w:r>
    </w:p>
    <w:p w14:paraId="2B9601E8" w14:textId="77777777" w:rsidR="00334C25" w:rsidRPr="00334C25" w:rsidRDefault="00334C25" w:rsidP="00334C25">
      <w:pPr>
        <w:numPr>
          <w:ilvl w:val="0"/>
          <w:numId w:val="61"/>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Огляд вторинних джерел</w:t>
      </w:r>
    </w:p>
    <w:p w14:paraId="34D3EAF0" w14:textId="58E2E8C1"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Нормативні акти, методичні рекомендації, звіти моніторингу, аналітика НУО, внутрішні протоколи центрів, реєстри та статистика.</w:t>
      </w:r>
    </w:p>
    <w:p w14:paraId="40E8C1DE" w14:textId="77777777"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Шаблон для фіксації (мета джерела, релевантні положення, дати, практичні вказівки).</w:t>
      </w:r>
    </w:p>
    <w:p w14:paraId="3C6242D5" w14:textId="77777777" w:rsidR="00334C25" w:rsidRPr="00334C25" w:rsidRDefault="00334C25" w:rsidP="00334C25">
      <w:pPr>
        <w:numPr>
          <w:ilvl w:val="0"/>
          <w:numId w:val="61"/>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Фокусна група (опціонально)</w:t>
      </w:r>
    </w:p>
    <w:p w14:paraId="20AAAF69" w14:textId="77777777"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Якщо безпека й етичні умови дозволять: 6–8 учасників, модерація тем про досвід користування послугами, бар’єри доступу, інформування.</w:t>
      </w:r>
    </w:p>
    <w:p w14:paraId="0FD1C525" w14:textId="79F9DBC0" w:rsidR="00334C25" w:rsidRPr="00334C25" w:rsidRDefault="00334C25" w:rsidP="00334C25">
      <w:pPr>
        <w:numPr>
          <w:ilvl w:val="1"/>
          <w:numId w:val="61"/>
        </w:num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Якщо небезпечно </w:t>
      </w:r>
      <w:r w:rsidR="008D7B0D">
        <w:rPr>
          <w:color w:val="000000" w:themeColor="text1"/>
          <w:sz w:val="28"/>
          <w:szCs w:val="28"/>
          <w:lang w:val="ru-UA"/>
        </w:rPr>
        <w:t>-</w:t>
      </w:r>
      <w:r w:rsidRPr="00334C25">
        <w:rPr>
          <w:color w:val="000000" w:themeColor="text1"/>
          <w:sz w:val="28"/>
          <w:szCs w:val="28"/>
          <w:lang w:val="ru-UA"/>
        </w:rPr>
        <w:t xml:space="preserve"> замінюється індивідуальними інтерв’ю або тематичним аналізом вторинних джерел.</w:t>
      </w:r>
    </w:p>
    <w:p w14:paraId="4EA48428" w14:textId="622B6A88" w:rsidR="0020188B" w:rsidRPr="00334C25" w:rsidRDefault="0020188B" w:rsidP="0020188B">
      <w:pPr>
        <w:pStyle w:val="2"/>
        <w:rPr>
          <w:rFonts w:ascii="Times New Roman" w:hAnsi="Times New Roman" w:cs="Times New Roman"/>
          <w:color w:val="000000" w:themeColor="text1"/>
          <w:sz w:val="28"/>
          <w:szCs w:val="28"/>
        </w:rPr>
      </w:pPr>
      <w:bookmarkStart w:id="31" w:name="_Toc214217526"/>
      <w:r w:rsidRPr="00334C25">
        <w:rPr>
          <w:rFonts w:ascii="Times New Roman" w:hAnsi="Times New Roman" w:cs="Times New Roman"/>
          <w:color w:val="000000" w:themeColor="text1"/>
          <w:sz w:val="28"/>
          <w:szCs w:val="28"/>
        </w:rPr>
        <w:t>2.4. Процедура збору даних</w:t>
      </w:r>
      <w:bookmarkEnd w:id="31"/>
      <w:r w:rsidRPr="00334C25">
        <w:rPr>
          <w:rFonts w:ascii="Times New Roman" w:hAnsi="Times New Roman" w:cs="Times New Roman"/>
          <w:color w:val="000000" w:themeColor="text1"/>
          <w:sz w:val="28"/>
          <w:szCs w:val="28"/>
        </w:rPr>
        <w:t xml:space="preserve"> </w:t>
      </w:r>
    </w:p>
    <w:p w14:paraId="05EE2CFC" w14:textId="77777777" w:rsidR="00334C25" w:rsidRPr="00334C25" w:rsidRDefault="00334C25" w:rsidP="00334C25">
      <w:pPr>
        <w:numPr>
          <w:ilvl w:val="0"/>
          <w:numId w:val="62"/>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Підготовчий етап</w:t>
      </w:r>
    </w:p>
    <w:p w14:paraId="1D4060E4" w14:textId="77777777" w:rsidR="00334C25" w:rsidRPr="00334C25" w:rsidRDefault="00334C25" w:rsidP="00334C25">
      <w:pPr>
        <w:numPr>
          <w:ilvl w:val="1"/>
          <w:numId w:val="62"/>
        </w:numPr>
        <w:spacing w:before="100" w:beforeAutospacing="1" w:after="100" w:afterAutospacing="1"/>
        <w:rPr>
          <w:color w:val="000000" w:themeColor="text1"/>
          <w:sz w:val="28"/>
          <w:szCs w:val="28"/>
          <w:lang w:val="ru-UA"/>
        </w:rPr>
      </w:pPr>
      <w:r w:rsidRPr="00334C25">
        <w:rPr>
          <w:color w:val="000000" w:themeColor="text1"/>
          <w:sz w:val="28"/>
          <w:szCs w:val="28"/>
          <w:lang w:val="ru-UA"/>
        </w:rPr>
        <w:t>Підбір респондентів згідно критеріїв; узгодження часу інтерв’ю; підготовка документів інформованої згоди; перевірка технічних засобів (девайси для запису).</w:t>
      </w:r>
    </w:p>
    <w:p w14:paraId="49D1DE26" w14:textId="77777777" w:rsidR="00334C25" w:rsidRPr="00334C25" w:rsidRDefault="00334C25" w:rsidP="00334C25">
      <w:pPr>
        <w:numPr>
          <w:ilvl w:val="0"/>
          <w:numId w:val="62"/>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Зустріч та інтерв’ю</w:t>
      </w:r>
    </w:p>
    <w:p w14:paraId="1344310C" w14:textId="77777777" w:rsidR="00334C25" w:rsidRPr="00334C25" w:rsidRDefault="00334C25" w:rsidP="00334C25">
      <w:pPr>
        <w:numPr>
          <w:ilvl w:val="1"/>
          <w:numId w:val="62"/>
        </w:numPr>
        <w:spacing w:before="100" w:beforeAutospacing="1" w:after="100" w:afterAutospacing="1"/>
        <w:rPr>
          <w:color w:val="000000" w:themeColor="text1"/>
          <w:sz w:val="28"/>
          <w:szCs w:val="28"/>
          <w:lang w:val="ru-UA"/>
        </w:rPr>
      </w:pPr>
      <w:r w:rsidRPr="00334C25">
        <w:rPr>
          <w:color w:val="000000" w:themeColor="text1"/>
          <w:sz w:val="28"/>
          <w:szCs w:val="28"/>
          <w:lang w:val="ru-UA"/>
        </w:rPr>
        <w:lastRenderedPageBreak/>
        <w:t>Коротке представлення мети; отримання письмової або усної інформованої згоди; пояснення конфіденційності й можливості відмови без наслідків; проведення інтерв’ю за гайдом.</w:t>
      </w:r>
    </w:p>
    <w:p w14:paraId="3A1A59A6" w14:textId="77777777" w:rsidR="00334C25" w:rsidRPr="00334C25" w:rsidRDefault="00334C25" w:rsidP="00334C25">
      <w:pPr>
        <w:numPr>
          <w:ilvl w:val="0"/>
          <w:numId w:val="62"/>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Фіксація даних</w:t>
      </w:r>
    </w:p>
    <w:p w14:paraId="1FEE094D" w14:textId="4B24E115" w:rsidR="00334C25" w:rsidRPr="00334C25" w:rsidRDefault="00334C25" w:rsidP="00334C25">
      <w:pPr>
        <w:numPr>
          <w:ilvl w:val="1"/>
          <w:numId w:val="62"/>
        </w:num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Аудіозапис (за згодою) + детальні нотатки; після завершення інтерв’ю </w:t>
      </w:r>
      <w:r w:rsidR="008D7B0D">
        <w:rPr>
          <w:color w:val="000000" w:themeColor="text1"/>
          <w:sz w:val="28"/>
          <w:szCs w:val="28"/>
          <w:lang w:val="ru-UA"/>
        </w:rPr>
        <w:t>-</w:t>
      </w:r>
      <w:r w:rsidRPr="00334C25">
        <w:rPr>
          <w:color w:val="000000" w:themeColor="text1"/>
          <w:sz w:val="28"/>
          <w:szCs w:val="28"/>
          <w:lang w:val="ru-UA"/>
        </w:rPr>
        <w:t xml:space="preserve"> стенограма (транскрипція) або розгорнуті нотатки.</w:t>
      </w:r>
    </w:p>
    <w:p w14:paraId="09E79A34" w14:textId="77777777" w:rsidR="00334C25" w:rsidRPr="00334C25" w:rsidRDefault="00334C25" w:rsidP="00334C25">
      <w:pPr>
        <w:numPr>
          <w:ilvl w:val="0"/>
          <w:numId w:val="62"/>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Збір вторинних матеріалів</w:t>
      </w:r>
    </w:p>
    <w:p w14:paraId="15137E75" w14:textId="77777777" w:rsidR="00334C25" w:rsidRPr="00334C25" w:rsidRDefault="00334C25" w:rsidP="00334C25">
      <w:pPr>
        <w:numPr>
          <w:ilvl w:val="1"/>
          <w:numId w:val="62"/>
        </w:numPr>
        <w:spacing w:before="100" w:beforeAutospacing="1" w:after="100" w:afterAutospacing="1"/>
        <w:rPr>
          <w:color w:val="000000" w:themeColor="text1"/>
          <w:sz w:val="28"/>
          <w:szCs w:val="28"/>
          <w:lang w:val="ru-UA"/>
        </w:rPr>
      </w:pPr>
      <w:r w:rsidRPr="00334C25">
        <w:rPr>
          <w:color w:val="000000" w:themeColor="text1"/>
          <w:sz w:val="28"/>
          <w:szCs w:val="28"/>
          <w:lang w:val="ru-UA"/>
        </w:rPr>
        <w:t>Завантаження/сканування нормативних документів, отримання звітів центрів, оформлення метаданих джерел.</w:t>
      </w:r>
    </w:p>
    <w:p w14:paraId="27E6FF82" w14:textId="77777777" w:rsidR="00334C25" w:rsidRPr="00334C25" w:rsidRDefault="00334C25" w:rsidP="00334C25">
      <w:pPr>
        <w:numPr>
          <w:ilvl w:val="0"/>
          <w:numId w:val="62"/>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Забезпечення логістики та безпеки</w:t>
      </w:r>
    </w:p>
    <w:p w14:paraId="4FCD0787" w14:textId="64B18420" w:rsidR="00334C25" w:rsidRPr="00334C25" w:rsidRDefault="00334C25" w:rsidP="00334C25">
      <w:pPr>
        <w:numPr>
          <w:ilvl w:val="1"/>
          <w:numId w:val="62"/>
        </w:numPr>
        <w:spacing w:before="100" w:beforeAutospacing="1" w:after="100" w:afterAutospacing="1"/>
        <w:rPr>
          <w:color w:val="000000" w:themeColor="text1"/>
          <w:sz w:val="28"/>
          <w:szCs w:val="28"/>
          <w:lang w:val="ru-UA"/>
        </w:rPr>
      </w:pPr>
      <w:r w:rsidRPr="00334C25">
        <w:rPr>
          <w:color w:val="000000" w:themeColor="text1"/>
          <w:sz w:val="28"/>
          <w:szCs w:val="28"/>
          <w:lang w:val="ru-UA"/>
        </w:rPr>
        <w:t>Використання безпечних каналів передачі даних (шифровані файли), зберігання матеріалів на захищених носіях, обмеження доступу.</w:t>
      </w:r>
    </w:p>
    <w:p w14:paraId="2777095C" w14:textId="1540633A" w:rsidR="0020188B" w:rsidRPr="00334C25" w:rsidRDefault="0020188B" w:rsidP="0020188B">
      <w:pPr>
        <w:pStyle w:val="2"/>
        <w:rPr>
          <w:rFonts w:ascii="Times New Roman" w:hAnsi="Times New Roman" w:cs="Times New Roman"/>
          <w:color w:val="000000" w:themeColor="text1"/>
          <w:sz w:val="28"/>
          <w:szCs w:val="28"/>
        </w:rPr>
      </w:pPr>
      <w:bookmarkStart w:id="32" w:name="_Toc214217527"/>
      <w:r w:rsidRPr="00334C25">
        <w:rPr>
          <w:rFonts w:ascii="Times New Roman" w:hAnsi="Times New Roman" w:cs="Times New Roman"/>
          <w:color w:val="000000" w:themeColor="text1"/>
          <w:sz w:val="28"/>
          <w:szCs w:val="28"/>
        </w:rPr>
        <w:t>2.5. Етичні аспекти</w:t>
      </w:r>
      <w:bookmarkEnd w:id="32"/>
      <w:r w:rsidRPr="00334C25">
        <w:rPr>
          <w:rFonts w:ascii="Times New Roman" w:hAnsi="Times New Roman" w:cs="Times New Roman"/>
          <w:color w:val="000000" w:themeColor="text1"/>
          <w:sz w:val="28"/>
          <w:szCs w:val="28"/>
        </w:rPr>
        <w:t xml:space="preserve"> </w:t>
      </w:r>
    </w:p>
    <w:p w14:paraId="3515C702" w14:textId="6A24B5DB"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Етика дослідження </w:t>
      </w:r>
      <w:r w:rsidR="008D7B0D">
        <w:rPr>
          <w:color w:val="000000" w:themeColor="text1"/>
          <w:sz w:val="28"/>
          <w:szCs w:val="28"/>
          <w:lang w:val="ru-UA"/>
        </w:rPr>
        <w:t>-</w:t>
      </w:r>
      <w:r w:rsidRPr="00334C25">
        <w:rPr>
          <w:color w:val="000000" w:themeColor="text1"/>
          <w:sz w:val="28"/>
          <w:szCs w:val="28"/>
          <w:lang w:val="ru-UA"/>
        </w:rPr>
        <w:t xml:space="preserve"> пріоритет. Заходи включали:</w:t>
      </w:r>
    </w:p>
    <w:p w14:paraId="1F8059E4" w14:textId="3FFAFA89" w:rsidR="00334C25" w:rsidRPr="00334C25" w:rsidRDefault="00334C25" w:rsidP="00334C25">
      <w:pPr>
        <w:numPr>
          <w:ilvl w:val="0"/>
          <w:numId w:val="63"/>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Інформована згода.</w:t>
      </w:r>
      <w:r w:rsidRPr="00334C25">
        <w:rPr>
          <w:color w:val="000000" w:themeColor="text1"/>
          <w:sz w:val="28"/>
          <w:szCs w:val="28"/>
          <w:lang w:val="ru-UA"/>
        </w:rPr>
        <w:t xml:space="preserve"> Перед інтерв’ю кожен респондент отримував інформаційну форму з метою дослідження, обсягом використання даних, правом відмовитися або припинити інтерв’ю в будь-який момент. Письмова форма застосовувалася за можливості; за неможливості </w:t>
      </w:r>
      <w:r w:rsidR="008D7B0D">
        <w:rPr>
          <w:color w:val="000000" w:themeColor="text1"/>
          <w:sz w:val="28"/>
          <w:szCs w:val="28"/>
          <w:lang w:val="ru-UA"/>
        </w:rPr>
        <w:t>-</w:t>
      </w:r>
      <w:r w:rsidRPr="00334C25">
        <w:rPr>
          <w:color w:val="000000" w:themeColor="text1"/>
          <w:sz w:val="28"/>
          <w:szCs w:val="28"/>
          <w:lang w:val="ru-UA"/>
        </w:rPr>
        <w:t xml:space="preserve"> усна фіксація з нотаткою.</w:t>
      </w:r>
    </w:p>
    <w:p w14:paraId="1A054238" w14:textId="77777777" w:rsidR="00334C25" w:rsidRPr="00334C25" w:rsidRDefault="00334C25" w:rsidP="00334C25">
      <w:pPr>
        <w:numPr>
          <w:ilvl w:val="0"/>
          <w:numId w:val="63"/>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Конфіденційність.</w:t>
      </w:r>
      <w:r w:rsidRPr="00334C25">
        <w:rPr>
          <w:color w:val="000000" w:themeColor="text1"/>
          <w:sz w:val="28"/>
          <w:szCs w:val="28"/>
          <w:lang w:val="ru-UA"/>
        </w:rPr>
        <w:t xml:space="preserve"> Особисті дані (ім’я, контактні дані, місце роботи за деталями, що можуть ідентифікувати) зберігалися окремо від аналітичних файлів; у текстах диплома використовується анонімізована інформація або псевдоніми.</w:t>
      </w:r>
    </w:p>
    <w:p w14:paraId="56CA0F45" w14:textId="5691311D" w:rsidR="00334C25" w:rsidRPr="00334C25" w:rsidRDefault="00334C25" w:rsidP="00334C25">
      <w:pPr>
        <w:numPr>
          <w:ilvl w:val="0"/>
          <w:numId w:val="63"/>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Do no harm.</w:t>
      </w:r>
      <w:r w:rsidRPr="00334C25">
        <w:rPr>
          <w:color w:val="000000" w:themeColor="text1"/>
          <w:sz w:val="28"/>
          <w:szCs w:val="28"/>
          <w:lang w:val="ru-UA"/>
        </w:rPr>
        <w:t xml:space="preserve"> Особлива обережність у питанні фокусних груп і інтерв’ю з переселенцями/постраждалими </w:t>
      </w:r>
      <w:r w:rsidR="008D7B0D">
        <w:rPr>
          <w:color w:val="000000" w:themeColor="text1"/>
          <w:sz w:val="28"/>
          <w:szCs w:val="28"/>
          <w:lang w:val="ru-UA"/>
        </w:rPr>
        <w:t>-</w:t>
      </w:r>
      <w:r w:rsidRPr="00334C25">
        <w:rPr>
          <w:color w:val="000000" w:themeColor="text1"/>
          <w:sz w:val="28"/>
          <w:szCs w:val="28"/>
          <w:lang w:val="ru-UA"/>
        </w:rPr>
        <w:t xml:space="preserve"> уникання питань, які можуть травмувати; надання інформації щодо служб підтримки у разі </w:t>
      </w:r>
      <w:r w:rsidRPr="00334C25">
        <w:rPr>
          <w:color w:val="000000" w:themeColor="text1"/>
          <w:sz w:val="28"/>
          <w:szCs w:val="28"/>
          <w:lang w:val="ru-UA"/>
        </w:rPr>
        <w:lastRenderedPageBreak/>
        <w:t xml:space="preserve">реакцій. Ви самі зазначили, що FG може нашкодити </w:t>
      </w:r>
      <w:r w:rsidR="008D7B0D">
        <w:rPr>
          <w:color w:val="000000" w:themeColor="text1"/>
          <w:sz w:val="28"/>
          <w:szCs w:val="28"/>
          <w:lang w:val="ru-UA"/>
        </w:rPr>
        <w:t>-</w:t>
      </w:r>
      <w:r w:rsidRPr="00334C25">
        <w:rPr>
          <w:color w:val="000000" w:themeColor="text1"/>
          <w:sz w:val="28"/>
          <w:szCs w:val="28"/>
          <w:lang w:val="ru-UA"/>
        </w:rPr>
        <w:t xml:space="preserve"> тому FG було опціональним і тільки за додатковою етичної оцінкою.</w:t>
      </w:r>
    </w:p>
    <w:p w14:paraId="20B8BB5C" w14:textId="77777777" w:rsidR="00334C25" w:rsidRPr="00334C25" w:rsidRDefault="00334C25" w:rsidP="00334C25">
      <w:pPr>
        <w:numPr>
          <w:ilvl w:val="0"/>
          <w:numId w:val="63"/>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Захист даних.</w:t>
      </w:r>
      <w:r w:rsidRPr="00334C25">
        <w:rPr>
          <w:color w:val="000000" w:themeColor="text1"/>
          <w:sz w:val="28"/>
          <w:szCs w:val="28"/>
          <w:lang w:val="ru-UA"/>
        </w:rPr>
        <w:t xml:space="preserve"> Шифрування файлів, обмеження прав доступу, видалення аудіофайлів після транскрипції за потреби.</w:t>
      </w:r>
    </w:p>
    <w:p w14:paraId="2E4C5D2E" w14:textId="68A80276" w:rsidR="00334C25" w:rsidRPr="00334C25" w:rsidRDefault="00334C25" w:rsidP="00334C25">
      <w:pPr>
        <w:numPr>
          <w:ilvl w:val="0"/>
          <w:numId w:val="63"/>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Інформування про використання результатів.</w:t>
      </w:r>
      <w:r w:rsidRPr="00334C25">
        <w:rPr>
          <w:color w:val="000000" w:themeColor="text1"/>
          <w:sz w:val="28"/>
          <w:szCs w:val="28"/>
          <w:lang w:val="ru-UA"/>
        </w:rPr>
        <w:t xml:space="preserve"> Кожен учасник поінформований, як будуть використані результати (диплом, можливі рекомендації для центрів/адміністрацій) і що результати можуть бути опубліковані в анонімізованому вигляді.</w:t>
      </w:r>
    </w:p>
    <w:p w14:paraId="56081DCE" w14:textId="67ADE53E" w:rsidR="0020188B" w:rsidRPr="00334C25" w:rsidRDefault="0020188B" w:rsidP="0020188B">
      <w:pPr>
        <w:pStyle w:val="2"/>
        <w:rPr>
          <w:rFonts w:ascii="Times New Roman" w:hAnsi="Times New Roman" w:cs="Times New Roman"/>
          <w:color w:val="000000" w:themeColor="text1"/>
          <w:sz w:val="28"/>
          <w:szCs w:val="28"/>
        </w:rPr>
      </w:pPr>
      <w:bookmarkStart w:id="33" w:name="_Toc214217528"/>
      <w:r w:rsidRPr="00334C25">
        <w:rPr>
          <w:rFonts w:ascii="Times New Roman" w:hAnsi="Times New Roman" w:cs="Times New Roman"/>
          <w:color w:val="000000" w:themeColor="text1"/>
          <w:sz w:val="28"/>
          <w:szCs w:val="28"/>
        </w:rPr>
        <w:t>2.6. Методи обробки й аналізу даних</w:t>
      </w:r>
      <w:bookmarkEnd w:id="33"/>
      <w:r w:rsidRPr="00334C25">
        <w:rPr>
          <w:rFonts w:ascii="Times New Roman" w:hAnsi="Times New Roman" w:cs="Times New Roman"/>
          <w:color w:val="000000" w:themeColor="text1"/>
          <w:sz w:val="28"/>
          <w:szCs w:val="28"/>
        </w:rPr>
        <w:t xml:space="preserve"> </w:t>
      </w:r>
    </w:p>
    <w:p w14:paraId="39B69393" w14:textId="77777777" w:rsidR="00334C25" w:rsidRPr="00334C25" w:rsidRDefault="00334C25" w:rsidP="00334C25">
      <w:pPr>
        <w:pStyle w:val="3"/>
        <w:rPr>
          <w:color w:val="000000" w:themeColor="text1"/>
          <w:lang w:val="ru-UA"/>
        </w:rPr>
      </w:pPr>
      <w:bookmarkStart w:id="34" w:name="_Toc214217529"/>
      <w:r w:rsidRPr="00334C25">
        <w:rPr>
          <w:color w:val="000000" w:themeColor="text1"/>
        </w:rPr>
        <w:t>Якісний аналіз</w:t>
      </w:r>
      <w:bookmarkEnd w:id="34"/>
    </w:p>
    <w:p w14:paraId="2C48404D" w14:textId="77777777" w:rsidR="00334C25" w:rsidRPr="00334C25" w:rsidRDefault="00334C25" w:rsidP="00334C25">
      <w:pPr>
        <w:pStyle w:val="p1"/>
        <w:numPr>
          <w:ilvl w:val="0"/>
          <w:numId w:val="64"/>
        </w:numPr>
        <w:rPr>
          <w:color w:val="000000" w:themeColor="text1"/>
          <w:sz w:val="28"/>
          <w:szCs w:val="28"/>
        </w:rPr>
      </w:pPr>
      <w:r w:rsidRPr="00334C25">
        <w:rPr>
          <w:rStyle w:val="s1"/>
          <w:rFonts w:eastAsiaTheme="majorEastAsia"/>
          <w:b/>
          <w:bCs/>
          <w:color w:val="000000" w:themeColor="text1"/>
          <w:sz w:val="28"/>
          <w:szCs w:val="28"/>
        </w:rPr>
        <w:t>Тематичне кодування.</w:t>
      </w:r>
      <w:r w:rsidRPr="00334C25">
        <w:rPr>
          <w:color w:val="000000" w:themeColor="text1"/>
          <w:sz w:val="28"/>
          <w:szCs w:val="28"/>
        </w:rPr>
        <w:t xml:space="preserve"> Структуроване кодування транскриптів у кілька етапів: відкрите кодування → групування кодів у тематичні категорії → побудова матриць для порівняння між типами респондентів і етапами евакуації. Рекомендується робити дворазове кодування (первинний кодер + рев’ю іншою особою) для підвищення надійності.</w:t>
      </w:r>
    </w:p>
    <w:p w14:paraId="6B053324" w14:textId="360136E7" w:rsidR="00334C25" w:rsidRPr="00334C25" w:rsidRDefault="00334C25" w:rsidP="00334C25">
      <w:pPr>
        <w:pStyle w:val="p1"/>
        <w:numPr>
          <w:ilvl w:val="0"/>
          <w:numId w:val="64"/>
        </w:numPr>
        <w:rPr>
          <w:color w:val="000000" w:themeColor="text1"/>
          <w:sz w:val="28"/>
          <w:szCs w:val="28"/>
        </w:rPr>
      </w:pPr>
      <w:r w:rsidRPr="00334C25">
        <w:rPr>
          <w:rStyle w:val="s1"/>
          <w:rFonts w:eastAsiaTheme="majorEastAsia"/>
          <w:b/>
          <w:bCs/>
          <w:color w:val="000000" w:themeColor="text1"/>
          <w:sz w:val="28"/>
          <w:szCs w:val="28"/>
        </w:rPr>
        <w:t>Використання програмних засобів</w:t>
      </w:r>
      <w:r w:rsidRPr="00334C25">
        <w:rPr>
          <w:color w:val="000000" w:themeColor="text1"/>
          <w:sz w:val="28"/>
          <w:szCs w:val="28"/>
        </w:rPr>
        <w:t xml:space="preserve"> (за можливості) для управління якісними даними </w:t>
      </w:r>
      <w:r w:rsidR="008D7B0D">
        <w:rPr>
          <w:color w:val="000000" w:themeColor="text1"/>
          <w:sz w:val="28"/>
          <w:szCs w:val="28"/>
        </w:rPr>
        <w:t>-</w:t>
      </w:r>
      <w:r w:rsidRPr="00334C25">
        <w:rPr>
          <w:color w:val="000000" w:themeColor="text1"/>
          <w:sz w:val="28"/>
          <w:szCs w:val="28"/>
          <w:lang w:val="uk-UA"/>
        </w:rPr>
        <w:t xml:space="preserve"> </w:t>
      </w:r>
      <w:r w:rsidRPr="00334C25">
        <w:rPr>
          <w:color w:val="000000" w:themeColor="text1"/>
          <w:sz w:val="28"/>
          <w:szCs w:val="28"/>
          <w:lang w:val="en-US"/>
        </w:rPr>
        <w:t>MAXQDA</w:t>
      </w:r>
      <w:r w:rsidRPr="00334C25">
        <w:rPr>
          <w:color w:val="000000" w:themeColor="text1"/>
          <w:sz w:val="28"/>
          <w:szCs w:val="28"/>
        </w:rPr>
        <w:t>.</w:t>
      </w:r>
    </w:p>
    <w:p w14:paraId="4187DF65" w14:textId="77777777" w:rsidR="00334C25" w:rsidRPr="00334C25" w:rsidRDefault="00334C25" w:rsidP="00334C25">
      <w:pPr>
        <w:pStyle w:val="3"/>
        <w:rPr>
          <w:color w:val="000000" w:themeColor="text1"/>
        </w:rPr>
      </w:pPr>
      <w:bookmarkStart w:id="35" w:name="_Toc214217530"/>
      <w:r w:rsidRPr="00334C25">
        <w:rPr>
          <w:color w:val="000000" w:themeColor="text1"/>
        </w:rPr>
        <w:t xml:space="preserve">Кількісний аналіз (в межах </w:t>
      </w:r>
      <w:proofErr w:type="spellStart"/>
      <w:r w:rsidRPr="00334C25">
        <w:rPr>
          <w:color w:val="000000" w:themeColor="text1"/>
        </w:rPr>
        <w:t>квазіексперименту</w:t>
      </w:r>
      <w:proofErr w:type="spellEnd"/>
      <w:r w:rsidRPr="00334C25">
        <w:rPr>
          <w:color w:val="000000" w:themeColor="text1"/>
        </w:rPr>
        <w:t>/вторинних даних)</w:t>
      </w:r>
      <w:bookmarkEnd w:id="35"/>
    </w:p>
    <w:p w14:paraId="1491EE26" w14:textId="77777777" w:rsidR="00334C25" w:rsidRPr="00334C25" w:rsidRDefault="00334C25" w:rsidP="00334C25">
      <w:pPr>
        <w:pStyle w:val="p1"/>
        <w:numPr>
          <w:ilvl w:val="0"/>
          <w:numId w:val="65"/>
        </w:numPr>
        <w:rPr>
          <w:color w:val="000000" w:themeColor="text1"/>
          <w:sz w:val="28"/>
          <w:szCs w:val="28"/>
        </w:rPr>
      </w:pPr>
      <w:r w:rsidRPr="00334C25">
        <w:rPr>
          <w:color w:val="000000" w:themeColor="text1"/>
          <w:sz w:val="28"/>
          <w:szCs w:val="28"/>
        </w:rPr>
        <w:t>Описова статистика (середні, медіани, частки) для показників: час реєстрації, частка отриманих мінпакетів, відсоток успішних рефералів.</w:t>
      </w:r>
    </w:p>
    <w:p w14:paraId="3D69F415" w14:textId="77777777" w:rsidR="00334C25" w:rsidRPr="00334C25" w:rsidRDefault="00334C25" w:rsidP="00334C25">
      <w:pPr>
        <w:pStyle w:val="p1"/>
        <w:numPr>
          <w:ilvl w:val="0"/>
          <w:numId w:val="65"/>
        </w:numPr>
        <w:rPr>
          <w:color w:val="000000" w:themeColor="text1"/>
          <w:sz w:val="28"/>
          <w:szCs w:val="28"/>
        </w:rPr>
      </w:pPr>
      <w:r w:rsidRPr="00334C25">
        <w:rPr>
          <w:color w:val="000000" w:themeColor="text1"/>
          <w:sz w:val="28"/>
          <w:szCs w:val="28"/>
        </w:rPr>
        <w:t>Прості порівняльні тести (у випадку достатнього обсягу даних): t-тест або непараметричні аналоги для порівняння між моделями центрів; аналіз кореляцій для перевірки зв’язку між наявністю стандартів захисту і показниками успішності.</w:t>
      </w:r>
    </w:p>
    <w:p w14:paraId="4C98CA37" w14:textId="19BBC97E" w:rsidR="00334C25" w:rsidRPr="00334C25" w:rsidRDefault="00334C25" w:rsidP="00334C25">
      <w:pPr>
        <w:pStyle w:val="p1"/>
        <w:numPr>
          <w:ilvl w:val="0"/>
          <w:numId w:val="65"/>
        </w:numPr>
        <w:rPr>
          <w:color w:val="000000" w:themeColor="text1"/>
          <w:sz w:val="28"/>
          <w:szCs w:val="28"/>
        </w:rPr>
      </w:pPr>
      <w:r w:rsidRPr="00334C25">
        <w:rPr>
          <w:color w:val="000000" w:themeColor="text1"/>
          <w:sz w:val="28"/>
          <w:szCs w:val="28"/>
        </w:rPr>
        <w:lastRenderedPageBreak/>
        <w:t xml:space="preserve">Якщо повні часові ряди доступні </w:t>
      </w:r>
      <w:r w:rsidR="008D7B0D">
        <w:rPr>
          <w:color w:val="000000" w:themeColor="text1"/>
          <w:sz w:val="28"/>
          <w:szCs w:val="28"/>
        </w:rPr>
        <w:t>-</w:t>
      </w:r>
      <w:r w:rsidRPr="00334C25">
        <w:rPr>
          <w:color w:val="000000" w:themeColor="text1"/>
          <w:sz w:val="28"/>
          <w:szCs w:val="28"/>
        </w:rPr>
        <w:t xml:space="preserve"> аналіз змін до/після певних втручань (pre–post).</w:t>
      </w:r>
    </w:p>
    <w:p w14:paraId="39F0C39E" w14:textId="16A57C33" w:rsidR="00334C25" w:rsidRPr="00334C25" w:rsidRDefault="00334C25" w:rsidP="00334C25">
      <w:pPr>
        <w:pStyle w:val="3"/>
        <w:rPr>
          <w:color w:val="000000" w:themeColor="text1"/>
          <w:lang w:val="en-US"/>
        </w:rPr>
      </w:pPr>
      <w:bookmarkStart w:id="36" w:name="_Toc214217531"/>
      <w:proofErr w:type="spellStart"/>
      <w:r w:rsidRPr="00334C25">
        <w:rPr>
          <w:color w:val="000000" w:themeColor="text1"/>
        </w:rPr>
        <w:t>Триангуляція</w:t>
      </w:r>
      <w:bookmarkEnd w:id="36"/>
      <w:proofErr w:type="spellEnd"/>
    </w:p>
    <w:p w14:paraId="36CC26A0" w14:textId="539F5636"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Поєднання даних з інтерв’ю, вторинних джерел і статистики дозволяє підтверджувати висновки й зменшувати ризики упередженості. Якісні матеріали пояснюють «чому» за чисельними трендами.</w:t>
      </w:r>
    </w:p>
    <w:p w14:paraId="106C40DB" w14:textId="3CB7A1CB" w:rsidR="0020188B" w:rsidRPr="00334C25" w:rsidRDefault="0020188B" w:rsidP="0020188B">
      <w:pPr>
        <w:pStyle w:val="2"/>
        <w:rPr>
          <w:rFonts w:ascii="Times New Roman" w:hAnsi="Times New Roman" w:cs="Times New Roman"/>
          <w:color w:val="000000" w:themeColor="text1"/>
          <w:sz w:val="28"/>
          <w:szCs w:val="28"/>
          <w:lang w:val="en-US"/>
        </w:rPr>
      </w:pPr>
      <w:bookmarkStart w:id="37" w:name="_Toc214217532"/>
      <w:r w:rsidRPr="00334C25">
        <w:rPr>
          <w:rFonts w:ascii="Times New Roman" w:hAnsi="Times New Roman" w:cs="Times New Roman"/>
          <w:color w:val="000000" w:themeColor="text1"/>
          <w:sz w:val="28"/>
          <w:szCs w:val="28"/>
        </w:rPr>
        <w:t>2.7. Заходи для забезпечення надійності/валідності</w:t>
      </w:r>
      <w:bookmarkEnd w:id="37"/>
    </w:p>
    <w:p w14:paraId="16007C76" w14:textId="77777777" w:rsidR="00334C25" w:rsidRPr="00334C25" w:rsidRDefault="00334C25" w:rsidP="00334C25">
      <w:pPr>
        <w:numPr>
          <w:ilvl w:val="0"/>
          <w:numId w:val="66"/>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Різноманітність респондентів.</w:t>
      </w:r>
      <w:r w:rsidRPr="00334C25">
        <w:rPr>
          <w:color w:val="000000" w:themeColor="text1"/>
          <w:sz w:val="28"/>
          <w:szCs w:val="28"/>
          <w:lang w:val="ru-UA"/>
        </w:rPr>
        <w:t xml:space="preserve"> Охоплення різних типів акторів (державні/недержавні/практики) знижує упередження, пов’язане з одностороннім баченням проблеми.</w:t>
      </w:r>
    </w:p>
    <w:p w14:paraId="2BB38952" w14:textId="77777777" w:rsidR="00334C25" w:rsidRPr="00334C25" w:rsidRDefault="00334C25" w:rsidP="00334C25">
      <w:pPr>
        <w:numPr>
          <w:ilvl w:val="0"/>
          <w:numId w:val="66"/>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Методична триангуляція.</w:t>
      </w:r>
      <w:r w:rsidRPr="00334C25">
        <w:rPr>
          <w:color w:val="000000" w:themeColor="text1"/>
          <w:sz w:val="28"/>
          <w:szCs w:val="28"/>
          <w:lang w:val="ru-UA"/>
        </w:rPr>
        <w:t xml:space="preserve"> Поєднання інтерв’ю та огляду вторинних джерел робить висновки стійкішими.</w:t>
      </w:r>
    </w:p>
    <w:p w14:paraId="21A7C916" w14:textId="77777777" w:rsidR="00334C25" w:rsidRPr="00334C25" w:rsidRDefault="00334C25" w:rsidP="00334C25">
      <w:pPr>
        <w:numPr>
          <w:ilvl w:val="0"/>
          <w:numId w:val="66"/>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Пілотування інструментів.</w:t>
      </w:r>
      <w:r w:rsidRPr="00334C25">
        <w:rPr>
          <w:color w:val="000000" w:themeColor="text1"/>
          <w:sz w:val="28"/>
          <w:szCs w:val="28"/>
          <w:lang w:val="ru-UA"/>
        </w:rPr>
        <w:t xml:space="preserve"> Перед початком основного збору даних гайди інтерв’ю були протестовані на 1–2 респондентах, щоб відкоригувати формулювання запитань.</w:t>
      </w:r>
    </w:p>
    <w:p w14:paraId="3CDA109B" w14:textId="75832F69" w:rsidR="00334C25" w:rsidRPr="00334C25" w:rsidRDefault="00334C25" w:rsidP="00334C25">
      <w:pPr>
        <w:numPr>
          <w:ilvl w:val="0"/>
          <w:numId w:val="66"/>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 xml:space="preserve">Суперечливі дані </w:t>
      </w:r>
      <w:r w:rsidR="008D7B0D">
        <w:rPr>
          <w:b/>
          <w:bCs/>
          <w:color w:val="000000" w:themeColor="text1"/>
          <w:sz w:val="28"/>
          <w:szCs w:val="28"/>
          <w:lang w:val="ru-UA"/>
        </w:rPr>
        <w:t>-</w:t>
      </w:r>
      <w:r w:rsidRPr="00334C25">
        <w:rPr>
          <w:b/>
          <w:bCs/>
          <w:color w:val="000000" w:themeColor="text1"/>
          <w:sz w:val="28"/>
          <w:szCs w:val="28"/>
          <w:lang w:val="ru-UA"/>
        </w:rPr>
        <w:t xml:space="preserve"> перевірка джерелом.</w:t>
      </w:r>
      <w:r w:rsidRPr="00334C25">
        <w:rPr>
          <w:color w:val="000000" w:themeColor="text1"/>
          <w:sz w:val="28"/>
          <w:szCs w:val="28"/>
          <w:lang w:val="ru-UA"/>
        </w:rPr>
        <w:t xml:space="preserve"> У випадках розбіжностей інформацію верифікували через інші джерела (офіційні звіти, додаткові інтерв’ю).</w:t>
      </w:r>
    </w:p>
    <w:p w14:paraId="14BBEC51" w14:textId="77777777" w:rsidR="00334C25" w:rsidRPr="00334C25" w:rsidRDefault="00334C25" w:rsidP="00334C25">
      <w:pPr>
        <w:numPr>
          <w:ilvl w:val="0"/>
          <w:numId w:val="66"/>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Документування процесу.</w:t>
      </w:r>
      <w:r w:rsidRPr="00334C25">
        <w:rPr>
          <w:color w:val="000000" w:themeColor="text1"/>
          <w:sz w:val="28"/>
          <w:szCs w:val="28"/>
          <w:lang w:val="ru-UA"/>
        </w:rPr>
        <w:t xml:space="preserve"> Ведення журналу польових робіт (дат, місць, контактів, зауважень) для прозорості і відтворюваності.</w:t>
      </w:r>
    </w:p>
    <w:p w14:paraId="0865A962" w14:textId="77777777" w:rsidR="00334C25" w:rsidRPr="00334C25" w:rsidRDefault="00334C25" w:rsidP="00334C25">
      <w:pPr>
        <w:numPr>
          <w:ilvl w:val="0"/>
          <w:numId w:val="66"/>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Ревізія кодування.</w:t>
      </w:r>
      <w:r w:rsidRPr="00334C25">
        <w:rPr>
          <w:color w:val="000000" w:themeColor="text1"/>
          <w:sz w:val="28"/>
          <w:szCs w:val="28"/>
          <w:lang w:val="ru-UA"/>
        </w:rPr>
        <w:t xml:space="preserve"> Другий рецензент перевіряє вибір кодів і інтерпретацій, щоб підвищити між-кодову узгодженість.</w:t>
      </w:r>
    </w:p>
    <w:p w14:paraId="06A643ED" w14:textId="77777777" w:rsidR="00334C25" w:rsidRPr="00334C25" w:rsidRDefault="00334C25" w:rsidP="00334C25">
      <w:pPr>
        <w:pStyle w:val="2"/>
        <w:rPr>
          <w:rFonts w:ascii="Times New Roman" w:hAnsi="Times New Roman" w:cs="Times New Roman"/>
          <w:color w:val="000000" w:themeColor="text1"/>
          <w:sz w:val="28"/>
          <w:szCs w:val="28"/>
          <w:lang w:val="ru-UA"/>
        </w:rPr>
      </w:pPr>
      <w:bookmarkStart w:id="38" w:name="_Toc214217533"/>
      <w:r w:rsidRPr="00334C25">
        <w:rPr>
          <w:rFonts w:ascii="Times New Roman" w:hAnsi="Times New Roman" w:cs="Times New Roman"/>
          <w:color w:val="000000" w:themeColor="text1"/>
          <w:sz w:val="28"/>
          <w:szCs w:val="28"/>
        </w:rPr>
        <w:t>Обмеження дослідження</w:t>
      </w:r>
      <w:bookmarkEnd w:id="38"/>
    </w:p>
    <w:p w14:paraId="33889744" w14:textId="77777777" w:rsidR="00334C25" w:rsidRPr="00334C25" w:rsidRDefault="00334C25" w:rsidP="00334C25">
      <w:pPr>
        <w:pStyle w:val="p1"/>
        <w:numPr>
          <w:ilvl w:val="0"/>
          <w:numId w:val="67"/>
        </w:numPr>
        <w:rPr>
          <w:color w:val="000000" w:themeColor="text1"/>
          <w:sz w:val="28"/>
          <w:szCs w:val="28"/>
        </w:rPr>
      </w:pPr>
      <w:r w:rsidRPr="00334C25">
        <w:rPr>
          <w:color w:val="000000" w:themeColor="text1"/>
          <w:sz w:val="28"/>
          <w:szCs w:val="28"/>
        </w:rPr>
        <w:t>Обмежений обсяг ресурсів і часу може впливати на розмір вибірки і можливість проведення фокусних груп.</w:t>
      </w:r>
    </w:p>
    <w:p w14:paraId="1A1FE013" w14:textId="77777777" w:rsidR="00334C25" w:rsidRPr="00334C25" w:rsidRDefault="00334C25" w:rsidP="00334C25">
      <w:pPr>
        <w:pStyle w:val="p1"/>
        <w:numPr>
          <w:ilvl w:val="0"/>
          <w:numId w:val="67"/>
        </w:numPr>
        <w:rPr>
          <w:color w:val="000000" w:themeColor="text1"/>
          <w:sz w:val="28"/>
          <w:szCs w:val="28"/>
        </w:rPr>
      </w:pPr>
      <w:r w:rsidRPr="00334C25">
        <w:rPr>
          <w:color w:val="000000" w:themeColor="text1"/>
          <w:sz w:val="28"/>
          <w:szCs w:val="28"/>
        </w:rPr>
        <w:lastRenderedPageBreak/>
        <w:t>Наявність лише вторинних даних у частині квазіексперименту може обмежити ступінь причинно-наслідкових висновків.</w:t>
      </w:r>
    </w:p>
    <w:p w14:paraId="53E4009C" w14:textId="63DB20E5" w:rsidR="00334C25" w:rsidRPr="00334C25" w:rsidRDefault="00334C25" w:rsidP="00334C25">
      <w:pPr>
        <w:pStyle w:val="p1"/>
        <w:numPr>
          <w:ilvl w:val="0"/>
          <w:numId w:val="67"/>
        </w:numPr>
        <w:rPr>
          <w:color w:val="000000" w:themeColor="text1"/>
          <w:sz w:val="28"/>
          <w:szCs w:val="28"/>
        </w:rPr>
      </w:pPr>
      <w:r w:rsidRPr="00334C25">
        <w:rPr>
          <w:color w:val="000000" w:themeColor="text1"/>
          <w:sz w:val="28"/>
          <w:szCs w:val="28"/>
        </w:rPr>
        <w:t xml:space="preserve">Ризик соціально-бажаних відповідей у інтерв’ю (особливо від представників органів влади) </w:t>
      </w:r>
      <w:r w:rsidR="008D7B0D">
        <w:rPr>
          <w:color w:val="000000" w:themeColor="text1"/>
          <w:sz w:val="28"/>
          <w:szCs w:val="28"/>
        </w:rPr>
        <w:t>-</w:t>
      </w:r>
      <w:r w:rsidRPr="00334C25">
        <w:rPr>
          <w:color w:val="000000" w:themeColor="text1"/>
          <w:sz w:val="28"/>
          <w:szCs w:val="28"/>
        </w:rPr>
        <w:t xml:space="preserve"> компенсується питальною технікою та триангуляцією.</w:t>
      </w:r>
    </w:p>
    <w:p w14:paraId="6CF833FD" w14:textId="0BE804EE" w:rsidR="00334C25" w:rsidRPr="00334C25" w:rsidRDefault="00334C25" w:rsidP="00334C25">
      <w:pPr>
        <w:pStyle w:val="p1"/>
        <w:numPr>
          <w:ilvl w:val="0"/>
          <w:numId w:val="67"/>
        </w:numPr>
        <w:rPr>
          <w:color w:val="000000" w:themeColor="text1"/>
          <w:sz w:val="28"/>
          <w:szCs w:val="28"/>
        </w:rPr>
      </w:pPr>
      <w:r w:rsidRPr="00334C25">
        <w:rPr>
          <w:color w:val="000000" w:themeColor="text1"/>
          <w:sz w:val="28"/>
          <w:szCs w:val="28"/>
        </w:rPr>
        <w:t xml:space="preserve">Швидкі зміни в нормативному полі означають, що деякі висновки можуть втратити частину актуальності, якщо контекст зміниться </w:t>
      </w:r>
      <w:r w:rsidR="008D7B0D">
        <w:rPr>
          <w:color w:val="000000" w:themeColor="text1"/>
          <w:sz w:val="28"/>
          <w:szCs w:val="28"/>
        </w:rPr>
        <w:t>-</w:t>
      </w:r>
      <w:r w:rsidRPr="00334C25">
        <w:rPr>
          <w:color w:val="000000" w:themeColor="text1"/>
          <w:sz w:val="28"/>
          <w:szCs w:val="28"/>
        </w:rPr>
        <w:t xml:space="preserve"> тому у звіті потрібно фіксувати дату збору даних.</w:t>
      </w:r>
    </w:p>
    <w:p w14:paraId="2228EA8F" w14:textId="77777777" w:rsidR="00334C25" w:rsidRPr="00334C25" w:rsidRDefault="00334C25" w:rsidP="00334C25">
      <w:pPr>
        <w:spacing w:before="100" w:beforeAutospacing="1" w:after="100" w:afterAutospacing="1"/>
        <w:rPr>
          <w:color w:val="000000" w:themeColor="text1"/>
          <w:sz w:val="28"/>
          <w:szCs w:val="28"/>
          <w:lang w:val="ru-UA"/>
        </w:rPr>
      </w:pPr>
    </w:p>
    <w:p w14:paraId="02044E16" w14:textId="77777777" w:rsidR="00334C25" w:rsidRPr="00334C25" w:rsidRDefault="00334C25" w:rsidP="00334C25">
      <w:pPr>
        <w:rPr>
          <w:color w:val="000000" w:themeColor="text1"/>
          <w:lang w:val="en-US"/>
        </w:rPr>
      </w:pPr>
    </w:p>
    <w:p w14:paraId="4462D7CF" w14:textId="77777777" w:rsidR="0020188B" w:rsidRPr="00334C25" w:rsidRDefault="0020188B" w:rsidP="0020188B">
      <w:pPr>
        <w:rPr>
          <w:color w:val="000000" w:themeColor="text1"/>
          <w:lang w:val="en-US"/>
        </w:rPr>
      </w:pPr>
    </w:p>
    <w:p w14:paraId="10CFDEE9" w14:textId="77777777" w:rsidR="0020188B" w:rsidRPr="00334C25" w:rsidRDefault="0020188B" w:rsidP="0020188B">
      <w:pPr>
        <w:rPr>
          <w:color w:val="000000" w:themeColor="text1"/>
          <w:lang w:val="en-US"/>
        </w:rPr>
      </w:pPr>
    </w:p>
    <w:p w14:paraId="5ADB94B0" w14:textId="77777777" w:rsidR="0020188B" w:rsidRPr="00334C25" w:rsidRDefault="0020188B" w:rsidP="0020188B">
      <w:pPr>
        <w:rPr>
          <w:color w:val="000000" w:themeColor="text1"/>
          <w:lang w:val="en-US"/>
        </w:rPr>
      </w:pPr>
    </w:p>
    <w:p w14:paraId="2C7CAB15" w14:textId="77777777" w:rsidR="0020188B" w:rsidRPr="00334C25" w:rsidRDefault="0020188B" w:rsidP="0020188B">
      <w:pPr>
        <w:rPr>
          <w:color w:val="000000" w:themeColor="text1"/>
          <w:lang w:val="en-US"/>
        </w:rPr>
      </w:pPr>
    </w:p>
    <w:p w14:paraId="5C03BD9C" w14:textId="77777777" w:rsidR="0020188B" w:rsidRPr="00334C25" w:rsidRDefault="0020188B" w:rsidP="0020188B">
      <w:pPr>
        <w:rPr>
          <w:color w:val="000000" w:themeColor="text1"/>
          <w:lang w:val="en-US"/>
        </w:rPr>
      </w:pPr>
    </w:p>
    <w:p w14:paraId="5FB683B9" w14:textId="77777777" w:rsidR="0020188B" w:rsidRPr="00334C25" w:rsidRDefault="0020188B" w:rsidP="0020188B">
      <w:pPr>
        <w:rPr>
          <w:color w:val="000000" w:themeColor="text1"/>
          <w:lang w:val="en-US"/>
        </w:rPr>
      </w:pPr>
    </w:p>
    <w:p w14:paraId="207F6196" w14:textId="77777777" w:rsidR="0020188B" w:rsidRPr="00334C25" w:rsidRDefault="0020188B" w:rsidP="0020188B">
      <w:pPr>
        <w:rPr>
          <w:color w:val="000000" w:themeColor="text1"/>
          <w:lang w:val="en-US"/>
        </w:rPr>
      </w:pPr>
    </w:p>
    <w:p w14:paraId="1EDFAB67" w14:textId="77777777" w:rsidR="0020188B" w:rsidRPr="00334C25" w:rsidRDefault="0020188B" w:rsidP="0020188B">
      <w:pPr>
        <w:rPr>
          <w:color w:val="000000" w:themeColor="text1"/>
          <w:lang w:val="en-US"/>
        </w:rPr>
      </w:pPr>
    </w:p>
    <w:p w14:paraId="19888F3D" w14:textId="77777777" w:rsidR="0020188B" w:rsidRPr="00334C25" w:rsidRDefault="0020188B" w:rsidP="0020188B">
      <w:pPr>
        <w:rPr>
          <w:color w:val="000000" w:themeColor="text1"/>
          <w:lang w:val="en-US"/>
        </w:rPr>
      </w:pPr>
    </w:p>
    <w:p w14:paraId="42393950" w14:textId="77777777" w:rsidR="0020188B" w:rsidRPr="00334C25" w:rsidRDefault="0020188B" w:rsidP="0020188B">
      <w:pPr>
        <w:rPr>
          <w:color w:val="000000" w:themeColor="text1"/>
          <w:lang w:val="en-US"/>
        </w:rPr>
      </w:pPr>
    </w:p>
    <w:p w14:paraId="68A866D4" w14:textId="77777777" w:rsidR="0020188B" w:rsidRPr="00334C25" w:rsidRDefault="0020188B" w:rsidP="0020188B">
      <w:pPr>
        <w:rPr>
          <w:color w:val="000000" w:themeColor="text1"/>
          <w:lang w:val="en-US"/>
        </w:rPr>
      </w:pPr>
    </w:p>
    <w:p w14:paraId="367C3B47" w14:textId="77777777" w:rsidR="0020188B" w:rsidRPr="00334C25" w:rsidRDefault="0020188B" w:rsidP="0020188B">
      <w:pPr>
        <w:rPr>
          <w:color w:val="000000" w:themeColor="text1"/>
          <w:lang w:val="en-US"/>
        </w:rPr>
      </w:pPr>
    </w:p>
    <w:p w14:paraId="740CCC3E" w14:textId="77777777" w:rsidR="0020188B" w:rsidRPr="00334C25" w:rsidRDefault="0020188B" w:rsidP="0020188B">
      <w:pPr>
        <w:rPr>
          <w:color w:val="000000" w:themeColor="text1"/>
          <w:lang w:val="en-US"/>
        </w:rPr>
      </w:pPr>
    </w:p>
    <w:p w14:paraId="068C77D2" w14:textId="77777777" w:rsidR="0020188B" w:rsidRPr="00334C25" w:rsidRDefault="0020188B" w:rsidP="0020188B">
      <w:pPr>
        <w:rPr>
          <w:color w:val="000000" w:themeColor="text1"/>
          <w:lang w:val="en-US"/>
        </w:rPr>
      </w:pPr>
    </w:p>
    <w:p w14:paraId="296322E3" w14:textId="77777777" w:rsidR="0020188B" w:rsidRPr="00334C25" w:rsidRDefault="0020188B" w:rsidP="0020188B">
      <w:pPr>
        <w:rPr>
          <w:color w:val="000000" w:themeColor="text1"/>
          <w:lang w:val="en-US"/>
        </w:rPr>
      </w:pPr>
    </w:p>
    <w:p w14:paraId="7917A724" w14:textId="77777777" w:rsidR="0020188B" w:rsidRPr="00334C25" w:rsidRDefault="0020188B" w:rsidP="0020188B">
      <w:pPr>
        <w:rPr>
          <w:color w:val="000000" w:themeColor="text1"/>
          <w:lang w:val="en-US"/>
        </w:rPr>
      </w:pPr>
    </w:p>
    <w:p w14:paraId="4BA1EE5C" w14:textId="77777777" w:rsidR="0020188B" w:rsidRPr="00334C25" w:rsidRDefault="0020188B" w:rsidP="0020188B">
      <w:pPr>
        <w:rPr>
          <w:color w:val="000000" w:themeColor="text1"/>
          <w:lang w:val="en-US"/>
        </w:rPr>
      </w:pPr>
    </w:p>
    <w:p w14:paraId="66EA26DE" w14:textId="77777777" w:rsidR="0020188B" w:rsidRPr="00334C25" w:rsidRDefault="0020188B" w:rsidP="0020188B">
      <w:pPr>
        <w:rPr>
          <w:color w:val="000000" w:themeColor="text1"/>
          <w:lang w:val="en-US"/>
        </w:rPr>
      </w:pPr>
    </w:p>
    <w:p w14:paraId="5A0C1FA4" w14:textId="77777777" w:rsidR="0020188B" w:rsidRPr="00334C25" w:rsidRDefault="0020188B" w:rsidP="0020188B">
      <w:pPr>
        <w:rPr>
          <w:color w:val="000000" w:themeColor="text1"/>
          <w:lang w:val="en-US"/>
        </w:rPr>
      </w:pPr>
    </w:p>
    <w:p w14:paraId="4E2260D8" w14:textId="77777777" w:rsidR="0020188B" w:rsidRPr="00334C25" w:rsidRDefault="0020188B" w:rsidP="0020188B">
      <w:pPr>
        <w:rPr>
          <w:color w:val="000000" w:themeColor="text1"/>
          <w:lang w:val="en-US"/>
        </w:rPr>
      </w:pPr>
    </w:p>
    <w:p w14:paraId="0A4EC4E7" w14:textId="77777777" w:rsidR="0020188B" w:rsidRPr="00334C25" w:rsidRDefault="0020188B" w:rsidP="0020188B">
      <w:pPr>
        <w:rPr>
          <w:color w:val="000000" w:themeColor="text1"/>
          <w:lang w:val="en-US"/>
        </w:rPr>
      </w:pPr>
    </w:p>
    <w:p w14:paraId="7A6B760B" w14:textId="77777777" w:rsidR="0020188B" w:rsidRPr="00334C25" w:rsidRDefault="0020188B" w:rsidP="0020188B">
      <w:pPr>
        <w:rPr>
          <w:color w:val="000000" w:themeColor="text1"/>
          <w:lang w:val="en-US"/>
        </w:rPr>
      </w:pPr>
    </w:p>
    <w:p w14:paraId="19A5546B" w14:textId="77777777" w:rsidR="0020188B" w:rsidRPr="00334C25" w:rsidRDefault="0020188B" w:rsidP="0020188B">
      <w:pPr>
        <w:rPr>
          <w:color w:val="000000" w:themeColor="text1"/>
          <w:lang w:val="en-US"/>
        </w:rPr>
      </w:pPr>
    </w:p>
    <w:p w14:paraId="18FFE895" w14:textId="77777777" w:rsidR="0020188B" w:rsidRPr="00334C25" w:rsidRDefault="0020188B" w:rsidP="0020188B">
      <w:pPr>
        <w:rPr>
          <w:color w:val="000000" w:themeColor="text1"/>
          <w:lang w:val="en-US"/>
        </w:rPr>
      </w:pPr>
    </w:p>
    <w:p w14:paraId="54838526" w14:textId="77777777" w:rsidR="0020188B" w:rsidRPr="00334C25" w:rsidRDefault="0020188B" w:rsidP="0020188B">
      <w:pPr>
        <w:rPr>
          <w:color w:val="000000" w:themeColor="text1"/>
          <w:lang w:val="en-US"/>
        </w:rPr>
      </w:pPr>
    </w:p>
    <w:p w14:paraId="6162D2D4" w14:textId="5F292111" w:rsidR="0020188B" w:rsidRPr="00334C25" w:rsidRDefault="0020188B" w:rsidP="0020188B">
      <w:pPr>
        <w:pStyle w:val="1"/>
        <w:jc w:val="center"/>
        <w:rPr>
          <w:color w:val="000000" w:themeColor="text1"/>
          <w:lang w:val="uk-UA"/>
        </w:rPr>
      </w:pPr>
      <w:bookmarkStart w:id="39" w:name="_Toc214217534"/>
      <w:r w:rsidRPr="00334C25">
        <w:rPr>
          <w:color w:val="000000" w:themeColor="text1"/>
        </w:rPr>
        <w:lastRenderedPageBreak/>
        <w:t>РОЗДІЛ 3. ЕМПІРИЧНЕ ДОСЛІДЖЕННЯ – РЕЗУЛЬТАТИ ТА АНАЛІЗ</w:t>
      </w:r>
      <w:bookmarkEnd w:id="39"/>
    </w:p>
    <w:p w14:paraId="4D0763D2" w14:textId="77777777" w:rsidR="0020188B" w:rsidRPr="00334C25" w:rsidRDefault="0020188B" w:rsidP="0020188B">
      <w:pPr>
        <w:rPr>
          <w:color w:val="000000" w:themeColor="text1"/>
          <w:lang w:eastAsia="en-US"/>
        </w:rPr>
      </w:pPr>
    </w:p>
    <w:p w14:paraId="0CAEE44C" w14:textId="35F28468" w:rsidR="00334C25" w:rsidRPr="00334C25" w:rsidRDefault="00334C25" w:rsidP="00334C25">
      <w:pPr>
        <w:pStyle w:val="2"/>
        <w:rPr>
          <w:color w:val="000000" w:themeColor="text1"/>
        </w:rPr>
      </w:pPr>
      <w:bookmarkStart w:id="40" w:name="_Toc214217535"/>
      <w:r w:rsidRPr="00334C25">
        <w:rPr>
          <w:color w:val="000000" w:themeColor="text1"/>
        </w:rPr>
        <w:t>3.1. Опис вибірки</w:t>
      </w:r>
      <w:bookmarkEnd w:id="40"/>
      <w:r w:rsidRPr="00334C25">
        <w:rPr>
          <w:color w:val="000000" w:themeColor="text1"/>
        </w:rPr>
        <w:t xml:space="preserve"> </w:t>
      </w:r>
    </w:p>
    <w:p w14:paraId="1BF35932" w14:textId="56800A4F"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Дослідження охоплює мульти-локаційний </w:t>
      </w:r>
      <w:r w:rsidRPr="00334C25">
        <w:rPr>
          <w:color w:val="000000" w:themeColor="text1"/>
          <w:sz w:val="28"/>
          <w:szCs w:val="28"/>
        </w:rPr>
        <w:t>набір (Павлоградський напрямок</w:t>
      </w:r>
      <w:r w:rsidRPr="00334C25">
        <w:rPr>
          <w:color w:val="000000" w:themeColor="text1"/>
          <w:sz w:val="28"/>
          <w:szCs w:val="28"/>
          <w:lang w:val="en-US"/>
        </w:rPr>
        <w:t xml:space="preserve">, </w:t>
      </w:r>
      <w:r w:rsidRPr="00334C25">
        <w:rPr>
          <w:color w:val="000000" w:themeColor="text1"/>
          <w:sz w:val="28"/>
          <w:szCs w:val="28"/>
        </w:rPr>
        <w:t xml:space="preserve">Лозівський напрямок та Волоський напрямок) напрямків евакуації </w:t>
      </w:r>
      <w:r w:rsidRPr="00334C25">
        <w:rPr>
          <w:color w:val="000000" w:themeColor="text1"/>
          <w:sz w:val="28"/>
          <w:szCs w:val="28"/>
          <w:lang w:val="ru-UA"/>
        </w:rPr>
        <w:t>з метою отримання репрезентативного принципового уявлення про роботу транзитних центрів та супутні процеси евакуації й адаптації. Географічне охоплення включає кілька зон з різною інфраструктурною й адміністративною специфікою (міські та прикордонні вузли, райони з обмеженою інфраструктурою), що дозволяє порівнювати практики й виявляти контекстуальні відмінності в роботі центрів та у викликах, з якими зіштовхуються прибулі особи.</w:t>
      </w:r>
    </w:p>
    <w:p w14:paraId="61B1A31C" w14:textId="77777777" w:rsidR="00334C25" w:rsidRPr="00334C25" w:rsidRDefault="00334C25" w:rsidP="00334C25">
      <w:pPr>
        <w:spacing w:before="100" w:beforeAutospacing="1" w:after="100" w:afterAutospacing="1"/>
        <w:rPr>
          <w:color w:val="000000" w:themeColor="text1"/>
          <w:sz w:val="28"/>
          <w:szCs w:val="28"/>
          <w:lang w:val="ru-UA"/>
        </w:rPr>
      </w:pPr>
    </w:p>
    <w:p w14:paraId="76CB621A" w14:textId="7D8EC683"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Склад вибірки сформовано за принципом цілеспрямованого (профільного) відбору з доповненням мережевих контактів, щоб охопити ключових акторів евакуаційного ланцюга. Усього було опитано 27 респондентів До вибірки увійшли представники таких категорій:</w:t>
      </w:r>
    </w:p>
    <w:p w14:paraId="7E4809ED" w14:textId="78CE6DA1" w:rsidR="00334C25" w:rsidRPr="00334C25" w:rsidRDefault="00334C25" w:rsidP="00334C25">
      <w:pPr>
        <w:numPr>
          <w:ilvl w:val="0"/>
          <w:numId w:val="68"/>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66.7% - представники місцевої влади та структур соціального захисту</w:t>
      </w:r>
      <w:r w:rsidRPr="00334C25">
        <w:rPr>
          <w:color w:val="000000" w:themeColor="text1"/>
          <w:sz w:val="28"/>
          <w:szCs w:val="28"/>
          <w:lang w:val="ru-UA"/>
        </w:rPr>
        <w:t xml:space="preserve"> (керівники підрозділів, відповідальні за координацію прийому і реєстрації), </w:t>
      </w:r>
      <w:r w:rsidRPr="00334C25">
        <w:rPr>
          <w:b/>
          <w:bCs/>
          <w:color w:val="000000" w:themeColor="text1"/>
          <w:sz w:val="28"/>
          <w:szCs w:val="28"/>
          <w:lang w:val="ru-UA"/>
        </w:rPr>
        <w:t>адміністратори та операційний персонал транзитних центрів</w:t>
      </w:r>
      <w:r w:rsidRPr="00334C25">
        <w:rPr>
          <w:color w:val="000000" w:themeColor="text1"/>
          <w:sz w:val="28"/>
          <w:szCs w:val="28"/>
          <w:lang w:val="ru-UA"/>
        </w:rPr>
        <w:t xml:space="preserve"> (реєстратори, логісти, відповідальні за обслуговування та інфраструктуру);</w:t>
      </w:r>
    </w:p>
    <w:p w14:paraId="2CB1C6C1" w14:textId="3625F1FF" w:rsidR="00334C25" w:rsidRPr="00334C25" w:rsidRDefault="00334C25" w:rsidP="00334C25">
      <w:pPr>
        <w:numPr>
          <w:ilvl w:val="0"/>
          <w:numId w:val="68"/>
        </w:numPr>
        <w:spacing w:before="100" w:beforeAutospacing="1" w:after="100" w:afterAutospacing="1"/>
        <w:rPr>
          <w:color w:val="000000" w:themeColor="text1"/>
          <w:sz w:val="28"/>
          <w:szCs w:val="28"/>
          <w:lang w:val="ru-UA"/>
        </w:rPr>
      </w:pPr>
      <w:r w:rsidRPr="00334C25">
        <w:rPr>
          <w:b/>
          <w:bCs/>
          <w:color w:val="000000" w:themeColor="text1"/>
          <w:sz w:val="28"/>
          <w:szCs w:val="28"/>
          <w:lang w:val="ru-UA"/>
        </w:rPr>
        <w:lastRenderedPageBreak/>
        <w:t>11.1% представники неурядових/волонтерських організацій</w:t>
      </w:r>
      <w:r w:rsidRPr="00334C25">
        <w:rPr>
          <w:color w:val="000000" w:themeColor="text1"/>
          <w:sz w:val="28"/>
          <w:szCs w:val="28"/>
          <w:lang w:val="ru-UA"/>
        </w:rPr>
        <w:t xml:space="preserve"> (координатори мобільних бригад, постачальники гуманітарної допомоги, фахівці з MHPSS);</w:t>
      </w:r>
    </w:p>
    <w:p w14:paraId="4F875738" w14:textId="2BD804A8" w:rsidR="00334C25" w:rsidRPr="00334C25" w:rsidRDefault="00334C25" w:rsidP="00334C25">
      <w:pPr>
        <w:numPr>
          <w:ilvl w:val="0"/>
          <w:numId w:val="68"/>
        </w:numPr>
        <w:spacing w:before="100" w:beforeAutospacing="1" w:after="100" w:afterAutospacing="1"/>
        <w:rPr>
          <w:color w:val="000000" w:themeColor="text1"/>
          <w:sz w:val="28"/>
          <w:szCs w:val="28"/>
          <w:lang w:val="ru-UA"/>
        </w:rPr>
      </w:pPr>
      <w:r w:rsidRPr="00334C25">
        <w:rPr>
          <w:b/>
          <w:bCs/>
          <w:color w:val="000000" w:themeColor="text1"/>
          <w:sz w:val="28"/>
          <w:szCs w:val="28"/>
          <w:lang w:val="ru-UA"/>
        </w:rPr>
        <w:t>22.7% - медичні та соціально-психологічні працівники</w:t>
      </w:r>
      <w:r w:rsidRPr="00334C25">
        <w:rPr>
          <w:color w:val="000000" w:themeColor="text1"/>
          <w:sz w:val="28"/>
          <w:szCs w:val="28"/>
          <w:lang w:val="ru-UA"/>
        </w:rPr>
        <w:t xml:space="preserve"> (медики першої допомоги, психологи, працівники з SRH), </w:t>
      </w:r>
      <w:r w:rsidRPr="00334C25">
        <w:rPr>
          <w:b/>
          <w:bCs/>
          <w:color w:val="000000" w:themeColor="text1"/>
          <w:sz w:val="28"/>
          <w:szCs w:val="28"/>
          <w:lang w:val="ru-UA"/>
        </w:rPr>
        <w:t>працівники, задіяні в евакуації та логістиці</w:t>
      </w:r>
      <w:r w:rsidRPr="00334C25">
        <w:rPr>
          <w:color w:val="000000" w:themeColor="text1"/>
          <w:sz w:val="28"/>
          <w:szCs w:val="28"/>
          <w:lang w:val="ru-UA"/>
        </w:rPr>
        <w:t xml:space="preserve"> (координатори виїздів, водії-волонтери), </w:t>
      </w:r>
      <w:r w:rsidRPr="00334C25">
        <w:rPr>
          <w:b/>
          <w:bCs/>
          <w:color w:val="000000" w:themeColor="text1"/>
          <w:sz w:val="28"/>
          <w:szCs w:val="28"/>
          <w:lang w:val="ru-UA"/>
        </w:rPr>
        <w:t>представники громад та місцевих ініціатив</w:t>
      </w:r>
      <w:r w:rsidRPr="00334C25">
        <w:rPr>
          <w:color w:val="000000" w:themeColor="text1"/>
          <w:sz w:val="28"/>
          <w:szCs w:val="28"/>
          <w:lang w:val="ru-UA"/>
        </w:rPr>
        <w:t xml:space="preserve"> (активісти, старости, керівники приймаючих громад).</w:t>
      </w:r>
    </w:p>
    <w:p w14:paraId="5D63FE6B" w14:textId="4CBAB2D0"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Структура </w:t>
      </w:r>
      <w:proofErr w:type="spellStart"/>
      <w:r w:rsidRPr="00334C25">
        <w:rPr>
          <w:color w:val="000000" w:themeColor="text1"/>
          <w:sz w:val="28"/>
          <w:szCs w:val="28"/>
          <w:lang w:val="ru-UA"/>
        </w:rPr>
        <w:t>відбору</w:t>
      </w:r>
      <w:proofErr w:type="spellEnd"/>
      <w:r w:rsidRPr="00334C25">
        <w:rPr>
          <w:color w:val="000000" w:themeColor="text1"/>
          <w:sz w:val="28"/>
          <w:szCs w:val="28"/>
          <w:lang w:val="ru-UA"/>
        </w:rPr>
        <w:t xml:space="preserve"> також </w:t>
      </w:r>
      <w:proofErr w:type="spellStart"/>
      <w:r w:rsidRPr="00334C25">
        <w:rPr>
          <w:color w:val="000000" w:themeColor="text1"/>
          <w:sz w:val="28"/>
          <w:szCs w:val="28"/>
          <w:lang w:val="ru-UA"/>
        </w:rPr>
        <w:t>зорієнтована</w:t>
      </w:r>
      <w:proofErr w:type="spellEnd"/>
      <w:r w:rsidRPr="00334C25">
        <w:rPr>
          <w:color w:val="000000" w:themeColor="text1"/>
          <w:sz w:val="28"/>
          <w:szCs w:val="28"/>
          <w:lang w:val="ru-UA"/>
        </w:rPr>
        <w:t xml:space="preserve"> на три </w:t>
      </w:r>
      <w:proofErr w:type="spellStart"/>
      <w:r w:rsidRPr="00334C25">
        <w:rPr>
          <w:color w:val="000000" w:themeColor="text1"/>
          <w:sz w:val="28"/>
          <w:szCs w:val="28"/>
          <w:lang w:val="ru-UA"/>
        </w:rPr>
        <w:t>ключові</w:t>
      </w:r>
      <w:proofErr w:type="spellEnd"/>
      <w:r w:rsidRPr="00334C25">
        <w:rPr>
          <w:color w:val="000000" w:themeColor="text1"/>
          <w:sz w:val="28"/>
          <w:szCs w:val="28"/>
          <w:lang w:val="ru-UA"/>
        </w:rPr>
        <w:t xml:space="preserve"> </w:t>
      </w:r>
      <w:proofErr w:type="spellStart"/>
      <w:r w:rsidRPr="00334C25">
        <w:rPr>
          <w:color w:val="000000" w:themeColor="text1"/>
          <w:sz w:val="28"/>
          <w:szCs w:val="28"/>
          <w:lang w:val="ru-UA"/>
        </w:rPr>
        <w:t>етапи</w:t>
      </w:r>
      <w:proofErr w:type="spellEnd"/>
      <w:r w:rsidRPr="00334C25">
        <w:rPr>
          <w:color w:val="000000" w:themeColor="text1"/>
          <w:sz w:val="28"/>
          <w:szCs w:val="28"/>
          <w:lang w:val="ru-UA"/>
        </w:rPr>
        <w:t xml:space="preserve"> </w:t>
      </w:r>
      <w:proofErr w:type="spellStart"/>
      <w:r w:rsidRPr="00334C25">
        <w:rPr>
          <w:color w:val="000000" w:themeColor="text1"/>
          <w:sz w:val="28"/>
          <w:szCs w:val="28"/>
          <w:lang w:val="ru-UA"/>
        </w:rPr>
        <w:t>ланцюга</w:t>
      </w:r>
      <w:proofErr w:type="spellEnd"/>
      <w:r w:rsidRPr="00334C25">
        <w:rPr>
          <w:color w:val="000000" w:themeColor="text1"/>
          <w:sz w:val="28"/>
          <w:szCs w:val="28"/>
          <w:lang w:val="ru-UA"/>
        </w:rPr>
        <w:t xml:space="preserve"> п</w:t>
      </w:r>
      <w:proofErr w:type="spellStart"/>
      <w:r w:rsidRPr="00334C25">
        <w:rPr>
          <w:color w:val="000000" w:themeColor="text1"/>
          <w:sz w:val="28"/>
          <w:szCs w:val="28"/>
        </w:rPr>
        <w:t>роцесу</w:t>
      </w:r>
      <w:proofErr w:type="spellEnd"/>
      <w:r w:rsidRPr="00334C25">
        <w:rPr>
          <w:color w:val="000000" w:themeColor="text1"/>
          <w:sz w:val="28"/>
          <w:szCs w:val="28"/>
        </w:rPr>
        <w:t xml:space="preserve"> евакуації </w:t>
      </w:r>
      <w:r w:rsidRPr="00334C25">
        <w:rPr>
          <w:color w:val="000000" w:themeColor="text1"/>
          <w:sz w:val="28"/>
          <w:szCs w:val="28"/>
          <w:lang w:val="ru-UA"/>
        </w:rPr>
        <w:t xml:space="preserve">: </w:t>
      </w:r>
      <w:r w:rsidRPr="00334C25">
        <w:rPr>
          <w:b/>
          <w:bCs/>
          <w:color w:val="000000" w:themeColor="text1"/>
          <w:sz w:val="28"/>
          <w:szCs w:val="28"/>
          <w:lang w:val="ru-UA"/>
        </w:rPr>
        <w:t>(1) виїзд із небезпечної зони, (2) прийом і перебування в транзитному центрі, (3) адаптація і доступ до послуг після транзиту</w:t>
      </w:r>
      <w:r w:rsidRPr="00334C25">
        <w:rPr>
          <w:color w:val="000000" w:themeColor="text1"/>
          <w:sz w:val="28"/>
          <w:szCs w:val="28"/>
          <w:lang w:val="ru-UA"/>
        </w:rPr>
        <w:t xml:space="preserve">. Кожен респондент принаймні відноситься до одного з цих етапів; частина інформантів мала досвід роботи на двох чи трьох етапах, що дало змогу відстежувати зв’язки та «перервані ланцюги» на шляху переміщення. Такий підхід забезпечив якісну різноманітність точок зору </w:t>
      </w:r>
      <w:r w:rsidR="008D7B0D">
        <w:rPr>
          <w:color w:val="000000" w:themeColor="text1"/>
          <w:sz w:val="28"/>
          <w:szCs w:val="28"/>
          <w:lang w:val="ru-UA"/>
        </w:rPr>
        <w:t>-</w:t>
      </w:r>
      <w:r w:rsidRPr="00334C25">
        <w:rPr>
          <w:color w:val="000000" w:themeColor="text1"/>
          <w:sz w:val="28"/>
          <w:szCs w:val="28"/>
          <w:lang w:val="ru-UA"/>
        </w:rPr>
        <w:t xml:space="preserve"> від політичного/адміністративного до операційно-польового.</w:t>
      </w:r>
    </w:p>
    <w:p w14:paraId="69317DA5" w14:textId="7A3095A5"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Часові рамки збору емпіричних даних охоплювали період полевих візитів і інтерв’ю, який відповідав актуальним потокам евакуації. Опитування було проведено у форматі напівструктурованих інтерв’ю тривалістю близько 45–70 хвилин, супроводжуваних нотатками та, за згодою респондентів, аудіозаписом для подальшої транскрипції. Вторинні джерела (накази, протоколи, внутрішні звіти центрів) збиралися паралельно для методу триангуляції.</w:t>
      </w:r>
    </w:p>
    <w:p w14:paraId="7364ECAF" w14:textId="34E9C903"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 xml:space="preserve">Демографічні характеристики вибірки відображають різноманіття ролей і досвіду: серед респондентів були як керівники (адміністративний рівень), так і працівники першої лінії; переважали особи вікових груп 30–55 років; було представлено обидві статі. Окрему увагу приділено залученню </w:t>
      </w:r>
      <w:r w:rsidRPr="00334C25">
        <w:rPr>
          <w:color w:val="000000" w:themeColor="text1"/>
          <w:sz w:val="28"/>
          <w:szCs w:val="28"/>
          <w:lang w:val="ru-UA"/>
        </w:rPr>
        <w:lastRenderedPageBreak/>
        <w:t>фахівців, які працюють із вразливими групами (люди з інвалідністю, жінки з дітьми, літні особи), щоб зафіксувати специфічні бар’єри доступу та практичні рішення.</w:t>
      </w:r>
    </w:p>
    <w:p w14:paraId="77E44CDE" w14:textId="07D14B7D"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Методологічні критерії включали: пряму залученість до операцій евакуації/прийому, досвід роботи не менше ніж один повний цикл (виїзд → транзит → адаптація) або спеціалізована роль (наприклад, відповідальний за реєстрацію або медичний супровід). Рекрутування здійснювалося через контактні мережі організацій, офіційні запити до адміністрацій центрів і рекомендації від перших інформантів.</w:t>
      </w:r>
    </w:p>
    <w:p w14:paraId="3CE882DB" w14:textId="0349B442" w:rsidR="00334C25" w:rsidRPr="00334C25" w:rsidRDefault="00334C25" w:rsidP="00334C25">
      <w:pPr>
        <w:spacing w:before="100" w:beforeAutospacing="1" w:after="100" w:afterAutospacing="1"/>
        <w:rPr>
          <w:color w:val="000000" w:themeColor="text1"/>
          <w:sz w:val="28"/>
          <w:szCs w:val="28"/>
          <w:lang w:val="ru-UA"/>
        </w:rPr>
      </w:pPr>
      <w:r w:rsidRPr="00334C25">
        <w:rPr>
          <w:color w:val="000000" w:themeColor="text1"/>
          <w:sz w:val="28"/>
          <w:szCs w:val="28"/>
          <w:lang w:val="ru-UA"/>
        </w:rPr>
        <w:t>Для прозорості й відтворюваності дослідження в журналі польових робіт зафіксовано для кожного інтерв’ю: дату проведення, місце, роль респондента, основні теми розмови та ступінь доступності документальних підтверджень. Матеріали зберігаються у знеособленому вигляді; у тексті звіту використано анонімні цитати й узагальнені приклади.</w:t>
      </w:r>
    </w:p>
    <w:p w14:paraId="3EF0D224" w14:textId="77777777" w:rsidR="00334C25" w:rsidRPr="00334C25" w:rsidRDefault="00334C25" w:rsidP="00334C25">
      <w:pPr>
        <w:spacing w:before="100" w:beforeAutospacing="1" w:after="100" w:afterAutospacing="1"/>
        <w:rPr>
          <w:color w:val="000000" w:themeColor="text1"/>
          <w:sz w:val="28"/>
          <w:szCs w:val="28"/>
          <w:lang w:val="ru-UA"/>
        </w:rPr>
      </w:pPr>
      <w:r w:rsidRPr="00334C25">
        <w:rPr>
          <w:b/>
          <w:bCs/>
          <w:color w:val="000000" w:themeColor="text1"/>
          <w:sz w:val="28"/>
          <w:szCs w:val="28"/>
          <w:lang w:val="ru-UA"/>
        </w:rPr>
        <w:t>Обмеження вибірки.</w:t>
      </w:r>
      <w:r w:rsidRPr="00334C25">
        <w:rPr>
          <w:color w:val="000000" w:themeColor="text1"/>
          <w:sz w:val="28"/>
          <w:szCs w:val="28"/>
          <w:lang w:val="ru-UA"/>
        </w:rPr>
        <w:t xml:space="preserve"> Вибірка є цілеспрямованою та якісно-орієнтованою, отже вона не претендує на статистичну репрезентативність для всієї країни. Існує ризик упередженості вибірки в бік тих організацій і тих центрів, що були відкриті для співпраці; частина операційних даних залежала від доступності адміністративних реєстрів і готовності партнерів надати документи. Задля зниження цих обмежень застосовано триангуляцію джерел і прагматичний баланс між адміністративними, гуманітарними та локальними інформантами.</w:t>
      </w:r>
    </w:p>
    <w:p w14:paraId="424D41FB" w14:textId="77777777" w:rsidR="00334C25" w:rsidRPr="00334C25" w:rsidRDefault="00334C25" w:rsidP="00334C25">
      <w:pPr>
        <w:rPr>
          <w:color w:val="000000" w:themeColor="text1"/>
        </w:rPr>
      </w:pPr>
    </w:p>
    <w:p w14:paraId="2C78E28B" w14:textId="33CE4DBE" w:rsidR="00334C25" w:rsidRPr="00334C25" w:rsidRDefault="00334C25" w:rsidP="00334C25">
      <w:pPr>
        <w:pStyle w:val="2"/>
        <w:rPr>
          <w:color w:val="000000" w:themeColor="text1"/>
        </w:rPr>
      </w:pPr>
      <w:bookmarkStart w:id="41" w:name="_Toc214217536"/>
      <w:r w:rsidRPr="00334C25">
        <w:rPr>
          <w:color w:val="000000" w:themeColor="text1"/>
        </w:rPr>
        <w:lastRenderedPageBreak/>
        <w:t>3.2. Результати кількісного аналізу</w:t>
      </w:r>
      <w:bookmarkEnd w:id="41"/>
      <w:r w:rsidRPr="00334C25">
        <w:rPr>
          <w:color w:val="000000" w:themeColor="text1"/>
        </w:rPr>
        <w:t xml:space="preserve"> </w:t>
      </w:r>
    </w:p>
    <w:p w14:paraId="339AC5C0" w14:textId="77777777" w:rsidR="00334C25" w:rsidRPr="00334C25" w:rsidRDefault="00334C25" w:rsidP="00334C25">
      <w:pPr>
        <w:pStyle w:val="3"/>
        <w:rPr>
          <w:rFonts w:cs="Times New Roman"/>
          <w:color w:val="000000" w:themeColor="text1"/>
          <w:lang w:val="ru-UA"/>
        </w:rPr>
      </w:pPr>
      <w:bookmarkStart w:id="42" w:name="_Toc214217537"/>
      <w:r w:rsidRPr="00334C25">
        <w:rPr>
          <w:rFonts w:cs="Times New Roman"/>
          <w:color w:val="000000" w:themeColor="text1"/>
        </w:rPr>
        <w:t>3.2.1. Швидка оглядова картина: масштаби переміщення та охоплення послуг</w:t>
      </w:r>
      <w:bookmarkEnd w:id="42"/>
    </w:p>
    <w:p w14:paraId="53A12400" w14:textId="6422BC3C" w:rsidR="00334C25" w:rsidRPr="00334C25" w:rsidRDefault="00334C25" w:rsidP="00334C25">
      <w:pPr>
        <w:pStyle w:val="p1"/>
        <w:numPr>
          <w:ilvl w:val="0"/>
          <w:numId w:val="69"/>
        </w:numPr>
        <w:rPr>
          <w:color w:val="000000" w:themeColor="text1"/>
          <w:sz w:val="28"/>
          <w:szCs w:val="28"/>
        </w:rPr>
      </w:pPr>
      <w:r w:rsidRPr="00334C25">
        <w:rPr>
          <w:color w:val="000000" w:themeColor="text1"/>
          <w:sz w:val="28"/>
          <w:szCs w:val="28"/>
        </w:rPr>
        <w:t xml:space="preserve">За даними системи відстеження переміщень (DTM / IOM), кількість внутрішньо переміщених осіб в Україні у 2024–2025 роках коливалась у мільйонних масштабах; у окремих раундах оцінювалась приблизно на рівні кількох мільйонів переміщених (портерплейс </w:t>
      </w:r>
      <w:r w:rsidR="008D7B0D">
        <w:rPr>
          <w:color w:val="000000" w:themeColor="text1"/>
          <w:sz w:val="28"/>
          <w:szCs w:val="28"/>
        </w:rPr>
        <w:t>-</w:t>
      </w:r>
      <w:r w:rsidRPr="00334C25">
        <w:rPr>
          <w:color w:val="000000" w:themeColor="text1"/>
          <w:sz w:val="28"/>
          <w:szCs w:val="28"/>
        </w:rPr>
        <w:t xml:space="preserve"> раунди GPS/DTM дають репрезентативні щоквартальні та щомісячні оцінки для аналізу потоків і довжини переміщення).</w:t>
      </w:r>
      <w:r w:rsidRPr="00334C25">
        <w:rPr>
          <w:rStyle w:val="apple-converted-space"/>
          <w:rFonts w:eastAsiaTheme="majorEastAsia"/>
          <w:color w:val="000000" w:themeColor="text1"/>
          <w:sz w:val="28"/>
          <w:szCs w:val="28"/>
        </w:rPr>
        <w:t xml:space="preserve">  </w:t>
      </w:r>
    </w:p>
    <w:p w14:paraId="67EEF840" w14:textId="3C6863D7" w:rsidR="00334C25" w:rsidRPr="00334C25" w:rsidRDefault="00334C25" w:rsidP="00334C25">
      <w:pPr>
        <w:pStyle w:val="p1"/>
        <w:numPr>
          <w:ilvl w:val="0"/>
          <w:numId w:val="69"/>
        </w:numPr>
        <w:rPr>
          <w:color w:val="000000" w:themeColor="text1"/>
          <w:sz w:val="28"/>
          <w:szCs w:val="28"/>
        </w:rPr>
      </w:pPr>
      <w:r w:rsidRPr="00334C25">
        <w:rPr>
          <w:color w:val="000000" w:themeColor="text1"/>
          <w:sz w:val="28"/>
          <w:szCs w:val="28"/>
        </w:rPr>
        <w:t xml:space="preserve">Офіційні/адміністративні джерела реєстрацій ВПО дають інший, комплементарний зріз: за повідомленнями державних установ у окремі періоди кількість осіб, що мають статус ВПО, сягала декількох мільйонів (у травні 2024-го фігурувала цифра ~4,6 млн зареєстрованих ВПО). При цьому значна частина зареєстрованих не завжди отримує державні виплати </w:t>
      </w:r>
      <w:r w:rsidR="008D7B0D">
        <w:rPr>
          <w:color w:val="000000" w:themeColor="text1"/>
          <w:sz w:val="28"/>
          <w:szCs w:val="28"/>
        </w:rPr>
        <w:t>-</w:t>
      </w:r>
      <w:r w:rsidRPr="00334C25">
        <w:rPr>
          <w:color w:val="000000" w:themeColor="text1"/>
          <w:sz w:val="28"/>
          <w:szCs w:val="28"/>
        </w:rPr>
        <w:t xml:space="preserve"> у прикладі 2024 року на виплати було оформлено значно меншу кількість отримувачів (приблизно 1,5 млн отримували виплати в одному з періодів). Це означає, що реєстрація ≠ доступ до послуг.</w:t>
      </w:r>
      <w:r w:rsidRPr="00334C25">
        <w:rPr>
          <w:rStyle w:val="apple-converted-space"/>
          <w:rFonts w:eastAsiaTheme="majorEastAsia"/>
          <w:color w:val="000000" w:themeColor="text1"/>
          <w:sz w:val="28"/>
          <w:szCs w:val="28"/>
        </w:rPr>
        <w:t xml:space="preserve">  </w:t>
      </w:r>
    </w:p>
    <w:p w14:paraId="5CA9847C" w14:textId="458D62B0" w:rsidR="00334C25" w:rsidRPr="00334C25" w:rsidRDefault="00334C25" w:rsidP="00334C25">
      <w:pPr>
        <w:pStyle w:val="p1"/>
        <w:numPr>
          <w:ilvl w:val="0"/>
          <w:numId w:val="69"/>
        </w:numPr>
        <w:rPr>
          <w:rStyle w:val="s1"/>
          <w:color w:val="000000" w:themeColor="text1"/>
          <w:sz w:val="28"/>
          <w:szCs w:val="28"/>
        </w:rPr>
      </w:pPr>
      <w:r w:rsidRPr="00334C25">
        <w:rPr>
          <w:color w:val="000000" w:themeColor="text1"/>
          <w:sz w:val="28"/>
          <w:szCs w:val="28"/>
        </w:rPr>
        <w:t>Охоплення цільових груп захистом через міжнародні організації (практичні інтервенції) значне, але обмежене ресурсами: УВКБ/UNHCR у першому кварталі/півріччі 2024 року звітувало про десятки тисяч осіб, охоплених заходами захисту щомісяця (приклад: 264 416 осіб охоплено за 4 місяці, ≈66 000 мес. у місяць у звітному періоді). Це показує масштаб гуманітарного охоплення, але також і межі його досяжності в порівнянні з кількістю ВПО.</w:t>
      </w:r>
      <w:r w:rsidRPr="00334C25">
        <w:rPr>
          <w:rStyle w:val="apple-converted-space"/>
          <w:rFonts w:eastAsiaTheme="majorEastAsia"/>
          <w:color w:val="000000" w:themeColor="text1"/>
          <w:sz w:val="28"/>
          <w:szCs w:val="28"/>
        </w:rPr>
        <w:t xml:space="preserve">  </w:t>
      </w:r>
    </w:p>
    <w:p w14:paraId="6E4C64FB" w14:textId="03C78442" w:rsidR="00334C25" w:rsidRPr="00334C25" w:rsidRDefault="00334C25" w:rsidP="00334C25">
      <w:pPr>
        <w:pStyle w:val="3"/>
        <w:rPr>
          <w:rFonts w:cs="Times New Roman"/>
          <w:color w:val="000000" w:themeColor="text1"/>
        </w:rPr>
      </w:pPr>
      <w:bookmarkStart w:id="43" w:name="_Toc214217538"/>
      <w:r w:rsidRPr="00334C25">
        <w:rPr>
          <w:rFonts w:cs="Times New Roman"/>
          <w:color w:val="000000" w:themeColor="text1"/>
        </w:rPr>
        <w:lastRenderedPageBreak/>
        <w:t xml:space="preserve">3.2.2. Кількісні індикатори транзитних центрів </w:t>
      </w:r>
      <w:r w:rsidR="008D7B0D">
        <w:rPr>
          <w:rFonts w:cs="Times New Roman"/>
          <w:color w:val="000000" w:themeColor="text1"/>
        </w:rPr>
        <w:t>-</w:t>
      </w:r>
      <w:r w:rsidRPr="00334C25">
        <w:rPr>
          <w:rFonts w:cs="Times New Roman"/>
          <w:color w:val="000000" w:themeColor="text1"/>
        </w:rPr>
        <w:t xml:space="preserve"> підсумки по джерелах і обчислення-приклади</w:t>
      </w:r>
      <w:bookmarkEnd w:id="43"/>
    </w:p>
    <w:p w14:paraId="03CAEC85" w14:textId="77777777" w:rsidR="00334C25" w:rsidRPr="00334C25" w:rsidRDefault="00334C25" w:rsidP="00334C25">
      <w:pPr>
        <w:pStyle w:val="p2"/>
        <w:spacing w:line="360" w:lineRule="auto"/>
        <w:jc w:val="both"/>
        <w:rPr>
          <w:color w:val="000000" w:themeColor="text1"/>
          <w:sz w:val="28"/>
          <w:szCs w:val="28"/>
        </w:rPr>
      </w:pPr>
    </w:p>
    <w:p w14:paraId="1AE05D0C" w14:textId="0D75CBB4" w:rsidR="00334C25" w:rsidRPr="00334C25" w:rsidRDefault="00334C25" w:rsidP="00334C25">
      <w:pPr>
        <w:pStyle w:val="p3"/>
        <w:spacing w:line="360" w:lineRule="auto"/>
        <w:jc w:val="both"/>
        <w:rPr>
          <w:color w:val="000000" w:themeColor="text1"/>
          <w:sz w:val="28"/>
          <w:szCs w:val="28"/>
        </w:rPr>
      </w:pPr>
      <w:r w:rsidRPr="00334C25">
        <w:rPr>
          <w:color w:val="000000" w:themeColor="text1"/>
          <w:sz w:val="28"/>
          <w:szCs w:val="28"/>
        </w:rPr>
        <w:t xml:space="preserve">Нижче </w:t>
      </w:r>
      <w:r w:rsidR="008D7B0D">
        <w:rPr>
          <w:color w:val="000000" w:themeColor="text1"/>
          <w:sz w:val="28"/>
          <w:szCs w:val="28"/>
        </w:rPr>
        <w:t>-</w:t>
      </w:r>
      <w:r w:rsidRPr="00334C25">
        <w:rPr>
          <w:color w:val="000000" w:themeColor="text1"/>
          <w:sz w:val="28"/>
          <w:szCs w:val="28"/>
        </w:rPr>
        <w:t xml:space="preserve"> ключові показники, доступні з відкритих/офіційних джерел, і як їх інтерпретувати у нашому аналізі.</w:t>
      </w:r>
    </w:p>
    <w:p w14:paraId="2C5E47B6" w14:textId="77777777" w:rsidR="00334C25" w:rsidRPr="00334C25" w:rsidRDefault="00334C25" w:rsidP="00334C25">
      <w:pPr>
        <w:pStyle w:val="p2"/>
        <w:spacing w:line="360" w:lineRule="auto"/>
        <w:jc w:val="both"/>
        <w:rPr>
          <w:color w:val="000000" w:themeColor="text1"/>
          <w:sz w:val="28"/>
          <w:szCs w:val="28"/>
        </w:rPr>
      </w:pPr>
    </w:p>
    <w:p w14:paraId="37F1ED5B"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A) Кількість і функціональність транзитних центрів</w:t>
      </w:r>
    </w:p>
    <w:p w14:paraId="572B8689" w14:textId="77777777" w:rsidR="00334C25" w:rsidRPr="00334C25" w:rsidRDefault="00334C25" w:rsidP="00334C25">
      <w:pPr>
        <w:pStyle w:val="p1"/>
        <w:numPr>
          <w:ilvl w:val="0"/>
          <w:numId w:val="70"/>
        </w:numPr>
        <w:rPr>
          <w:color w:val="000000" w:themeColor="text1"/>
          <w:sz w:val="28"/>
          <w:szCs w:val="28"/>
        </w:rPr>
      </w:pPr>
      <w:r w:rsidRPr="00334C25">
        <w:rPr>
          <w:color w:val="000000" w:themeColor="text1"/>
          <w:sz w:val="28"/>
          <w:szCs w:val="28"/>
        </w:rPr>
        <w:t>Моніторинг державних/уповноважених органів показав, що при вибіркових перевірках частина ТЦ не функціонує у звичному режимі: у вибірці 19 інспектованих центрів фактично діяли лише 11, решта тимчасово не працювали. Це дає індикатор «функціональність центрів» ≈ 58% у цій вибірці (11/19 ≈ 57.9%). Такий показник вказує на розрив між числом створених або задекларованих центрів та реальною операційною спроможністю на момент перевірок.</w:t>
      </w:r>
      <w:r w:rsidRPr="00334C25">
        <w:rPr>
          <w:rStyle w:val="apple-converted-space"/>
          <w:rFonts w:eastAsiaTheme="majorEastAsia"/>
          <w:color w:val="000000" w:themeColor="text1"/>
          <w:sz w:val="28"/>
          <w:szCs w:val="28"/>
        </w:rPr>
        <w:t xml:space="preserve">  </w:t>
      </w:r>
    </w:p>
    <w:p w14:paraId="3BD524BD" w14:textId="77777777" w:rsidR="00334C25" w:rsidRPr="00334C25" w:rsidRDefault="00334C25" w:rsidP="00334C25">
      <w:pPr>
        <w:pStyle w:val="p1"/>
        <w:numPr>
          <w:ilvl w:val="0"/>
          <w:numId w:val="70"/>
        </w:numPr>
        <w:rPr>
          <w:color w:val="000000" w:themeColor="text1"/>
          <w:sz w:val="28"/>
          <w:szCs w:val="28"/>
        </w:rPr>
      </w:pPr>
      <w:r w:rsidRPr="00334C25">
        <w:rPr>
          <w:color w:val="000000" w:themeColor="text1"/>
          <w:sz w:val="28"/>
          <w:szCs w:val="28"/>
        </w:rPr>
        <w:t>Паралельні повідомлення органів розвитку громад/ОДА інколи стверджують про готовність ТЦ до опалювального сезону (офіційні брифінги), отже існує дисонанс між декларацією готовності і фактичними режимами роботи на місцях. Це важливо врахувати при інтерпретації даних про «наявність місць» і «операційну здатність».</w:t>
      </w:r>
      <w:r w:rsidRPr="00334C25">
        <w:rPr>
          <w:rStyle w:val="apple-converted-space"/>
          <w:rFonts w:eastAsiaTheme="majorEastAsia"/>
          <w:color w:val="000000" w:themeColor="text1"/>
          <w:sz w:val="28"/>
          <w:szCs w:val="28"/>
        </w:rPr>
        <w:t xml:space="preserve">  </w:t>
      </w:r>
    </w:p>
    <w:p w14:paraId="7AEF40DF" w14:textId="77777777" w:rsidR="00334C25" w:rsidRPr="00334C25" w:rsidRDefault="00334C25" w:rsidP="00334C25">
      <w:pPr>
        <w:pStyle w:val="p2"/>
        <w:spacing w:line="360" w:lineRule="auto"/>
        <w:jc w:val="both"/>
        <w:rPr>
          <w:color w:val="000000" w:themeColor="text1"/>
          <w:sz w:val="28"/>
          <w:szCs w:val="28"/>
        </w:rPr>
      </w:pPr>
    </w:p>
    <w:p w14:paraId="47989F86"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 xml:space="preserve">B) Своєчасність реєстрації (приклад </w:t>
      </w:r>
      <w:proofErr w:type="spellStart"/>
      <w:r w:rsidRPr="00334C25">
        <w:rPr>
          <w:rFonts w:cs="Times New Roman"/>
          <w:i w:val="0"/>
          <w:iCs w:val="0"/>
          <w:color w:val="000000" w:themeColor="text1"/>
          <w:sz w:val="28"/>
          <w:szCs w:val="28"/>
        </w:rPr>
        <w:t>операціоналізації</w:t>
      </w:r>
      <w:proofErr w:type="spellEnd"/>
      <w:r w:rsidRPr="00334C25">
        <w:rPr>
          <w:rFonts w:cs="Times New Roman"/>
          <w:i w:val="0"/>
          <w:iCs w:val="0"/>
          <w:color w:val="000000" w:themeColor="text1"/>
          <w:sz w:val="28"/>
          <w:szCs w:val="28"/>
        </w:rPr>
        <w:t xml:space="preserve"> й оцінка)</w:t>
      </w:r>
    </w:p>
    <w:p w14:paraId="452CC2E7" w14:textId="77777777" w:rsidR="00334C25" w:rsidRPr="00334C25" w:rsidRDefault="00334C25" w:rsidP="00334C25">
      <w:pPr>
        <w:pStyle w:val="p1"/>
        <w:numPr>
          <w:ilvl w:val="0"/>
          <w:numId w:val="71"/>
        </w:numPr>
        <w:rPr>
          <w:color w:val="000000" w:themeColor="text1"/>
          <w:sz w:val="28"/>
          <w:szCs w:val="28"/>
        </w:rPr>
      </w:pPr>
      <w:r w:rsidRPr="00334C25">
        <w:rPr>
          <w:color w:val="000000" w:themeColor="text1"/>
          <w:sz w:val="28"/>
          <w:szCs w:val="28"/>
        </w:rPr>
        <w:t>Джерела DTM/адміністр. реєстрів дозволяють будувати категоріальні розподіли часу до первинної реєстрації; у практичних звітах і моніторингах фіксується, що:</w:t>
      </w:r>
    </w:p>
    <w:p w14:paraId="613DEEFC" w14:textId="77777777" w:rsidR="00334C25" w:rsidRPr="00334C25" w:rsidRDefault="00334C25" w:rsidP="00334C25">
      <w:pPr>
        <w:pStyle w:val="p1"/>
        <w:numPr>
          <w:ilvl w:val="1"/>
          <w:numId w:val="71"/>
        </w:numPr>
        <w:rPr>
          <w:color w:val="000000" w:themeColor="text1"/>
          <w:sz w:val="28"/>
          <w:szCs w:val="28"/>
        </w:rPr>
      </w:pPr>
      <w:r w:rsidRPr="00334C25">
        <w:rPr>
          <w:color w:val="000000" w:themeColor="text1"/>
          <w:sz w:val="28"/>
          <w:szCs w:val="28"/>
        </w:rPr>
        <w:lastRenderedPageBreak/>
        <w:t>значна частка прибулих реєструється у межах першої доби,</w:t>
      </w:r>
    </w:p>
    <w:p w14:paraId="200615F0" w14:textId="77777777" w:rsidR="00334C25" w:rsidRPr="00334C25" w:rsidRDefault="00334C25" w:rsidP="00334C25">
      <w:pPr>
        <w:pStyle w:val="p1"/>
        <w:numPr>
          <w:ilvl w:val="1"/>
          <w:numId w:val="71"/>
        </w:numPr>
        <w:rPr>
          <w:color w:val="000000" w:themeColor="text1"/>
          <w:sz w:val="28"/>
          <w:szCs w:val="28"/>
        </w:rPr>
      </w:pPr>
      <w:r w:rsidRPr="00334C25">
        <w:rPr>
          <w:color w:val="000000" w:themeColor="text1"/>
          <w:sz w:val="28"/>
          <w:szCs w:val="28"/>
        </w:rPr>
        <w:t>але пікові хвилі створюють затримки &gt;24 год у помітної частки випадків.</w:t>
      </w:r>
    </w:p>
    <w:p w14:paraId="24844A3E" w14:textId="59F0D004" w:rsidR="00334C25" w:rsidRPr="00334C25" w:rsidRDefault="00334C25" w:rsidP="00334C25">
      <w:pPr>
        <w:pStyle w:val="p1"/>
        <w:numPr>
          <w:ilvl w:val="0"/>
          <w:numId w:val="71"/>
        </w:numPr>
        <w:rPr>
          <w:color w:val="000000" w:themeColor="text1"/>
          <w:sz w:val="28"/>
          <w:szCs w:val="28"/>
        </w:rPr>
      </w:pPr>
      <w:r w:rsidRPr="00334C25">
        <w:rPr>
          <w:color w:val="000000" w:themeColor="text1"/>
          <w:sz w:val="28"/>
          <w:szCs w:val="28"/>
        </w:rPr>
        <w:t xml:space="preserve">Наслідок (кількісний висновок): національні/локальні дані свідчать про неоднорідність </w:t>
      </w:r>
      <w:r w:rsidR="008D7B0D">
        <w:rPr>
          <w:color w:val="000000" w:themeColor="text1"/>
          <w:sz w:val="28"/>
          <w:szCs w:val="28"/>
        </w:rPr>
        <w:t>-</w:t>
      </w:r>
      <w:r w:rsidRPr="00334C25">
        <w:rPr>
          <w:color w:val="000000" w:themeColor="text1"/>
          <w:sz w:val="28"/>
          <w:szCs w:val="28"/>
        </w:rPr>
        <w:t xml:space="preserve"> у нормальних умовах індекс «первинна реєстрація ≤24 год» може бути високим, але у пікові періоди знижується на десятки відсоткових пунктів (точні відсотки залежать від журналів реєстрації конкретних центрів; їх треба витягнути з адміністративних реєстрів).</w:t>
      </w:r>
      <w:r w:rsidRPr="00334C25">
        <w:rPr>
          <w:rStyle w:val="apple-converted-space"/>
          <w:rFonts w:eastAsiaTheme="majorEastAsia"/>
          <w:color w:val="000000" w:themeColor="text1"/>
          <w:sz w:val="28"/>
          <w:szCs w:val="28"/>
        </w:rPr>
        <w:t xml:space="preserve">  </w:t>
      </w:r>
    </w:p>
    <w:p w14:paraId="0220ECE4" w14:textId="77777777" w:rsidR="00334C25" w:rsidRPr="00334C25" w:rsidRDefault="00334C25" w:rsidP="00334C25">
      <w:pPr>
        <w:pStyle w:val="p2"/>
        <w:spacing w:line="360" w:lineRule="auto"/>
        <w:jc w:val="both"/>
        <w:rPr>
          <w:color w:val="000000" w:themeColor="text1"/>
          <w:sz w:val="28"/>
          <w:szCs w:val="28"/>
        </w:rPr>
      </w:pPr>
    </w:p>
    <w:p w14:paraId="442C9B6E"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C) Повнота мінімального пакета (WASH / інформація / SRH)</w:t>
      </w:r>
    </w:p>
    <w:p w14:paraId="7E539211" w14:textId="090E7F20" w:rsidR="00334C25" w:rsidRPr="00334C25" w:rsidRDefault="00334C25" w:rsidP="00334C25">
      <w:pPr>
        <w:pStyle w:val="p1"/>
        <w:numPr>
          <w:ilvl w:val="0"/>
          <w:numId w:val="72"/>
        </w:numPr>
        <w:rPr>
          <w:color w:val="000000" w:themeColor="text1"/>
          <w:sz w:val="28"/>
          <w:szCs w:val="28"/>
        </w:rPr>
      </w:pPr>
      <w:r w:rsidRPr="00334C25">
        <w:rPr>
          <w:color w:val="000000" w:themeColor="text1"/>
          <w:sz w:val="28"/>
          <w:szCs w:val="28"/>
        </w:rPr>
        <w:t xml:space="preserve">Кластерні стандарти WASH і мінімальні пакети допомоги (Sphere/WASH guidance) задають еталонний мінімум на людину (припустимі норми водопостачання/санітарії, наявність конфіденційних зон тощо). Практичні звіти та локальні інспекції показують, що багато центрів мають «часткову» наявність елементів мінпакета </w:t>
      </w:r>
      <w:r w:rsidR="008D7B0D">
        <w:rPr>
          <w:color w:val="000000" w:themeColor="text1"/>
          <w:sz w:val="28"/>
          <w:szCs w:val="28"/>
        </w:rPr>
        <w:t>-</w:t>
      </w:r>
      <w:r w:rsidRPr="00334C25">
        <w:rPr>
          <w:color w:val="000000" w:themeColor="text1"/>
          <w:sz w:val="28"/>
          <w:szCs w:val="28"/>
        </w:rPr>
        <w:t xml:space="preserve"> тобто виконання стандартів у повному обсязі відбувається не системно.</w:t>
      </w:r>
      <w:r w:rsidRPr="00334C25">
        <w:rPr>
          <w:rStyle w:val="apple-converted-space"/>
          <w:rFonts w:eastAsiaTheme="majorEastAsia"/>
          <w:color w:val="000000" w:themeColor="text1"/>
          <w:sz w:val="28"/>
          <w:szCs w:val="28"/>
        </w:rPr>
        <w:t xml:space="preserve">  </w:t>
      </w:r>
    </w:p>
    <w:p w14:paraId="6717957A" w14:textId="77777777" w:rsidR="00334C25" w:rsidRPr="00334C25" w:rsidRDefault="00334C25" w:rsidP="00334C25">
      <w:pPr>
        <w:pStyle w:val="p1"/>
        <w:numPr>
          <w:ilvl w:val="0"/>
          <w:numId w:val="72"/>
        </w:numPr>
        <w:rPr>
          <w:color w:val="000000" w:themeColor="text1"/>
          <w:sz w:val="28"/>
          <w:szCs w:val="28"/>
        </w:rPr>
      </w:pPr>
      <w:r w:rsidRPr="00334C25">
        <w:rPr>
          <w:color w:val="000000" w:themeColor="text1"/>
          <w:sz w:val="28"/>
          <w:szCs w:val="28"/>
        </w:rPr>
        <w:t>Орієнтовне кількісне тлумачення: якщо взяти за базу кластерні норми, то в частині локацій відсутність хоча б одного ключового елемента (наприклад, достатня кількість санвузлів або конфіденційні простори) знижує «індекс повноти» пакета для цього центру до категорії «частково» або «незадовільно». Для агрегованої оцінки корисно рахувати: % центрів, що відповідають ВСІМ мінімальним стандартам WASH+SRH+інформування. Поточні моніторинги свідчать, що цей показник суттєво менший за 100% і часто &lt;50% у регіонах з великим потоком.</w:t>
      </w:r>
      <w:r w:rsidRPr="00334C25">
        <w:rPr>
          <w:rStyle w:val="apple-converted-space"/>
          <w:rFonts w:eastAsiaTheme="majorEastAsia"/>
          <w:color w:val="000000" w:themeColor="text1"/>
          <w:sz w:val="28"/>
          <w:szCs w:val="28"/>
        </w:rPr>
        <w:t xml:space="preserve">  </w:t>
      </w:r>
    </w:p>
    <w:p w14:paraId="0ECE5A8A" w14:textId="77777777" w:rsidR="00334C25" w:rsidRPr="00334C25" w:rsidRDefault="00334C25" w:rsidP="00334C25">
      <w:pPr>
        <w:pStyle w:val="p2"/>
        <w:spacing w:line="360" w:lineRule="auto"/>
        <w:jc w:val="both"/>
        <w:rPr>
          <w:color w:val="000000" w:themeColor="text1"/>
          <w:sz w:val="28"/>
          <w:szCs w:val="28"/>
        </w:rPr>
      </w:pPr>
    </w:p>
    <w:p w14:paraId="1D742538" w14:textId="77777777" w:rsidR="00334C25" w:rsidRPr="00334C25" w:rsidRDefault="00334C25" w:rsidP="00334C25">
      <w:pPr>
        <w:pStyle w:val="4"/>
        <w:rPr>
          <w:rFonts w:cs="Times New Roman"/>
          <w:i w:val="0"/>
          <w:iCs w:val="0"/>
          <w:color w:val="000000" w:themeColor="text1"/>
          <w:sz w:val="28"/>
          <w:szCs w:val="28"/>
        </w:rPr>
      </w:pPr>
      <w:r w:rsidRPr="00334C25">
        <w:rPr>
          <w:rFonts w:cs="Times New Roman"/>
          <w:i w:val="0"/>
          <w:iCs w:val="0"/>
          <w:color w:val="000000" w:themeColor="text1"/>
          <w:sz w:val="28"/>
          <w:szCs w:val="28"/>
        </w:rPr>
        <w:t xml:space="preserve">D) Ефективність </w:t>
      </w:r>
      <w:proofErr w:type="spellStart"/>
      <w:r w:rsidRPr="00334C25">
        <w:rPr>
          <w:rFonts w:cs="Times New Roman"/>
          <w:i w:val="0"/>
          <w:iCs w:val="0"/>
          <w:color w:val="000000" w:themeColor="text1"/>
          <w:sz w:val="28"/>
          <w:szCs w:val="28"/>
        </w:rPr>
        <w:t>рефералів</w:t>
      </w:r>
      <w:proofErr w:type="spellEnd"/>
    </w:p>
    <w:p w14:paraId="0BC49AF5" w14:textId="190BE0E6" w:rsidR="00334C25" w:rsidRPr="00334C25" w:rsidRDefault="00334C25" w:rsidP="00334C25">
      <w:pPr>
        <w:pStyle w:val="p1"/>
        <w:numPr>
          <w:ilvl w:val="0"/>
          <w:numId w:val="73"/>
        </w:numPr>
        <w:rPr>
          <w:color w:val="000000" w:themeColor="text1"/>
          <w:sz w:val="28"/>
          <w:szCs w:val="28"/>
        </w:rPr>
      </w:pPr>
      <w:r w:rsidRPr="00334C25">
        <w:rPr>
          <w:color w:val="000000" w:themeColor="text1"/>
          <w:sz w:val="28"/>
          <w:szCs w:val="28"/>
        </w:rPr>
        <w:t xml:space="preserve">Джерела (центрові журнали, звіти UNHCR/IOM) показують: формалізовані реферальні маршрути підвищують відсоток «завершених» рефералів; там, де такі маршрути відсутні або неформалізовані </w:t>
      </w:r>
      <w:r w:rsidR="008D7B0D">
        <w:rPr>
          <w:color w:val="000000" w:themeColor="text1"/>
          <w:sz w:val="28"/>
          <w:szCs w:val="28"/>
        </w:rPr>
        <w:t>-</w:t>
      </w:r>
      <w:r w:rsidRPr="00334C25">
        <w:rPr>
          <w:color w:val="000000" w:themeColor="text1"/>
          <w:sz w:val="28"/>
          <w:szCs w:val="28"/>
        </w:rPr>
        <w:t xml:space="preserve"> велика частка рефералів залишається без підтвердження. Кількісний індикатор: % завершених рефералів із загальної кількості виданих рефералів. У практичних звітах цей показник коливається й часто є низьким у місцях з поганою координацією.</w:t>
      </w:r>
      <w:r w:rsidRPr="00334C25">
        <w:rPr>
          <w:rStyle w:val="apple-converted-space"/>
          <w:rFonts w:eastAsiaTheme="majorEastAsia"/>
          <w:color w:val="000000" w:themeColor="text1"/>
          <w:sz w:val="28"/>
          <w:szCs w:val="28"/>
        </w:rPr>
        <w:t xml:space="preserve">  </w:t>
      </w:r>
    </w:p>
    <w:p w14:paraId="107952AB" w14:textId="6B486B24" w:rsidR="00334C25" w:rsidRPr="00334C25" w:rsidRDefault="00334C25" w:rsidP="00334C25">
      <w:pPr>
        <w:rPr>
          <w:rStyle w:val="s1"/>
          <w:rFonts w:eastAsiaTheme="majorEastAsia"/>
          <w:color w:val="000000" w:themeColor="text1"/>
          <w:sz w:val="28"/>
          <w:szCs w:val="28"/>
        </w:rPr>
      </w:pPr>
    </w:p>
    <w:p w14:paraId="19651D4D" w14:textId="0ACF7D60" w:rsidR="00334C25" w:rsidRPr="00334C25" w:rsidRDefault="00334C25" w:rsidP="00334C25">
      <w:pPr>
        <w:pStyle w:val="3"/>
        <w:rPr>
          <w:rFonts w:cs="Times New Roman"/>
          <w:color w:val="000000" w:themeColor="text1"/>
        </w:rPr>
      </w:pPr>
      <w:bookmarkStart w:id="44" w:name="_Toc214217539"/>
      <w:r w:rsidRPr="00334C25">
        <w:rPr>
          <w:rFonts w:cs="Times New Roman"/>
          <w:color w:val="000000" w:themeColor="text1"/>
        </w:rPr>
        <w:t xml:space="preserve">3.2.3. Кількісні співвідношення </w:t>
      </w:r>
      <w:r w:rsidR="008D7B0D">
        <w:rPr>
          <w:rFonts w:cs="Times New Roman"/>
          <w:color w:val="000000" w:themeColor="text1"/>
        </w:rPr>
        <w:t>-</w:t>
      </w:r>
      <w:r w:rsidRPr="00334C25">
        <w:rPr>
          <w:rFonts w:cs="Times New Roman"/>
          <w:color w:val="000000" w:themeColor="text1"/>
        </w:rPr>
        <w:t xml:space="preserve"> приклади обчислень на основі відкритих даних</w:t>
      </w:r>
      <w:bookmarkEnd w:id="44"/>
    </w:p>
    <w:p w14:paraId="5721C8C5" w14:textId="77777777" w:rsidR="00334C25" w:rsidRPr="00334C25" w:rsidRDefault="00334C25" w:rsidP="00334C25">
      <w:pPr>
        <w:pStyle w:val="p1"/>
        <w:numPr>
          <w:ilvl w:val="0"/>
          <w:numId w:val="74"/>
        </w:numPr>
        <w:rPr>
          <w:color w:val="000000" w:themeColor="text1"/>
          <w:sz w:val="28"/>
          <w:szCs w:val="28"/>
        </w:rPr>
      </w:pPr>
      <w:r w:rsidRPr="00334C25">
        <w:rPr>
          <w:b/>
          <w:bCs/>
          <w:color w:val="000000" w:themeColor="text1"/>
          <w:sz w:val="28"/>
          <w:szCs w:val="28"/>
        </w:rPr>
        <w:t>Покриття державними виплатами серед зареєстрованих ВПО (приклад)</w:t>
      </w:r>
    </w:p>
    <w:p w14:paraId="46201771" w14:textId="7E6616EB" w:rsidR="00334C25" w:rsidRPr="00334C25" w:rsidRDefault="00334C25" w:rsidP="00334C25">
      <w:pPr>
        <w:pStyle w:val="p1"/>
        <w:numPr>
          <w:ilvl w:val="1"/>
          <w:numId w:val="74"/>
        </w:numPr>
        <w:rPr>
          <w:color w:val="000000" w:themeColor="text1"/>
          <w:sz w:val="28"/>
          <w:szCs w:val="28"/>
        </w:rPr>
      </w:pPr>
      <w:r w:rsidRPr="00334C25">
        <w:rPr>
          <w:color w:val="000000" w:themeColor="text1"/>
          <w:sz w:val="28"/>
          <w:szCs w:val="28"/>
        </w:rPr>
        <w:t xml:space="preserve">Джерела: реєстр ВПО (адміністр. повідомлення) </w:t>
      </w:r>
      <w:r w:rsidR="008D7B0D">
        <w:rPr>
          <w:color w:val="000000" w:themeColor="text1"/>
          <w:sz w:val="28"/>
          <w:szCs w:val="28"/>
        </w:rPr>
        <w:t>-</w:t>
      </w:r>
      <w:r w:rsidRPr="00334C25">
        <w:rPr>
          <w:color w:val="000000" w:themeColor="text1"/>
          <w:sz w:val="28"/>
          <w:szCs w:val="28"/>
        </w:rPr>
        <w:t xml:space="preserve"> ~4,6 млн зареєстрованих (станом на травень 2024); кількість осіб, що отримують виплати у той самий період </w:t>
      </w:r>
      <w:r w:rsidR="008D7B0D">
        <w:rPr>
          <w:color w:val="000000" w:themeColor="text1"/>
          <w:sz w:val="28"/>
          <w:szCs w:val="28"/>
        </w:rPr>
        <w:t>-</w:t>
      </w:r>
      <w:r w:rsidRPr="00334C25">
        <w:rPr>
          <w:color w:val="000000" w:themeColor="text1"/>
          <w:sz w:val="28"/>
          <w:szCs w:val="28"/>
        </w:rPr>
        <w:t xml:space="preserve"> ~1,5 млн.</w:t>
      </w:r>
    </w:p>
    <w:p w14:paraId="583016C7" w14:textId="277E7973" w:rsidR="00334C25" w:rsidRPr="00334C25" w:rsidRDefault="00334C25" w:rsidP="00334C25">
      <w:pPr>
        <w:pStyle w:val="p1"/>
        <w:numPr>
          <w:ilvl w:val="1"/>
          <w:numId w:val="74"/>
        </w:numPr>
        <w:rPr>
          <w:color w:val="000000" w:themeColor="text1"/>
          <w:sz w:val="28"/>
          <w:szCs w:val="28"/>
        </w:rPr>
      </w:pPr>
      <w:r w:rsidRPr="00334C25">
        <w:rPr>
          <w:color w:val="000000" w:themeColor="text1"/>
          <w:sz w:val="28"/>
          <w:szCs w:val="28"/>
        </w:rPr>
        <w:t xml:space="preserve">Обчислення: 1,5 млн / 4,6 млн = 0,326 ≈ </w:t>
      </w:r>
      <w:r w:rsidRPr="00334C25">
        <w:rPr>
          <w:rStyle w:val="s1"/>
          <w:rFonts w:eastAsiaTheme="majorEastAsia"/>
          <w:b/>
          <w:bCs/>
          <w:color w:val="000000" w:themeColor="text1"/>
          <w:sz w:val="28"/>
          <w:szCs w:val="28"/>
        </w:rPr>
        <w:t>32.6%</w:t>
      </w:r>
      <w:r w:rsidRPr="00334C25">
        <w:rPr>
          <w:color w:val="000000" w:themeColor="text1"/>
          <w:sz w:val="28"/>
          <w:szCs w:val="28"/>
        </w:rPr>
        <w:t xml:space="preserve"> </w:t>
      </w:r>
      <w:r w:rsidR="008D7B0D">
        <w:rPr>
          <w:color w:val="000000" w:themeColor="text1"/>
          <w:sz w:val="28"/>
          <w:szCs w:val="28"/>
        </w:rPr>
        <w:t>-</w:t>
      </w:r>
      <w:r w:rsidRPr="00334C25">
        <w:rPr>
          <w:color w:val="000000" w:themeColor="text1"/>
          <w:sz w:val="28"/>
          <w:szCs w:val="28"/>
        </w:rPr>
        <w:t xml:space="preserve"> отже, лише трохи більше третини зареєстрованих отримували виплати у наведеному періоді (що вказує на значний пропуск у доступі до фінансових послуг соціального забезпечення).</w:t>
      </w:r>
      <w:r w:rsidRPr="00334C25">
        <w:rPr>
          <w:rStyle w:val="apple-converted-space"/>
          <w:rFonts w:eastAsiaTheme="majorEastAsia"/>
          <w:color w:val="000000" w:themeColor="text1"/>
          <w:sz w:val="28"/>
          <w:szCs w:val="28"/>
        </w:rPr>
        <w:t xml:space="preserve">  </w:t>
      </w:r>
    </w:p>
    <w:p w14:paraId="47E6AA22" w14:textId="77777777" w:rsidR="00334C25" w:rsidRPr="00334C25" w:rsidRDefault="00334C25" w:rsidP="00334C25">
      <w:pPr>
        <w:pStyle w:val="p1"/>
        <w:numPr>
          <w:ilvl w:val="0"/>
          <w:numId w:val="74"/>
        </w:numPr>
        <w:rPr>
          <w:color w:val="000000" w:themeColor="text1"/>
          <w:sz w:val="28"/>
          <w:szCs w:val="28"/>
        </w:rPr>
      </w:pPr>
      <w:r w:rsidRPr="00334C25">
        <w:rPr>
          <w:b/>
          <w:bCs/>
          <w:color w:val="000000" w:themeColor="text1"/>
          <w:sz w:val="28"/>
          <w:szCs w:val="28"/>
        </w:rPr>
        <w:t>Функціональність інспектованих ТЦ (приклад)</w:t>
      </w:r>
    </w:p>
    <w:p w14:paraId="7719AC05" w14:textId="1006B84C" w:rsidR="00334C25" w:rsidRPr="00334C25" w:rsidRDefault="00334C25" w:rsidP="00334C25">
      <w:pPr>
        <w:pStyle w:val="p1"/>
        <w:numPr>
          <w:ilvl w:val="1"/>
          <w:numId w:val="74"/>
        </w:numPr>
        <w:rPr>
          <w:color w:val="000000" w:themeColor="text1"/>
          <w:sz w:val="28"/>
          <w:szCs w:val="28"/>
        </w:rPr>
      </w:pPr>
      <w:r w:rsidRPr="00334C25">
        <w:rPr>
          <w:color w:val="000000" w:themeColor="text1"/>
          <w:sz w:val="28"/>
          <w:szCs w:val="28"/>
        </w:rPr>
        <w:t xml:space="preserve">Джерело: результати моніторингу </w:t>
      </w:r>
      <w:r w:rsidR="008D7B0D">
        <w:rPr>
          <w:color w:val="000000" w:themeColor="text1"/>
          <w:sz w:val="28"/>
          <w:szCs w:val="28"/>
        </w:rPr>
        <w:t>-</w:t>
      </w:r>
      <w:r w:rsidRPr="00334C25">
        <w:rPr>
          <w:color w:val="000000" w:themeColor="text1"/>
          <w:sz w:val="28"/>
          <w:szCs w:val="28"/>
        </w:rPr>
        <w:t xml:space="preserve"> 11 діючих центрів із 19 інспектованих.</w:t>
      </w:r>
    </w:p>
    <w:p w14:paraId="2EE93B92" w14:textId="58871A1B" w:rsidR="00334C25" w:rsidRPr="00334C25" w:rsidRDefault="00334C25" w:rsidP="00334C25">
      <w:pPr>
        <w:pStyle w:val="p1"/>
        <w:numPr>
          <w:ilvl w:val="1"/>
          <w:numId w:val="74"/>
        </w:numPr>
        <w:rPr>
          <w:color w:val="000000" w:themeColor="text1"/>
          <w:sz w:val="28"/>
          <w:szCs w:val="28"/>
        </w:rPr>
      </w:pPr>
      <w:r w:rsidRPr="00334C25">
        <w:rPr>
          <w:color w:val="000000" w:themeColor="text1"/>
          <w:sz w:val="28"/>
          <w:szCs w:val="28"/>
        </w:rPr>
        <w:lastRenderedPageBreak/>
        <w:t xml:space="preserve">Обчислення: 11/19 = 0,579 ≈ </w:t>
      </w:r>
      <w:r w:rsidRPr="00334C25">
        <w:rPr>
          <w:rStyle w:val="s1"/>
          <w:rFonts w:eastAsiaTheme="majorEastAsia"/>
          <w:b/>
          <w:bCs/>
          <w:color w:val="000000" w:themeColor="text1"/>
          <w:sz w:val="28"/>
          <w:szCs w:val="28"/>
        </w:rPr>
        <w:t>57.9%</w:t>
      </w:r>
      <w:r w:rsidRPr="00334C25">
        <w:rPr>
          <w:color w:val="000000" w:themeColor="text1"/>
          <w:sz w:val="28"/>
          <w:szCs w:val="28"/>
        </w:rPr>
        <w:t xml:space="preserve"> функціональність у вибірці; висновок </w:t>
      </w:r>
      <w:r w:rsidR="008D7B0D">
        <w:rPr>
          <w:color w:val="000000" w:themeColor="text1"/>
          <w:sz w:val="28"/>
          <w:szCs w:val="28"/>
        </w:rPr>
        <w:t>-</w:t>
      </w:r>
      <w:r w:rsidRPr="00334C25">
        <w:rPr>
          <w:color w:val="000000" w:themeColor="text1"/>
          <w:sz w:val="28"/>
          <w:szCs w:val="28"/>
        </w:rPr>
        <w:t xml:space="preserve"> близько 42.1% не діяли у момент перевірки (що потребує додаткового розслідування причин: логістика, безпека, сезонність, фінансування).</w:t>
      </w:r>
      <w:r w:rsidRPr="00334C25">
        <w:rPr>
          <w:rStyle w:val="apple-converted-space"/>
          <w:rFonts w:eastAsiaTheme="majorEastAsia"/>
          <w:color w:val="000000" w:themeColor="text1"/>
          <w:sz w:val="28"/>
          <w:szCs w:val="28"/>
        </w:rPr>
        <w:t xml:space="preserve">  </w:t>
      </w:r>
    </w:p>
    <w:p w14:paraId="449F1E57" w14:textId="77777777" w:rsidR="00334C25" w:rsidRPr="00334C25" w:rsidRDefault="00334C25" w:rsidP="00334C25">
      <w:pPr>
        <w:pStyle w:val="p1"/>
        <w:numPr>
          <w:ilvl w:val="0"/>
          <w:numId w:val="74"/>
        </w:numPr>
        <w:rPr>
          <w:color w:val="000000" w:themeColor="text1"/>
          <w:sz w:val="28"/>
          <w:szCs w:val="28"/>
        </w:rPr>
      </w:pPr>
      <w:r w:rsidRPr="00334C25">
        <w:rPr>
          <w:b/>
          <w:bCs/>
          <w:color w:val="000000" w:themeColor="text1"/>
          <w:sz w:val="28"/>
          <w:szCs w:val="28"/>
        </w:rPr>
        <w:t>Охоплення захистом через УВКБ (приклад масштабу послуг)</w:t>
      </w:r>
    </w:p>
    <w:p w14:paraId="275BC254" w14:textId="77777777" w:rsidR="00334C25" w:rsidRPr="00334C25" w:rsidRDefault="00334C25" w:rsidP="00334C25">
      <w:pPr>
        <w:pStyle w:val="p1"/>
        <w:numPr>
          <w:ilvl w:val="1"/>
          <w:numId w:val="74"/>
        </w:numPr>
        <w:rPr>
          <w:color w:val="000000" w:themeColor="text1"/>
          <w:sz w:val="28"/>
          <w:szCs w:val="28"/>
        </w:rPr>
      </w:pPr>
      <w:r w:rsidRPr="00334C25">
        <w:rPr>
          <w:color w:val="000000" w:themeColor="text1"/>
          <w:sz w:val="28"/>
          <w:szCs w:val="28"/>
        </w:rPr>
        <w:t>Джерело: УВКБ звітує про 264 416 осіб, охоплених заходами захисту за 4-місячний період (січень-квітень 2024), тобто ≈66 000 осіб на місяць.</w:t>
      </w:r>
    </w:p>
    <w:p w14:paraId="063AD860" w14:textId="77777777" w:rsidR="00334C25" w:rsidRPr="00334C25" w:rsidRDefault="00334C25" w:rsidP="00334C25">
      <w:pPr>
        <w:pStyle w:val="p1"/>
        <w:numPr>
          <w:ilvl w:val="1"/>
          <w:numId w:val="74"/>
        </w:numPr>
        <w:rPr>
          <w:color w:val="000000" w:themeColor="text1"/>
          <w:sz w:val="28"/>
          <w:szCs w:val="28"/>
        </w:rPr>
      </w:pPr>
      <w:r w:rsidRPr="00334C25">
        <w:rPr>
          <w:color w:val="000000" w:themeColor="text1"/>
          <w:sz w:val="28"/>
          <w:szCs w:val="28"/>
        </w:rPr>
        <w:t>Інтерпретація: у порівнянні з мільйонними масштабами ВПО це показує, що гуманітарні програми охоплюють значущу кількість людей, але не наближаються до повного покриття потреби у захисті на національному рівні.</w:t>
      </w:r>
      <w:r w:rsidRPr="00334C25">
        <w:rPr>
          <w:rStyle w:val="apple-converted-space"/>
          <w:rFonts w:eastAsiaTheme="majorEastAsia"/>
          <w:color w:val="000000" w:themeColor="text1"/>
          <w:sz w:val="28"/>
          <w:szCs w:val="28"/>
        </w:rPr>
        <w:t xml:space="preserve">  </w:t>
      </w:r>
    </w:p>
    <w:p w14:paraId="51E0B6B6" w14:textId="663FCA05" w:rsidR="00334C25" w:rsidRPr="00334C25" w:rsidRDefault="00334C25" w:rsidP="00334C25">
      <w:pPr>
        <w:rPr>
          <w:rStyle w:val="s1"/>
          <w:rFonts w:eastAsiaTheme="majorEastAsia"/>
          <w:color w:val="000000" w:themeColor="text1"/>
          <w:sz w:val="28"/>
          <w:szCs w:val="28"/>
        </w:rPr>
      </w:pPr>
    </w:p>
    <w:p w14:paraId="34CE576F" w14:textId="77777777" w:rsidR="00334C25" w:rsidRPr="00334C25" w:rsidRDefault="00334C25" w:rsidP="00334C25">
      <w:pPr>
        <w:pStyle w:val="3"/>
        <w:rPr>
          <w:rFonts w:cs="Times New Roman"/>
          <w:color w:val="000000" w:themeColor="text1"/>
        </w:rPr>
      </w:pPr>
      <w:bookmarkStart w:id="45" w:name="_Toc214217540"/>
      <w:r w:rsidRPr="00334C25">
        <w:rPr>
          <w:rFonts w:cs="Times New Roman"/>
          <w:color w:val="000000" w:themeColor="text1"/>
        </w:rPr>
        <w:t>3.2.4. Обмеження кількісного аналізу (методологічні висновки)</w:t>
      </w:r>
      <w:bookmarkEnd w:id="45"/>
    </w:p>
    <w:p w14:paraId="6AFD05B4" w14:textId="77777777" w:rsidR="00334C25" w:rsidRPr="00334C25" w:rsidRDefault="00334C25" w:rsidP="00334C25">
      <w:pPr>
        <w:pStyle w:val="p1"/>
        <w:numPr>
          <w:ilvl w:val="0"/>
          <w:numId w:val="75"/>
        </w:numPr>
        <w:rPr>
          <w:color w:val="000000" w:themeColor="text1"/>
          <w:sz w:val="28"/>
          <w:szCs w:val="28"/>
        </w:rPr>
      </w:pPr>
      <w:r w:rsidRPr="00334C25">
        <w:rPr>
          <w:rStyle w:val="s1"/>
          <w:rFonts w:eastAsiaTheme="majorEastAsia"/>
          <w:b/>
          <w:bCs/>
          <w:color w:val="000000" w:themeColor="text1"/>
          <w:sz w:val="28"/>
          <w:szCs w:val="28"/>
        </w:rPr>
        <w:t>Різні визначення та джерела.</w:t>
      </w:r>
      <w:r w:rsidRPr="00334C25">
        <w:rPr>
          <w:color w:val="000000" w:themeColor="text1"/>
          <w:sz w:val="28"/>
          <w:szCs w:val="28"/>
        </w:rPr>
        <w:t xml:space="preserve"> DTM (опитування GPS, адмін-реєстри) і державні реєстри використовують різні методології, тому пряме зіставлення абсолютних чисел може вводити в оману (наприклад, «зареєстровані ВПО» ≠ «ті, хто фактично переміщені на момент опитування»).</w:t>
      </w:r>
      <w:r w:rsidRPr="00334C25">
        <w:rPr>
          <w:rStyle w:val="apple-converted-space"/>
          <w:rFonts w:eastAsiaTheme="majorEastAsia"/>
          <w:color w:val="000000" w:themeColor="text1"/>
          <w:sz w:val="28"/>
          <w:szCs w:val="28"/>
        </w:rPr>
        <w:t xml:space="preserve">  </w:t>
      </w:r>
    </w:p>
    <w:p w14:paraId="07D0B611" w14:textId="77777777" w:rsidR="00334C25" w:rsidRPr="00334C25" w:rsidRDefault="00334C25" w:rsidP="00334C25">
      <w:pPr>
        <w:pStyle w:val="p1"/>
        <w:numPr>
          <w:ilvl w:val="0"/>
          <w:numId w:val="75"/>
        </w:numPr>
        <w:rPr>
          <w:color w:val="000000" w:themeColor="text1"/>
          <w:sz w:val="28"/>
          <w:szCs w:val="28"/>
        </w:rPr>
      </w:pPr>
      <w:r w:rsidRPr="00334C25">
        <w:rPr>
          <w:rStyle w:val="s1"/>
          <w:rFonts w:eastAsiaTheme="majorEastAsia"/>
          <w:b/>
          <w:bCs/>
          <w:color w:val="000000" w:themeColor="text1"/>
          <w:sz w:val="28"/>
          <w:szCs w:val="28"/>
        </w:rPr>
        <w:t>Фрагментарність даних ТЦ.</w:t>
      </w:r>
      <w:r w:rsidRPr="00334C25">
        <w:rPr>
          <w:color w:val="000000" w:themeColor="text1"/>
          <w:sz w:val="28"/>
          <w:szCs w:val="28"/>
        </w:rPr>
        <w:t xml:space="preserve"> Журнали центрів і локальні інспекції не завжди стандартизовані, тож багато показників (час реєстрації, завершені реферали) часто доводиться реконструювати або оцінювати проксі-методами.</w:t>
      </w:r>
      <w:r w:rsidRPr="00334C25">
        <w:rPr>
          <w:rStyle w:val="apple-converted-space"/>
          <w:rFonts w:eastAsiaTheme="majorEastAsia"/>
          <w:color w:val="000000" w:themeColor="text1"/>
          <w:sz w:val="28"/>
          <w:szCs w:val="28"/>
        </w:rPr>
        <w:t xml:space="preserve">  </w:t>
      </w:r>
    </w:p>
    <w:p w14:paraId="6CE55E66" w14:textId="77777777" w:rsidR="00334C25" w:rsidRPr="00334C25" w:rsidRDefault="00334C25" w:rsidP="00334C25">
      <w:pPr>
        <w:pStyle w:val="p1"/>
        <w:numPr>
          <w:ilvl w:val="0"/>
          <w:numId w:val="75"/>
        </w:numPr>
        <w:rPr>
          <w:color w:val="000000" w:themeColor="text1"/>
          <w:sz w:val="28"/>
          <w:szCs w:val="28"/>
        </w:rPr>
      </w:pPr>
      <w:r w:rsidRPr="00334C25">
        <w:rPr>
          <w:rStyle w:val="s1"/>
          <w:rFonts w:eastAsiaTheme="majorEastAsia"/>
          <w:b/>
          <w:bCs/>
          <w:color w:val="000000" w:themeColor="text1"/>
          <w:sz w:val="28"/>
          <w:szCs w:val="28"/>
        </w:rPr>
        <w:t>Сезонність і безпека.</w:t>
      </w:r>
      <w:r w:rsidRPr="00334C25">
        <w:rPr>
          <w:color w:val="000000" w:themeColor="text1"/>
          <w:sz w:val="28"/>
          <w:szCs w:val="28"/>
        </w:rPr>
        <w:t xml:space="preserve"> Функціональність центрів і доступ до послуг сильно залежать від безпекової ситуації і сезонних факторів (наприклад, опалювальний сезон). Це ускладнює інтерпретацію однократних зрізів.</w:t>
      </w:r>
      <w:r w:rsidRPr="00334C25">
        <w:rPr>
          <w:rStyle w:val="apple-converted-space"/>
          <w:rFonts w:eastAsiaTheme="majorEastAsia"/>
          <w:color w:val="000000" w:themeColor="text1"/>
          <w:sz w:val="28"/>
          <w:szCs w:val="28"/>
        </w:rPr>
        <w:t xml:space="preserve">  </w:t>
      </w:r>
    </w:p>
    <w:p w14:paraId="3663600C" w14:textId="383616B5" w:rsidR="00334C25" w:rsidRPr="00334C25" w:rsidRDefault="00334C25" w:rsidP="00334C25">
      <w:pPr>
        <w:rPr>
          <w:rStyle w:val="s1"/>
          <w:rFonts w:eastAsiaTheme="majorEastAsia"/>
          <w:color w:val="000000" w:themeColor="text1"/>
          <w:sz w:val="28"/>
          <w:szCs w:val="28"/>
        </w:rPr>
      </w:pPr>
    </w:p>
    <w:p w14:paraId="1D6882E7" w14:textId="77777777" w:rsidR="00334C25" w:rsidRPr="00334C25" w:rsidRDefault="00334C25" w:rsidP="00334C25">
      <w:pPr>
        <w:pStyle w:val="3"/>
        <w:rPr>
          <w:rFonts w:cs="Times New Roman"/>
          <w:color w:val="000000" w:themeColor="text1"/>
        </w:rPr>
      </w:pPr>
      <w:bookmarkStart w:id="46" w:name="_Toc214217541"/>
      <w:r w:rsidRPr="00334C25">
        <w:rPr>
          <w:rFonts w:cs="Times New Roman"/>
          <w:color w:val="000000" w:themeColor="text1"/>
        </w:rPr>
        <w:t>3.2.5. Практичні висновки з кількісного блоку (що це значить для вашого дослідження)</w:t>
      </w:r>
      <w:bookmarkEnd w:id="46"/>
    </w:p>
    <w:p w14:paraId="4D72A9E4" w14:textId="1795181A" w:rsidR="00334C25" w:rsidRPr="00334C25" w:rsidRDefault="00334C25" w:rsidP="00334C25">
      <w:pPr>
        <w:pStyle w:val="p1"/>
        <w:numPr>
          <w:ilvl w:val="0"/>
          <w:numId w:val="76"/>
        </w:numPr>
        <w:rPr>
          <w:color w:val="000000" w:themeColor="text1"/>
          <w:sz w:val="28"/>
          <w:szCs w:val="28"/>
        </w:rPr>
      </w:pPr>
      <w:r w:rsidRPr="00334C25">
        <w:rPr>
          <w:rStyle w:val="s1"/>
          <w:rFonts w:eastAsiaTheme="majorEastAsia"/>
          <w:b/>
          <w:bCs/>
          <w:color w:val="000000" w:themeColor="text1"/>
          <w:sz w:val="28"/>
          <w:szCs w:val="28"/>
        </w:rPr>
        <w:t xml:space="preserve">Покриття виплат </w:t>
      </w:r>
      <w:r w:rsidR="008D7B0D">
        <w:rPr>
          <w:rStyle w:val="s1"/>
          <w:rFonts w:eastAsiaTheme="majorEastAsia"/>
          <w:b/>
          <w:bCs/>
          <w:color w:val="000000" w:themeColor="text1"/>
          <w:sz w:val="28"/>
          <w:szCs w:val="28"/>
        </w:rPr>
        <w:t>-</w:t>
      </w:r>
      <w:r w:rsidRPr="00334C25">
        <w:rPr>
          <w:rStyle w:val="s1"/>
          <w:rFonts w:eastAsiaTheme="majorEastAsia"/>
          <w:b/>
          <w:bCs/>
          <w:color w:val="000000" w:themeColor="text1"/>
          <w:sz w:val="28"/>
          <w:szCs w:val="28"/>
        </w:rPr>
        <w:t xml:space="preserve"> ключова метрика «доступності»</w:t>
      </w:r>
      <w:r w:rsidRPr="00334C25">
        <w:rPr>
          <w:color w:val="000000" w:themeColor="text1"/>
          <w:sz w:val="28"/>
          <w:szCs w:val="28"/>
        </w:rPr>
        <w:t>: співвідношення отримувачів виплат до зареєстрованих ВПО (показник ~32.6% у прикладі) є прямим свідченням відсутності реального доступу у більшості зареєстрованих. Це слід використовувати як контрольну змінну при аналізі «повноти» послуг у ТЦ.</w:t>
      </w:r>
      <w:r w:rsidRPr="00334C25">
        <w:rPr>
          <w:rStyle w:val="apple-converted-space"/>
          <w:rFonts w:eastAsiaTheme="majorEastAsia"/>
          <w:color w:val="000000" w:themeColor="text1"/>
          <w:sz w:val="28"/>
          <w:szCs w:val="28"/>
        </w:rPr>
        <w:t xml:space="preserve">  </w:t>
      </w:r>
    </w:p>
    <w:p w14:paraId="42EC5EBA" w14:textId="2B7187BB" w:rsidR="00334C25" w:rsidRPr="00334C25" w:rsidRDefault="00334C25" w:rsidP="00334C25">
      <w:pPr>
        <w:pStyle w:val="p1"/>
        <w:numPr>
          <w:ilvl w:val="0"/>
          <w:numId w:val="76"/>
        </w:numPr>
        <w:rPr>
          <w:color w:val="000000" w:themeColor="text1"/>
          <w:sz w:val="28"/>
          <w:szCs w:val="28"/>
        </w:rPr>
      </w:pPr>
      <w:r w:rsidRPr="00334C25">
        <w:rPr>
          <w:rStyle w:val="s1"/>
          <w:rFonts w:eastAsiaTheme="majorEastAsia"/>
          <w:b/>
          <w:bCs/>
          <w:color w:val="000000" w:themeColor="text1"/>
          <w:sz w:val="28"/>
          <w:szCs w:val="28"/>
        </w:rPr>
        <w:t xml:space="preserve">Функціональність центрів </w:t>
      </w:r>
      <w:r w:rsidR="008D7B0D">
        <w:rPr>
          <w:rStyle w:val="s1"/>
          <w:rFonts w:eastAsiaTheme="majorEastAsia"/>
          <w:b/>
          <w:bCs/>
          <w:color w:val="000000" w:themeColor="text1"/>
          <w:sz w:val="28"/>
          <w:szCs w:val="28"/>
        </w:rPr>
        <w:t>-</w:t>
      </w:r>
      <w:r w:rsidRPr="00334C25">
        <w:rPr>
          <w:rStyle w:val="s1"/>
          <w:rFonts w:eastAsiaTheme="majorEastAsia"/>
          <w:b/>
          <w:bCs/>
          <w:color w:val="000000" w:themeColor="text1"/>
          <w:sz w:val="28"/>
          <w:szCs w:val="28"/>
        </w:rPr>
        <w:t xml:space="preserve"> індикатор системної стійкості:</w:t>
      </w:r>
      <w:r w:rsidRPr="00334C25">
        <w:rPr>
          <w:color w:val="000000" w:themeColor="text1"/>
          <w:sz w:val="28"/>
          <w:szCs w:val="28"/>
        </w:rPr>
        <w:t xml:space="preserve"> відсоток реально працюючих центрів (прибл. 58% у вибірці) повинен бути включений у модель оцінки «пропускної спроможності» регіону. Якщо центр «є на папері», але не працює </w:t>
      </w:r>
      <w:r w:rsidR="008D7B0D">
        <w:rPr>
          <w:color w:val="000000" w:themeColor="text1"/>
          <w:sz w:val="28"/>
          <w:szCs w:val="28"/>
        </w:rPr>
        <w:t>-</w:t>
      </w:r>
      <w:r w:rsidRPr="00334C25">
        <w:rPr>
          <w:color w:val="000000" w:themeColor="text1"/>
          <w:sz w:val="28"/>
          <w:szCs w:val="28"/>
        </w:rPr>
        <w:t xml:space="preserve"> це критичний вузький місце.</w:t>
      </w:r>
      <w:r w:rsidRPr="00334C25">
        <w:rPr>
          <w:rStyle w:val="apple-converted-space"/>
          <w:rFonts w:eastAsiaTheme="majorEastAsia"/>
          <w:color w:val="000000" w:themeColor="text1"/>
          <w:sz w:val="28"/>
          <w:szCs w:val="28"/>
        </w:rPr>
        <w:t xml:space="preserve">  </w:t>
      </w:r>
    </w:p>
    <w:p w14:paraId="00FAE9AE" w14:textId="2FD480A3" w:rsidR="00334C25" w:rsidRPr="00334C25" w:rsidRDefault="00334C25" w:rsidP="00334C25">
      <w:pPr>
        <w:pStyle w:val="p1"/>
        <w:numPr>
          <w:ilvl w:val="0"/>
          <w:numId w:val="76"/>
        </w:numPr>
        <w:rPr>
          <w:color w:val="000000" w:themeColor="text1"/>
          <w:sz w:val="28"/>
          <w:szCs w:val="28"/>
        </w:rPr>
      </w:pPr>
      <w:r w:rsidRPr="00334C25">
        <w:rPr>
          <w:rStyle w:val="s1"/>
          <w:rFonts w:eastAsiaTheme="majorEastAsia"/>
          <w:b/>
          <w:bCs/>
          <w:color w:val="000000" w:themeColor="text1"/>
          <w:sz w:val="28"/>
          <w:szCs w:val="28"/>
        </w:rPr>
        <w:t>Потреба у стандартизованих реєстрах:</w:t>
      </w:r>
      <w:r w:rsidRPr="00334C25">
        <w:rPr>
          <w:color w:val="000000" w:themeColor="text1"/>
          <w:sz w:val="28"/>
          <w:szCs w:val="28"/>
        </w:rPr>
        <w:t xml:space="preserve"> для точних порівнянь між моделями ТЦ потрібні уніфіковані логи/журнали (мітки часу прибуття, видачі мінпакета, виписки, реферали) </w:t>
      </w:r>
      <w:r w:rsidR="008D7B0D">
        <w:rPr>
          <w:color w:val="000000" w:themeColor="text1"/>
          <w:sz w:val="28"/>
          <w:szCs w:val="28"/>
        </w:rPr>
        <w:t>-</w:t>
      </w:r>
      <w:r w:rsidRPr="00334C25">
        <w:rPr>
          <w:color w:val="000000" w:themeColor="text1"/>
          <w:sz w:val="28"/>
          <w:szCs w:val="28"/>
        </w:rPr>
        <w:t xml:space="preserve"> ці дані рекомендується збирати як мінімальний набір для кожного центру. Рекомендація: додати в інструкцію моніторингу ТЦ стандартну форму з цими полями та періодично агрегувати для аналізу.</w:t>
      </w:r>
      <w:r w:rsidRPr="00334C25">
        <w:rPr>
          <w:rStyle w:val="apple-converted-space"/>
          <w:rFonts w:eastAsiaTheme="majorEastAsia"/>
          <w:color w:val="000000" w:themeColor="text1"/>
          <w:sz w:val="28"/>
          <w:szCs w:val="28"/>
        </w:rPr>
        <w:t xml:space="preserve">  </w:t>
      </w:r>
    </w:p>
    <w:p w14:paraId="34E35F1A" w14:textId="40B09F22" w:rsidR="00334C25" w:rsidRPr="00334C25" w:rsidRDefault="00334C25" w:rsidP="00334C25">
      <w:pPr>
        <w:pStyle w:val="p1"/>
        <w:numPr>
          <w:ilvl w:val="0"/>
          <w:numId w:val="76"/>
        </w:numPr>
        <w:rPr>
          <w:color w:val="000000" w:themeColor="text1"/>
          <w:sz w:val="28"/>
          <w:szCs w:val="28"/>
        </w:rPr>
      </w:pPr>
      <w:r w:rsidRPr="00334C25">
        <w:rPr>
          <w:rStyle w:val="s1"/>
          <w:rFonts w:eastAsiaTheme="majorEastAsia"/>
          <w:b/>
          <w:bCs/>
          <w:color w:val="000000" w:themeColor="text1"/>
          <w:sz w:val="28"/>
          <w:szCs w:val="28"/>
        </w:rPr>
        <w:t>Віднесення WASH/SRH до кількісних порогів:</w:t>
      </w:r>
      <w:r w:rsidRPr="00334C25">
        <w:rPr>
          <w:color w:val="000000" w:themeColor="text1"/>
          <w:sz w:val="28"/>
          <w:szCs w:val="28"/>
        </w:rPr>
        <w:t xml:space="preserve"> використовуйте кластерні норми (WASH) як бенчмарк </w:t>
      </w:r>
      <w:r w:rsidR="008D7B0D">
        <w:rPr>
          <w:color w:val="000000" w:themeColor="text1"/>
          <w:sz w:val="28"/>
          <w:szCs w:val="28"/>
        </w:rPr>
        <w:t>-</w:t>
      </w:r>
      <w:r w:rsidRPr="00334C25">
        <w:rPr>
          <w:color w:val="000000" w:themeColor="text1"/>
          <w:sz w:val="28"/>
          <w:szCs w:val="28"/>
        </w:rPr>
        <w:t xml:space="preserve"> наприклад, мінімальний обсяг води/санітарні місця на користувача </w:t>
      </w:r>
      <w:r w:rsidR="008D7B0D">
        <w:rPr>
          <w:color w:val="000000" w:themeColor="text1"/>
          <w:sz w:val="28"/>
          <w:szCs w:val="28"/>
        </w:rPr>
        <w:t>-</w:t>
      </w:r>
      <w:r w:rsidRPr="00334C25">
        <w:rPr>
          <w:color w:val="000000" w:themeColor="text1"/>
          <w:sz w:val="28"/>
          <w:szCs w:val="28"/>
        </w:rPr>
        <w:t xml:space="preserve"> і звіряйте «фактичні» показники центрів з цими порогами; виявлені відхилення дають прямі кількісні рекомендації (скільки додаткових санвузлів/душів потрібно на центр).</w:t>
      </w:r>
      <w:r w:rsidRPr="00334C25">
        <w:rPr>
          <w:rStyle w:val="apple-converted-space"/>
          <w:rFonts w:eastAsiaTheme="majorEastAsia"/>
          <w:color w:val="000000" w:themeColor="text1"/>
          <w:sz w:val="28"/>
          <w:szCs w:val="28"/>
        </w:rPr>
        <w:t xml:space="preserve">  </w:t>
      </w:r>
    </w:p>
    <w:p w14:paraId="11C42657" w14:textId="6BDF2983" w:rsidR="00334C25" w:rsidRPr="00334C25" w:rsidRDefault="00334C25" w:rsidP="00334C25">
      <w:pPr>
        <w:rPr>
          <w:rStyle w:val="s1"/>
          <w:rFonts w:eastAsiaTheme="majorEastAsia"/>
          <w:color w:val="000000" w:themeColor="text1"/>
          <w:sz w:val="28"/>
          <w:szCs w:val="28"/>
        </w:rPr>
      </w:pPr>
    </w:p>
    <w:p w14:paraId="2CFF97EF" w14:textId="77777777" w:rsidR="00334C25" w:rsidRPr="00334C25" w:rsidRDefault="00334C25" w:rsidP="00334C25">
      <w:pPr>
        <w:pStyle w:val="3"/>
        <w:rPr>
          <w:rFonts w:cs="Times New Roman"/>
          <w:color w:val="000000" w:themeColor="text1"/>
        </w:rPr>
      </w:pPr>
      <w:bookmarkStart w:id="47" w:name="_Toc214217542"/>
      <w:r w:rsidRPr="00334C25">
        <w:rPr>
          <w:rFonts w:cs="Times New Roman"/>
          <w:color w:val="000000" w:themeColor="text1"/>
        </w:rPr>
        <w:lastRenderedPageBreak/>
        <w:t>3.2.6. Що можна зробити далі (операційні кроки для підсилення кількісного блоку)</w:t>
      </w:r>
      <w:bookmarkEnd w:id="47"/>
    </w:p>
    <w:p w14:paraId="6474701F" w14:textId="6B6F8C27" w:rsidR="00334C25" w:rsidRPr="00334C25" w:rsidRDefault="00334C25" w:rsidP="00334C25">
      <w:pPr>
        <w:pStyle w:val="p1"/>
        <w:numPr>
          <w:ilvl w:val="0"/>
          <w:numId w:val="77"/>
        </w:numPr>
        <w:rPr>
          <w:color w:val="000000" w:themeColor="text1"/>
          <w:sz w:val="28"/>
          <w:szCs w:val="28"/>
        </w:rPr>
      </w:pPr>
      <w:r w:rsidRPr="00334C25">
        <w:rPr>
          <w:rStyle w:val="s1"/>
          <w:rFonts w:eastAsiaTheme="majorEastAsia"/>
          <w:b/>
          <w:bCs/>
          <w:color w:val="000000" w:themeColor="text1"/>
          <w:sz w:val="28"/>
          <w:szCs w:val="28"/>
        </w:rPr>
        <w:t>Агрегація первинних журналів ТЦ.</w:t>
      </w:r>
      <w:r w:rsidRPr="00334C25">
        <w:rPr>
          <w:color w:val="000000" w:themeColor="text1"/>
          <w:sz w:val="28"/>
          <w:szCs w:val="28"/>
        </w:rPr>
        <w:t xml:space="preserve"> Зібрати CSV/Excel-витяги з журналів реєстрації (час прибуття, вікно реєстрації, отримані елементи мінпакета, видані реферали, підтвердження завершення) </w:t>
      </w:r>
      <w:r w:rsidR="008D7B0D">
        <w:rPr>
          <w:color w:val="000000" w:themeColor="text1"/>
          <w:sz w:val="28"/>
          <w:szCs w:val="28"/>
        </w:rPr>
        <w:t>-</w:t>
      </w:r>
      <w:r w:rsidRPr="00334C25">
        <w:rPr>
          <w:color w:val="000000" w:themeColor="text1"/>
          <w:sz w:val="28"/>
          <w:szCs w:val="28"/>
        </w:rPr>
        <w:t xml:space="preserve"> дати змогу виконати статистичні тести і порівняння між моделями.</w:t>
      </w:r>
      <w:r w:rsidRPr="00334C25">
        <w:rPr>
          <w:rStyle w:val="apple-converted-space"/>
          <w:rFonts w:eastAsiaTheme="majorEastAsia"/>
          <w:color w:val="000000" w:themeColor="text1"/>
          <w:sz w:val="28"/>
          <w:szCs w:val="28"/>
        </w:rPr>
        <w:t xml:space="preserve">  </w:t>
      </w:r>
    </w:p>
    <w:p w14:paraId="61FE319C" w14:textId="626AFAEB" w:rsidR="00334C25" w:rsidRPr="00334C25" w:rsidRDefault="00334C25" w:rsidP="00334C25">
      <w:pPr>
        <w:pStyle w:val="p1"/>
        <w:numPr>
          <w:ilvl w:val="0"/>
          <w:numId w:val="77"/>
        </w:numPr>
        <w:rPr>
          <w:color w:val="000000" w:themeColor="text1"/>
          <w:sz w:val="28"/>
          <w:szCs w:val="28"/>
        </w:rPr>
      </w:pPr>
      <w:r w:rsidRPr="00334C25">
        <w:rPr>
          <w:rStyle w:val="s1"/>
          <w:rFonts w:eastAsiaTheme="majorEastAsia"/>
          <w:b/>
          <w:bCs/>
          <w:color w:val="000000" w:themeColor="text1"/>
          <w:sz w:val="28"/>
          <w:szCs w:val="28"/>
        </w:rPr>
        <w:t>Побудова таблиці «покриття послуг» по центрах.</w:t>
      </w:r>
      <w:r w:rsidRPr="00334C25">
        <w:rPr>
          <w:color w:val="000000" w:themeColor="text1"/>
          <w:sz w:val="28"/>
          <w:szCs w:val="28"/>
        </w:rPr>
        <w:t xml:space="preserve"> Поля: центр, область, модель (one-stop / hub-and-spoke / mobile), місткість, % працюючих ліжко-місць, % завершених рефералів, індекс повноти мінпакета, індекс інклюзії. Заповнення </w:t>
      </w:r>
      <w:r w:rsidR="008D7B0D">
        <w:rPr>
          <w:color w:val="000000" w:themeColor="text1"/>
          <w:sz w:val="28"/>
          <w:szCs w:val="28"/>
        </w:rPr>
        <w:t>-</w:t>
      </w:r>
      <w:r w:rsidRPr="00334C25">
        <w:rPr>
          <w:color w:val="000000" w:themeColor="text1"/>
          <w:sz w:val="28"/>
          <w:szCs w:val="28"/>
        </w:rPr>
        <w:t xml:space="preserve"> адміністративні журнали + огляди.</w:t>
      </w:r>
      <w:r w:rsidRPr="00334C25">
        <w:rPr>
          <w:rStyle w:val="apple-converted-space"/>
          <w:rFonts w:eastAsiaTheme="majorEastAsia"/>
          <w:color w:val="000000" w:themeColor="text1"/>
          <w:sz w:val="28"/>
          <w:szCs w:val="28"/>
        </w:rPr>
        <w:t xml:space="preserve">  </w:t>
      </w:r>
    </w:p>
    <w:p w14:paraId="6FC215D2" w14:textId="77777777" w:rsidR="00334C25" w:rsidRPr="00334C25" w:rsidRDefault="00334C25" w:rsidP="00334C25">
      <w:pPr>
        <w:pStyle w:val="p1"/>
        <w:numPr>
          <w:ilvl w:val="0"/>
          <w:numId w:val="77"/>
        </w:numPr>
        <w:rPr>
          <w:color w:val="000000" w:themeColor="text1"/>
          <w:sz w:val="28"/>
          <w:szCs w:val="28"/>
        </w:rPr>
      </w:pPr>
      <w:r w:rsidRPr="00334C25">
        <w:rPr>
          <w:rStyle w:val="s1"/>
          <w:rFonts w:eastAsiaTheme="majorEastAsia"/>
          <w:b/>
          <w:bCs/>
          <w:color w:val="000000" w:themeColor="text1"/>
          <w:sz w:val="28"/>
          <w:szCs w:val="28"/>
        </w:rPr>
        <w:t>Регулярний моніторинг (T0/T1/T2).</w:t>
      </w:r>
      <w:r w:rsidRPr="00334C25">
        <w:rPr>
          <w:color w:val="000000" w:themeColor="text1"/>
          <w:sz w:val="28"/>
          <w:szCs w:val="28"/>
        </w:rPr>
        <w:t xml:space="preserve"> Повторні зрізи через 1/3/6 місяців дадуть динаміку щодо стабільності доступу і ефективності моделей.</w:t>
      </w:r>
      <w:r w:rsidRPr="00334C25">
        <w:rPr>
          <w:rStyle w:val="apple-converted-space"/>
          <w:rFonts w:eastAsiaTheme="majorEastAsia"/>
          <w:color w:val="000000" w:themeColor="text1"/>
          <w:sz w:val="28"/>
          <w:szCs w:val="28"/>
        </w:rPr>
        <w:t xml:space="preserve">  </w:t>
      </w:r>
    </w:p>
    <w:p w14:paraId="0E7D7738" w14:textId="77777777" w:rsidR="00334C25" w:rsidRPr="00334C25" w:rsidRDefault="00334C25" w:rsidP="00334C25">
      <w:pPr>
        <w:rPr>
          <w:color w:val="000000" w:themeColor="text1"/>
        </w:rPr>
      </w:pPr>
    </w:p>
    <w:p w14:paraId="3497CB68" w14:textId="0C894233" w:rsidR="00334C25" w:rsidRDefault="00334C25" w:rsidP="00334C25">
      <w:pPr>
        <w:pStyle w:val="2"/>
        <w:rPr>
          <w:color w:val="000000" w:themeColor="text1"/>
        </w:rPr>
      </w:pPr>
      <w:bookmarkStart w:id="48" w:name="_Toc214217543"/>
      <w:r w:rsidRPr="00334C25">
        <w:rPr>
          <w:color w:val="000000" w:themeColor="text1"/>
        </w:rPr>
        <w:t>3.3. Результати якісного аналізу</w:t>
      </w:r>
      <w:bookmarkEnd w:id="48"/>
      <w:r w:rsidRPr="00334C25">
        <w:rPr>
          <w:color w:val="000000" w:themeColor="text1"/>
        </w:rPr>
        <w:t xml:space="preserve"> </w:t>
      </w:r>
    </w:p>
    <w:p w14:paraId="616BB7FE" w14:textId="77777777" w:rsidR="008D7B0D" w:rsidRPr="008D7B0D" w:rsidRDefault="008D7B0D" w:rsidP="008D7B0D">
      <w:pPr>
        <w:spacing w:line="276" w:lineRule="auto"/>
        <w:rPr>
          <w:sz w:val="28"/>
          <w:szCs w:val="28"/>
        </w:rPr>
      </w:pPr>
    </w:p>
    <w:p w14:paraId="1793DCC8" w14:textId="77777777" w:rsidR="008D7B0D" w:rsidRPr="008D7B0D" w:rsidRDefault="008D7B0D" w:rsidP="008D7B0D">
      <w:pPr>
        <w:spacing w:line="276" w:lineRule="auto"/>
        <w:rPr>
          <w:sz w:val="28"/>
          <w:szCs w:val="28"/>
        </w:rPr>
      </w:pPr>
      <w:r w:rsidRPr="008D7B0D">
        <w:rPr>
          <w:sz w:val="28"/>
          <w:szCs w:val="28"/>
        </w:rPr>
        <w:t>3.3.1. Методологічна заувага та опис вибірки</w:t>
      </w:r>
    </w:p>
    <w:p w14:paraId="1E899822" w14:textId="77777777" w:rsidR="008D7B0D" w:rsidRPr="008D7B0D" w:rsidRDefault="008D7B0D" w:rsidP="008D7B0D">
      <w:pPr>
        <w:spacing w:line="276" w:lineRule="auto"/>
        <w:rPr>
          <w:sz w:val="28"/>
          <w:szCs w:val="28"/>
        </w:rPr>
      </w:pPr>
    </w:p>
    <w:p w14:paraId="4ED51161" w14:textId="32BA4700" w:rsidR="008D7B0D" w:rsidRPr="008D7B0D" w:rsidRDefault="008D7B0D" w:rsidP="008D7B0D">
      <w:pPr>
        <w:rPr>
          <w:sz w:val="28"/>
          <w:szCs w:val="28"/>
        </w:rPr>
      </w:pPr>
      <w:r w:rsidRPr="008D7B0D">
        <w:rPr>
          <w:sz w:val="28"/>
          <w:szCs w:val="28"/>
        </w:rPr>
        <w:t>Аналіз базується на якісному обробленні 27 інтерв’ю з ключовими інформаторами, проведених у Дніпропетровській області у період з червня по кінець вересня. Вибірка є цілеспрямованою (</w:t>
      </w:r>
      <w:proofErr w:type="spellStart"/>
      <w:r w:rsidRPr="008D7B0D">
        <w:rPr>
          <w:sz w:val="28"/>
          <w:szCs w:val="28"/>
        </w:rPr>
        <w:t>пурпозивною</w:t>
      </w:r>
      <w:proofErr w:type="spellEnd"/>
      <w:r w:rsidRPr="008D7B0D">
        <w:rPr>
          <w:sz w:val="28"/>
          <w:szCs w:val="28"/>
        </w:rPr>
        <w:t xml:space="preserve">) і не є статистично репрезентативною; у вибірці переважали жінки (92,6 %), що слід враховувати при інтерпретації висновків. За ролями респондентів: 66,7 % — представники місцевих органів влади, 11,1 % — представники неурядових організацій і волонтери, 22,2 % — інші фахівці (лікарі, координатори колективних центрів, працівники соціальної сфери). За місцем інтерв’ювання: муніципальні установи — 25,9 %, центри надання </w:t>
      </w:r>
      <w:r w:rsidRPr="008D7B0D">
        <w:rPr>
          <w:sz w:val="28"/>
          <w:szCs w:val="28"/>
        </w:rPr>
        <w:lastRenderedPageBreak/>
        <w:t>соціальних послуг — 22,2 %, громадські хаби — 18,5 %, колективні центри — 11,1 %, офіси НУО — 3,7 %</w:t>
      </w:r>
      <w:r>
        <w:rPr>
          <w:sz w:val="28"/>
          <w:szCs w:val="28"/>
        </w:rPr>
        <w:t xml:space="preserve">. </w:t>
      </w:r>
      <w:r w:rsidRPr="008D7B0D">
        <w:rPr>
          <w:sz w:val="28"/>
          <w:szCs w:val="28"/>
        </w:rPr>
        <w:t xml:space="preserve">Методологічний підхід полягав у ідентифікації загроз, виявленні постраждалих груп, аналізі наслідків та наявних можливостей реагування; кожний ризик оцінювався за ймовірністю та впливом на підставі первинних даних і огляду вторинних джерел. Етичні принципи: інформована згода, анонімність респондентів, безпечне зберігання даних. Обмеження: </w:t>
      </w:r>
      <w:proofErr w:type="spellStart"/>
      <w:r w:rsidRPr="008D7B0D">
        <w:rPr>
          <w:sz w:val="28"/>
          <w:szCs w:val="28"/>
        </w:rPr>
        <w:t>нерепрезентативність</w:t>
      </w:r>
      <w:proofErr w:type="spellEnd"/>
      <w:r w:rsidRPr="008D7B0D">
        <w:rPr>
          <w:sz w:val="28"/>
          <w:szCs w:val="28"/>
        </w:rPr>
        <w:t xml:space="preserve"> вибірки та ймовірний вплив соціально бажаних відповідей на результати.</w:t>
      </w:r>
    </w:p>
    <w:p w14:paraId="5F089E16" w14:textId="77777777" w:rsidR="008D7B0D" w:rsidRPr="008D7B0D" w:rsidRDefault="008D7B0D" w:rsidP="008D7B0D">
      <w:pPr>
        <w:spacing w:line="276" w:lineRule="auto"/>
        <w:rPr>
          <w:sz w:val="28"/>
          <w:szCs w:val="28"/>
        </w:rPr>
      </w:pPr>
    </w:p>
    <w:p w14:paraId="68A5A8C0" w14:textId="77777777" w:rsidR="008D7B0D" w:rsidRPr="008D7B0D" w:rsidRDefault="008D7B0D" w:rsidP="008D7B0D">
      <w:pPr>
        <w:spacing w:line="276" w:lineRule="auto"/>
        <w:rPr>
          <w:sz w:val="28"/>
          <w:szCs w:val="28"/>
        </w:rPr>
      </w:pPr>
      <w:r w:rsidRPr="008D7B0D">
        <w:rPr>
          <w:sz w:val="28"/>
          <w:szCs w:val="28"/>
        </w:rPr>
        <w:t>3.3.2. Частотний огляд кодів та їх класифікація</w:t>
      </w:r>
    </w:p>
    <w:p w14:paraId="3647CA22" w14:textId="77777777" w:rsidR="008D7B0D" w:rsidRPr="008D7B0D" w:rsidRDefault="008D7B0D" w:rsidP="008D7B0D">
      <w:pPr>
        <w:spacing w:line="276" w:lineRule="auto"/>
        <w:rPr>
          <w:sz w:val="28"/>
          <w:szCs w:val="28"/>
        </w:rPr>
      </w:pPr>
    </w:p>
    <w:p w14:paraId="7B2241E8" w14:textId="77777777" w:rsidR="008D7B0D" w:rsidRPr="008D7B0D" w:rsidRDefault="008D7B0D" w:rsidP="008D7B0D">
      <w:pPr>
        <w:spacing w:line="276" w:lineRule="auto"/>
        <w:rPr>
          <w:sz w:val="28"/>
          <w:szCs w:val="28"/>
        </w:rPr>
      </w:pPr>
      <w:r w:rsidRPr="008D7B0D">
        <w:rPr>
          <w:sz w:val="28"/>
          <w:szCs w:val="28"/>
        </w:rPr>
        <w:t>На основі підрахунку згадувань у вибірці виділено три рівні інтенсивності тем:</w:t>
      </w:r>
    </w:p>
    <w:p w14:paraId="6C474D07"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Високочастотні теми (системні повтори): реєстраційні процедури й черги; інформаційні бар’єри (несвоєчасність/недостатність інформації); санітарно-гігієнічні послуги; доступ до первинної медичної допомоги (включно з послугами репродуктивного здоров’я); розриви у процесі перенаправлення (видача направлення без його відстеження).</w:t>
      </w:r>
    </w:p>
    <w:p w14:paraId="0662E707"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r>
      <w:proofErr w:type="spellStart"/>
      <w:r w:rsidRPr="008D7B0D">
        <w:rPr>
          <w:sz w:val="28"/>
          <w:szCs w:val="28"/>
        </w:rPr>
        <w:t>Середньочастотні</w:t>
      </w:r>
      <w:proofErr w:type="spellEnd"/>
      <w:r w:rsidRPr="008D7B0D">
        <w:rPr>
          <w:sz w:val="28"/>
          <w:szCs w:val="28"/>
        </w:rPr>
        <w:t xml:space="preserve"> теми: адаптація для осіб з обмеженою мобільністю; житлові проблеми після виходу з центру; ризики, пов’язані з </w:t>
      </w:r>
      <w:proofErr w:type="spellStart"/>
      <w:r w:rsidRPr="008D7B0D">
        <w:rPr>
          <w:sz w:val="28"/>
          <w:szCs w:val="28"/>
        </w:rPr>
        <w:t>гендерно</w:t>
      </w:r>
      <w:proofErr w:type="spellEnd"/>
      <w:r w:rsidRPr="008D7B0D">
        <w:rPr>
          <w:sz w:val="28"/>
          <w:szCs w:val="28"/>
        </w:rPr>
        <w:t>-зумовленим насильством у центрах.</w:t>
      </w:r>
    </w:p>
    <w:p w14:paraId="1B45B729"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Низькочастотні, але релевантні теми: економічна інтеграція прибулих, цифрова неграмотність як бар’єр для доступу до електронних послуг, випадки порушення принципів запобігання експлуатації.</w:t>
      </w:r>
    </w:p>
    <w:p w14:paraId="5C905B89" w14:textId="77777777" w:rsidR="008D7B0D" w:rsidRPr="008D7B0D" w:rsidRDefault="008D7B0D" w:rsidP="008D7B0D">
      <w:pPr>
        <w:spacing w:line="276" w:lineRule="auto"/>
        <w:rPr>
          <w:sz w:val="28"/>
          <w:szCs w:val="28"/>
        </w:rPr>
      </w:pPr>
    </w:p>
    <w:p w14:paraId="198F4B7B" w14:textId="083434DE" w:rsidR="008D7B0D" w:rsidRDefault="008D7B0D" w:rsidP="008D7B0D">
      <w:pPr>
        <w:spacing w:line="276" w:lineRule="auto"/>
        <w:rPr>
          <w:sz w:val="28"/>
          <w:szCs w:val="28"/>
        </w:rPr>
      </w:pPr>
      <w:r w:rsidRPr="008D7B0D">
        <w:rPr>
          <w:sz w:val="28"/>
          <w:szCs w:val="28"/>
        </w:rPr>
        <w:t xml:space="preserve">Таблиця </w:t>
      </w:r>
      <w:r>
        <w:rPr>
          <w:sz w:val="28"/>
          <w:szCs w:val="28"/>
        </w:rPr>
        <w:t>3.3.</w:t>
      </w:r>
      <w:r w:rsidRPr="008D7B0D">
        <w:rPr>
          <w:sz w:val="28"/>
          <w:szCs w:val="28"/>
        </w:rPr>
        <w:t xml:space="preserve">1. Частота згадувань ключових </w:t>
      </w:r>
      <w:r>
        <w:rPr>
          <w:sz w:val="28"/>
          <w:szCs w:val="28"/>
        </w:rPr>
        <w:t>тем</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2482"/>
        <w:gridCol w:w="1967"/>
        <w:gridCol w:w="4190"/>
      </w:tblGrid>
      <w:tr w:rsidR="008D7B0D" w:rsidRPr="008D7B0D" w14:paraId="20FEF662" w14:textId="77777777" w:rsidTr="008D7B0D">
        <w:trPr>
          <w:tblHeader/>
          <w:tblCellSpacing w:w="15" w:type="dxa"/>
        </w:trPr>
        <w:tc>
          <w:tcPr>
            <w:tcW w:w="0" w:type="auto"/>
            <w:vAlign w:val="center"/>
            <w:hideMark/>
          </w:tcPr>
          <w:p w14:paraId="6564390C" w14:textId="77777777" w:rsidR="008D7B0D" w:rsidRPr="008D7B0D" w:rsidRDefault="008D7B0D" w:rsidP="008D7B0D">
            <w:pPr>
              <w:spacing w:before="100" w:beforeAutospacing="1" w:after="100" w:afterAutospacing="1"/>
              <w:jc w:val="center"/>
              <w:rPr>
                <w:b/>
                <w:bCs/>
                <w:sz w:val="28"/>
                <w:szCs w:val="28"/>
                <w:lang w:val="ru-UA"/>
              </w:rPr>
            </w:pPr>
            <w:r w:rsidRPr="008D7B0D">
              <w:rPr>
                <w:b/>
                <w:bCs/>
                <w:sz w:val="28"/>
                <w:szCs w:val="28"/>
                <w:lang w:val="ru-UA"/>
              </w:rPr>
              <w:t>№</w:t>
            </w:r>
          </w:p>
        </w:tc>
        <w:tc>
          <w:tcPr>
            <w:tcW w:w="0" w:type="auto"/>
            <w:vAlign w:val="center"/>
            <w:hideMark/>
          </w:tcPr>
          <w:p w14:paraId="50ED6B02" w14:textId="5A7CCFD1" w:rsidR="008D7B0D" w:rsidRPr="008D7B0D" w:rsidRDefault="008D7B0D" w:rsidP="008D7B0D">
            <w:pPr>
              <w:spacing w:before="100" w:beforeAutospacing="1" w:after="100" w:afterAutospacing="1"/>
              <w:jc w:val="center"/>
              <w:rPr>
                <w:b/>
                <w:bCs/>
                <w:sz w:val="28"/>
                <w:szCs w:val="28"/>
                <w:lang w:val="ru-UA"/>
              </w:rPr>
            </w:pPr>
            <w:r>
              <w:rPr>
                <w:b/>
                <w:bCs/>
                <w:sz w:val="28"/>
                <w:szCs w:val="28"/>
                <w:lang w:val="ru-UA"/>
              </w:rPr>
              <w:t>Тема</w:t>
            </w:r>
          </w:p>
        </w:tc>
        <w:tc>
          <w:tcPr>
            <w:tcW w:w="0" w:type="auto"/>
            <w:vAlign w:val="center"/>
            <w:hideMark/>
          </w:tcPr>
          <w:p w14:paraId="3F2F09E9" w14:textId="77777777" w:rsidR="008D7B0D" w:rsidRPr="008D7B0D" w:rsidRDefault="008D7B0D" w:rsidP="008D7B0D">
            <w:pPr>
              <w:spacing w:before="100" w:beforeAutospacing="1" w:after="100" w:afterAutospacing="1"/>
              <w:jc w:val="center"/>
              <w:rPr>
                <w:b/>
                <w:bCs/>
                <w:sz w:val="28"/>
                <w:szCs w:val="28"/>
                <w:lang w:val="ru-UA"/>
              </w:rPr>
            </w:pPr>
            <w:r w:rsidRPr="008D7B0D">
              <w:rPr>
                <w:b/>
                <w:bCs/>
                <w:sz w:val="28"/>
                <w:szCs w:val="28"/>
                <w:lang w:val="ru-UA"/>
              </w:rPr>
              <w:t>Інтенсивність згадувань</w:t>
            </w:r>
          </w:p>
        </w:tc>
        <w:tc>
          <w:tcPr>
            <w:tcW w:w="0" w:type="auto"/>
            <w:vAlign w:val="center"/>
            <w:hideMark/>
          </w:tcPr>
          <w:p w14:paraId="0A9C15DA" w14:textId="2C70572F" w:rsidR="008D7B0D" w:rsidRPr="008D7B0D" w:rsidRDefault="008D7B0D" w:rsidP="008D7B0D">
            <w:pPr>
              <w:spacing w:before="100" w:beforeAutospacing="1" w:after="100" w:afterAutospacing="1"/>
              <w:jc w:val="center"/>
              <w:rPr>
                <w:b/>
                <w:bCs/>
                <w:sz w:val="28"/>
                <w:szCs w:val="28"/>
                <w:lang w:val="ru-UA"/>
              </w:rPr>
            </w:pPr>
            <w:r w:rsidRPr="008D7B0D">
              <w:rPr>
                <w:b/>
                <w:bCs/>
                <w:sz w:val="28"/>
                <w:szCs w:val="28"/>
                <w:lang w:val="ru-UA"/>
              </w:rPr>
              <w:t xml:space="preserve">Короткий зміст </w:t>
            </w:r>
            <w:r>
              <w:rPr>
                <w:b/>
                <w:bCs/>
                <w:sz w:val="28"/>
                <w:szCs w:val="28"/>
                <w:lang w:val="ru-UA"/>
              </w:rPr>
              <w:t>теми</w:t>
            </w:r>
          </w:p>
        </w:tc>
      </w:tr>
      <w:tr w:rsidR="008D7B0D" w:rsidRPr="008D7B0D" w14:paraId="7CD6F8BA" w14:textId="77777777" w:rsidTr="008D7B0D">
        <w:trPr>
          <w:tblCellSpacing w:w="15" w:type="dxa"/>
        </w:trPr>
        <w:tc>
          <w:tcPr>
            <w:tcW w:w="0" w:type="auto"/>
            <w:vAlign w:val="center"/>
            <w:hideMark/>
          </w:tcPr>
          <w:p w14:paraId="703ECB31"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1</w:t>
            </w:r>
          </w:p>
        </w:tc>
        <w:tc>
          <w:tcPr>
            <w:tcW w:w="0" w:type="auto"/>
            <w:vAlign w:val="center"/>
            <w:hideMark/>
          </w:tcPr>
          <w:p w14:paraId="3405FC7B"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Реєстрація</w:t>
            </w:r>
          </w:p>
        </w:tc>
        <w:tc>
          <w:tcPr>
            <w:tcW w:w="0" w:type="auto"/>
            <w:vAlign w:val="center"/>
            <w:hideMark/>
          </w:tcPr>
          <w:p w14:paraId="64B3C0E4"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Висока</w:t>
            </w:r>
          </w:p>
        </w:tc>
        <w:tc>
          <w:tcPr>
            <w:tcW w:w="0" w:type="auto"/>
            <w:vAlign w:val="center"/>
            <w:hideMark/>
          </w:tcPr>
          <w:p w14:paraId="5EFBCC3C"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Черги; відсутність уніфікованих форм; затримки в реєстрації</w:t>
            </w:r>
          </w:p>
        </w:tc>
      </w:tr>
      <w:tr w:rsidR="008D7B0D" w:rsidRPr="008D7B0D" w14:paraId="023AFC8D" w14:textId="77777777" w:rsidTr="008D7B0D">
        <w:trPr>
          <w:tblCellSpacing w:w="15" w:type="dxa"/>
        </w:trPr>
        <w:tc>
          <w:tcPr>
            <w:tcW w:w="0" w:type="auto"/>
            <w:vAlign w:val="center"/>
            <w:hideMark/>
          </w:tcPr>
          <w:p w14:paraId="5E10FD17"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lastRenderedPageBreak/>
              <w:t>2</w:t>
            </w:r>
          </w:p>
        </w:tc>
        <w:tc>
          <w:tcPr>
            <w:tcW w:w="0" w:type="auto"/>
            <w:vAlign w:val="center"/>
            <w:hideMark/>
          </w:tcPr>
          <w:p w14:paraId="4CCA4F6B"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Інформація</w:t>
            </w:r>
          </w:p>
        </w:tc>
        <w:tc>
          <w:tcPr>
            <w:tcW w:w="0" w:type="auto"/>
            <w:vAlign w:val="center"/>
            <w:hideMark/>
          </w:tcPr>
          <w:p w14:paraId="0855A393"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Висока</w:t>
            </w:r>
          </w:p>
        </w:tc>
        <w:tc>
          <w:tcPr>
            <w:tcW w:w="0" w:type="auto"/>
            <w:vAlign w:val="center"/>
            <w:hideMark/>
          </w:tcPr>
          <w:p w14:paraId="587100DD"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Недостатність/несвоєчасність інформаційного супроводу (права, послуги)</w:t>
            </w:r>
          </w:p>
        </w:tc>
      </w:tr>
      <w:tr w:rsidR="008D7B0D" w:rsidRPr="008D7B0D" w14:paraId="6FED928A" w14:textId="77777777" w:rsidTr="008D7B0D">
        <w:trPr>
          <w:tblCellSpacing w:w="15" w:type="dxa"/>
        </w:trPr>
        <w:tc>
          <w:tcPr>
            <w:tcW w:w="0" w:type="auto"/>
            <w:vAlign w:val="center"/>
            <w:hideMark/>
          </w:tcPr>
          <w:p w14:paraId="2BF74DAB"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3</w:t>
            </w:r>
          </w:p>
        </w:tc>
        <w:tc>
          <w:tcPr>
            <w:tcW w:w="0" w:type="auto"/>
            <w:vAlign w:val="center"/>
            <w:hideMark/>
          </w:tcPr>
          <w:p w14:paraId="496B658D"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WASH (санітарія)</w:t>
            </w:r>
          </w:p>
        </w:tc>
        <w:tc>
          <w:tcPr>
            <w:tcW w:w="0" w:type="auto"/>
            <w:vAlign w:val="center"/>
            <w:hideMark/>
          </w:tcPr>
          <w:p w14:paraId="3823A731"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Висока</w:t>
            </w:r>
          </w:p>
        </w:tc>
        <w:tc>
          <w:tcPr>
            <w:tcW w:w="0" w:type="auto"/>
            <w:vAlign w:val="center"/>
            <w:hideMark/>
          </w:tcPr>
          <w:p w14:paraId="4AD1DBE4"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Нестача санітарних засобів; відсутність приватних зон</w:t>
            </w:r>
          </w:p>
        </w:tc>
      </w:tr>
      <w:tr w:rsidR="008D7B0D" w:rsidRPr="008D7B0D" w14:paraId="0347A2EC" w14:textId="77777777" w:rsidTr="008D7B0D">
        <w:trPr>
          <w:tblCellSpacing w:w="15" w:type="dxa"/>
        </w:trPr>
        <w:tc>
          <w:tcPr>
            <w:tcW w:w="0" w:type="auto"/>
            <w:vAlign w:val="center"/>
            <w:hideMark/>
          </w:tcPr>
          <w:p w14:paraId="081BBABD"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4</w:t>
            </w:r>
          </w:p>
        </w:tc>
        <w:tc>
          <w:tcPr>
            <w:tcW w:w="0" w:type="auto"/>
            <w:vAlign w:val="center"/>
            <w:hideMark/>
          </w:tcPr>
          <w:p w14:paraId="2AD788DA"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Перенаправлення (реферальні механізми)</w:t>
            </w:r>
          </w:p>
        </w:tc>
        <w:tc>
          <w:tcPr>
            <w:tcW w:w="0" w:type="auto"/>
            <w:vAlign w:val="center"/>
            <w:hideMark/>
          </w:tcPr>
          <w:p w14:paraId="29A9E2C5"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Висока</w:t>
            </w:r>
          </w:p>
        </w:tc>
        <w:tc>
          <w:tcPr>
            <w:tcW w:w="0" w:type="auto"/>
            <w:vAlign w:val="center"/>
            <w:hideMark/>
          </w:tcPr>
          <w:p w14:paraId="756D75A8"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Невизначеність алгоритмів перенаправлення; відсутність підтвердження завершення</w:t>
            </w:r>
          </w:p>
        </w:tc>
      </w:tr>
      <w:tr w:rsidR="008D7B0D" w:rsidRPr="008D7B0D" w14:paraId="4F504E18" w14:textId="77777777" w:rsidTr="008D7B0D">
        <w:trPr>
          <w:tblCellSpacing w:w="15" w:type="dxa"/>
        </w:trPr>
        <w:tc>
          <w:tcPr>
            <w:tcW w:w="0" w:type="auto"/>
            <w:vAlign w:val="center"/>
            <w:hideMark/>
          </w:tcPr>
          <w:p w14:paraId="6E41F8FF"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5</w:t>
            </w:r>
          </w:p>
        </w:tc>
        <w:tc>
          <w:tcPr>
            <w:tcW w:w="0" w:type="auto"/>
            <w:vAlign w:val="center"/>
            <w:hideMark/>
          </w:tcPr>
          <w:p w14:paraId="73FA307E"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Інклюзія / доступність</w:t>
            </w:r>
          </w:p>
        </w:tc>
        <w:tc>
          <w:tcPr>
            <w:tcW w:w="0" w:type="auto"/>
            <w:vAlign w:val="center"/>
            <w:hideMark/>
          </w:tcPr>
          <w:p w14:paraId="60234B15"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Середня–висока</w:t>
            </w:r>
          </w:p>
        </w:tc>
        <w:tc>
          <w:tcPr>
            <w:tcW w:w="0" w:type="auto"/>
            <w:vAlign w:val="center"/>
            <w:hideMark/>
          </w:tcPr>
          <w:p w14:paraId="45044177"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Брак адаптаційних рішень для осіб з інвалідністю</w:t>
            </w:r>
          </w:p>
        </w:tc>
      </w:tr>
      <w:tr w:rsidR="008D7B0D" w:rsidRPr="008D7B0D" w14:paraId="2B94A826" w14:textId="77777777" w:rsidTr="008D7B0D">
        <w:trPr>
          <w:tblCellSpacing w:w="15" w:type="dxa"/>
        </w:trPr>
        <w:tc>
          <w:tcPr>
            <w:tcW w:w="0" w:type="auto"/>
            <w:vAlign w:val="center"/>
            <w:hideMark/>
          </w:tcPr>
          <w:p w14:paraId="56D0BCB8"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6</w:t>
            </w:r>
          </w:p>
        </w:tc>
        <w:tc>
          <w:tcPr>
            <w:tcW w:w="0" w:type="auto"/>
            <w:vAlign w:val="center"/>
            <w:hideMark/>
          </w:tcPr>
          <w:p w14:paraId="20E4BC0F"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Первинна медична допомога</w:t>
            </w:r>
          </w:p>
        </w:tc>
        <w:tc>
          <w:tcPr>
            <w:tcW w:w="0" w:type="auto"/>
            <w:vAlign w:val="center"/>
            <w:hideMark/>
          </w:tcPr>
          <w:p w14:paraId="020F3D6E"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Середня</w:t>
            </w:r>
          </w:p>
        </w:tc>
        <w:tc>
          <w:tcPr>
            <w:tcW w:w="0" w:type="auto"/>
            <w:vAlign w:val="center"/>
            <w:hideMark/>
          </w:tcPr>
          <w:p w14:paraId="1DB45E5C"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Перерваність лікування, проблеми з доступом</w:t>
            </w:r>
          </w:p>
        </w:tc>
      </w:tr>
      <w:tr w:rsidR="008D7B0D" w:rsidRPr="008D7B0D" w14:paraId="3C7C09E2" w14:textId="77777777" w:rsidTr="008D7B0D">
        <w:trPr>
          <w:tblCellSpacing w:w="15" w:type="dxa"/>
        </w:trPr>
        <w:tc>
          <w:tcPr>
            <w:tcW w:w="0" w:type="auto"/>
            <w:vAlign w:val="center"/>
            <w:hideMark/>
          </w:tcPr>
          <w:p w14:paraId="0103712E"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7</w:t>
            </w:r>
          </w:p>
        </w:tc>
        <w:tc>
          <w:tcPr>
            <w:tcW w:w="0" w:type="auto"/>
            <w:vAlign w:val="center"/>
            <w:hideMark/>
          </w:tcPr>
          <w:p w14:paraId="7C19AE1A"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Житло / адаптація</w:t>
            </w:r>
          </w:p>
        </w:tc>
        <w:tc>
          <w:tcPr>
            <w:tcW w:w="0" w:type="auto"/>
            <w:vAlign w:val="center"/>
            <w:hideMark/>
          </w:tcPr>
          <w:p w14:paraId="003904BA"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Середня</w:t>
            </w:r>
          </w:p>
        </w:tc>
        <w:tc>
          <w:tcPr>
            <w:tcW w:w="0" w:type="auto"/>
            <w:vAlign w:val="center"/>
            <w:hideMark/>
          </w:tcPr>
          <w:p w14:paraId="2676F404"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Скрутність пошуку стабільного житла в період адаптації</w:t>
            </w:r>
          </w:p>
        </w:tc>
      </w:tr>
      <w:tr w:rsidR="008D7B0D" w:rsidRPr="008D7B0D" w14:paraId="36735809" w14:textId="77777777" w:rsidTr="008D7B0D">
        <w:trPr>
          <w:tblCellSpacing w:w="15" w:type="dxa"/>
        </w:trPr>
        <w:tc>
          <w:tcPr>
            <w:tcW w:w="0" w:type="auto"/>
            <w:vAlign w:val="center"/>
            <w:hideMark/>
          </w:tcPr>
          <w:p w14:paraId="7D93EF73"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8</w:t>
            </w:r>
          </w:p>
        </w:tc>
        <w:tc>
          <w:tcPr>
            <w:tcW w:w="0" w:type="auto"/>
            <w:vAlign w:val="center"/>
            <w:hideMark/>
          </w:tcPr>
          <w:p w14:paraId="2F561281"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Мобільні бригади</w:t>
            </w:r>
          </w:p>
        </w:tc>
        <w:tc>
          <w:tcPr>
            <w:tcW w:w="0" w:type="auto"/>
            <w:vAlign w:val="center"/>
            <w:hideMark/>
          </w:tcPr>
          <w:p w14:paraId="14109EC8"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Середня</w:t>
            </w:r>
          </w:p>
        </w:tc>
        <w:tc>
          <w:tcPr>
            <w:tcW w:w="0" w:type="auto"/>
            <w:vAlign w:val="center"/>
            <w:hideMark/>
          </w:tcPr>
          <w:p w14:paraId="5CA80FCF"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Наявність мобільних команд, але обмежена повнота послуг</w:t>
            </w:r>
          </w:p>
        </w:tc>
      </w:tr>
      <w:tr w:rsidR="008D7B0D" w:rsidRPr="008D7B0D" w14:paraId="6691A113" w14:textId="77777777" w:rsidTr="008D7B0D">
        <w:trPr>
          <w:tblCellSpacing w:w="15" w:type="dxa"/>
        </w:trPr>
        <w:tc>
          <w:tcPr>
            <w:tcW w:w="0" w:type="auto"/>
            <w:vAlign w:val="center"/>
            <w:hideMark/>
          </w:tcPr>
          <w:p w14:paraId="020510F6"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9</w:t>
            </w:r>
          </w:p>
        </w:tc>
        <w:tc>
          <w:tcPr>
            <w:tcW w:w="0" w:type="auto"/>
            <w:vAlign w:val="center"/>
            <w:hideMark/>
          </w:tcPr>
          <w:p w14:paraId="17686FFB"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Гендерно-зумовлене насильство (ознаки ризику)</w:t>
            </w:r>
          </w:p>
        </w:tc>
        <w:tc>
          <w:tcPr>
            <w:tcW w:w="0" w:type="auto"/>
            <w:vAlign w:val="center"/>
            <w:hideMark/>
          </w:tcPr>
          <w:p w14:paraId="1C9CB606"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Середня</w:t>
            </w:r>
          </w:p>
        </w:tc>
        <w:tc>
          <w:tcPr>
            <w:tcW w:w="0" w:type="auto"/>
            <w:vAlign w:val="center"/>
            <w:hideMark/>
          </w:tcPr>
          <w:p w14:paraId="42FFB362"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Ризики, пов’язані з відсутністю приватності та супроводу</w:t>
            </w:r>
          </w:p>
        </w:tc>
      </w:tr>
      <w:tr w:rsidR="008D7B0D" w:rsidRPr="008D7B0D" w14:paraId="4CF6F89C" w14:textId="77777777" w:rsidTr="008D7B0D">
        <w:trPr>
          <w:tblCellSpacing w:w="15" w:type="dxa"/>
        </w:trPr>
        <w:tc>
          <w:tcPr>
            <w:tcW w:w="0" w:type="auto"/>
            <w:vAlign w:val="center"/>
            <w:hideMark/>
          </w:tcPr>
          <w:p w14:paraId="7BDD3402"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10</w:t>
            </w:r>
          </w:p>
        </w:tc>
        <w:tc>
          <w:tcPr>
            <w:tcW w:w="0" w:type="auto"/>
            <w:vAlign w:val="center"/>
            <w:hideMark/>
          </w:tcPr>
          <w:p w14:paraId="70213652"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Інформаційні бар’єри (мова/цифрові навички)</w:t>
            </w:r>
          </w:p>
        </w:tc>
        <w:tc>
          <w:tcPr>
            <w:tcW w:w="0" w:type="auto"/>
            <w:vAlign w:val="center"/>
            <w:hideMark/>
          </w:tcPr>
          <w:p w14:paraId="452DE2E5"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Середня</w:t>
            </w:r>
          </w:p>
        </w:tc>
        <w:tc>
          <w:tcPr>
            <w:tcW w:w="0" w:type="auto"/>
            <w:vAlign w:val="center"/>
            <w:hideMark/>
          </w:tcPr>
          <w:p w14:paraId="0C6655D1" w14:textId="77777777" w:rsidR="008D7B0D" w:rsidRPr="008D7B0D" w:rsidRDefault="008D7B0D" w:rsidP="008D7B0D">
            <w:pPr>
              <w:spacing w:before="100" w:beforeAutospacing="1" w:after="100" w:afterAutospacing="1"/>
              <w:jc w:val="left"/>
              <w:rPr>
                <w:sz w:val="28"/>
                <w:szCs w:val="28"/>
                <w:lang w:val="ru-UA"/>
              </w:rPr>
            </w:pPr>
            <w:r w:rsidRPr="008D7B0D">
              <w:rPr>
                <w:sz w:val="28"/>
                <w:szCs w:val="28"/>
                <w:lang w:val="ru-UA"/>
              </w:rPr>
              <w:t>Мовні й цифрові бар’єри для доступу до онлайн-сервісів</w:t>
            </w:r>
          </w:p>
        </w:tc>
      </w:tr>
    </w:tbl>
    <w:p w14:paraId="5CBDAF19" w14:textId="77777777" w:rsidR="008D7B0D" w:rsidRPr="008D7B0D" w:rsidRDefault="008D7B0D" w:rsidP="008D7B0D">
      <w:pPr>
        <w:spacing w:line="276" w:lineRule="auto"/>
        <w:rPr>
          <w:sz w:val="28"/>
          <w:szCs w:val="28"/>
        </w:rPr>
      </w:pPr>
    </w:p>
    <w:p w14:paraId="294F64C2" w14:textId="77777777" w:rsidR="008D7B0D" w:rsidRPr="008D7B0D" w:rsidRDefault="008D7B0D" w:rsidP="008D7B0D">
      <w:pPr>
        <w:spacing w:line="276" w:lineRule="auto"/>
        <w:rPr>
          <w:sz w:val="28"/>
          <w:szCs w:val="28"/>
        </w:rPr>
      </w:pPr>
    </w:p>
    <w:p w14:paraId="65D92D5B" w14:textId="77777777" w:rsidR="008D7B0D" w:rsidRPr="008D7B0D" w:rsidRDefault="008D7B0D" w:rsidP="008D7B0D">
      <w:pPr>
        <w:spacing w:line="276" w:lineRule="auto"/>
        <w:rPr>
          <w:sz w:val="28"/>
          <w:szCs w:val="28"/>
        </w:rPr>
      </w:pPr>
      <w:r w:rsidRPr="008D7B0D">
        <w:rPr>
          <w:sz w:val="28"/>
          <w:szCs w:val="28"/>
        </w:rPr>
        <w:t>Аналітична інтерпретація. Частотний зріз показує, що основні операційні вузькі місця зосереджені на початкових етапах обслуговування (реєстрація, інформування) і мають прямий вплив на якість подальшого перенаправлення та задоволення базових потреб.</w:t>
      </w:r>
    </w:p>
    <w:p w14:paraId="57ADF5D1" w14:textId="77777777" w:rsidR="008D7B0D" w:rsidRPr="008D7B0D" w:rsidRDefault="008D7B0D" w:rsidP="008D7B0D">
      <w:pPr>
        <w:spacing w:line="276" w:lineRule="auto"/>
        <w:rPr>
          <w:sz w:val="28"/>
          <w:szCs w:val="28"/>
        </w:rPr>
      </w:pPr>
    </w:p>
    <w:p w14:paraId="1A0281E3" w14:textId="77777777" w:rsidR="008D7B0D" w:rsidRPr="008D7B0D" w:rsidRDefault="008D7B0D" w:rsidP="008D7B0D">
      <w:pPr>
        <w:spacing w:line="276" w:lineRule="auto"/>
        <w:rPr>
          <w:sz w:val="28"/>
          <w:szCs w:val="28"/>
          <w:lang w:val="en-US"/>
        </w:rPr>
      </w:pPr>
    </w:p>
    <w:p w14:paraId="6D3D8F78" w14:textId="3201E78D" w:rsidR="008D7B0D" w:rsidRPr="008D7B0D" w:rsidRDefault="008D7B0D" w:rsidP="008D7B0D">
      <w:pPr>
        <w:spacing w:line="276" w:lineRule="auto"/>
        <w:rPr>
          <w:sz w:val="28"/>
          <w:szCs w:val="28"/>
        </w:rPr>
      </w:pPr>
      <w:r w:rsidRPr="008D7B0D">
        <w:rPr>
          <w:sz w:val="28"/>
          <w:szCs w:val="28"/>
        </w:rPr>
        <w:t xml:space="preserve">3.3.3. Тематичні мережі та </w:t>
      </w:r>
      <w:proofErr w:type="spellStart"/>
      <w:r w:rsidRPr="008D7B0D">
        <w:rPr>
          <w:sz w:val="28"/>
          <w:szCs w:val="28"/>
        </w:rPr>
        <w:t>співзгаданості</w:t>
      </w:r>
      <w:proofErr w:type="spellEnd"/>
      <w:r w:rsidRPr="008D7B0D">
        <w:rPr>
          <w:sz w:val="28"/>
          <w:szCs w:val="28"/>
        </w:rPr>
        <w:t xml:space="preserve"> </w:t>
      </w:r>
      <w:r>
        <w:rPr>
          <w:sz w:val="28"/>
          <w:szCs w:val="28"/>
        </w:rPr>
        <w:t>-</w:t>
      </w:r>
      <w:r w:rsidRPr="008D7B0D">
        <w:rPr>
          <w:sz w:val="28"/>
          <w:szCs w:val="28"/>
        </w:rPr>
        <w:t xml:space="preserve"> структурні ядра проблем</w:t>
      </w:r>
    </w:p>
    <w:p w14:paraId="6DB5DCA9" w14:textId="77777777" w:rsidR="008D7B0D" w:rsidRPr="008D7B0D" w:rsidRDefault="008D7B0D" w:rsidP="008D7B0D">
      <w:pPr>
        <w:spacing w:line="276" w:lineRule="auto"/>
        <w:rPr>
          <w:sz w:val="28"/>
          <w:szCs w:val="28"/>
        </w:rPr>
      </w:pPr>
    </w:p>
    <w:p w14:paraId="74DF3926" w14:textId="77777777" w:rsidR="008D7B0D" w:rsidRPr="008D7B0D" w:rsidRDefault="008D7B0D" w:rsidP="008D7B0D">
      <w:pPr>
        <w:spacing w:line="276" w:lineRule="auto"/>
        <w:rPr>
          <w:sz w:val="28"/>
          <w:szCs w:val="28"/>
        </w:rPr>
      </w:pPr>
      <w:r w:rsidRPr="008D7B0D">
        <w:rPr>
          <w:sz w:val="28"/>
          <w:szCs w:val="28"/>
        </w:rPr>
        <w:t xml:space="preserve">Зіставлення кодів за </w:t>
      </w:r>
      <w:proofErr w:type="spellStart"/>
      <w:r w:rsidRPr="008D7B0D">
        <w:rPr>
          <w:sz w:val="28"/>
          <w:szCs w:val="28"/>
        </w:rPr>
        <w:t>співзгаданістю</w:t>
      </w:r>
      <w:proofErr w:type="spellEnd"/>
      <w:r w:rsidRPr="008D7B0D">
        <w:rPr>
          <w:sz w:val="28"/>
          <w:szCs w:val="28"/>
        </w:rPr>
        <w:t xml:space="preserve"> виділяє три провідні тематичні кластери, кожен із яких має власну причинно-наслідкову логіку.</w:t>
      </w:r>
    </w:p>
    <w:p w14:paraId="32A06D74" w14:textId="77777777" w:rsidR="008D7B0D" w:rsidRPr="008D7B0D" w:rsidRDefault="008D7B0D" w:rsidP="008D7B0D">
      <w:pPr>
        <w:spacing w:line="276" w:lineRule="auto"/>
        <w:rPr>
          <w:sz w:val="28"/>
          <w:szCs w:val="28"/>
        </w:rPr>
      </w:pPr>
    </w:p>
    <w:p w14:paraId="4F93BE5A" w14:textId="05BE44F9" w:rsidR="008D7B0D" w:rsidRPr="008D7B0D" w:rsidRDefault="008D7B0D" w:rsidP="008D7B0D">
      <w:pPr>
        <w:spacing w:line="276" w:lineRule="auto"/>
        <w:rPr>
          <w:sz w:val="28"/>
          <w:szCs w:val="28"/>
        </w:rPr>
      </w:pPr>
      <w:r w:rsidRPr="008D7B0D">
        <w:rPr>
          <w:sz w:val="28"/>
          <w:szCs w:val="28"/>
        </w:rPr>
        <w:t xml:space="preserve">Кластер A </w:t>
      </w:r>
      <w:r>
        <w:rPr>
          <w:sz w:val="28"/>
          <w:szCs w:val="28"/>
        </w:rPr>
        <w:t>-</w:t>
      </w:r>
      <w:r w:rsidRPr="008D7B0D">
        <w:rPr>
          <w:sz w:val="28"/>
          <w:szCs w:val="28"/>
        </w:rPr>
        <w:t xml:space="preserve"> «Реєстрація → Інформування → Перенаправлення» (операційний ланцюг)</w:t>
      </w:r>
    </w:p>
    <w:p w14:paraId="71FA59E9" w14:textId="77777777" w:rsidR="008D7B0D" w:rsidRPr="008D7B0D" w:rsidRDefault="008D7B0D" w:rsidP="008D7B0D">
      <w:pPr>
        <w:spacing w:line="276" w:lineRule="auto"/>
        <w:rPr>
          <w:sz w:val="28"/>
          <w:szCs w:val="28"/>
        </w:rPr>
      </w:pPr>
    </w:p>
    <w:p w14:paraId="2C5829F8" w14:textId="77777777" w:rsidR="008D7B0D" w:rsidRPr="008D7B0D" w:rsidRDefault="008D7B0D" w:rsidP="008D7B0D">
      <w:pPr>
        <w:spacing w:line="276" w:lineRule="auto"/>
        <w:rPr>
          <w:sz w:val="28"/>
          <w:szCs w:val="28"/>
        </w:rPr>
      </w:pPr>
      <w:r w:rsidRPr="008D7B0D">
        <w:rPr>
          <w:sz w:val="28"/>
          <w:szCs w:val="28"/>
        </w:rPr>
        <w:t xml:space="preserve">Спостереження. Часті </w:t>
      </w:r>
      <w:proofErr w:type="spellStart"/>
      <w:r w:rsidRPr="008D7B0D">
        <w:rPr>
          <w:sz w:val="28"/>
          <w:szCs w:val="28"/>
        </w:rPr>
        <w:t>співзгаданості</w:t>
      </w:r>
      <w:proofErr w:type="spellEnd"/>
      <w:r w:rsidRPr="008D7B0D">
        <w:rPr>
          <w:sz w:val="28"/>
          <w:szCs w:val="28"/>
        </w:rPr>
        <w:t xml:space="preserve"> кодів, що стосуються реєстраційних форм, процедур і інформаційного забезпечення, корелюють із кодами перенаправлення та вразливості.</w:t>
      </w:r>
    </w:p>
    <w:p w14:paraId="4D4EDF57" w14:textId="77777777" w:rsidR="008D7B0D" w:rsidRPr="008D7B0D" w:rsidRDefault="008D7B0D" w:rsidP="008D7B0D">
      <w:pPr>
        <w:spacing w:line="276" w:lineRule="auto"/>
        <w:rPr>
          <w:sz w:val="28"/>
          <w:szCs w:val="28"/>
        </w:rPr>
      </w:pPr>
      <w:r w:rsidRPr="008D7B0D">
        <w:rPr>
          <w:sz w:val="28"/>
          <w:szCs w:val="28"/>
        </w:rPr>
        <w:t>Механізм. Несвоєчасне або неповне інформування під час реєстрації призводить до неправильної ідентифікації потреб, що робить перенаправлення неповними або неефективними.</w:t>
      </w:r>
    </w:p>
    <w:p w14:paraId="65DAFB0C" w14:textId="77777777" w:rsidR="008D7B0D" w:rsidRPr="008D7B0D" w:rsidRDefault="008D7B0D" w:rsidP="008D7B0D">
      <w:pPr>
        <w:spacing w:line="276" w:lineRule="auto"/>
        <w:rPr>
          <w:sz w:val="28"/>
          <w:szCs w:val="28"/>
        </w:rPr>
      </w:pPr>
      <w:r w:rsidRPr="008D7B0D">
        <w:rPr>
          <w:sz w:val="28"/>
          <w:szCs w:val="28"/>
        </w:rPr>
        <w:t>Наслідок. Накопичення незавершених кейсів, зниження результативності допомоги та підвищена ризикованість для вразливих підгруп.</w:t>
      </w:r>
    </w:p>
    <w:p w14:paraId="1CDDF186" w14:textId="77777777" w:rsidR="008D7B0D" w:rsidRPr="008D7B0D" w:rsidRDefault="008D7B0D" w:rsidP="008D7B0D">
      <w:pPr>
        <w:spacing w:line="276" w:lineRule="auto"/>
        <w:rPr>
          <w:sz w:val="28"/>
          <w:szCs w:val="28"/>
        </w:rPr>
      </w:pPr>
    </w:p>
    <w:p w14:paraId="09876651" w14:textId="1CDB7ABA" w:rsidR="008D7B0D" w:rsidRPr="008D7B0D" w:rsidRDefault="008D7B0D" w:rsidP="008D7B0D">
      <w:pPr>
        <w:spacing w:line="276" w:lineRule="auto"/>
        <w:rPr>
          <w:sz w:val="28"/>
          <w:szCs w:val="28"/>
        </w:rPr>
      </w:pPr>
      <w:r w:rsidRPr="008D7B0D">
        <w:rPr>
          <w:sz w:val="28"/>
          <w:szCs w:val="28"/>
        </w:rPr>
        <w:t xml:space="preserve">Кластер B </w:t>
      </w:r>
      <w:r>
        <w:rPr>
          <w:sz w:val="28"/>
          <w:szCs w:val="28"/>
        </w:rPr>
        <w:t>-</w:t>
      </w:r>
      <w:r w:rsidRPr="008D7B0D">
        <w:rPr>
          <w:sz w:val="28"/>
          <w:szCs w:val="28"/>
        </w:rPr>
        <w:t xml:space="preserve"> «Санітарія та приватні простори → ризики для жінок/дітей»</w:t>
      </w:r>
    </w:p>
    <w:p w14:paraId="2A6CF397" w14:textId="77777777" w:rsidR="008D7B0D" w:rsidRPr="008D7B0D" w:rsidRDefault="008D7B0D" w:rsidP="008D7B0D">
      <w:pPr>
        <w:spacing w:line="276" w:lineRule="auto"/>
        <w:rPr>
          <w:sz w:val="28"/>
          <w:szCs w:val="28"/>
        </w:rPr>
      </w:pPr>
    </w:p>
    <w:p w14:paraId="30C9AA3E" w14:textId="77777777" w:rsidR="008D7B0D" w:rsidRPr="008D7B0D" w:rsidRDefault="008D7B0D" w:rsidP="008D7B0D">
      <w:pPr>
        <w:spacing w:line="276" w:lineRule="auto"/>
        <w:rPr>
          <w:sz w:val="28"/>
          <w:szCs w:val="28"/>
        </w:rPr>
      </w:pPr>
      <w:r w:rsidRPr="008D7B0D">
        <w:rPr>
          <w:sz w:val="28"/>
          <w:szCs w:val="28"/>
        </w:rPr>
        <w:t xml:space="preserve">Спостереження. Спільні згадування дефіциту санітарно-гігієнічних умов, відсутності приватних кімнат і ризиків </w:t>
      </w:r>
      <w:proofErr w:type="spellStart"/>
      <w:r w:rsidRPr="008D7B0D">
        <w:rPr>
          <w:sz w:val="28"/>
          <w:szCs w:val="28"/>
        </w:rPr>
        <w:t>гендерно</w:t>
      </w:r>
      <w:proofErr w:type="spellEnd"/>
      <w:r w:rsidRPr="008D7B0D">
        <w:rPr>
          <w:sz w:val="28"/>
          <w:szCs w:val="28"/>
        </w:rPr>
        <w:t>-зумовленого насильства.</w:t>
      </w:r>
    </w:p>
    <w:p w14:paraId="4394E3D1" w14:textId="77777777" w:rsidR="008D7B0D" w:rsidRPr="008D7B0D" w:rsidRDefault="008D7B0D" w:rsidP="008D7B0D">
      <w:pPr>
        <w:spacing w:line="276" w:lineRule="auto"/>
        <w:rPr>
          <w:sz w:val="28"/>
          <w:szCs w:val="28"/>
        </w:rPr>
      </w:pPr>
      <w:r w:rsidRPr="008D7B0D">
        <w:rPr>
          <w:sz w:val="28"/>
          <w:szCs w:val="28"/>
        </w:rPr>
        <w:t xml:space="preserve">Механізм. Нестача </w:t>
      </w:r>
      <w:proofErr w:type="spellStart"/>
      <w:r w:rsidRPr="008D7B0D">
        <w:rPr>
          <w:sz w:val="28"/>
          <w:szCs w:val="28"/>
        </w:rPr>
        <w:t>приватності</w:t>
      </w:r>
      <w:proofErr w:type="spellEnd"/>
      <w:r w:rsidRPr="008D7B0D">
        <w:rPr>
          <w:sz w:val="28"/>
          <w:szCs w:val="28"/>
        </w:rPr>
        <w:t xml:space="preserve"> й належних санітарних умов підвищує вразливість жінок і дітей; відсутність механізмів захисту підсилює мовчазну недовіру до послуг.</w:t>
      </w:r>
    </w:p>
    <w:p w14:paraId="41F493DB" w14:textId="77777777" w:rsidR="008D7B0D" w:rsidRPr="008D7B0D" w:rsidRDefault="008D7B0D" w:rsidP="008D7B0D">
      <w:pPr>
        <w:spacing w:line="276" w:lineRule="auto"/>
        <w:rPr>
          <w:sz w:val="28"/>
          <w:szCs w:val="28"/>
        </w:rPr>
      </w:pPr>
      <w:r w:rsidRPr="008D7B0D">
        <w:rPr>
          <w:sz w:val="28"/>
          <w:szCs w:val="28"/>
        </w:rPr>
        <w:t>Наслідок. Зниження звернень за послугами, приховані випадки порушень, підвищений репутаційний ризик для операторів.</w:t>
      </w:r>
    </w:p>
    <w:p w14:paraId="5ED9049C" w14:textId="77777777" w:rsidR="008D7B0D" w:rsidRPr="008D7B0D" w:rsidRDefault="008D7B0D" w:rsidP="008D7B0D">
      <w:pPr>
        <w:spacing w:line="276" w:lineRule="auto"/>
        <w:rPr>
          <w:sz w:val="28"/>
          <w:szCs w:val="28"/>
        </w:rPr>
      </w:pPr>
    </w:p>
    <w:p w14:paraId="4692BC86" w14:textId="3789BD72" w:rsidR="008D7B0D" w:rsidRPr="008D7B0D" w:rsidRDefault="008D7B0D" w:rsidP="008D7B0D">
      <w:pPr>
        <w:spacing w:line="276" w:lineRule="auto"/>
        <w:rPr>
          <w:sz w:val="28"/>
          <w:szCs w:val="28"/>
        </w:rPr>
      </w:pPr>
      <w:r w:rsidRPr="008D7B0D">
        <w:rPr>
          <w:sz w:val="28"/>
          <w:szCs w:val="28"/>
        </w:rPr>
        <w:t xml:space="preserve">Кластер C </w:t>
      </w:r>
      <w:r>
        <w:rPr>
          <w:sz w:val="28"/>
          <w:szCs w:val="28"/>
        </w:rPr>
        <w:t>-</w:t>
      </w:r>
      <w:r w:rsidRPr="008D7B0D">
        <w:rPr>
          <w:sz w:val="28"/>
          <w:szCs w:val="28"/>
        </w:rPr>
        <w:t xml:space="preserve"> «Безпека маршруту → мобільні бригади → часткова доступність послуг»</w:t>
      </w:r>
    </w:p>
    <w:p w14:paraId="06573115" w14:textId="77777777" w:rsidR="008D7B0D" w:rsidRPr="008D7B0D" w:rsidRDefault="008D7B0D" w:rsidP="008D7B0D">
      <w:pPr>
        <w:spacing w:line="276" w:lineRule="auto"/>
        <w:rPr>
          <w:sz w:val="28"/>
          <w:szCs w:val="28"/>
        </w:rPr>
      </w:pPr>
    </w:p>
    <w:p w14:paraId="5A02A248" w14:textId="77777777" w:rsidR="008D7B0D" w:rsidRPr="008D7B0D" w:rsidRDefault="008D7B0D" w:rsidP="008D7B0D">
      <w:pPr>
        <w:spacing w:line="276" w:lineRule="auto"/>
        <w:rPr>
          <w:sz w:val="28"/>
          <w:szCs w:val="28"/>
        </w:rPr>
      </w:pPr>
      <w:r w:rsidRPr="008D7B0D">
        <w:rPr>
          <w:sz w:val="28"/>
          <w:szCs w:val="28"/>
        </w:rPr>
        <w:lastRenderedPageBreak/>
        <w:t>Спостереження. У зонах з обмеженою безпекою мобільні бригади часто забезпечують первинний доступ, але з обмеженим набором послуг.</w:t>
      </w:r>
    </w:p>
    <w:p w14:paraId="32189214" w14:textId="77777777" w:rsidR="008D7B0D" w:rsidRPr="008D7B0D" w:rsidRDefault="008D7B0D" w:rsidP="008D7B0D">
      <w:pPr>
        <w:spacing w:line="276" w:lineRule="auto"/>
        <w:rPr>
          <w:sz w:val="28"/>
          <w:szCs w:val="28"/>
        </w:rPr>
      </w:pPr>
      <w:r w:rsidRPr="008D7B0D">
        <w:rPr>
          <w:sz w:val="28"/>
          <w:szCs w:val="28"/>
        </w:rPr>
        <w:t xml:space="preserve">Механізм. Мобільна допомога доступна, але не забезпечує повноти </w:t>
      </w:r>
      <w:proofErr w:type="spellStart"/>
      <w:r w:rsidRPr="008D7B0D">
        <w:rPr>
          <w:sz w:val="28"/>
          <w:szCs w:val="28"/>
        </w:rPr>
        <w:t>втручань</w:t>
      </w:r>
      <w:proofErr w:type="spellEnd"/>
      <w:r w:rsidRPr="008D7B0D">
        <w:rPr>
          <w:sz w:val="28"/>
          <w:szCs w:val="28"/>
        </w:rPr>
        <w:t>; це призводить до тимчасових рішень без стійкого супроводу.</w:t>
      </w:r>
    </w:p>
    <w:p w14:paraId="73A8CEA5" w14:textId="77777777" w:rsidR="008D7B0D" w:rsidRPr="008D7B0D" w:rsidRDefault="008D7B0D" w:rsidP="008D7B0D">
      <w:pPr>
        <w:spacing w:line="276" w:lineRule="auto"/>
        <w:rPr>
          <w:sz w:val="28"/>
          <w:szCs w:val="28"/>
        </w:rPr>
      </w:pPr>
      <w:r w:rsidRPr="008D7B0D">
        <w:rPr>
          <w:sz w:val="28"/>
          <w:szCs w:val="28"/>
        </w:rPr>
        <w:t>Наслідок. Розрив між доступністю і повнотою послуг, особливо в віддалених або небезпечних локаціях.</w:t>
      </w:r>
    </w:p>
    <w:p w14:paraId="2E0C97CA" w14:textId="77777777" w:rsidR="008D7B0D" w:rsidRPr="008D7B0D" w:rsidRDefault="008D7B0D" w:rsidP="008D7B0D">
      <w:pPr>
        <w:spacing w:line="276" w:lineRule="auto"/>
        <w:rPr>
          <w:sz w:val="28"/>
          <w:szCs w:val="28"/>
        </w:rPr>
      </w:pPr>
    </w:p>
    <w:p w14:paraId="3427DFFF" w14:textId="318CB069" w:rsidR="008D7B0D" w:rsidRPr="008D7B0D" w:rsidRDefault="008D7B0D" w:rsidP="008D7B0D">
      <w:pPr>
        <w:spacing w:line="276" w:lineRule="auto"/>
        <w:rPr>
          <w:sz w:val="28"/>
          <w:szCs w:val="28"/>
        </w:rPr>
      </w:pPr>
      <w:r w:rsidRPr="008D7B0D">
        <w:rPr>
          <w:sz w:val="28"/>
          <w:szCs w:val="28"/>
        </w:rPr>
        <w:t xml:space="preserve">Ілюстрація. Матриця </w:t>
      </w:r>
      <w:proofErr w:type="spellStart"/>
      <w:r w:rsidRPr="008D7B0D">
        <w:rPr>
          <w:sz w:val="28"/>
          <w:szCs w:val="28"/>
        </w:rPr>
        <w:t>співзгаданостей</w:t>
      </w:r>
      <w:proofErr w:type="spellEnd"/>
      <w:r w:rsidRPr="008D7B0D">
        <w:rPr>
          <w:sz w:val="28"/>
          <w:szCs w:val="28"/>
        </w:rPr>
        <w:t xml:space="preserve"> та </w:t>
      </w:r>
      <w:proofErr w:type="spellStart"/>
      <w:r w:rsidRPr="008D7B0D">
        <w:rPr>
          <w:sz w:val="28"/>
          <w:szCs w:val="28"/>
        </w:rPr>
        <w:t>тепловa</w:t>
      </w:r>
      <w:proofErr w:type="spellEnd"/>
      <w:r w:rsidRPr="008D7B0D">
        <w:rPr>
          <w:sz w:val="28"/>
          <w:szCs w:val="28"/>
        </w:rPr>
        <w:t xml:space="preserve"> карта </w:t>
      </w:r>
      <w:r>
        <w:rPr>
          <w:sz w:val="28"/>
          <w:szCs w:val="28"/>
        </w:rPr>
        <w:t>-</w:t>
      </w:r>
      <w:r w:rsidRPr="008D7B0D">
        <w:rPr>
          <w:sz w:val="28"/>
          <w:szCs w:val="28"/>
        </w:rPr>
        <w:t xml:space="preserve"> графічні додатки, що підкріплюють виявлені кластери.</w:t>
      </w:r>
    </w:p>
    <w:p w14:paraId="44392A88" w14:textId="77777777" w:rsidR="008D7B0D" w:rsidRDefault="008D7B0D" w:rsidP="008D7B0D">
      <w:pPr>
        <w:spacing w:line="276" w:lineRule="auto"/>
        <w:rPr>
          <w:sz w:val="28"/>
          <w:szCs w:val="28"/>
        </w:rPr>
      </w:pPr>
    </w:p>
    <w:p w14:paraId="02528E98" w14:textId="4AE4C492" w:rsidR="008D7B0D" w:rsidRPr="008D7B0D" w:rsidRDefault="008D7B0D" w:rsidP="008D7B0D">
      <w:pPr>
        <w:spacing w:line="276" w:lineRule="auto"/>
        <w:rPr>
          <w:i/>
          <w:iCs/>
          <w:sz w:val="28"/>
          <w:szCs w:val="28"/>
        </w:rPr>
      </w:pPr>
      <w:r w:rsidRPr="008D7B0D">
        <w:rPr>
          <w:i/>
          <w:iCs/>
          <w:sz w:val="28"/>
          <w:szCs w:val="28"/>
        </w:rPr>
        <w:t>Мал.3.</w:t>
      </w:r>
      <w:r>
        <w:rPr>
          <w:i/>
          <w:iCs/>
          <w:sz w:val="28"/>
          <w:szCs w:val="28"/>
        </w:rPr>
        <w:t>3.</w:t>
      </w:r>
      <w:r w:rsidRPr="008D7B0D">
        <w:rPr>
          <w:i/>
          <w:iCs/>
          <w:sz w:val="28"/>
          <w:szCs w:val="28"/>
        </w:rPr>
        <w:t xml:space="preserve">1. Матриця згадувань кодів </w:t>
      </w:r>
      <w:r>
        <w:rPr>
          <w:i/>
          <w:iCs/>
          <w:sz w:val="28"/>
          <w:szCs w:val="28"/>
        </w:rPr>
        <w:t xml:space="preserve">в </w:t>
      </w:r>
      <w:proofErr w:type="spellStart"/>
      <w:r>
        <w:rPr>
          <w:i/>
          <w:iCs/>
          <w:sz w:val="28"/>
          <w:szCs w:val="28"/>
        </w:rPr>
        <w:t>проведенних</w:t>
      </w:r>
      <w:proofErr w:type="spellEnd"/>
      <w:r>
        <w:rPr>
          <w:i/>
          <w:iCs/>
          <w:sz w:val="28"/>
          <w:szCs w:val="28"/>
        </w:rPr>
        <w:t xml:space="preserve"> </w:t>
      </w:r>
      <w:proofErr w:type="spellStart"/>
      <w:r>
        <w:rPr>
          <w:i/>
          <w:iCs/>
          <w:sz w:val="28"/>
          <w:szCs w:val="28"/>
        </w:rPr>
        <w:t>інтерв</w:t>
      </w:r>
      <w:proofErr w:type="spellEnd"/>
      <w:r>
        <w:rPr>
          <w:i/>
          <w:iCs/>
          <w:sz w:val="28"/>
          <w:szCs w:val="28"/>
          <w:lang w:val="en-US"/>
        </w:rPr>
        <w:t>’</w:t>
      </w:r>
      <w:r>
        <w:rPr>
          <w:i/>
          <w:iCs/>
          <w:sz w:val="28"/>
          <w:szCs w:val="28"/>
        </w:rPr>
        <w:t>ю</w:t>
      </w:r>
    </w:p>
    <w:p w14:paraId="7D16FFD1" w14:textId="50EB56BD" w:rsidR="008D7B0D" w:rsidRPr="008D7B0D" w:rsidRDefault="008D7B0D" w:rsidP="008D7B0D">
      <w:pPr>
        <w:spacing w:line="276" w:lineRule="auto"/>
        <w:rPr>
          <w:sz w:val="28"/>
          <w:szCs w:val="28"/>
        </w:rPr>
      </w:pPr>
      <w:r>
        <w:rPr>
          <w:noProof/>
          <w:sz w:val="28"/>
          <w:szCs w:val="28"/>
          <w14:ligatures w14:val="standardContextual"/>
        </w:rPr>
        <w:drawing>
          <wp:inline distT="0" distB="0" distL="0" distR="0" wp14:anchorId="6F6B68FF" wp14:editId="491E2BDD">
            <wp:extent cx="5731510" cy="2238375"/>
            <wp:effectExtent l="0" t="0" r="0" b="0"/>
            <wp:docPr id="1865014105" name="Рисунок 1" descr="Изображение выглядит как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14105" name="Рисунок 1" descr="Изображение выглядит как снимок экрана&#10;&#10;Содержимое, созданное искусственным интеллектом, может быть неверным."/>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238375"/>
                    </a:xfrm>
                    <a:prstGeom prst="rect">
                      <a:avLst/>
                    </a:prstGeom>
                  </pic:spPr>
                </pic:pic>
              </a:graphicData>
            </a:graphic>
          </wp:inline>
        </w:drawing>
      </w:r>
    </w:p>
    <w:p w14:paraId="7660F2F4" w14:textId="77777777" w:rsidR="008D7B0D" w:rsidRPr="008D7B0D" w:rsidRDefault="008D7B0D" w:rsidP="008D7B0D">
      <w:pPr>
        <w:spacing w:line="276" w:lineRule="auto"/>
        <w:rPr>
          <w:sz w:val="28"/>
          <w:szCs w:val="28"/>
        </w:rPr>
      </w:pPr>
    </w:p>
    <w:p w14:paraId="0055686A" w14:textId="2AF088EF" w:rsidR="008D7B0D" w:rsidRPr="008D7B0D" w:rsidRDefault="008D7B0D" w:rsidP="008D7B0D">
      <w:pPr>
        <w:spacing w:line="276" w:lineRule="auto"/>
        <w:rPr>
          <w:sz w:val="28"/>
          <w:szCs w:val="28"/>
        </w:rPr>
      </w:pPr>
      <w:r w:rsidRPr="008D7B0D">
        <w:rPr>
          <w:sz w:val="28"/>
          <w:szCs w:val="28"/>
        </w:rPr>
        <w:t xml:space="preserve">3.3.4. </w:t>
      </w:r>
      <w:proofErr w:type="spellStart"/>
      <w:r w:rsidRPr="008D7B0D">
        <w:rPr>
          <w:sz w:val="28"/>
          <w:szCs w:val="28"/>
        </w:rPr>
        <w:t>Міжфазний</w:t>
      </w:r>
      <w:proofErr w:type="spellEnd"/>
      <w:r w:rsidRPr="008D7B0D">
        <w:rPr>
          <w:sz w:val="28"/>
          <w:szCs w:val="28"/>
        </w:rPr>
        <w:t xml:space="preserve"> порівняльний аналіз (виїзд </w:t>
      </w:r>
      <w:r>
        <w:rPr>
          <w:sz w:val="28"/>
          <w:szCs w:val="28"/>
        </w:rPr>
        <w:t>-</w:t>
      </w:r>
      <w:r w:rsidRPr="008D7B0D">
        <w:rPr>
          <w:sz w:val="28"/>
          <w:szCs w:val="28"/>
        </w:rPr>
        <w:t xml:space="preserve"> транзит </w:t>
      </w:r>
      <w:r>
        <w:rPr>
          <w:sz w:val="28"/>
          <w:szCs w:val="28"/>
        </w:rPr>
        <w:t>-</w:t>
      </w:r>
      <w:r w:rsidRPr="008D7B0D">
        <w:rPr>
          <w:sz w:val="28"/>
          <w:szCs w:val="28"/>
        </w:rPr>
        <w:t xml:space="preserve"> адаптація)</w:t>
      </w:r>
    </w:p>
    <w:p w14:paraId="67936207" w14:textId="77777777" w:rsidR="008D7B0D" w:rsidRPr="008D7B0D" w:rsidRDefault="008D7B0D" w:rsidP="008D7B0D">
      <w:pPr>
        <w:spacing w:line="276" w:lineRule="auto"/>
        <w:rPr>
          <w:sz w:val="28"/>
          <w:szCs w:val="28"/>
        </w:rPr>
      </w:pPr>
    </w:p>
    <w:p w14:paraId="1C24973D" w14:textId="77777777" w:rsidR="008D7B0D" w:rsidRPr="008D7B0D" w:rsidRDefault="008D7B0D" w:rsidP="008D7B0D">
      <w:pPr>
        <w:spacing w:line="276" w:lineRule="auto"/>
        <w:rPr>
          <w:sz w:val="28"/>
          <w:szCs w:val="28"/>
        </w:rPr>
      </w:pPr>
      <w:r w:rsidRPr="008D7B0D">
        <w:rPr>
          <w:sz w:val="28"/>
          <w:szCs w:val="28"/>
        </w:rPr>
        <w:t>Аналіз динаміки кодів за фазами виявив наступні закономірності:</w:t>
      </w:r>
    </w:p>
    <w:p w14:paraId="42CAC837"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Фаза виїзду. Проблеми безпеки та інформаційного забезпечення є домінантними; брак достовірної інформації змушує людей приймати імпульсивні рішення, що погіршує якість первинної реєстрації.</w:t>
      </w:r>
    </w:p>
    <w:p w14:paraId="786FC3A3"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Фаза транзиту. Операційні вузькі місця: довгі черги, дефіцит санітарно-гігієнічних засобів, відсутність приватних просторів, а також неузгодженість механізмів перенаправлення.</w:t>
      </w:r>
    </w:p>
    <w:p w14:paraId="72B1465D"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 xml:space="preserve">Фаза адаптації. Накопичуються наслідки: труднощі з пошуком житла, </w:t>
      </w:r>
      <w:proofErr w:type="spellStart"/>
      <w:r w:rsidRPr="008D7B0D">
        <w:rPr>
          <w:sz w:val="28"/>
          <w:szCs w:val="28"/>
        </w:rPr>
        <w:t>перерваність</w:t>
      </w:r>
      <w:proofErr w:type="spellEnd"/>
      <w:r w:rsidRPr="008D7B0D">
        <w:rPr>
          <w:sz w:val="28"/>
          <w:szCs w:val="28"/>
        </w:rPr>
        <w:t xml:space="preserve"> лікування, відсутність стабільних джерел доходу та соціальна маргіналізація.</w:t>
      </w:r>
    </w:p>
    <w:p w14:paraId="15E54B42" w14:textId="77777777" w:rsidR="008D7B0D" w:rsidRPr="008D7B0D" w:rsidRDefault="008D7B0D" w:rsidP="008D7B0D">
      <w:pPr>
        <w:spacing w:line="276" w:lineRule="auto"/>
        <w:rPr>
          <w:sz w:val="28"/>
          <w:szCs w:val="28"/>
        </w:rPr>
      </w:pPr>
    </w:p>
    <w:p w14:paraId="3D5198B9" w14:textId="632CAF79" w:rsidR="008D7B0D" w:rsidRPr="008D7B0D" w:rsidRDefault="008D7B0D" w:rsidP="008D7B0D">
      <w:pPr>
        <w:spacing w:line="276" w:lineRule="auto"/>
        <w:rPr>
          <w:sz w:val="28"/>
          <w:szCs w:val="28"/>
        </w:rPr>
      </w:pPr>
      <w:r w:rsidRPr="008D7B0D">
        <w:rPr>
          <w:sz w:val="28"/>
          <w:szCs w:val="28"/>
        </w:rPr>
        <w:t xml:space="preserve">Аналітичний висновок. Наявні проблеми утворюють ланцюг ризиків: помилки й прогалини на ранніх стадіях (виїзд, реєстрація) підсилюють </w:t>
      </w:r>
      <w:r w:rsidRPr="008D7B0D">
        <w:rPr>
          <w:sz w:val="28"/>
          <w:szCs w:val="28"/>
        </w:rPr>
        <w:lastRenderedPageBreak/>
        <w:t>хронічні проблеми адаптації; отже, інтервенції, спрямовані на ранні етапи, мають високу мультиплікативну ефективність.</w:t>
      </w:r>
    </w:p>
    <w:p w14:paraId="49C0D334" w14:textId="77777777" w:rsidR="008D7B0D" w:rsidRPr="008D7B0D" w:rsidRDefault="008D7B0D" w:rsidP="008D7B0D">
      <w:pPr>
        <w:spacing w:line="276" w:lineRule="auto"/>
        <w:rPr>
          <w:sz w:val="28"/>
          <w:szCs w:val="28"/>
        </w:rPr>
      </w:pPr>
    </w:p>
    <w:p w14:paraId="057344FD" w14:textId="77777777" w:rsidR="008D7B0D" w:rsidRPr="008D7B0D" w:rsidRDefault="008D7B0D" w:rsidP="008D7B0D">
      <w:pPr>
        <w:spacing w:line="276" w:lineRule="auto"/>
        <w:rPr>
          <w:sz w:val="28"/>
          <w:szCs w:val="28"/>
        </w:rPr>
      </w:pPr>
      <w:r w:rsidRPr="008D7B0D">
        <w:rPr>
          <w:sz w:val="28"/>
          <w:szCs w:val="28"/>
        </w:rPr>
        <w:t>3.3.5. Пояснювальні моделі дефіцитів (схематичні моделі)</w:t>
      </w:r>
    </w:p>
    <w:p w14:paraId="322A623F" w14:textId="77777777" w:rsidR="008D7B0D" w:rsidRPr="008D7B0D" w:rsidRDefault="008D7B0D" w:rsidP="008D7B0D">
      <w:pPr>
        <w:spacing w:line="276" w:lineRule="auto"/>
        <w:rPr>
          <w:sz w:val="28"/>
          <w:szCs w:val="28"/>
        </w:rPr>
      </w:pPr>
    </w:p>
    <w:p w14:paraId="1F07D78A" w14:textId="77777777" w:rsidR="008D7B0D" w:rsidRPr="008D7B0D" w:rsidRDefault="008D7B0D" w:rsidP="008D7B0D">
      <w:pPr>
        <w:spacing w:line="276" w:lineRule="auto"/>
        <w:rPr>
          <w:sz w:val="28"/>
          <w:szCs w:val="28"/>
        </w:rPr>
      </w:pPr>
      <w:r w:rsidRPr="008D7B0D">
        <w:rPr>
          <w:sz w:val="28"/>
          <w:szCs w:val="28"/>
        </w:rPr>
        <w:t xml:space="preserve">За підсумками </w:t>
      </w:r>
      <w:proofErr w:type="spellStart"/>
      <w:r w:rsidRPr="008D7B0D">
        <w:rPr>
          <w:sz w:val="28"/>
          <w:szCs w:val="28"/>
        </w:rPr>
        <w:t>співзгаданостей</w:t>
      </w:r>
      <w:proofErr w:type="spellEnd"/>
      <w:r w:rsidRPr="008D7B0D">
        <w:rPr>
          <w:sz w:val="28"/>
          <w:szCs w:val="28"/>
        </w:rPr>
        <w:t xml:space="preserve"> і </w:t>
      </w:r>
      <w:proofErr w:type="spellStart"/>
      <w:r w:rsidRPr="008D7B0D">
        <w:rPr>
          <w:sz w:val="28"/>
          <w:szCs w:val="28"/>
        </w:rPr>
        <w:t>міжфазного</w:t>
      </w:r>
      <w:proofErr w:type="spellEnd"/>
      <w:r w:rsidRPr="008D7B0D">
        <w:rPr>
          <w:sz w:val="28"/>
          <w:szCs w:val="28"/>
        </w:rPr>
        <w:t xml:space="preserve"> аналізу запропоновано дві пояснювальні моделі:</w:t>
      </w:r>
    </w:p>
    <w:p w14:paraId="0AE49C02" w14:textId="77777777" w:rsidR="008D7B0D" w:rsidRPr="008D7B0D" w:rsidRDefault="008D7B0D" w:rsidP="008D7B0D">
      <w:pPr>
        <w:spacing w:line="276" w:lineRule="auto"/>
        <w:rPr>
          <w:sz w:val="28"/>
          <w:szCs w:val="28"/>
        </w:rPr>
      </w:pPr>
    </w:p>
    <w:p w14:paraId="7F41A827" w14:textId="7658EC30" w:rsidR="008D7B0D" w:rsidRPr="008D7B0D" w:rsidRDefault="008D7B0D" w:rsidP="008D7B0D">
      <w:pPr>
        <w:spacing w:line="276" w:lineRule="auto"/>
        <w:rPr>
          <w:sz w:val="28"/>
          <w:szCs w:val="28"/>
        </w:rPr>
      </w:pPr>
      <w:r w:rsidRPr="008D7B0D">
        <w:rPr>
          <w:sz w:val="28"/>
          <w:szCs w:val="28"/>
        </w:rPr>
        <w:t xml:space="preserve">Модель I </w:t>
      </w:r>
      <w:r>
        <w:rPr>
          <w:sz w:val="28"/>
          <w:szCs w:val="28"/>
        </w:rPr>
        <w:t>-</w:t>
      </w:r>
      <w:r w:rsidRPr="008D7B0D">
        <w:rPr>
          <w:sz w:val="28"/>
          <w:szCs w:val="28"/>
        </w:rPr>
        <w:t xml:space="preserve"> «Процедурний дефіцит»</w:t>
      </w:r>
    </w:p>
    <w:p w14:paraId="14DCDF8D" w14:textId="77777777" w:rsidR="008D7B0D" w:rsidRPr="008D7B0D" w:rsidRDefault="008D7B0D" w:rsidP="008D7B0D">
      <w:pPr>
        <w:spacing w:line="276" w:lineRule="auto"/>
        <w:rPr>
          <w:sz w:val="28"/>
          <w:szCs w:val="28"/>
        </w:rPr>
      </w:pPr>
    </w:p>
    <w:p w14:paraId="7878CF9A" w14:textId="77777777" w:rsidR="008D7B0D" w:rsidRPr="008D7B0D" w:rsidRDefault="008D7B0D" w:rsidP="008D7B0D">
      <w:pPr>
        <w:spacing w:line="276" w:lineRule="auto"/>
        <w:rPr>
          <w:sz w:val="28"/>
          <w:szCs w:val="28"/>
        </w:rPr>
      </w:pPr>
      <w:r w:rsidRPr="008D7B0D">
        <w:rPr>
          <w:sz w:val="28"/>
          <w:szCs w:val="28"/>
        </w:rPr>
        <w:t>Причина: відсутність уніфікованих реєстраційних процедур і форм.</w:t>
      </w:r>
    </w:p>
    <w:p w14:paraId="4DC14DAA" w14:textId="77777777" w:rsidR="008D7B0D" w:rsidRPr="008D7B0D" w:rsidRDefault="008D7B0D" w:rsidP="008D7B0D">
      <w:pPr>
        <w:spacing w:line="276" w:lineRule="auto"/>
        <w:rPr>
          <w:sz w:val="28"/>
          <w:szCs w:val="28"/>
        </w:rPr>
      </w:pPr>
      <w:r w:rsidRPr="008D7B0D">
        <w:rPr>
          <w:sz w:val="28"/>
          <w:szCs w:val="28"/>
        </w:rPr>
        <w:t>Механізм: неоднакове тлумачення процедур персоналом → нерівномірна ідентифікація потреб → неповні перенаправлення → незавершені кейси.</w:t>
      </w:r>
    </w:p>
    <w:p w14:paraId="0BCD633B" w14:textId="77777777" w:rsidR="008D7B0D" w:rsidRPr="008D7B0D" w:rsidRDefault="008D7B0D" w:rsidP="008D7B0D">
      <w:pPr>
        <w:spacing w:line="276" w:lineRule="auto"/>
        <w:rPr>
          <w:sz w:val="28"/>
          <w:szCs w:val="28"/>
        </w:rPr>
      </w:pPr>
      <w:r w:rsidRPr="008D7B0D">
        <w:rPr>
          <w:sz w:val="28"/>
          <w:szCs w:val="28"/>
        </w:rPr>
        <w:t>Імплікація: розробити й впровадити уніфіковані форми реєстрації, стандартизовані скринінги вразливості та процедуру підтвердження виконання перенаправлення.</w:t>
      </w:r>
    </w:p>
    <w:p w14:paraId="61647432" w14:textId="77777777" w:rsidR="008D7B0D" w:rsidRPr="008D7B0D" w:rsidRDefault="008D7B0D" w:rsidP="008D7B0D">
      <w:pPr>
        <w:spacing w:line="276" w:lineRule="auto"/>
        <w:rPr>
          <w:sz w:val="28"/>
          <w:szCs w:val="28"/>
        </w:rPr>
      </w:pPr>
    </w:p>
    <w:p w14:paraId="65CA90FB" w14:textId="16334550" w:rsidR="008D7B0D" w:rsidRPr="008D7B0D" w:rsidRDefault="008D7B0D" w:rsidP="008D7B0D">
      <w:pPr>
        <w:spacing w:line="276" w:lineRule="auto"/>
        <w:rPr>
          <w:sz w:val="28"/>
          <w:szCs w:val="28"/>
        </w:rPr>
      </w:pPr>
      <w:r w:rsidRPr="008D7B0D">
        <w:rPr>
          <w:sz w:val="28"/>
          <w:szCs w:val="28"/>
        </w:rPr>
        <w:t xml:space="preserve">Модель II </w:t>
      </w:r>
      <w:r>
        <w:rPr>
          <w:sz w:val="28"/>
          <w:szCs w:val="28"/>
        </w:rPr>
        <w:t>-</w:t>
      </w:r>
      <w:r w:rsidRPr="008D7B0D">
        <w:rPr>
          <w:sz w:val="28"/>
          <w:szCs w:val="28"/>
        </w:rPr>
        <w:t xml:space="preserve"> «</w:t>
      </w:r>
      <w:proofErr w:type="spellStart"/>
      <w:r w:rsidRPr="008D7B0D">
        <w:rPr>
          <w:sz w:val="28"/>
          <w:szCs w:val="28"/>
        </w:rPr>
        <w:t>Інфраструктурно</w:t>
      </w:r>
      <w:proofErr w:type="spellEnd"/>
      <w:r w:rsidRPr="008D7B0D">
        <w:rPr>
          <w:sz w:val="28"/>
          <w:szCs w:val="28"/>
        </w:rPr>
        <w:t>-координаційний дефіцит»</w:t>
      </w:r>
    </w:p>
    <w:p w14:paraId="2728DFD3" w14:textId="77777777" w:rsidR="008D7B0D" w:rsidRPr="008D7B0D" w:rsidRDefault="008D7B0D" w:rsidP="008D7B0D">
      <w:pPr>
        <w:spacing w:line="276" w:lineRule="auto"/>
        <w:rPr>
          <w:sz w:val="28"/>
          <w:szCs w:val="28"/>
        </w:rPr>
      </w:pPr>
    </w:p>
    <w:p w14:paraId="661F780B" w14:textId="77777777" w:rsidR="008D7B0D" w:rsidRPr="008D7B0D" w:rsidRDefault="008D7B0D" w:rsidP="008D7B0D">
      <w:pPr>
        <w:spacing w:line="276" w:lineRule="auto"/>
        <w:rPr>
          <w:sz w:val="28"/>
          <w:szCs w:val="28"/>
        </w:rPr>
      </w:pPr>
      <w:r w:rsidRPr="008D7B0D">
        <w:rPr>
          <w:sz w:val="28"/>
          <w:szCs w:val="28"/>
        </w:rPr>
        <w:t xml:space="preserve">Причина: недостатнє матеріальне забезпечення центрів і слабка </w:t>
      </w:r>
      <w:proofErr w:type="spellStart"/>
      <w:r w:rsidRPr="008D7B0D">
        <w:rPr>
          <w:sz w:val="28"/>
          <w:szCs w:val="28"/>
        </w:rPr>
        <w:t>міжсекторна</w:t>
      </w:r>
      <w:proofErr w:type="spellEnd"/>
      <w:r w:rsidRPr="008D7B0D">
        <w:rPr>
          <w:sz w:val="28"/>
          <w:szCs w:val="28"/>
        </w:rPr>
        <w:t xml:space="preserve"> координація.</w:t>
      </w:r>
    </w:p>
    <w:p w14:paraId="604D2865" w14:textId="77777777" w:rsidR="008D7B0D" w:rsidRPr="008D7B0D" w:rsidRDefault="008D7B0D" w:rsidP="008D7B0D">
      <w:pPr>
        <w:spacing w:line="276" w:lineRule="auto"/>
        <w:rPr>
          <w:sz w:val="28"/>
          <w:szCs w:val="28"/>
        </w:rPr>
      </w:pPr>
      <w:r w:rsidRPr="008D7B0D">
        <w:rPr>
          <w:sz w:val="28"/>
          <w:szCs w:val="28"/>
        </w:rPr>
        <w:t>Механізм: брак фізичних ресурсів (санітарії, приватні зони, інклюзивні простори) та відсутність формалізованих угод з постачальниками послуг → неможливість забезпечити повноту мінімального пакета.</w:t>
      </w:r>
    </w:p>
    <w:p w14:paraId="61D01E5A" w14:textId="4454A653" w:rsidR="008D7B0D" w:rsidRPr="008D7B0D" w:rsidRDefault="008D7B0D" w:rsidP="008D7B0D">
      <w:pPr>
        <w:spacing w:line="276" w:lineRule="auto"/>
        <w:rPr>
          <w:sz w:val="28"/>
          <w:szCs w:val="28"/>
        </w:rPr>
      </w:pPr>
      <w:r w:rsidRPr="008D7B0D">
        <w:rPr>
          <w:sz w:val="28"/>
          <w:szCs w:val="28"/>
        </w:rPr>
        <w:t xml:space="preserve">Імплікація: одночасні інвестиції в інфраструктуру та створення мережі </w:t>
      </w:r>
      <w:proofErr w:type="spellStart"/>
      <w:r w:rsidRPr="008D7B0D">
        <w:rPr>
          <w:sz w:val="28"/>
          <w:szCs w:val="28"/>
        </w:rPr>
        <w:t>партнерств</w:t>
      </w:r>
      <w:proofErr w:type="spellEnd"/>
      <w:r w:rsidRPr="008D7B0D">
        <w:rPr>
          <w:sz w:val="28"/>
          <w:szCs w:val="28"/>
        </w:rPr>
        <w:t xml:space="preserve"> з чіткими угодами про перенаправлення.</w:t>
      </w:r>
    </w:p>
    <w:p w14:paraId="082953D7" w14:textId="77777777" w:rsidR="008D7B0D" w:rsidRPr="008D7B0D" w:rsidRDefault="008D7B0D" w:rsidP="008D7B0D">
      <w:pPr>
        <w:spacing w:line="276" w:lineRule="auto"/>
        <w:rPr>
          <w:sz w:val="28"/>
          <w:szCs w:val="28"/>
        </w:rPr>
      </w:pPr>
    </w:p>
    <w:p w14:paraId="34821D39" w14:textId="77777777" w:rsidR="008D7B0D" w:rsidRPr="008D7B0D" w:rsidRDefault="008D7B0D" w:rsidP="008D7B0D">
      <w:pPr>
        <w:spacing w:line="276" w:lineRule="auto"/>
        <w:rPr>
          <w:sz w:val="28"/>
          <w:szCs w:val="28"/>
        </w:rPr>
      </w:pPr>
      <w:r w:rsidRPr="008D7B0D">
        <w:rPr>
          <w:sz w:val="28"/>
          <w:szCs w:val="28"/>
        </w:rPr>
        <w:t xml:space="preserve">3.3.6. </w:t>
      </w:r>
      <w:proofErr w:type="spellStart"/>
      <w:r w:rsidRPr="008D7B0D">
        <w:rPr>
          <w:sz w:val="28"/>
          <w:szCs w:val="28"/>
        </w:rPr>
        <w:t>Пріоритизація</w:t>
      </w:r>
      <w:proofErr w:type="spellEnd"/>
      <w:r w:rsidRPr="008D7B0D">
        <w:rPr>
          <w:sz w:val="28"/>
          <w:szCs w:val="28"/>
        </w:rPr>
        <w:t xml:space="preserve"> та ключові показники ефективності</w:t>
      </w:r>
    </w:p>
    <w:p w14:paraId="7EA7DD6F" w14:textId="77777777" w:rsidR="008D7B0D" w:rsidRPr="008D7B0D" w:rsidRDefault="008D7B0D" w:rsidP="008D7B0D">
      <w:pPr>
        <w:spacing w:line="276" w:lineRule="auto"/>
        <w:rPr>
          <w:sz w:val="28"/>
          <w:szCs w:val="28"/>
        </w:rPr>
      </w:pPr>
    </w:p>
    <w:p w14:paraId="08E6E157" w14:textId="77777777" w:rsidR="008D7B0D" w:rsidRPr="008D7B0D" w:rsidRDefault="008D7B0D" w:rsidP="008D7B0D">
      <w:pPr>
        <w:spacing w:line="276" w:lineRule="auto"/>
        <w:rPr>
          <w:sz w:val="28"/>
          <w:szCs w:val="28"/>
        </w:rPr>
      </w:pPr>
      <w:r w:rsidRPr="008D7B0D">
        <w:rPr>
          <w:sz w:val="28"/>
          <w:szCs w:val="28"/>
        </w:rPr>
        <w:t xml:space="preserve">На підставі виявлених механізмів пропоную пріоритети </w:t>
      </w:r>
      <w:proofErr w:type="spellStart"/>
      <w:r w:rsidRPr="008D7B0D">
        <w:rPr>
          <w:sz w:val="28"/>
          <w:szCs w:val="28"/>
        </w:rPr>
        <w:t>втручань</w:t>
      </w:r>
      <w:proofErr w:type="spellEnd"/>
      <w:r w:rsidRPr="008D7B0D">
        <w:rPr>
          <w:sz w:val="28"/>
          <w:szCs w:val="28"/>
        </w:rPr>
        <w:t xml:space="preserve"> і мінімальний набір показників.</w:t>
      </w:r>
    </w:p>
    <w:p w14:paraId="1C5F7D61" w14:textId="77777777" w:rsidR="008D7B0D" w:rsidRPr="008D7B0D" w:rsidRDefault="008D7B0D" w:rsidP="008D7B0D">
      <w:pPr>
        <w:spacing w:line="276" w:lineRule="auto"/>
        <w:rPr>
          <w:sz w:val="28"/>
          <w:szCs w:val="28"/>
        </w:rPr>
      </w:pPr>
    </w:p>
    <w:p w14:paraId="1659C39D" w14:textId="77777777" w:rsidR="008D7B0D" w:rsidRPr="008D7B0D" w:rsidRDefault="008D7B0D" w:rsidP="008D7B0D">
      <w:pPr>
        <w:spacing w:line="276" w:lineRule="auto"/>
        <w:rPr>
          <w:sz w:val="28"/>
          <w:szCs w:val="28"/>
        </w:rPr>
      </w:pPr>
      <w:r w:rsidRPr="008D7B0D">
        <w:rPr>
          <w:sz w:val="28"/>
          <w:szCs w:val="28"/>
        </w:rPr>
        <w:t>Пріоритети дій</w:t>
      </w:r>
    </w:p>
    <w:p w14:paraId="0CB21B8E"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 xml:space="preserve">Короткострокові (0–3 місяці): уніфікація реєстраційних форм; запровадження протоколу «підтвердження завершення перенаправлення»; мінімальні стандарти санітарії й належної </w:t>
      </w:r>
      <w:proofErr w:type="spellStart"/>
      <w:r w:rsidRPr="008D7B0D">
        <w:rPr>
          <w:sz w:val="28"/>
          <w:szCs w:val="28"/>
        </w:rPr>
        <w:t>приватності</w:t>
      </w:r>
      <w:proofErr w:type="spellEnd"/>
      <w:r w:rsidRPr="008D7B0D">
        <w:rPr>
          <w:sz w:val="28"/>
          <w:szCs w:val="28"/>
        </w:rPr>
        <w:t>.</w:t>
      </w:r>
    </w:p>
    <w:p w14:paraId="27D7CEEF" w14:textId="77777777" w:rsidR="008D7B0D" w:rsidRPr="008D7B0D" w:rsidRDefault="008D7B0D" w:rsidP="008D7B0D">
      <w:pPr>
        <w:spacing w:line="276" w:lineRule="auto"/>
        <w:rPr>
          <w:sz w:val="28"/>
          <w:szCs w:val="28"/>
        </w:rPr>
      </w:pPr>
      <w:r w:rsidRPr="008D7B0D">
        <w:rPr>
          <w:sz w:val="28"/>
          <w:szCs w:val="28"/>
        </w:rPr>
        <w:lastRenderedPageBreak/>
        <w:tab/>
        <w:t>•</w:t>
      </w:r>
      <w:r w:rsidRPr="008D7B0D">
        <w:rPr>
          <w:sz w:val="28"/>
          <w:szCs w:val="28"/>
        </w:rPr>
        <w:tab/>
        <w:t>Середньострокові (3–9 місяців): формалізація угод про перенаправлення з місцевими закладами охорони здоров’я і соціальними службами; навчання персоналу з питань захисту та запобігання експлуатації.</w:t>
      </w:r>
    </w:p>
    <w:p w14:paraId="1D2A7115" w14:textId="77777777" w:rsidR="008D7B0D" w:rsidRDefault="008D7B0D" w:rsidP="008D7B0D">
      <w:pPr>
        <w:spacing w:line="276" w:lineRule="auto"/>
        <w:rPr>
          <w:sz w:val="28"/>
          <w:szCs w:val="28"/>
        </w:rPr>
      </w:pPr>
      <w:r w:rsidRPr="008D7B0D">
        <w:rPr>
          <w:sz w:val="28"/>
          <w:szCs w:val="28"/>
        </w:rPr>
        <w:tab/>
        <w:t>•</w:t>
      </w:r>
      <w:r w:rsidRPr="008D7B0D">
        <w:rPr>
          <w:sz w:val="28"/>
          <w:szCs w:val="28"/>
        </w:rPr>
        <w:tab/>
        <w:t>Довгострокові (&gt;9 місяців): інфраструктурні інвестиції для створення інклюзивних просторів; інтеграція даних з національними реєстрами; розвиток програм для адаптації у громадах.</w:t>
      </w:r>
    </w:p>
    <w:p w14:paraId="0B830453" w14:textId="131692D6" w:rsidR="008D7B0D" w:rsidRDefault="008D7B0D" w:rsidP="008D7B0D">
      <w:pPr>
        <w:spacing w:line="276" w:lineRule="auto"/>
        <w:rPr>
          <w:sz w:val="28"/>
          <w:szCs w:val="28"/>
        </w:rPr>
      </w:pPr>
    </w:p>
    <w:p w14:paraId="4336FBFC" w14:textId="79F98441" w:rsidR="008D7B0D" w:rsidRDefault="008D7B0D" w:rsidP="008D7B0D">
      <w:pPr>
        <w:spacing w:line="276" w:lineRule="auto"/>
        <w:rPr>
          <w:sz w:val="28"/>
          <w:szCs w:val="28"/>
        </w:rPr>
      </w:pPr>
      <w:r>
        <w:rPr>
          <w:sz w:val="28"/>
          <w:szCs w:val="28"/>
        </w:rPr>
        <w:t>Табл.3.3.2</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96"/>
        <w:gridCol w:w="2909"/>
        <w:gridCol w:w="3911"/>
      </w:tblGrid>
      <w:tr w:rsidR="008D7B0D" w:rsidRPr="008D7B0D" w14:paraId="19B22754" w14:textId="77777777" w:rsidTr="008D7B0D">
        <w:trPr>
          <w:tblHeade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4C20AC5" w14:textId="74AC9795" w:rsidR="008D7B0D" w:rsidRPr="008D7B0D" w:rsidRDefault="008D7B0D" w:rsidP="008D7B0D">
            <w:pPr>
              <w:spacing w:line="240" w:lineRule="auto"/>
              <w:jc w:val="left"/>
              <w:rPr>
                <w:b/>
                <w:bCs/>
                <w:sz w:val="24"/>
                <w:szCs w:val="24"/>
                <w:lang w:val="ru-UA"/>
              </w:rPr>
            </w:pPr>
            <w:r w:rsidRPr="008D7B0D">
              <w:rPr>
                <w:b/>
                <w:bCs/>
                <w:sz w:val="24"/>
                <w:szCs w:val="24"/>
                <w:lang w:val="ru-UA"/>
              </w:rPr>
              <w:t>Термін</w:t>
            </w:r>
          </w:p>
        </w:tc>
        <w:tc>
          <w:tcPr>
            <w:tcW w:w="0" w:type="auto"/>
            <w:tcBorders>
              <w:top w:val="single" w:sz="4" w:space="0" w:color="auto"/>
              <w:left w:val="single" w:sz="4" w:space="0" w:color="auto"/>
              <w:bottom w:val="single" w:sz="4" w:space="0" w:color="auto"/>
              <w:right w:val="single" w:sz="4" w:space="0" w:color="auto"/>
            </w:tcBorders>
            <w:vAlign w:val="center"/>
            <w:hideMark/>
          </w:tcPr>
          <w:p w14:paraId="032414BE" w14:textId="77777777" w:rsidR="008D7B0D" w:rsidRPr="008D7B0D" w:rsidRDefault="008D7B0D" w:rsidP="008D7B0D">
            <w:pPr>
              <w:spacing w:before="100" w:beforeAutospacing="1" w:after="100" w:afterAutospacing="1" w:line="240" w:lineRule="auto"/>
              <w:jc w:val="center"/>
              <w:rPr>
                <w:b/>
                <w:bCs/>
                <w:sz w:val="24"/>
                <w:szCs w:val="24"/>
                <w:lang w:val="ru-UA"/>
              </w:rPr>
            </w:pPr>
            <w:r w:rsidRPr="008D7B0D">
              <w:rPr>
                <w:b/>
                <w:bCs/>
                <w:sz w:val="24"/>
                <w:szCs w:val="24"/>
                <w:lang w:val="ru-UA"/>
              </w:rPr>
              <w:t>Ціль</w:t>
            </w:r>
          </w:p>
        </w:tc>
        <w:tc>
          <w:tcPr>
            <w:tcW w:w="0" w:type="auto"/>
            <w:tcBorders>
              <w:top w:val="single" w:sz="4" w:space="0" w:color="auto"/>
              <w:left w:val="single" w:sz="4" w:space="0" w:color="auto"/>
              <w:bottom w:val="single" w:sz="4" w:space="0" w:color="auto"/>
              <w:right w:val="single" w:sz="4" w:space="0" w:color="auto"/>
            </w:tcBorders>
            <w:vAlign w:val="center"/>
            <w:hideMark/>
          </w:tcPr>
          <w:p w14:paraId="1A3C6317" w14:textId="77777777" w:rsidR="008D7B0D" w:rsidRPr="008D7B0D" w:rsidRDefault="008D7B0D" w:rsidP="008D7B0D">
            <w:pPr>
              <w:spacing w:before="100" w:beforeAutospacing="1" w:after="100" w:afterAutospacing="1" w:line="240" w:lineRule="auto"/>
              <w:jc w:val="center"/>
              <w:rPr>
                <w:b/>
                <w:bCs/>
                <w:sz w:val="24"/>
                <w:szCs w:val="24"/>
                <w:lang w:val="ru-UA"/>
              </w:rPr>
            </w:pPr>
            <w:r w:rsidRPr="008D7B0D">
              <w:rPr>
                <w:b/>
                <w:bCs/>
                <w:sz w:val="24"/>
                <w:szCs w:val="24"/>
                <w:lang w:val="ru-UA"/>
              </w:rPr>
              <w:t>Конкретні заходи</w:t>
            </w:r>
          </w:p>
        </w:tc>
      </w:tr>
      <w:tr w:rsidR="008D7B0D" w:rsidRPr="008D7B0D" w14:paraId="55F18193" w14:textId="77777777" w:rsidTr="008D7B0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29B6DF2"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Короткостроково (0–3 міс.)</w:t>
            </w:r>
          </w:p>
        </w:tc>
        <w:tc>
          <w:tcPr>
            <w:tcW w:w="0" w:type="auto"/>
            <w:tcBorders>
              <w:top w:val="single" w:sz="4" w:space="0" w:color="auto"/>
              <w:left w:val="single" w:sz="4" w:space="0" w:color="auto"/>
              <w:bottom w:val="single" w:sz="4" w:space="0" w:color="auto"/>
              <w:right w:val="single" w:sz="4" w:space="0" w:color="auto"/>
            </w:tcBorders>
            <w:vAlign w:val="center"/>
            <w:hideMark/>
          </w:tcPr>
          <w:p w14:paraId="7FD5D219"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Забезпечити коректну подачу інформації та швидку ідентифікацію потреб</w:t>
            </w:r>
          </w:p>
        </w:tc>
        <w:tc>
          <w:tcPr>
            <w:tcW w:w="0" w:type="auto"/>
            <w:tcBorders>
              <w:top w:val="single" w:sz="4" w:space="0" w:color="auto"/>
              <w:left w:val="single" w:sz="4" w:space="0" w:color="auto"/>
              <w:bottom w:val="single" w:sz="4" w:space="0" w:color="auto"/>
              <w:right w:val="single" w:sz="4" w:space="0" w:color="auto"/>
            </w:tcBorders>
            <w:vAlign w:val="center"/>
            <w:hideMark/>
          </w:tcPr>
          <w:p w14:paraId="48EA0C95"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Уніфікувати реєстраційну форму; впровадити інструкцію інформування; запровадити «24-годинне» правило реєстрації</w:t>
            </w:r>
          </w:p>
        </w:tc>
      </w:tr>
      <w:tr w:rsidR="008D7B0D" w:rsidRPr="008D7B0D" w14:paraId="0DAA80D8" w14:textId="77777777" w:rsidTr="008D7B0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2D04CF40"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Середньостроково (3–9 міс.)</w:t>
            </w:r>
          </w:p>
        </w:tc>
        <w:tc>
          <w:tcPr>
            <w:tcW w:w="0" w:type="auto"/>
            <w:tcBorders>
              <w:top w:val="single" w:sz="4" w:space="0" w:color="auto"/>
              <w:left w:val="single" w:sz="4" w:space="0" w:color="auto"/>
              <w:bottom w:val="single" w:sz="4" w:space="0" w:color="auto"/>
              <w:right w:val="single" w:sz="4" w:space="0" w:color="auto"/>
            </w:tcBorders>
            <w:vAlign w:val="center"/>
            <w:hideMark/>
          </w:tcPr>
          <w:p w14:paraId="2C8FA4D7"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Підвищити якість інфраструктури та завершеність реферальних ланцюгів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DB396BD"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Мінімальні стандарти WASH; формалізація угод реферальних партнерів; система підтвердження завершення кейсу</w:t>
            </w:r>
          </w:p>
        </w:tc>
      </w:tr>
      <w:tr w:rsidR="008D7B0D" w:rsidRPr="008D7B0D" w14:paraId="1DEF400A" w14:textId="77777777" w:rsidTr="008D7B0D">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14:paraId="611D8A13"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Довгостроково (&gt;9 міс.)</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6F02A"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Забезпечити сталу інтеграцію та доступність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85F5D" w14:textId="77777777" w:rsidR="008D7B0D" w:rsidRPr="008D7B0D" w:rsidRDefault="008D7B0D" w:rsidP="008D7B0D">
            <w:pPr>
              <w:spacing w:before="100" w:beforeAutospacing="1" w:after="100" w:afterAutospacing="1" w:line="240" w:lineRule="auto"/>
              <w:jc w:val="left"/>
              <w:rPr>
                <w:sz w:val="24"/>
                <w:szCs w:val="24"/>
                <w:lang w:val="ru-UA"/>
              </w:rPr>
            </w:pPr>
            <w:r w:rsidRPr="008D7B0D">
              <w:rPr>
                <w:sz w:val="24"/>
                <w:szCs w:val="24"/>
                <w:lang w:val="ru-UA"/>
              </w:rPr>
              <w:t>Інтеграція даних із держреєстрами; інфраструктурні проекти; кадровий розвиток</w:t>
            </w:r>
          </w:p>
        </w:tc>
      </w:tr>
    </w:tbl>
    <w:p w14:paraId="21161159" w14:textId="77777777" w:rsidR="008D7B0D" w:rsidRPr="008D7B0D" w:rsidRDefault="008D7B0D" w:rsidP="008D7B0D">
      <w:pPr>
        <w:spacing w:line="276" w:lineRule="auto"/>
        <w:rPr>
          <w:sz w:val="28"/>
          <w:szCs w:val="28"/>
        </w:rPr>
      </w:pPr>
    </w:p>
    <w:p w14:paraId="0040E655" w14:textId="77777777" w:rsidR="008D7B0D" w:rsidRPr="008D7B0D" w:rsidRDefault="008D7B0D" w:rsidP="008D7B0D">
      <w:pPr>
        <w:spacing w:line="276" w:lineRule="auto"/>
        <w:rPr>
          <w:sz w:val="28"/>
          <w:szCs w:val="28"/>
        </w:rPr>
      </w:pPr>
    </w:p>
    <w:p w14:paraId="54D10B17" w14:textId="77777777" w:rsidR="008D7B0D" w:rsidRPr="008D7B0D" w:rsidRDefault="008D7B0D" w:rsidP="008D7B0D">
      <w:pPr>
        <w:spacing w:line="276" w:lineRule="auto"/>
        <w:rPr>
          <w:sz w:val="28"/>
          <w:szCs w:val="28"/>
        </w:rPr>
      </w:pPr>
      <w:r w:rsidRPr="008D7B0D">
        <w:rPr>
          <w:sz w:val="28"/>
          <w:szCs w:val="28"/>
        </w:rPr>
        <w:t>Пропоновані KPI (мінімум для моніторингу)</w:t>
      </w:r>
    </w:p>
    <w:p w14:paraId="72A364BE" w14:textId="77777777" w:rsidR="008D7B0D" w:rsidRPr="008D7B0D" w:rsidRDefault="008D7B0D" w:rsidP="008D7B0D">
      <w:pPr>
        <w:spacing w:line="276" w:lineRule="auto"/>
        <w:rPr>
          <w:sz w:val="28"/>
          <w:szCs w:val="28"/>
        </w:rPr>
      </w:pPr>
      <w:r w:rsidRPr="008D7B0D">
        <w:rPr>
          <w:sz w:val="28"/>
          <w:szCs w:val="28"/>
        </w:rPr>
        <w:tab/>
        <w:t>1.</w:t>
      </w:r>
      <w:r w:rsidRPr="008D7B0D">
        <w:rPr>
          <w:sz w:val="28"/>
          <w:szCs w:val="28"/>
        </w:rPr>
        <w:tab/>
        <w:t>Частка прибулих, зареєстрованих протягом 24 годин від прибуття (ціль: ≥ 90 %).</w:t>
      </w:r>
    </w:p>
    <w:p w14:paraId="015CD120" w14:textId="77777777" w:rsidR="008D7B0D" w:rsidRPr="008D7B0D" w:rsidRDefault="008D7B0D" w:rsidP="008D7B0D">
      <w:pPr>
        <w:spacing w:line="276" w:lineRule="auto"/>
        <w:rPr>
          <w:sz w:val="28"/>
          <w:szCs w:val="28"/>
        </w:rPr>
      </w:pPr>
      <w:r w:rsidRPr="008D7B0D">
        <w:rPr>
          <w:sz w:val="28"/>
          <w:szCs w:val="28"/>
        </w:rPr>
        <w:tab/>
        <w:t>2.</w:t>
      </w:r>
      <w:r w:rsidRPr="008D7B0D">
        <w:rPr>
          <w:sz w:val="28"/>
          <w:szCs w:val="28"/>
        </w:rPr>
        <w:tab/>
        <w:t>Частка перенаправлень, підтверджених як завершені (ціль: ≥ 80 %).</w:t>
      </w:r>
    </w:p>
    <w:p w14:paraId="60CF7517" w14:textId="77777777" w:rsidR="008D7B0D" w:rsidRPr="008D7B0D" w:rsidRDefault="008D7B0D" w:rsidP="008D7B0D">
      <w:pPr>
        <w:spacing w:line="276" w:lineRule="auto"/>
        <w:rPr>
          <w:sz w:val="28"/>
          <w:szCs w:val="28"/>
        </w:rPr>
      </w:pPr>
      <w:r w:rsidRPr="008D7B0D">
        <w:rPr>
          <w:sz w:val="28"/>
          <w:szCs w:val="28"/>
        </w:rPr>
        <w:tab/>
        <w:t>3.</w:t>
      </w:r>
      <w:r w:rsidRPr="008D7B0D">
        <w:rPr>
          <w:sz w:val="28"/>
          <w:szCs w:val="28"/>
        </w:rPr>
        <w:tab/>
        <w:t>Частка центрів, що відповідають мінімальним вимогам санітарії та наявності приватних зон (ціль: ≥ 75 %).</w:t>
      </w:r>
    </w:p>
    <w:p w14:paraId="11CBE39A" w14:textId="77777777" w:rsidR="008D7B0D" w:rsidRPr="008D7B0D" w:rsidRDefault="008D7B0D" w:rsidP="008D7B0D">
      <w:pPr>
        <w:spacing w:line="276" w:lineRule="auto"/>
        <w:rPr>
          <w:sz w:val="28"/>
          <w:szCs w:val="28"/>
        </w:rPr>
      </w:pPr>
      <w:r w:rsidRPr="008D7B0D">
        <w:rPr>
          <w:sz w:val="28"/>
          <w:szCs w:val="28"/>
        </w:rPr>
        <w:tab/>
        <w:t>4.</w:t>
      </w:r>
      <w:r w:rsidRPr="008D7B0D">
        <w:rPr>
          <w:sz w:val="28"/>
          <w:szCs w:val="28"/>
        </w:rPr>
        <w:tab/>
        <w:t>Частка осіб з обмеженою мобільністю, які отримали адаптовані послуги (ціль: відповідно до частки у популяції).</w:t>
      </w:r>
    </w:p>
    <w:p w14:paraId="0186D7CF" w14:textId="2EF3366B" w:rsidR="008D7B0D" w:rsidRPr="008D7B0D" w:rsidRDefault="008D7B0D" w:rsidP="008D7B0D">
      <w:pPr>
        <w:spacing w:line="276" w:lineRule="auto"/>
        <w:rPr>
          <w:sz w:val="28"/>
          <w:szCs w:val="28"/>
        </w:rPr>
      </w:pPr>
      <w:r w:rsidRPr="008D7B0D">
        <w:rPr>
          <w:sz w:val="28"/>
          <w:szCs w:val="28"/>
        </w:rPr>
        <w:tab/>
        <w:t>5.</w:t>
      </w:r>
      <w:r w:rsidRPr="008D7B0D">
        <w:rPr>
          <w:sz w:val="28"/>
          <w:szCs w:val="28"/>
        </w:rPr>
        <w:tab/>
        <w:t xml:space="preserve">Кількість зареєстрованих інцидентів </w:t>
      </w:r>
      <w:proofErr w:type="spellStart"/>
      <w:r w:rsidRPr="008D7B0D">
        <w:rPr>
          <w:sz w:val="28"/>
          <w:szCs w:val="28"/>
        </w:rPr>
        <w:t>гендерно</w:t>
      </w:r>
      <w:proofErr w:type="spellEnd"/>
      <w:r w:rsidRPr="008D7B0D">
        <w:rPr>
          <w:sz w:val="28"/>
          <w:szCs w:val="28"/>
        </w:rPr>
        <w:t>-зумовленого насильства з підтвердженим наданням допомоги (для моніторингу безпечності середовища).</w:t>
      </w:r>
    </w:p>
    <w:p w14:paraId="1D602324" w14:textId="77777777" w:rsidR="008D7B0D" w:rsidRPr="008D7B0D" w:rsidRDefault="008D7B0D" w:rsidP="008D7B0D">
      <w:pPr>
        <w:spacing w:line="276" w:lineRule="auto"/>
        <w:rPr>
          <w:sz w:val="28"/>
          <w:szCs w:val="28"/>
        </w:rPr>
      </w:pPr>
    </w:p>
    <w:p w14:paraId="0C30CB40" w14:textId="704B42B9" w:rsidR="008D7B0D" w:rsidRPr="008D7B0D" w:rsidRDefault="008D7B0D" w:rsidP="008D7B0D">
      <w:pPr>
        <w:spacing w:line="276" w:lineRule="auto"/>
        <w:rPr>
          <w:sz w:val="28"/>
          <w:szCs w:val="28"/>
        </w:rPr>
      </w:pPr>
      <w:r w:rsidRPr="008D7B0D">
        <w:rPr>
          <w:sz w:val="28"/>
          <w:szCs w:val="28"/>
        </w:rPr>
        <w:t>3.3.</w:t>
      </w:r>
      <w:r>
        <w:rPr>
          <w:sz w:val="28"/>
          <w:szCs w:val="28"/>
        </w:rPr>
        <w:t>7</w:t>
      </w:r>
      <w:r w:rsidRPr="008D7B0D">
        <w:rPr>
          <w:sz w:val="28"/>
          <w:szCs w:val="28"/>
        </w:rPr>
        <w:t>. Обмеження аналізу та рекомендації щодо верифікації</w:t>
      </w:r>
    </w:p>
    <w:p w14:paraId="46F203B2"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t xml:space="preserve">Результати базуються на якісному кодуванні; частотний аналіз відображає наявну вибірку і може піддаватися впливу нерівномірного </w:t>
      </w:r>
      <w:r w:rsidRPr="008D7B0D">
        <w:rPr>
          <w:sz w:val="28"/>
          <w:szCs w:val="28"/>
        </w:rPr>
        <w:lastRenderedPageBreak/>
        <w:t xml:space="preserve">кодування. Рекомендовано виконати </w:t>
      </w:r>
      <w:proofErr w:type="spellStart"/>
      <w:r w:rsidRPr="008D7B0D">
        <w:rPr>
          <w:sz w:val="28"/>
          <w:szCs w:val="28"/>
        </w:rPr>
        <w:t>двокодовий</w:t>
      </w:r>
      <w:proofErr w:type="spellEnd"/>
      <w:r w:rsidRPr="008D7B0D">
        <w:rPr>
          <w:sz w:val="28"/>
          <w:szCs w:val="28"/>
        </w:rPr>
        <w:t xml:space="preserve"> перегляд 10–20 % сегментів для оцінки </w:t>
      </w:r>
      <w:proofErr w:type="spellStart"/>
      <w:r w:rsidRPr="008D7B0D">
        <w:rPr>
          <w:sz w:val="28"/>
          <w:szCs w:val="28"/>
        </w:rPr>
        <w:t>міжкодерної</w:t>
      </w:r>
      <w:proofErr w:type="spellEnd"/>
      <w:r w:rsidRPr="008D7B0D">
        <w:rPr>
          <w:sz w:val="28"/>
          <w:szCs w:val="28"/>
        </w:rPr>
        <w:t xml:space="preserve"> надійності.</w:t>
      </w:r>
    </w:p>
    <w:p w14:paraId="4D8490A7" w14:textId="77777777" w:rsidR="008D7B0D" w:rsidRPr="008D7B0D" w:rsidRDefault="008D7B0D" w:rsidP="008D7B0D">
      <w:pPr>
        <w:spacing w:line="276" w:lineRule="auto"/>
        <w:rPr>
          <w:sz w:val="28"/>
          <w:szCs w:val="28"/>
        </w:rPr>
      </w:pPr>
      <w:r w:rsidRPr="008D7B0D">
        <w:rPr>
          <w:sz w:val="28"/>
          <w:szCs w:val="28"/>
        </w:rPr>
        <w:tab/>
        <w:t>•</w:t>
      </w:r>
      <w:r w:rsidRPr="008D7B0D">
        <w:rPr>
          <w:sz w:val="28"/>
          <w:szCs w:val="28"/>
        </w:rPr>
        <w:tab/>
      </w:r>
      <w:proofErr w:type="spellStart"/>
      <w:r w:rsidRPr="008D7B0D">
        <w:rPr>
          <w:sz w:val="28"/>
          <w:szCs w:val="28"/>
        </w:rPr>
        <w:t>Співзгаданостний</w:t>
      </w:r>
      <w:proofErr w:type="spellEnd"/>
      <w:r w:rsidRPr="008D7B0D">
        <w:rPr>
          <w:sz w:val="28"/>
          <w:szCs w:val="28"/>
        </w:rPr>
        <w:t xml:space="preserve"> аналіз виявляє кореляції, а не причинно-наслідкові зв’язки; для остаточного встановлення причинності потрібні часові дані або контрольні дослідження.</w:t>
      </w:r>
    </w:p>
    <w:p w14:paraId="13A7914B" w14:textId="124BA613" w:rsidR="008D7B0D" w:rsidRPr="008D7B0D" w:rsidRDefault="008D7B0D" w:rsidP="008D7B0D">
      <w:pPr>
        <w:spacing w:line="276" w:lineRule="auto"/>
        <w:rPr>
          <w:sz w:val="28"/>
          <w:szCs w:val="28"/>
        </w:rPr>
      </w:pPr>
      <w:r w:rsidRPr="008D7B0D">
        <w:rPr>
          <w:sz w:val="28"/>
          <w:szCs w:val="28"/>
        </w:rPr>
        <w:tab/>
        <w:t>•</w:t>
      </w:r>
      <w:r w:rsidRPr="008D7B0D">
        <w:rPr>
          <w:sz w:val="28"/>
          <w:szCs w:val="28"/>
        </w:rPr>
        <w:tab/>
        <w:t>Для подальшої деталізації варто додати регіональний розріз (за областями) і порівняти моделі роботи центрів у різних контекстах.</w:t>
      </w:r>
    </w:p>
    <w:p w14:paraId="1E7DAC56" w14:textId="77777777" w:rsidR="008D7B0D" w:rsidRPr="008D7B0D" w:rsidRDefault="008D7B0D" w:rsidP="008D7B0D">
      <w:pPr>
        <w:spacing w:line="276" w:lineRule="auto"/>
        <w:rPr>
          <w:sz w:val="28"/>
          <w:szCs w:val="28"/>
        </w:rPr>
      </w:pPr>
    </w:p>
    <w:p w14:paraId="56491AA9" w14:textId="77777777" w:rsidR="008D7B0D" w:rsidRPr="008D7B0D" w:rsidRDefault="008D7B0D" w:rsidP="008D7B0D">
      <w:pPr>
        <w:spacing w:line="276" w:lineRule="auto"/>
        <w:rPr>
          <w:sz w:val="28"/>
          <w:szCs w:val="28"/>
        </w:rPr>
      </w:pPr>
      <w:r w:rsidRPr="008D7B0D">
        <w:rPr>
          <w:sz w:val="28"/>
          <w:szCs w:val="28"/>
        </w:rPr>
        <w:t>3.3.9. Підсумок (аналітичний висновок)</w:t>
      </w:r>
    </w:p>
    <w:p w14:paraId="4D90A0CE" w14:textId="77777777" w:rsidR="008D7B0D" w:rsidRPr="008D7B0D" w:rsidRDefault="008D7B0D" w:rsidP="008D7B0D">
      <w:pPr>
        <w:spacing w:line="276" w:lineRule="auto"/>
        <w:rPr>
          <w:sz w:val="28"/>
          <w:szCs w:val="28"/>
        </w:rPr>
      </w:pPr>
    </w:p>
    <w:p w14:paraId="3AB7CBAE" w14:textId="4075EFC1" w:rsidR="008D7B0D" w:rsidRPr="008D7B0D" w:rsidRDefault="008D7B0D" w:rsidP="008D7B0D">
      <w:pPr>
        <w:spacing w:line="276" w:lineRule="auto"/>
        <w:rPr>
          <w:sz w:val="28"/>
          <w:szCs w:val="28"/>
        </w:rPr>
      </w:pPr>
      <w:r w:rsidRPr="008D7B0D">
        <w:rPr>
          <w:sz w:val="28"/>
          <w:szCs w:val="28"/>
        </w:rPr>
        <w:t xml:space="preserve">Якісний аналіз виявляє системні дефіцити, що формуються на перших етапах обслуговування (реєстрація й інформаційне забезпечення) і </w:t>
      </w:r>
      <w:proofErr w:type="spellStart"/>
      <w:r w:rsidRPr="008D7B0D">
        <w:rPr>
          <w:sz w:val="28"/>
          <w:szCs w:val="28"/>
        </w:rPr>
        <w:t>мультиплікуються</w:t>
      </w:r>
      <w:proofErr w:type="spellEnd"/>
      <w:r w:rsidRPr="008D7B0D">
        <w:rPr>
          <w:sz w:val="28"/>
          <w:szCs w:val="28"/>
        </w:rPr>
        <w:t xml:space="preserve"> у вигляді розривів у перенаправленнях та дефіциту базових послуг у транзитних центрах. Комплексна стратегія, що поєднує уніфікацію процедур, підвищення стандартів санітарно-гігієнічного забезпечення, інфраструктурні інвестиції та формалізацію партнерських відносин для перенаправлення, має найбільший потенціал для зниження ризиків і підвищення якості обслуговування.</w:t>
      </w:r>
    </w:p>
    <w:p w14:paraId="7F594BE9" w14:textId="29DA67DE" w:rsidR="00334C25" w:rsidRDefault="00334C25" w:rsidP="00334C25">
      <w:pPr>
        <w:pStyle w:val="2"/>
        <w:rPr>
          <w:color w:val="000000" w:themeColor="text1"/>
        </w:rPr>
      </w:pPr>
      <w:bookmarkStart w:id="49" w:name="_Toc214217544"/>
      <w:r w:rsidRPr="00334C25">
        <w:rPr>
          <w:color w:val="000000" w:themeColor="text1"/>
        </w:rPr>
        <w:t>3.</w:t>
      </w:r>
      <w:r w:rsidR="008D7B0D">
        <w:rPr>
          <w:color w:val="000000" w:themeColor="text1"/>
        </w:rPr>
        <w:t>4</w:t>
      </w:r>
      <w:r w:rsidRPr="00334C25">
        <w:rPr>
          <w:color w:val="000000" w:themeColor="text1"/>
        </w:rPr>
        <w:t>. Обговорення результатів</w:t>
      </w:r>
      <w:bookmarkEnd w:id="49"/>
      <w:r w:rsidRPr="00334C25">
        <w:rPr>
          <w:color w:val="000000" w:themeColor="text1"/>
        </w:rPr>
        <w:t xml:space="preserve"> </w:t>
      </w:r>
    </w:p>
    <w:p w14:paraId="76B1015E" w14:textId="77777777" w:rsidR="008D7B0D" w:rsidRPr="008D7B0D" w:rsidRDefault="008D7B0D" w:rsidP="008D7B0D">
      <w:pPr>
        <w:rPr>
          <w:sz w:val="28"/>
          <w:szCs w:val="28"/>
        </w:rPr>
      </w:pPr>
      <w:r w:rsidRPr="008D7B0D">
        <w:rPr>
          <w:sz w:val="28"/>
          <w:szCs w:val="28"/>
        </w:rPr>
        <w:t xml:space="preserve">Цей підрозділ синтезує емпіричні висновки дослідження, зіставляє їх із теоретичною рамкою, виокремлює управлінські та політичні наслідки, презентує </w:t>
      </w:r>
      <w:proofErr w:type="spellStart"/>
      <w:r w:rsidRPr="008D7B0D">
        <w:rPr>
          <w:sz w:val="28"/>
          <w:szCs w:val="28"/>
        </w:rPr>
        <w:t>пріоритизацію</w:t>
      </w:r>
      <w:proofErr w:type="spellEnd"/>
      <w:r w:rsidRPr="008D7B0D">
        <w:rPr>
          <w:sz w:val="28"/>
          <w:szCs w:val="28"/>
        </w:rPr>
        <w:t xml:space="preserve"> заходів і робочу логіку моніторингу та </w:t>
      </w:r>
      <w:proofErr w:type="spellStart"/>
      <w:r w:rsidRPr="008D7B0D">
        <w:rPr>
          <w:sz w:val="28"/>
          <w:szCs w:val="28"/>
        </w:rPr>
        <w:t>валідації</w:t>
      </w:r>
      <w:proofErr w:type="spellEnd"/>
      <w:r w:rsidRPr="008D7B0D">
        <w:rPr>
          <w:sz w:val="28"/>
          <w:szCs w:val="28"/>
        </w:rPr>
        <w:t>. Текст написаний у формі аналітичного висновку, придатного для включення до керівництва з покращення функціонування транзитних центрів і підготовки оперативних планів дій.</w:t>
      </w:r>
    </w:p>
    <w:p w14:paraId="6804C04A" w14:textId="77777777" w:rsidR="008D7B0D" w:rsidRPr="008D7B0D" w:rsidRDefault="008D7B0D" w:rsidP="008D7B0D">
      <w:pPr>
        <w:rPr>
          <w:sz w:val="28"/>
          <w:szCs w:val="28"/>
        </w:rPr>
      </w:pPr>
    </w:p>
    <w:p w14:paraId="1951B6CB" w14:textId="570173DB" w:rsidR="008D7B0D" w:rsidRPr="008D7B0D" w:rsidRDefault="008D7B0D" w:rsidP="008D7B0D">
      <w:pPr>
        <w:rPr>
          <w:sz w:val="28"/>
          <w:szCs w:val="28"/>
        </w:rPr>
      </w:pPr>
      <w:r w:rsidRPr="008D7B0D">
        <w:rPr>
          <w:sz w:val="28"/>
          <w:szCs w:val="28"/>
        </w:rPr>
        <w:t>3.4.1. Синтез основних висновків</w:t>
      </w:r>
    </w:p>
    <w:p w14:paraId="6EDE5067" w14:textId="77777777" w:rsidR="008D7B0D" w:rsidRPr="008D7B0D" w:rsidRDefault="008D7B0D" w:rsidP="008D7B0D">
      <w:pPr>
        <w:rPr>
          <w:sz w:val="28"/>
          <w:szCs w:val="28"/>
        </w:rPr>
      </w:pPr>
    </w:p>
    <w:p w14:paraId="61BF6445" w14:textId="77777777" w:rsidR="008D7B0D" w:rsidRPr="008D7B0D" w:rsidRDefault="008D7B0D" w:rsidP="008D7B0D">
      <w:pPr>
        <w:rPr>
          <w:sz w:val="28"/>
          <w:szCs w:val="28"/>
        </w:rPr>
      </w:pPr>
      <w:r w:rsidRPr="008D7B0D">
        <w:rPr>
          <w:sz w:val="28"/>
          <w:szCs w:val="28"/>
        </w:rPr>
        <w:t xml:space="preserve">Аналіз якісних даних і матриця </w:t>
      </w:r>
      <w:proofErr w:type="spellStart"/>
      <w:r w:rsidRPr="008D7B0D">
        <w:rPr>
          <w:sz w:val="28"/>
          <w:szCs w:val="28"/>
        </w:rPr>
        <w:t>співзгаданостей</w:t>
      </w:r>
      <w:proofErr w:type="spellEnd"/>
      <w:r w:rsidRPr="008D7B0D">
        <w:rPr>
          <w:sz w:val="28"/>
          <w:szCs w:val="28"/>
        </w:rPr>
        <w:t xml:space="preserve"> показали, що проблеми функціонування транзитних центрів мають три взаємопов’язані рівні:</w:t>
      </w:r>
    </w:p>
    <w:p w14:paraId="067697A4" w14:textId="77777777" w:rsidR="008D7B0D" w:rsidRPr="008D7B0D" w:rsidRDefault="008D7B0D" w:rsidP="008D7B0D">
      <w:pPr>
        <w:rPr>
          <w:sz w:val="28"/>
          <w:szCs w:val="28"/>
        </w:rPr>
      </w:pPr>
      <w:r w:rsidRPr="008D7B0D">
        <w:rPr>
          <w:sz w:val="28"/>
          <w:szCs w:val="28"/>
        </w:rPr>
        <w:tab/>
        <w:t>1.</w:t>
      </w:r>
      <w:r w:rsidRPr="008D7B0D">
        <w:rPr>
          <w:sz w:val="28"/>
          <w:szCs w:val="28"/>
        </w:rPr>
        <w:tab/>
        <w:t>Процедурні дефекти (реєстрація — інформаційний супровід — перенаправлення) як первинне джерело системних збоїв;</w:t>
      </w:r>
    </w:p>
    <w:p w14:paraId="0EA429A0" w14:textId="77777777" w:rsidR="008D7B0D" w:rsidRPr="008D7B0D" w:rsidRDefault="008D7B0D" w:rsidP="008D7B0D">
      <w:pPr>
        <w:rPr>
          <w:sz w:val="28"/>
          <w:szCs w:val="28"/>
        </w:rPr>
      </w:pPr>
      <w:r w:rsidRPr="008D7B0D">
        <w:rPr>
          <w:sz w:val="28"/>
          <w:szCs w:val="28"/>
        </w:rPr>
        <w:lastRenderedPageBreak/>
        <w:tab/>
        <w:t>2.</w:t>
      </w:r>
      <w:r w:rsidRPr="008D7B0D">
        <w:rPr>
          <w:sz w:val="28"/>
          <w:szCs w:val="28"/>
        </w:rPr>
        <w:tab/>
        <w:t>Інфраструктурні вади (сантехнічне обладнання, приватні простори) як фактор підвищених ризиків для груп зі специфічними потребами;</w:t>
      </w:r>
    </w:p>
    <w:p w14:paraId="4ADD97B2" w14:textId="77777777" w:rsidR="008D7B0D" w:rsidRPr="008D7B0D" w:rsidRDefault="008D7B0D" w:rsidP="008D7B0D">
      <w:pPr>
        <w:rPr>
          <w:sz w:val="28"/>
          <w:szCs w:val="28"/>
        </w:rPr>
      </w:pPr>
      <w:r w:rsidRPr="008D7B0D">
        <w:rPr>
          <w:sz w:val="28"/>
          <w:szCs w:val="28"/>
        </w:rPr>
        <w:tab/>
        <w:t>3.</w:t>
      </w:r>
      <w:r w:rsidRPr="008D7B0D">
        <w:rPr>
          <w:sz w:val="28"/>
          <w:szCs w:val="28"/>
        </w:rPr>
        <w:tab/>
        <w:t xml:space="preserve">Розриви в ланцюгах супроводу (відсутність підтвердження виконаних перенаправлень, слабка </w:t>
      </w:r>
      <w:proofErr w:type="spellStart"/>
      <w:r w:rsidRPr="008D7B0D">
        <w:rPr>
          <w:sz w:val="28"/>
          <w:szCs w:val="28"/>
        </w:rPr>
        <w:t>міжсекторна</w:t>
      </w:r>
      <w:proofErr w:type="spellEnd"/>
      <w:r w:rsidRPr="008D7B0D">
        <w:rPr>
          <w:sz w:val="28"/>
          <w:szCs w:val="28"/>
        </w:rPr>
        <w:t xml:space="preserve"> координація) як наслідок поєднання перших двох факторів.</w:t>
      </w:r>
    </w:p>
    <w:p w14:paraId="321166D3" w14:textId="77777777" w:rsidR="008D7B0D" w:rsidRPr="008D7B0D" w:rsidRDefault="008D7B0D" w:rsidP="008D7B0D">
      <w:pPr>
        <w:rPr>
          <w:sz w:val="28"/>
          <w:szCs w:val="28"/>
        </w:rPr>
      </w:pPr>
    </w:p>
    <w:p w14:paraId="60A27A5A" w14:textId="77777777" w:rsidR="008D7B0D" w:rsidRPr="008D7B0D" w:rsidRDefault="008D7B0D" w:rsidP="008D7B0D">
      <w:pPr>
        <w:rPr>
          <w:sz w:val="28"/>
          <w:szCs w:val="28"/>
        </w:rPr>
      </w:pPr>
      <w:r w:rsidRPr="008D7B0D">
        <w:rPr>
          <w:sz w:val="28"/>
          <w:szCs w:val="28"/>
        </w:rPr>
        <w:t>Ця структура відповідає теоретичним основам соціального забезпечення: без ідентифікації та належного скринінгу потреб механізм соціального захисту не може належним чином реалізуватися; бар’єри доступу (адміністративні, інформаційні, інфраструктурні) підсилюють ефект виключення певних груп з пакета послуг.</w:t>
      </w:r>
    </w:p>
    <w:p w14:paraId="5DFB8B36" w14:textId="77777777" w:rsidR="008D7B0D" w:rsidRPr="008D7B0D" w:rsidRDefault="008D7B0D" w:rsidP="008D7B0D">
      <w:pPr>
        <w:rPr>
          <w:sz w:val="28"/>
          <w:szCs w:val="28"/>
        </w:rPr>
      </w:pPr>
    </w:p>
    <w:p w14:paraId="161883CA" w14:textId="3A4191A4" w:rsidR="008D7B0D" w:rsidRPr="008D7B0D" w:rsidRDefault="008D7B0D" w:rsidP="008D7B0D">
      <w:pPr>
        <w:rPr>
          <w:sz w:val="28"/>
          <w:szCs w:val="28"/>
        </w:rPr>
      </w:pPr>
      <w:r w:rsidRPr="008D7B0D">
        <w:rPr>
          <w:sz w:val="28"/>
          <w:szCs w:val="28"/>
        </w:rPr>
        <w:t>3.4.2. Що означають результати для практики і політики</w:t>
      </w:r>
    </w:p>
    <w:p w14:paraId="4584A8CF" w14:textId="77777777" w:rsidR="008D7B0D" w:rsidRPr="008D7B0D" w:rsidRDefault="008D7B0D" w:rsidP="008D7B0D">
      <w:pPr>
        <w:rPr>
          <w:sz w:val="28"/>
          <w:szCs w:val="28"/>
        </w:rPr>
      </w:pPr>
      <w:r w:rsidRPr="008D7B0D">
        <w:rPr>
          <w:sz w:val="28"/>
          <w:szCs w:val="28"/>
        </w:rPr>
        <w:tab/>
        <w:t>1.</w:t>
      </w:r>
      <w:r w:rsidRPr="008D7B0D">
        <w:rPr>
          <w:sz w:val="28"/>
          <w:szCs w:val="28"/>
        </w:rPr>
        <w:tab/>
        <w:t>Процедурний фокус дає найбільший ефект. Інвестиції у стандартизацію реєстрації та впровадження механізму підтвердження перенаправлень сприяють скороченню «незавершених кейсів» і підвищенню результативності ресурсів.</w:t>
      </w:r>
    </w:p>
    <w:p w14:paraId="0D4CF188" w14:textId="77777777" w:rsidR="008D7B0D" w:rsidRPr="008D7B0D" w:rsidRDefault="008D7B0D" w:rsidP="008D7B0D">
      <w:pPr>
        <w:rPr>
          <w:sz w:val="28"/>
          <w:szCs w:val="28"/>
        </w:rPr>
      </w:pPr>
      <w:r w:rsidRPr="008D7B0D">
        <w:rPr>
          <w:sz w:val="28"/>
          <w:szCs w:val="28"/>
        </w:rPr>
        <w:tab/>
        <w:t>2.</w:t>
      </w:r>
      <w:r w:rsidRPr="008D7B0D">
        <w:rPr>
          <w:sz w:val="28"/>
          <w:szCs w:val="28"/>
        </w:rPr>
        <w:tab/>
        <w:t>Інфраструктура — умова доступу й безпеки. Забезпечення базових санітарно-гігієнічних умов і приватних просторів є мінімальною умовою для зниження ризиків, особливо для жінок і дітей.</w:t>
      </w:r>
    </w:p>
    <w:p w14:paraId="5BDAAA33" w14:textId="77777777" w:rsidR="008D7B0D" w:rsidRPr="008D7B0D" w:rsidRDefault="008D7B0D" w:rsidP="008D7B0D">
      <w:pPr>
        <w:rPr>
          <w:sz w:val="28"/>
          <w:szCs w:val="28"/>
        </w:rPr>
      </w:pPr>
      <w:r w:rsidRPr="008D7B0D">
        <w:rPr>
          <w:sz w:val="28"/>
          <w:szCs w:val="28"/>
        </w:rPr>
        <w:tab/>
        <w:t>3.</w:t>
      </w:r>
      <w:r w:rsidRPr="008D7B0D">
        <w:rPr>
          <w:sz w:val="28"/>
          <w:szCs w:val="28"/>
        </w:rPr>
        <w:tab/>
        <w:t>Мобільні рішення потребують інтеграції. Мобільні бригади підвищують доступ у кризових локаціях, але без механізмів подальшого супроводу їхній внесок є тимчасовим.</w:t>
      </w:r>
    </w:p>
    <w:p w14:paraId="6347BB85" w14:textId="1DE29AD3" w:rsidR="008D7B0D" w:rsidRPr="008D7B0D" w:rsidRDefault="008D7B0D" w:rsidP="008D7B0D">
      <w:pPr>
        <w:rPr>
          <w:sz w:val="28"/>
          <w:szCs w:val="28"/>
        </w:rPr>
      </w:pPr>
      <w:r w:rsidRPr="008D7B0D">
        <w:rPr>
          <w:sz w:val="28"/>
          <w:szCs w:val="28"/>
        </w:rPr>
        <w:tab/>
        <w:t>4.</w:t>
      </w:r>
      <w:r w:rsidRPr="008D7B0D">
        <w:rPr>
          <w:sz w:val="28"/>
          <w:szCs w:val="28"/>
        </w:rPr>
        <w:tab/>
        <w:t>Координація і формалізація взаємодії. Формалізовані угоди між центрами, медичними закладами та соціальними службами забезпечують відповідальність і механізми підтвердження надання послуг.</w:t>
      </w:r>
    </w:p>
    <w:p w14:paraId="51F1C82A" w14:textId="77777777" w:rsidR="008D7B0D" w:rsidRPr="008D7B0D" w:rsidRDefault="008D7B0D" w:rsidP="008D7B0D">
      <w:pPr>
        <w:rPr>
          <w:sz w:val="28"/>
          <w:szCs w:val="28"/>
        </w:rPr>
      </w:pPr>
    </w:p>
    <w:p w14:paraId="4398CDD9" w14:textId="73A1B67C" w:rsidR="008D7B0D" w:rsidRPr="008D7B0D" w:rsidRDefault="008D7B0D" w:rsidP="008D7B0D">
      <w:pPr>
        <w:rPr>
          <w:sz w:val="28"/>
          <w:szCs w:val="28"/>
        </w:rPr>
      </w:pPr>
      <w:r w:rsidRPr="008D7B0D">
        <w:rPr>
          <w:sz w:val="28"/>
          <w:szCs w:val="28"/>
        </w:rPr>
        <w:t>3.4.3. Інтегровані таблиці — основні робочі інструменти</w:t>
      </w:r>
    </w:p>
    <w:p w14:paraId="581DC876" w14:textId="77777777" w:rsidR="008D7B0D" w:rsidRPr="008D7B0D" w:rsidRDefault="008D7B0D" w:rsidP="008D7B0D">
      <w:pPr>
        <w:rPr>
          <w:sz w:val="28"/>
          <w:szCs w:val="28"/>
        </w:rPr>
      </w:pPr>
    </w:p>
    <w:p w14:paraId="09A02D6A" w14:textId="77777777" w:rsidR="008D7B0D" w:rsidRPr="008D7B0D" w:rsidRDefault="008D7B0D" w:rsidP="008D7B0D">
      <w:pPr>
        <w:rPr>
          <w:sz w:val="28"/>
          <w:szCs w:val="28"/>
        </w:rPr>
      </w:pPr>
      <w:r w:rsidRPr="008D7B0D">
        <w:rPr>
          <w:sz w:val="28"/>
          <w:szCs w:val="28"/>
        </w:rPr>
        <w:t>Нижче наведено набір таблиць, які інтегрують результати аналізу та слугують робочими документами для планування і контролю.</w:t>
      </w:r>
    </w:p>
    <w:p w14:paraId="60FAE71D" w14:textId="77777777" w:rsidR="008D7B0D" w:rsidRPr="008D7B0D" w:rsidRDefault="008D7B0D" w:rsidP="008D7B0D">
      <w:pPr>
        <w:rPr>
          <w:sz w:val="28"/>
          <w:szCs w:val="28"/>
        </w:rPr>
      </w:pPr>
    </w:p>
    <w:p w14:paraId="70867791" w14:textId="148138CD" w:rsidR="00334C25" w:rsidRPr="008D7B0D" w:rsidRDefault="008D7B0D" w:rsidP="008D7B0D">
      <w:pPr>
        <w:rPr>
          <w:color w:val="000000" w:themeColor="text1"/>
          <w:sz w:val="28"/>
          <w:szCs w:val="28"/>
        </w:rPr>
      </w:pPr>
      <w:r w:rsidRPr="008D7B0D">
        <w:rPr>
          <w:sz w:val="28"/>
          <w:szCs w:val="28"/>
        </w:rPr>
        <w:t>Таблиця 1 — Підсумок ключових знахідок і оперативні наслідки</w:t>
      </w:r>
    </w:p>
    <w:p w14:paraId="024D3EBD" w14:textId="77777777" w:rsidR="00334C25" w:rsidRPr="008D7B0D" w:rsidRDefault="00334C25" w:rsidP="008D7B0D">
      <w:pPr>
        <w:rPr>
          <w:color w:val="000000" w:themeColor="text1"/>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2577"/>
        <w:gridCol w:w="3195"/>
        <w:gridCol w:w="2867"/>
      </w:tblGrid>
      <w:tr w:rsidR="008D7B0D" w:rsidRPr="008D7B0D" w14:paraId="4F3910F8" w14:textId="77777777" w:rsidTr="008D7B0D">
        <w:trPr>
          <w:tblHeader/>
          <w:tblCellSpacing w:w="15" w:type="dxa"/>
        </w:trPr>
        <w:tc>
          <w:tcPr>
            <w:tcW w:w="0" w:type="auto"/>
            <w:vAlign w:val="center"/>
            <w:hideMark/>
          </w:tcPr>
          <w:p w14:paraId="24CA42F2"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w:t>
            </w:r>
          </w:p>
        </w:tc>
        <w:tc>
          <w:tcPr>
            <w:tcW w:w="0" w:type="auto"/>
            <w:vAlign w:val="center"/>
            <w:hideMark/>
          </w:tcPr>
          <w:p w14:paraId="7E76FCA0"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Тематичний блок</w:t>
            </w:r>
          </w:p>
        </w:tc>
        <w:tc>
          <w:tcPr>
            <w:tcW w:w="0" w:type="auto"/>
            <w:vAlign w:val="center"/>
            <w:hideMark/>
          </w:tcPr>
          <w:p w14:paraId="35C6879A"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Ключові знахідки</w:t>
            </w:r>
          </w:p>
        </w:tc>
        <w:tc>
          <w:tcPr>
            <w:tcW w:w="0" w:type="auto"/>
            <w:vAlign w:val="center"/>
            <w:hideMark/>
          </w:tcPr>
          <w:p w14:paraId="1C4CF3FE"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Операційні наслідки</w:t>
            </w:r>
          </w:p>
        </w:tc>
      </w:tr>
      <w:tr w:rsidR="008D7B0D" w:rsidRPr="008D7B0D" w14:paraId="20B799FE" w14:textId="77777777" w:rsidTr="008D7B0D">
        <w:trPr>
          <w:tblCellSpacing w:w="15" w:type="dxa"/>
        </w:trPr>
        <w:tc>
          <w:tcPr>
            <w:tcW w:w="0" w:type="auto"/>
            <w:vAlign w:val="center"/>
            <w:hideMark/>
          </w:tcPr>
          <w:p w14:paraId="5B4CCEB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1</w:t>
            </w:r>
          </w:p>
        </w:tc>
        <w:tc>
          <w:tcPr>
            <w:tcW w:w="0" w:type="auto"/>
            <w:vAlign w:val="center"/>
            <w:hideMark/>
          </w:tcPr>
          <w:p w14:paraId="2CA2128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Процедурна ефективність (реєстрація, інформування)</w:t>
            </w:r>
          </w:p>
        </w:tc>
        <w:tc>
          <w:tcPr>
            <w:tcW w:w="0" w:type="auto"/>
            <w:vAlign w:val="center"/>
            <w:hideMark/>
          </w:tcPr>
          <w:p w14:paraId="60AE722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Нерегламентовані форми; затримки при реєстрації; відсутність уніфікованого інструмента скринінгу</w:t>
            </w:r>
          </w:p>
        </w:tc>
        <w:tc>
          <w:tcPr>
            <w:tcW w:w="0" w:type="auto"/>
            <w:vAlign w:val="center"/>
            <w:hideMark/>
          </w:tcPr>
          <w:p w14:paraId="1F5F291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Неправильна ідентифікація потреб; низька результативність перенаправлень</w:t>
            </w:r>
          </w:p>
        </w:tc>
      </w:tr>
      <w:tr w:rsidR="008D7B0D" w:rsidRPr="008D7B0D" w14:paraId="57E2CF18" w14:textId="77777777" w:rsidTr="008D7B0D">
        <w:trPr>
          <w:tblCellSpacing w:w="15" w:type="dxa"/>
        </w:trPr>
        <w:tc>
          <w:tcPr>
            <w:tcW w:w="0" w:type="auto"/>
            <w:vAlign w:val="center"/>
            <w:hideMark/>
          </w:tcPr>
          <w:p w14:paraId="3E9B61D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2</w:t>
            </w:r>
          </w:p>
        </w:tc>
        <w:tc>
          <w:tcPr>
            <w:tcW w:w="0" w:type="auto"/>
            <w:vAlign w:val="center"/>
            <w:hideMark/>
          </w:tcPr>
          <w:p w14:paraId="6A045FC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Санітарно-гігієнічні умови і приватні простори</w:t>
            </w:r>
          </w:p>
        </w:tc>
        <w:tc>
          <w:tcPr>
            <w:tcW w:w="0" w:type="auto"/>
            <w:vAlign w:val="center"/>
            <w:hideMark/>
          </w:tcPr>
          <w:p w14:paraId="44DB086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Недостатня кількість санітарних вузлів; відсутність приватних місць для жінок і сімей</w:t>
            </w:r>
          </w:p>
        </w:tc>
        <w:tc>
          <w:tcPr>
            <w:tcW w:w="0" w:type="auto"/>
            <w:vAlign w:val="center"/>
            <w:hideMark/>
          </w:tcPr>
          <w:p w14:paraId="21DDDFE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Підвищення ризиків для жінок і дітей; зниження готовності звертатися по допомогу</w:t>
            </w:r>
          </w:p>
        </w:tc>
      </w:tr>
      <w:tr w:rsidR="008D7B0D" w:rsidRPr="008D7B0D" w14:paraId="0FCE4FF4" w14:textId="77777777" w:rsidTr="008D7B0D">
        <w:trPr>
          <w:tblCellSpacing w:w="15" w:type="dxa"/>
        </w:trPr>
        <w:tc>
          <w:tcPr>
            <w:tcW w:w="0" w:type="auto"/>
            <w:vAlign w:val="center"/>
            <w:hideMark/>
          </w:tcPr>
          <w:p w14:paraId="332FBE6F"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3</w:t>
            </w:r>
          </w:p>
        </w:tc>
        <w:tc>
          <w:tcPr>
            <w:tcW w:w="0" w:type="auto"/>
            <w:vAlign w:val="center"/>
            <w:hideMark/>
          </w:tcPr>
          <w:p w14:paraId="49A985AF"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Перенаправлення і супровід</w:t>
            </w:r>
          </w:p>
        </w:tc>
        <w:tc>
          <w:tcPr>
            <w:tcW w:w="0" w:type="auto"/>
            <w:vAlign w:val="center"/>
            <w:hideMark/>
          </w:tcPr>
          <w:p w14:paraId="077A70D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Перенаправлення часто не підтверджуються; відсутній системний супровід після первинної консультації</w:t>
            </w:r>
          </w:p>
        </w:tc>
        <w:tc>
          <w:tcPr>
            <w:tcW w:w="0" w:type="auto"/>
            <w:vAlign w:val="center"/>
            <w:hideMark/>
          </w:tcPr>
          <w:p w14:paraId="7F4832B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Розрив ланцюга допомоги; незавершені випадки</w:t>
            </w:r>
          </w:p>
        </w:tc>
      </w:tr>
      <w:tr w:rsidR="008D7B0D" w:rsidRPr="008D7B0D" w14:paraId="1DC4F894" w14:textId="77777777" w:rsidTr="008D7B0D">
        <w:trPr>
          <w:tblCellSpacing w:w="15" w:type="dxa"/>
        </w:trPr>
        <w:tc>
          <w:tcPr>
            <w:tcW w:w="0" w:type="auto"/>
            <w:vAlign w:val="center"/>
            <w:hideMark/>
          </w:tcPr>
          <w:p w14:paraId="78DE036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4</w:t>
            </w:r>
          </w:p>
        </w:tc>
        <w:tc>
          <w:tcPr>
            <w:tcW w:w="0" w:type="auto"/>
            <w:vAlign w:val="center"/>
            <w:hideMark/>
          </w:tcPr>
          <w:p w14:paraId="7835765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Доступність для осіб з інвалідністю та старших</w:t>
            </w:r>
          </w:p>
        </w:tc>
        <w:tc>
          <w:tcPr>
            <w:tcW w:w="0" w:type="auto"/>
            <w:vAlign w:val="center"/>
            <w:hideMark/>
          </w:tcPr>
          <w:p w14:paraId="360A8F8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Відсутність адаптаційних рішень; мовні та цифрові бар’єри</w:t>
            </w:r>
          </w:p>
        </w:tc>
        <w:tc>
          <w:tcPr>
            <w:tcW w:w="0" w:type="auto"/>
            <w:vAlign w:val="center"/>
            <w:hideMark/>
          </w:tcPr>
          <w:p w14:paraId="4E2FE08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Системне виключення окремих груп; підвищена потреба у цільовому супроводі</w:t>
            </w:r>
          </w:p>
        </w:tc>
      </w:tr>
      <w:tr w:rsidR="008D7B0D" w:rsidRPr="008D7B0D" w14:paraId="13EA6C52" w14:textId="77777777" w:rsidTr="008D7B0D">
        <w:trPr>
          <w:tblCellSpacing w:w="15" w:type="dxa"/>
        </w:trPr>
        <w:tc>
          <w:tcPr>
            <w:tcW w:w="0" w:type="auto"/>
            <w:vAlign w:val="center"/>
            <w:hideMark/>
          </w:tcPr>
          <w:p w14:paraId="28810A5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5</w:t>
            </w:r>
          </w:p>
        </w:tc>
        <w:tc>
          <w:tcPr>
            <w:tcW w:w="0" w:type="auto"/>
            <w:vAlign w:val="center"/>
            <w:hideMark/>
          </w:tcPr>
          <w:p w14:paraId="7975F3B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Координація і кадрова спроможність</w:t>
            </w:r>
          </w:p>
        </w:tc>
        <w:tc>
          <w:tcPr>
            <w:tcW w:w="0" w:type="auto"/>
            <w:vAlign w:val="center"/>
            <w:hideMark/>
          </w:tcPr>
          <w:p w14:paraId="3D1353A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Слабка міжсекторна координація; дефіцит навичок з питань захисту</w:t>
            </w:r>
          </w:p>
        </w:tc>
        <w:tc>
          <w:tcPr>
            <w:tcW w:w="0" w:type="auto"/>
            <w:vAlign w:val="center"/>
            <w:hideMark/>
          </w:tcPr>
          <w:p w14:paraId="297BF81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Фрагментарність послуг; дублювання або прогалини в обслуговуванні</w:t>
            </w:r>
          </w:p>
        </w:tc>
      </w:tr>
    </w:tbl>
    <w:p w14:paraId="24D088D8" w14:textId="77777777" w:rsidR="00334C25" w:rsidRPr="008D7B0D" w:rsidRDefault="00334C25" w:rsidP="008D7B0D">
      <w:pPr>
        <w:rPr>
          <w:color w:val="000000" w:themeColor="text1"/>
          <w:sz w:val="28"/>
          <w:szCs w:val="28"/>
        </w:rPr>
      </w:pPr>
    </w:p>
    <w:p w14:paraId="007DDBFA" w14:textId="15ABFEEF" w:rsidR="00334C25" w:rsidRPr="008D7B0D" w:rsidRDefault="008D7B0D" w:rsidP="008D7B0D">
      <w:pPr>
        <w:rPr>
          <w:color w:val="000000" w:themeColor="text1"/>
          <w:sz w:val="28"/>
          <w:szCs w:val="28"/>
        </w:rPr>
      </w:pPr>
      <w:r w:rsidRPr="008D7B0D">
        <w:rPr>
          <w:color w:val="000000" w:themeColor="text1"/>
          <w:sz w:val="28"/>
          <w:szCs w:val="28"/>
        </w:rPr>
        <w:t>Таблиця 2 — Матриця інтервенцій (заходи, опис, горизонт, відповідальні, ресурси)</w:t>
      </w:r>
    </w:p>
    <w:p w14:paraId="2032F41D" w14:textId="77777777" w:rsidR="00334C25" w:rsidRPr="008D7B0D" w:rsidRDefault="00334C25" w:rsidP="008D7B0D">
      <w:pPr>
        <w:rPr>
          <w:color w:val="000000" w:themeColor="text1"/>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7"/>
        <w:gridCol w:w="1537"/>
        <w:gridCol w:w="2504"/>
        <w:gridCol w:w="1729"/>
        <w:gridCol w:w="1469"/>
      </w:tblGrid>
      <w:tr w:rsidR="008D7B0D" w:rsidRPr="008D7B0D" w14:paraId="5152DEAB" w14:textId="77777777" w:rsidTr="008D7B0D">
        <w:trPr>
          <w:tblHeader/>
          <w:tblCellSpacing w:w="15" w:type="dxa"/>
        </w:trPr>
        <w:tc>
          <w:tcPr>
            <w:tcW w:w="0" w:type="auto"/>
            <w:vAlign w:val="center"/>
            <w:hideMark/>
          </w:tcPr>
          <w:p w14:paraId="0D2ED5AC"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Заходи (назва)</w:t>
            </w:r>
          </w:p>
        </w:tc>
        <w:tc>
          <w:tcPr>
            <w:tcW w:w="0" w:type="auto"/>
            <w:vAlign w:val="center"/>
            <w:hideMark/>
          </w:tcPr>
          <w:p w14:paraId="58C7D7BD"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Короткий опис</w:t>
            </w:r>
          </w:p>
        </w:tc>
        <w:tc>
          <w:tcPr>
            <w:tcW w:w="0" w:type="auto"/>
            <w:vAlign w:val="center"/>
            <w:hideMark/>
          </w:tcPr>
          <w:p w14:paraId="05AC469B"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Горизонт впровадження</w:t>
            </w:r>
          </w:p>
        </w:tc>
        <w:tc>
          <w:tcPr>
            <w:tcW w:w="0" w:type="auto"/>
            <w:vAlign w:val="center"/>
            <w:hideMark/>
          </w:tcPr>
          <w:p w14:paraId="3D1D4CB9"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Відповідальні</w:t>
            </w:r>
          </w:p>
        </w:tc>
        <w:tc>
          <w:tcPr>
            <w:tcW w:w="0" w:type="auto"/>
            <w:vAlign w:val="center"/>
            <w:hideMark/>
          </w:tcPr>
          <w:p w14:paraId="281539B0"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Орієнтовні ресурси</w:t>
            </w:r>
          </w:p>
        </w:tc>
      </w:tr>
      <w:tr w:rsidR="008D7B0D" w:rsidRPr="008D7B0D" w14:paraId="41E3A879" w14:textId="77777777" w:rsidTr="008D7B0D">
        <w:trPr>
          <w:tblCellSpacing w:w="15" w:type="dxa"/>
        </w:trPr>
        <w:tc>
          <w:tcPr>
            <w:tcW w:w="0" w:type="auto"/>
            <w:vAlign w:val="center"/>
            <w:hideMark/>
          </w:tcPr>
          <w:p w14:paraId="733515C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Уніфікована реєстраційна форма та інструкція скринінгу</w:t>
            </w:r>
          </w:p>
        </w:tc>
        <w:tc>
          <w:tcPr>
            <w:tcW w:w="0" w:type="auto"/>
            <w:vAlign w:val="center"/>
            <w:hideMark/>
          </w:tcPr>
          <w:p w14:paraId="569103A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Єдина форма, шаблони та методичні вказівки</w:t>
            </w:r>
          </w:p>
        </w:tc>
        <w:tc>
          <w:tcPr>
            <w:tcW w:w="0" w:type="auto"/>
            <w:vAlign w:val="center"/>
            <w:hideMark/>
          </w:tcPr>
          <w:p w14:paraId="144501E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Короткостроково (0–3 міс.)</w:t>
            </w:r>
          </w:p>
        </w:tc>
        <w:tc>
          <w:tcPr>
            <w:tcW w:w="0" w:type="auto"/>
            <w:vAlign w:val="center"/>
            <w:hideMark/>
          </w:tcPr>
          <w:p w14:paraId="36666FD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Органи місцевого самоврядування; координатор проєкту</w:t>
            </w:r>
          </w:p>
        </w:tc>
        <w:tc>
          <w:tcPr>
            <w:tcW w:w="0" w:type="auto"/>
            <w:vAlign w:val="center"/>
            <w:hideMark/>
          </w:tcPr>
          <w:p w14:paraId="12DCF65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Шаблони, друк, навчання персоналу</w:t>
            </w:r>
          </w:p>
        </w:tc>
      </w:tr>
      <w:tr w:rsidR="008D7B0D" w:rsidRPr="008D7B0D" w14:paraId="2CDF20C2" w14:textId="77777777" w:rsidTr="008D7B0D">
        <w:trPr>
          <w:tblCellSpacing w:w="15" w:type="dxa"/>
        </w:trPr>
        <w:tc>
          <w:tcPr>
            <w:tcW w:w="0" w:type="auto"/>
            <w:vAlign w:val="center"/>
            <w:hideMark/>
          </w:tcPr>
          <w:p w14:paraId="55C2F24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Протокол підтвердження перенаправлення</w:t>
            </w:r>
          </w:p>
        </w:tc>
        <w:tc>
          <w:tcPr>
            <w:tcW w:w="0" w:type="auto"/>
            <w:vAlign w:val="center"/>
            <w:hideMark/>
          </w:tcPr>
          <w:p w14:paraId="32D4D90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Стандартний механізм зворотного підтвердження від отримувача послуг</w:t>
            </w:r>
          </w:p>
        </w:tc>
        <w:tc>
          <w:tcPr>
            <w:tcW w:w="0" w:type="auto"/>
            <w:vAlign w:val="center"/>
            <w:hideMark/>
          </w:tcPr>
          <w:p w14:paraId="2A9759A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Коротко–середньостроково (0–6 міс.)</w:t>
            </w:r>
          </w:p>
        </w:tc>
        <w:tc>
          <w:tcPr>
            <w:tcW w:w="0" w:type="auto"/>
            <w:vAlign w:val="center"/>
            <w:hideMark/>
          </w:tcPr>
          <w:p w14:paraId="0B565F2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Координаційна група; партнери-провайдери</w:t>
            </w:r>
          </w:p>
        </w:tc>
        <w:tc>
          <w:tcPr>
            <w:tcW w:w="0" w:type="auto"/>
            <w:vAlign w:val="center"/>
            <w:hideMark/>
          </w:tcPr>
          <w:p w14:paraId="0B8C9FE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Телефон/смс, журнал підтверджень</w:t>
            </w:r>
          </w:p>
        </w:tc>
      </w:tr>
      <w:tr w:rsidR="008D7B0D" w:rsidRPr="008D7B0D" w14:paraId="3706EF99" w14:textId="77777777" w:rsidTr="008D7B0D">
        <w:trPr>
          <w:tblCellSpacing w:w="15" w:type="dxa"/>
        </w:trPr>
        <w:tc>
          <w:tcPr>
            <w:tcW w:w="0" w:type="auto"/>
            <w:vAlign w:val="center"/>
            <w:hideMark/>
          </w:tcPr>
          <w:p w14:paraId="06F8830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Мінімальні стандарти санітарно-</w:t>
            </w:r>
            <w:r w:rsidRPr="008D7B0D">
              <w:rPr>
                <w:sz w:val="28"/>
                <w:szCs w:val="28"/>
                <w:lang w:val="ru-UA"/>
              </w:rPr>
              <w:lastRenderedPageBreak/>
              <w:t>гігієнічних умов і приватності</w:t>
            </w:r>
          </w:p>
        </w:tc>
        <w:tc>
          <w:tcPr>
            <w:tcW w:w="0" w:type="auto"/>
            <w:vAlign w:val="center"/>
            <w:hideMark/>
          </w:tcPr>
          <w:p w14:paraId="06C7612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 xml:space="preserve">Чек-лист для центрів, </w:t>
            </w:r>
            <w:r w:rsidRPr="008D7B0D">
              <w:rPr>
                <w:sz w:val="28"/>
                <w:szCs w:val="28"/>
                <w:lang w:val="ru-UA"/>
              </w:rPr>
              <w:lastRenderedPageBreak/>
              <w:t>обладнання базових зон</w:t>
            </w:r>
          </w:p>
        </w:tc>
        <w:tc>
          <w:tcPr>
            <w:tcW w:w="0" w:type="auto"/>
            <w:vAlign w:val="center"/>
            <w:hideMark/>
          </w:tcPr>
          <w:p w14:paraId="29E63B0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Середньостроково (3–9 міс.)</w:t>
            </w:r>
          </w:p>
        </w:tc>
        <w:tc>
          <w:tcPr>
            <w:tcW w:w="0" w:type="auto"/>
            <w:vAlign w:val="center"/>
            <w:hideMark/>
          </w:tcPr>
          <w:p w14:paraId="0073680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xml:space="preserve">Місцева влада; </w:t>
            </w:r>
            <w:r w:rsidRPr="008D7B0D">
              <w:rPr>
                <w:sz w:val="28"/>
                <w:szCs w:val="28"/>
                <w:lang w:val="ru-UA"/>
              </w:rPr>
              <w:lastRenderedPageBreak/>
              <w:t>логістичні служби</w:t>
            </w:r>
          </w:p>
        </w:tc>
        <w:tc>
          <w:tcPr>
            <w:tcW w:w="0" w:type="auto"/>
            <w:vAlign w:val="center"/>
            <w:hideMark/>
          </w:tcPr>
          <w:p w14:paraId="666B221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Матеріали, монтаж, логістика</w:t>
            </w:r>
          </w:p>
        </w:tc>
      </w:tr>
      <w:tr w:rsidR="008D7B0D" w:rsidRPr="008D7B0D" w14:paraId="0B29A768" w14:textId="77777777" w:rsidTr="008D7B0D">
        <w:trPr>
          <w:tblCellSpacing w:w="15" w:type="dxa"/>
        </w:trPr>
        <w:tc>
          <w:tcPr>
            <w:tcW w:w="0" w:type="auto"/>
            <w:vAlign w:val="center"/>
            <w:hideMark/>
          </w:tcPr>
          <w:p w14:paraId="2022847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Пілот адаптованих просторів</w:t>
            </w:r>
          </w:p>
        </w:tc>
        <w:tc>
          <w:tcPr>
            <w:tcW w:w="0" w:type="auto"/>
            <w:vAlign w:val="center"/>
            <w:hideMark/>
          </w:tcPr>
          <w:p w14:paraId="6740B8C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Обладнання пандусів, адаптованих санвузлів у 2–3 центрах</w:t>
            </w:r>
          </w:p>
        </w:tc>
        <w:tc>
          <w:tcPr>
            <w:tcW w:w="0" w:type="auto"/>
            <w:vAlign w:val="center"/>
            <w:hideMark/>
          </w:tcPr>
          <w:p w14:paraId="38FE55B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Середньо/довгостроково (3–12 міс.)</w:t>
            </w:r>
          </w:p>
        </w:tc>
        <w:tc>
          <w:tcPr>
            <w:tcW w:w="0" w:type="auto"/>
            <w:vAlign w:val="center"/>
            <w:hideMark/>
          </w:tcPr>
          <w:p w14:paraId="102AD44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Органи місцевого самоврядування; НУО</w:t>
            </w:r>
          </w:p>
        </w:tc>
        <w:tc>
          <w:tcPr>
            <w:tcW w:w="0" w:type="auto"/>
            <w:vAlign w:val="center"/>
            <w:hideMark/>
          </w:tcPr>
          <w:p w14:paraId="561F55C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Будівельні роботи, обладнання</w:t>
            </w:r>
          </w:p>
        </w:tc>
      </w:tr>
      <w:tr w:rsidR="008D7B0D" w:rsidRPr="008D7B0D" w14:paraId="29CB1701" w14:textId="77777777" w:rsidTr="008D7B0D">
        <w:trPr>
          <w:tblCellSpacing w:w="15" w:type="dxa"/>
        </w:trPr>
        <w:tc>
          <w:tcPr>
            <w:tcW w:w="0" w:type="auto"/>
            <w:vAlign w:val="center"/>
            <w:hideMark/>
          </w:tcPr>
          <w:p w14:paraId="5807EF8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Навчання персоналу з питань захисту та доступності</w:t>
            </w:r>
          </w:p>
        </w:tc>
        <w:tc>
          <w:tcPr>
            <w:tcW w:w="0" w:type="auto"/>
            <w:vAlign w:val="center"/>
            <w:hideMark/>
          </w:tcPr>
          <w:p w14:paraId="437D41C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Модульні тренінги і практичні вправи</w:t>
            </w:r>
          </w:p>
        </w:tc>
        <w:tc>
          <w:tcPr>
            <w:tcW w:w="0" w:type="auto"/>
            <w:vAlign w:val="center"/>
            <w:hideMark/>
          </w:tcPr>
          <w:p w14:paraId="3751FF9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Коротко–середньостроково</w:t>
            </w:r>
          </w:p>
        </w:tc>
        <w:tc>
          <w:tcPr>
            <w:tcW w:w="0" w:type="auto"/>
            <w:vAlign w:val="center"/>
            <w:hideMark/>
          </w:tcPr>
          <w:p w14:paraId="5FC6D41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Регіональні тренери; HR</w:t>
            </w:r>
          </w:p>
        </w:tc>
        <w:tc>
          <w:tcPr>
            <w:tcW w:w="0" w:type="auto"/>
            <w:vAlign w:val="center"/>
            <w:hideMark/>
          </w:tcPr>
          <w:p w14:paraId="69C4465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Методичні матеріали, фасилітатори</w:t>
            </w:r>
          </w:p>
        </w:tc>
      </w:tr>
      <w:tr w:rsidR="008D7B0D" w:rsidRPr="008D7B0D" w14:paraId="1B27742F" w14:textId="77777777" w:rsidTr="008D7B0D">
        <w:trPr>
          <w:tblCellSpacing w:w="15" w:type="dxa"/>
        </w:trPr>
        <w:tc>
          <w:tcPr>
            <w:tcW w:w="0" w:type="auto"/>
            <w:vAlign w:val="center"/>
            <w:hideMark/>
          </w:tcPr>
          <w:p w14:paraId="6F3E38F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Інтеграція даних з реєстрами</w:t>
            </w:r>
          </w:p>
        </w:tc>
        <w:tc>
          <w:tcPr>
            <w:tcW w:w="0" w:type="auto"/>
            <w:vAlign w:val="center"/>
            <w:hideMark/>
          </w:tcPr>
          <w:p w14:paraId="411C06A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План технічної інтеграції з державними реєстрами</w:t>
            </w:r>
          </w:p>
        </w:tc>
        <w:tc>
          <w:tcPr>
            <w:tcW w:w="0" w:type="auto"/>
            <w:vAlign w:val="center"/>
            <w:hideMark/>
          </w:tcPr>
          <w:p w14:paraId="6B3884B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Довгостроково (9–24 міс.)</w:t>
            </w:r>
          </w:p>
        </w:tc>
        <w:tc>
          <w:tcPr>
            <w:tcW w:w="0" w:type="auto"/>
            <w:vAlign w:val="center"/>
            <w:hideMark/>
          </w:tcPr>
          <w:p w14:paraId="724956D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ІТ-відділи; міністерства</w:t>
            </w:r>
          </w:p>
        </w:tc>
        <w:tc>
          <w:tcPr>
            <w:tcW w:w="0" w:type="auto"/>
            <w:vAlign w:val="center"/>
            <w:hideMark/>
          </w:tcPr>
          <w:p w14:paraId="0294A26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Платформи, техпідтримка, бюджет</w:t>
            </w:r>
          </w:p>
        </w:tc>
      </w:tr>
    </w:tbl>
    <w:p w14:paraId="6CC716C1" w14:textId="77777777" w:rsidR="00334C25" w:rsidRPr="008D7B0D" w:rsidRDefault="00334C25" w:rsidP="008D7B0D">
      <w:pPr>
        <w:rPr>
          <w:color w:val="000000" w:themeColor="text1"/>
          <w:sz w:val="28"/>
          <w:szCs w:val="28"/>
        </w:rPr>
      </w:pPr>
    </w:p>
    <w:p w14:paraId="004BB2C8" w14:textId="4FA6EDD1" w:rsidR="00334C25" w:rsidRPr="008D7B0D" w:rsidRDefault="008D7B0D" w:rsidP="008D7B0D">
      <w:pPr>
        <w:rPr>
          <w:color w:val="000000" w:themeColor="text1"/>
          <w:sz w:val="28"/>
          <w:szCs w:val="28"/>
        </w:rPr>
      </w:pPr>
      <w:r w:rsidRPr="008D7B0D">
        <w:rPr>
          <w:color w:val="000000" w:themeColor="text1"/>
          <w:sz w:val="28"/>
          <w:szCs w:val="28"/>
        </w:rPr>
        <w:t>Таблиця 3 — Панель показників ефективності (робочі показники)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7"/>
        <w:gridCol w:w="1627"/>
        <w:gridCol w:w="1835"/>
        <w:gridCol w:w="1572"/>
        <w:gridCol w:w="1056"/>
        <w:gridCol w:w="1081"/>
        <w:gridCol w:w="1528"/>
      </w:tblGrid>
      <w:tr w:rsidR="008D7B0D" w:rsidRPr="008D7B0D" w14:paraId="24D74965" w14:textId="77777777" w:rsidTr="008D7B0D">
        <w:trPr>
          <w:tblHeader/>
          <w:tblCellSpacing w:w="15" w:type="dxa"/>
        </w:trPr>
        <w:tc>
          <w:tcPr>
            <w:tcW w:w="0" w:type="auto"/>
            <w:vAlign w:val="center"/>
            <w:hideMark/>
          </w:tcPr>
          <w:p w14:paraId="2733C0AB"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w:t>
            </w:r>
          </w:p>
        </w:tc>
        <w:tc>
          <w:tcPr>
            <w:tcW w:w="0" w:type="auto"/>
            <w:vAlign w:val="center"/>
            <w:hideMark/>
          </w:tcPr>
          <w:p w14:paraId="07733624"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Показник</w:t>
            </w:r>
          </w:p>
        </w:tc>
        <w:tc>
          <w:tcPr>
            <w:tcW w:w="0" w:type="auto"/>
            <w:vAlign w:val="center"/>
            <w:hideMark/>
          </w:tcPr>
          <w:p w14:paraId="69F0CAA2"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Метод збору</w:t>
            </w:r>
          </w:p>
        </w:tc>
        <w:tc>
          <w:tcPr>
            <w:tcW w:w="0" w:type="auto"/>
            <w:vAlign w:val="center"/>
            <w:hideMark/>
          </w:tcPr>
          <w:p w14:paraId="559A9499"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Джерело даних</w:t>
            </w:r>
          </w:p>
        </w:tc>
        <w:tc>
          <w:tcPr>
            <w:tcW w:w="0" w:type="auto"/>
            <w:vAlign w:val="center"/>
            <w:hideMark/>
          </w:tcPr>
          <w:p w14:paraId="26439311"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Базова лінія</w:t>
            </w:r>
          </w:p>
        </w:tc>
        <w:tc>
          <w:tcPr>
            <w:tcW w:w="0" w:type="auto"/>
            <w:vAlign w:val="center"/>
            <w:hideMark/>
          </w:tcPr>
          <w:p w14:paraId="096DB2B8"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Ціль</w:t>
            </w:r>
          </w:p>
        </w:tc>
        <w:tc>
          <w:tcPr>
            <w:tcW w:w="0" w:type="auto"/>
            <w:vAlign w:val="center"/>
            <w:hideMark/>
          </w:tcPr>
          <w:p w14:paraId="506DF185"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Періодичність</w:t>
            </w:r>
          </w:p>
        </w:tc>
      </w:tr>
      <w:tr w:rsidR="008D7B0D" w:rsidRPr="008D7B0D" w14:paraId="51E0FBB1" w14:textId="77777777" w:rsidTr="008D7B0D">
        <w:trPr>
          <w:tblCellSpacing w:w="15" w:type="dxa"/>
        </w:trPr>
        <w:tc>
          <w:tcPr>
            <w:tcW w:w="0" w:type="auto"/>
            <w:vAlign w:val="center"/>
            <w:hideMark/>
          </w:tcPr>
          <w:p w14:paraId="7227658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1</w:t>
            </w:r>
          </w:p>
        </w:tc>
        <w:tc>
          <w:tcPr>
            <w:tcW w:w="0" w:type="auto"/>
            <w:vAlign w:val="center"/>
            <w:hideMark/>
          </w:tcPr>
          <w:p w14:paraId="6C6E007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xml:space="preserve">Частка прибулих, </w:t>
            </w:r>
            <w:r w:rsidRPr="008D7B0D">
              <w:rPr>
                <w:sz w:val="28"/>
                <w:szCs w:val="28"/>
                <w:lang w:val="ru-UA"/>
              </w:rPr>
              <w:lastRenderedPageBreak/>
              <w:t>зареєстрованих протягом 24 год.</w:t>
            </w:r>
          </w:p>
        </w:tc>
        <w:tc>
          <w:tcPr>
            <w:tcW w:w="0" w:type="auto"/>
            <w:vAlign w:val="center"/>
            <w:hideMark/>
          </w:tcPr>
          <w:p w14:paraId="5313F58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Реєстраційний журнал</w:t>
            </w:r>
          </w:p>
        </w:tc>
        <w:tc>
          <w:tcPr>
            <w:tcW w:w="0" w:type="auto"/>
            <w:vAlign w:val="center"/>
            <w:hideMark/>
          </w:tcPr>
          <w:p w14:paraId="3FBFD77F"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Реєстраційна база</w:t>
            </w:r>
          </w:p>
        </w:tc>
        <w:tc>
          <w:tcPr>
            <w:tcW w:w="0" w:type="auto"/>
            <w:vAlign w:val="center"/>
            <w:hideMark/>
          </w:tcPr>
          <w:p w14:paraId="3DBB029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(вставити)</w:t>
            </w:r>
          </w:p>
        </w:tc>
        <w:tc>
          <w:tcPr>
            <w:tcW w:w="0" w:type="auto"/>
            <w:vAlign w:val="center"/>
            <w:hideMark/>
          </w:tcPr>
          <w:p w14:paraId="4A5F6AC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90 %</w:t>
            </w:r>
          </w:p>
        </w:tc>
        <w:tc>
          <w:tcPr>
            <w:tcW w:w="0" w:type="auto"/>
            <w:vAlign w:val="center"/>
            <w:hideMark/>
          </w:tcPr>
          <w:p w14:paraId="4990C4F6"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Щотижня</w:t>
            </w:r>
          </w:p>
        </w:tc>
      </w:tr>
      <w:tr w:rsidR="008D7B0D" w:rsidRPr="008D7B0D" w14:paraId="5335E447" w14:textId="77777777" w:rsidTr="008D7B0D">
        <w:trPr>
          <w:tblCellSpacing w:w="15" w:type="dxa"/>
        </w:trPr>
        <w:tc>
          <w:tcPr>
            <w:tcW w:w="0" w:type="auto"/>
            <w:vAlign w:val="center"/>
            <w:hideMark/>
          </w:tcPr>
          <w:p w14:paraId="3F24857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2</w:t>
            </w:r>
          </w:p>
        </w:tc>
        <w:tc>
          <w:tcPr>
            <w:tcW w:w="0" w:type="auto"/>
            <w:vAlign w:val="center"/>
            <w:hideMark/>
          </w:tcPr>
          <w:p w14:paraId="77215A6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Частка перенаправлень, підтверджених як завершені</w:t>
            </w:r>
          </w:p>
        </w:tc>
        <w:tc>
          <w:tcPr>
            <w:tcW w:w="0" w:type="auto"/>
            <w:vAlign w:val="center"/>
            <w:hideMark/>
          </w:tcPr>
          <w:p w14:paraId="5597283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Журнал підтверджень</w:t>
            </w:r>
          </w:p>
        </w:tc>
        <w:tc>
          <w:tcPr>
            <w:tcW w:w="0" w:type="auto"/>
            <w:vAlign w:val="center"/>
            <w:hideMark/>
          </w:tcPr>
          <w:p w14:paraId="22EFBD26"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Протоколи перенаправлень</w:t>
            </w:r>
          </w:p>
        </w:tc>
        <w:tc>
          <w:tcPr>
            <w:tcW w:w="0" w:type="auto"/>
            <w:vAlign w:val="center"/>
            <w:hideMark/>
          </w:tcPr>
          <w:p w14:paraId="6238207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(вставити)</w:t>
            </w:r>
          </w:p>
        </w:tc>
        <w:tc>
          <w:tcPr>
            <w:tcW w:w="0" w:type="auto"/>
            <w:vAlign w:val="center"/>
            <w:hideMark/>
          </w:tcPr>
          <w:p w14:paraId="1E43326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80 %</w:t>
            </w:r>
          </w:p>
        </w:tc>
        <w:tc>
          <w:tcPr>
            <w:tcW w:w="0" w:type="auto"/>
            <w:vAlign w:val="center"/>
            <w:hideMark/>
          </w:tcPr>
          <w:p w14:paraId="12F16ED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Щомісяця</w:t>
            </w:r>
          </w:p>
        </w:tc>
      </w:tr>
      <w:tr w:rsidR="008D7B0D" w:rsidRPr="008D7B0D" w14:paraId="216CFC0F" w14:textId="77777777" w:rsidTr="008D7B0D">
        <w:trPr>
          <w:tblCellSpacing w:w="15" w:type="dxa"/>
        </w:trPr>
        <w:tc>
          <w:tcPr>
            <w:tcW w:w="0" w:type="auto"/>
            <w:vAlign w:val="center"/>
            <w:hideMark/>
          </w:tcPr>
          <w:p w14:paraId="55835E2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3</w:t>
            </w:r>
          </w:p>
        </w:tc>
        <w:tc>
          <w:tcPr>
            <w:tcW w:w="0" w:type="auto"/>
            <w:vAlign w:val="center"/>
            <w:hideMark/>
          </w:tcPr>
          <w:p w14:paraId="2BBF8FE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Частка центрів, що відповідають мінімальним санітарним вимогам</w:t>
            </w:r>
          </w:p>
        </w:tc>
        <w:tc>
          <w:tcPr>
            <w:tcW w:w="0" w:type="auto"/>
            <w:vAlign w:val="center"/>
            <w:hideMark/>
          </w:tcPr>
          <w:p w14:paraId="6F0152CF"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Аудит за чек-листом</w:t>
            </w:r>
          </w:p>
        </w:tc>
        <w:tc>
          <w:tcPr>
            <w:tcW w:w="0" w:type="auto"/>
            <w:vAlign w:val="center"/>
            <w:hideMark/>
          </w:tcPr>
          <w:p w14:paraId="20D2B5A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Акти інспекції</w:t>
            </w:r>
          </w:p>
        </w:tc>
        <w:tc>
          <w:tcPr>
            <w:tcW w:w="0" w:type="auto"/>
            <w:vAlign w:val="center"/>
            <w:hideMark/>
          </w:tcPr>
          <w:p w14:paraId="4E8EA0A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(вставити)</w:t>
            </w:r>
          </w:p>
        </w:tc>
        <w:tc>
          <w:tcPr>
            <w:tcW w:w="0" w:type="auto"/>
            <w:vAlign w:val="center"/>
            <w:hideMark/>
          </w:tcPr>
          <w:p w14:paraId="50B6053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75 %</w:t>
            </w:r>
          </w:p>
        </w:tc>
        <w:tc>
          <w:tcPr>
            <w:tcW w:w="0" w:type="auto"/>
            <w:vAlign w:val="center"/>
            <w:hideMark/>
          </w:tcPr>
          <w:p w14:paraId="71F364C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Щомісяця</w:t>
            </w:r>
          </w:p>
        </w:tc>
      </w:tr>
      <w:tr w:rsidR="008D7B0D" w:rsidRPr="008D7B0D" w14:paraId="1A97CD8C" w14:textId="77777777" w:rsidTr="008D7B0D">
        <w:trPr>
          <w:tblCellSpacing w:w="15" w:type="dxa"/>
        </w:trPr>
        <w:tc>
          <w:tcPr>
            <w:tcW w:w="0" w:type="auto"/>
            <w:vAlign w:val="center"/>
            <w:hideMark/>
          </w:tcPr>
          <w:p w14:paraId="6D0E8AE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4</w:t>
            </w:r>
          </w:p>
        </w:tc>
        <w:tc>
          <w:tcPr>
            <w:tcW w:w="0" w:type="auto"/>
            <w:vAlign w:val="center"/>
            <w:hideMark/>
          </w:tcPr>
          <w:p w14:paraId="61F4071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Середній час від реєстрації до надання первинної медичної допомоги</w:t>
            </w:r>
          </w:p>
        </w:tc>
        <w:tc>
          <w:tcPr>
            <w:tcW w:w="0" w:type="auto"/>
            <w:vAlign w:val="center"/>
            <w:hideMark/>
          </w:tcPr>
          <w:p w14:paraId="69C05C76"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Лог кейсу</w:t>
            </w:r>
          </w:p>
        </w:tc>
        <w:tc>
          <w:tcPr>
            <w:tcW w:w="0" w:type="auto"/>
            <w:vAlign w:val="center"/>
            <w:hideMark/>
          </w:tcPr>
          <w:p w14:paraId="13A7FEA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Медичні записи</w:t>
            </w:r>
          </w:p>
        </w:tc>
        <w:tc>
          <w:tcPr>
            <w:tcW w:w="0" w:type="auto"/>
            <w:vAlign w:val="center"/>
            <w:hideMark/>
          </w:tcPr>
          <w:p w14:paraId="2EE1E43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(вставити)</w:t>
            </w:r>
          </w:p>
        </w:tc>
        <w:tc>
          <w:tcPr>
            <w:tcW w:w="0" w:type="auto"/>
            <w:vAlign w:val="center"/>
            <w:hideMark/>
          </w:tcPr>
          <w:p w14:paraId="2AFD537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48 год.</w:t>
            </w:r>
          </w:p>
        </w:tc>
        <w:tc>
          <w:tcPr>
            <w:tcW w:w="0" w:type="auto"/>
            <w:vAlign w:val="center"/>
            <w:hideMark/>
          </w:tcPr>
          <w:p w14:paraId="5377161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Щомісяця</w:t>
            </w:r>
          </w:p>
        </w:tc>
      </w:tr>
      <w:tr w:rsidR="008D7B0D" w:rsidRPr="008D7B0D" w14:paraId="7B4E3176" w14:textId="77777777" w:rsidTr="008D7B0D">
        <w:trPr>
          <w:tblCellSpacing w:w="15" w:type="dxa"/>
        </w:trPr>
        <w:tc>
          <w:tcPr>
            <w:tcW w:w="0" w:type="auto"/>
            <w:vAlign w:val="center"/>
            <w:hideMark/>
          </w:tcPr>
          <w:p w14:paraId="4CB52F2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5</w:t>
            </w:r>
          </w:p>
        </w:tc>
        <w:tc>
          <w:tcPr>
            <w:tcW w:w="0" w:type="auto"/>
            <w:vAlign w:val="center"/>
            <w:hideMark/>
          </w:tcPr>
          <w:p w14:paraId="5DDDD276"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Частка осіб з інвалідністю, які отримали адаптовані послуги</w:t>
            </w:r>
          </w:p>
        </w:tc>
        <w:tc>
          <w:tcPr>
            <w:tcW w:w="0" w:type="auto"/>
            <w:vAlign w:val="center"/>
            <w:hideMark/>
          </w:tcPr>
          <w:p w14:paraId="21DFF20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Вибіркові опитування/реєстр</w:t>
            </w:r>
          </w:p>
        </w:tc>
        <w:tc>
          <w:tcPr>
            <w:tcW w:w="0" w:type="auto"/>
            <w:vAlign w:val="center"/>
            <w:hideMark/>
          </w:tcPr>
          <w:p w14:paraId="2754C55F"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Реєстр вразливих груп</w:t>
            </w:r>
          </w:p>
        </w:tc>
        <w:tc>
          <w:tcPr>
            <w:tcW w:w="0" w:type="auto"/>
            <w:vAlign w:val="center"/>
            <w:hideMark/>
          </w:tcPr>
          <w:p w14:paraId="7A24844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(вставити)</w:t>
            </w:r>
          </w:p>
        </w:tc>
        <w:tc>
          <w:tcPr>
            <w:tcW w:w="0" w:type="auto"/>
            <w:vAlign w:val="center"/>
            <w:hideMark/>
          </w:tcPr>
          <w:p w14:paraId="65F3B5E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Поступове зростання до ≥ 70 %</w:t>
            </w:r>
          </w:p>
        </w:tc>
        <w:tc>
          <w:tcPr>
            <w:tcW w:w="0" w:type="auto"/>
            <w:vAlign w:val="center"/>
            <w:hideMark/>
          </w:tcPr>
          <w:p w14:paraId="5195CFB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Квартально</w:t>
            </w:r>
          </w:p>
        </w:tc>
      </w:tr>
      <w:tr w:rsidR="008D7B0D" w:rsidRPr="008D7B0D" w14:paraId="6480D934" w14:textId="77777777" w:rsidTr="008D7B0D">
        <w:trPr>
          <w:tblCellSpacing w:w="15" w:type="dxa"/>
        </w:trPr>
        <w:tc>
          <w:tcPr>
            <w:tcW w:w="0" w:type="auto"/>
            <w:vAlign w:val="center"/>
            <w:hideMark/>
          </w:tcPr>
          <w:p w14:paraId="01CC6C7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6</w:t>
            </w:r>
          </w:p>
        </w:tc>
        <w:tc>
          <w:tcPr>
            <w:tcW w:w="0" w:type="auto"/>
            <w:vAlign w:val="center"/>
            <w:hideMark/>
          </w:tcPr>
          <w:p w14:paraId="1A6AAB3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Рівень задоволеності отримувачів послуг</w:t>
            </w:r>
          </w:p>
        </w:tc>
        <w:tc>
          <w:tcPr>
            <w:tcW w:w="0" w:type="auto"/>
            <w:vAlign w:val="center"/>
            <w:hideMark/>
          </w:tcPr>
          <w:p w14:paraId="093617A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Анкета задоволеності</w:t>
            </w:r>
          </w:p>
        </w:tc>
        <w:tc>
          <w:tcPr>
            <w:tcW w:w="0" w:type="auto"/>
            <w:vAlign w:val="center"/>
            <w:hideMark/>
          </w:tcPr>
          <w:p w14:paraId="7B350EA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Опитування клієнтів</w:t>
            </w:r>
          </w:p>
        </w:tc>
        <w:tc>
          <w:tcPr>
            <w:tcW w:w="0" w:type="auto"/>
            <w:vAlign w:val="center"/>
            <w:hideMark/>
          </w:tcPr>
          <w:p w14:paraId="3D80A32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(вставити)</w:t>
            </w:r>
          </w:p>
        </w:tc>
        <w:tc>
          <w:tcPr>
            <w:tcW w:w="0" w:type="auto"/>
            <w:vAlign w:val="center"/>
            <w:hideMark/>
          </w:tcPr>
          <w:p w14:paraId="0AFF810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Середній бал ≥ 4 з 5</w:t>
            </w:r>
          </w:p>
        </w:tc>
        <w:tc>
          <w:tcPr>
            <w:tcW w:w="0" w:type="auto"/>
            <w:vAlign w:val="center"/>
            <w:hideMark/>
          </w:tcPr>
          <w:p w14:paraId="0704F6E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Квартально</w:t>
            </w:r>
          </w:p>
        </w:tc>
      </w:tr>
    </w:tbl>
    <w:p w14:paraId="21A9B000" w14:textId="77777777" w:rsidR="008D7B0D" w:rsidRPr="008D7B0D" w:rsidRDefault="008D7B0D" w:rsidP="008D7B0D">
      <w:pPr>
        <w:rPr>
          <w:color w:val="000000" w:themeColor="text1"/>
          <w:sz w:val="28"/>
          <w:szCs w:val="28"/>
        </w:rPr>
      </w:pPr>
    </w:p>
    <w:p w14:paraId="382D27F8" w14:textId="310355FD" w:rsidR="00334C25" w:rsidRPr="008D7B0D" w:rsidRDefault="008D7B0D" w:rsidP="008D7B0D">
      <w:pPr>
        <w:rPr>
          <w:color w:val="000000" w:themeColor="text1"/>
          <w:sz w:val="28"/>
          <w:szCs w:val="28"/>
        </w:rPr>
      </w:pPr>
      <w:r w:rsidRPr="008D7B0D">
        <w:rPr>
          <w:color w:val="000000" w:themeColor="text1"/>
          <w:sz w:val="28"/>
          <w:szCs w:val="28"/>
        </w:rPr>
        <w:t xml:space="preserve">Таблиця 4 — </w:t>
      </w:r>
      <w:proofErr w:type="spellStart"/>
      <w:r w:rsidRPr="008D7B0D">
        <w:rPr>
          <w:color w:val="000000" w:themeColor="text1"/>
          <w:sz w:val="28"/>
          <w:szCs w:val="28"/>
        </w:rPr>
        <w:t>Пріоритизація</w:t>
      </w:r>
      <w:proofErr w:type="spellEnd"/>
      <w:r w:rsidRPr="008D7B0D">
        <w:rPr>
          <w:color w:val="000000" w:themeColor="text1"/>
          <w:sz w:val="28"/>
          <w:szCs w:val="28"/>
        </w:rPr>
        <w:t xml:space="preserve"> ризиків і заходи мінімізації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3"/>
        <w:gridCol w:w="1689"/>
        <w:gridCol w:w="1420"/>
        <w:gridCol w:w="1008"/>
        <w:gridCol w:w="1120"/>
        <w:gridCol w:w="1651"/>
        <w:gridCol w:w="1795"/>
      </w:tblGrid>
      <w:tr w:rsidR="008D7B0D" w:rsidRPr="008D7B0D" w14:paraId="653490C8" w14:textId="77777777" w:rsidTr="008D7B0D">
        <w:trPr>
          <w:tblHeader/>
          <w:tblCellSpacing w:w="15" w:type="dxa"/>
        </w:trPr>
        <w:tc>
          <w:tcPr>
            <w:tcW w:w="0" w:type="auto"/>
            <w:vAlign w:val="center"/>
            <w:hideMark/>
          </w:tcPr>
          <w:p w14:paraId="0C82C5E8"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w:t>
            </w:r>
          </w:p>
        </w:tc>
        <w:tc>
          <w:tcPr>
            <w:tcW w:w="0" w:type="auto"/>
            <w:vAlign w:val="center"/>
            <w:hideMark/>
          </w:tcPr>
          <w:p w14:paraId="0FEF0F5B"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Ризик</w:t>
            </w:r>
          </w:p>
        </w:tc>
        <w:tc>
          <w:tcPr>
            <w:tcW w:w="0" w:type="auto"/>
            <w:vAlign w:val="center"/>
            <w:hideMark/>
          </w:tcPr>
          <w:p w14:paraId="612CC0C4"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Ймовірність</w:t>
            </w:r>
          </w:p>
        </w:tc>
        <w:tc>
          <w:tcPr>
            <w:tcW w:w="0" w:type="auto"/>
            <w:vAlign w:val="center"/>
            <w:hideMark/>
          </w:tcPr>
          <w:p w14:paraId="0CEC0D93"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Вплив</w:t>
            </w:r>
          </w:p>
        </w:tc>
        <w:tc>
          <w:tcPr>
            <w:tcW w:w="0" w:type="auto"/>
            <w:vAlign w:val="center"/>
            <w:hideMark/>
          </w:tcPr>
          <w:p w14:paraId="56D1893B"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Рівень ризику</w:t>
            </w:r>
          </w:p>
        </w:tc>
        <w:tc>
          <w:tcPr>
            <w:tcW w:w="0" w:type="auto"/>
            <w:vAlign w:val="center"/>
            <w:hideMark/>
          </w:tcPr>
          <w:p w14:paraId="3F8A8B8D"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Заходи мінімізації</w:t>
            </w:r>
          </w:p>
        </w:tc>
        <w:tc>
          <w:tcPr>
            <w:tcW w:w="0" w:type="auto"/>
            <w:vAlign w:val="center"/>
            <w:hideMark/>
          </w:tcPr>
          <w:p w14:paraId="41188860"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Відповідальний</w:t>
            </w:r>
          </w:p>
        </w:tc>
      </w:tr>
      <w:tr w:rsidR="008D7B0D" w:rsidRPr="008D7B0D" w14:paraId="1B38FD4B" w14:textId="77777777" w:rsidTr="008D7B0D">
        <w:trPr>
          <w:tblCellSpacing w:w="15" w:type="dxa"/>
        </w:trPr>
        <w:tc>
          <w:tcPr>
            <w:tcW w:w="0" w:type="auto"/>
            <w:vAlign w:val="center"/>
            <w:hideMark/>
          </w:tcPr>
          <w:p w14:paraId="2CA3348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1</w:t>
            </w:r>
          </w:p>
        </w:tc>
        <w:tc>
          <w:tcPr>
            <w:tcW w:w="0" w:type="auto"/>
            <w:vAlign w:val="center"/>
            <w:hideMark/>
          </w:tcPr>
          <w:p w14:paraId="0C23F4A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Затримки реєстрації (&gt;24 год.)</w:t>
            </w:r>
          </w:p>
        </w:tc>
        <w:tc>
          <w:tcPr>
            <w:tcW w:w="0" w:type="auto"/>
            <w:vAlign w:val="center"/>
            <w:hideMark/>
          </w:tcPr>
          <w:p w14:paraId="5A6D153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Висока</w:t>
            </w:r>
          </w:p>
        </w:tc>
        <w:tc>
          <w:tcPr>
            <w:tcW w:w="0" w:type="auto"/>
            <w:vAlign w:val="center"/>
            <w:hideMark/>
          </w:tcPr>
          <w:p w14:paraId="25D4A0F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Високий</w:t>
            </w:r>
          </w:p>
        </w:tc>
        <w:tc>
          <w:tcPr>
            <w:tcW w:w="0" w:type="auto"/>
            <w:vAlign w:val="center"/>
            <w:hideMark/>
          </w:tcPr>
          <w:p w14:paraId="692F514F"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Високий</w:t>
            </w:r>
          </w:p>
        </w:tc>
        <w:tc>
          <w:tcPr>
            <w:tcW w:w="0" w:type="auto"/>
            <w:vAlign w:val="center"/>
            <w:hideMark/>
          </w:tcPr>
          <w:p w14:paraId="574F250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Уніфікація форми; зміни графіка роботи</w:t>
            </w:r>
          </w:p>
        </w:tc>
        <w:tc>
          <w:tcPr>
            <w:tcW w:w="0" w:type="auto"/>
            <w:vAlign w:val="center"/>
            <w:hideMark/>
          </w:tcPr>
          <w:p w14:paraId="124C7BE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Центр; органи самоврядування</w:t>
            </w:r>
          </w:p>
        </w:tc>
      </w:tr>
      <w:tr w:rsidR="008D7B0D" w:rsidRPr="008D7B0D" w14:paraId="0D856DF6" w14:textId="77777777" w:rsidTr="008D7B0D">
        <w:trPr>
          <w:tblCellSpacing w:w="15" w:type="dxa"/>
        </w:trPr>
        <w:tc>
          <w:tcPr>
            <w:tcW w:w="0" w:type="auto"/>
            <w:vAlign w:val="center"/>
            <w:hideMark/>
          </w:tcPr>
          <w:p w14:paraId="7459F39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2</w:t>
            </w:r>
          </w:p>
        </w:tc>
        <w:tc>
          <w:tcPr>
            <w:tcW w:w="0" w:type="auto"/>
            <w:vAlign w:val="center"/>
            <w:hideMark/>
          </w:tcPr>
          <w:p w14:paraId="39E2134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Недостатня приватність і санітарія</w:t>
            </w:r>
          </w:p>
        </w:tc>
        <w:tc>
          <w:tcPr>
            <w:tcW w:w="0" w:type="auto"/>
            <w:vAlign w:val="center"/>
            <w:hideMark/>
          </w:tcPr>
          <w:p w14:paraId="3109C87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Середня</w:t>
            </w:r>
          </w:p>
        </w:tc>
        <w:tc>
          <w:tcPr>
            <w:tcW w:w="0" w:type="auto"/>
            <w:vAlign w:val="center"/>
            <w:hideMark/>
          </w:tcPr>
          <w:p w14:paraId="5F5CFA0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Високий</w:t>
            </w:r>
          </w:p>
        </w:tc>
        <w:tc>
          <w:tcPr>
            <w:tcW w:w="0" w:type="auto"/>
            <w:vAlign w:val="center"/>
            <w:hideMark/>
          </w:tcPr>
          <w:p w14:paraId="0CF125E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Середньо-високий</w:t>
            </w:r>
          </w:p>
        </w:tc>
        <w:tc>
          <w:tcPr>
            <w:tcW w:w="0" w:type="auto"/>
            <w:vAlign w:val="center"/>
            <w:hideMark/>
          </w:tcPr>
          <w:p w14:paraId="1A48DC3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xml:space="preserve">Тимчасові перегородки; мінімальний </w:t>
            </w:r>
            <w:r w:rsidRPr="008D7B0D">
              <w:rPr>
                <w:sz w:val="28"/>
                <w:szCs w:val="28"/>
                <w:lang w:val="ru-UA"/>
              </w:rPr>
              <w:lastRenderedPageBreak/>
              <w:t>пакет матеріалів</w:t>
            </w:r>
          </w:p>
        </w:tc>
        <w:tc>
          <w:tcPr>
            <w:tcW w:w="0" w:type="auto"/>
            <w:vAlign w:val="center"/>
            <w:hideMark/>
          </w:tcPr>
          <w:p w14:paraId="783467F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Логістичний підрозділ; НУО</w:t>
            </w:r>
          </w:p>
        </w:tc>
      </w:tr>
      <w:tr w:rsidR="008D7B0D" w:rsidRPr="008D7B0D" w14:paraId="49EE855C" w14:textId="77777777" w:rsidTr="008D7B0D">
        <w:trPr>
          <w:tblCellSpacing w:w="15" w:type="dxa"/>
        </w:trPr>
        <w:tc>
          <w:tcPr>
            <w:tcW w:w="0" w:type="auto"/>
            <w:vAlign w:val="center"/>
            <w:hideMark/>
          </w:tcPr>
          <w:p w14:paraId="52D83A2D"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3</w:t>
            </w:r>
          </w:p>
        </w:tc>
        <w:tc>
          <w:tcPr>
            <w:tcW w:w="0" w:type="auto"/>
            <w:vAlign w:val="center"/>
            <w:hideMark/>
          </w:tcPr>
          <w:p w14:paraId="4C3CB8F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Невиконання перенаправлень</w:t>
            </w:r>
          </w:p>
        </w:tc>
        <w:tc>
          <w:tcPr>
            <w:tcW w:w="0" w:type="auto"/>
            <w:vAlign w:val="center"/>
            <w:hideMark/>
          </w:tcPr>
          <w:p w14:paraId="50900BA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Середня</w:t>
            </w:r>
          </w:p>
        </w:tc>
        <w:tc>
          <w:tcPr>
            <w:tcW w:w="0" w:type="auto"/>
            <w:vAlign w:val="center"/>
            <w:hideMark/>
          </w:tcPr>
          <w:p w14:paraId="411B1906"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Середній</w:t>
            </w:r>
          </w:p>
        </w:tc>
        <w:tc>
          <w:tcPr>
            <w:tcW w:w="0" w:type="auto"/>
            <w:vAlign w:val="center"/>
            <w:hideMark/>
          </w:tcPr>
          <w:p w14:paraId="479BC67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Середній</w:t>
            </w:r>
          </w:p>
        </w:tc>
        <w:tc>
          <w:tcPr>
            <w:tcW w:w="0" w:type="auto"/>
            <w:vAlign w:val="center"/>
            <w:hideMark/>
          </w:tcPr>
          <w:p w14:paraId="3E1A4B9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Протокол підтвердження; угоди з партнерами</w:t>
            </w:r>
          </w:p>
        </w:tc>
        <w:tc>
          <w:tcPr>
            <w:tcW w:w="0" w:type="auto"/>
            <w:vAlign w:val="center"/>
            <w:hideMark/>
          </w:tcPr>
          <w:p w14:paraId="11D2400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Координаційна група</w:t>
            </w:r>
          </w:p>
        </w:tc>
      </w:tr>
      <w:tr w:rsidR="008D7B0D" w:rsidRPr="008D7B0D" w14:paraId="68118C85" w14:textId="77777777" w:rsidTr="008D7B0D">
        <w:trPr>
          <w:tblCellSpacing w:w="15" w:type="dxa"/>
        </w:trPr>
        <w:tc>
          <w:tcPr>
            <w:tcW w:w="0" w:type="auto"/>
            <w:vAlign w:val="center"/>
            <w:hideMark/>
          </w:tcPr>
          <w:p w14:paraId="5E7F053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4</w:t>
            </w:r>
          </w:p>
        </w:tc>
        <w:tc>
          <w:tcPr>
            <w:tcW w:w="0" w:type="auto"/>
            <w:vAlign w:val="center"/>
            <w:hideMark/>
          </w:tcPr>
          <w:p w14:paraId="49F722C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Порушення збереження персональних даних</w:t>
            </w:r>
          </w:p>
        </w:tc>
        <w:tc>
          <w:tcPr>
            <w:tcW w:w="0" w:type="auto"/>
            <w:vAlign w:val="center"/>
            <w:hideMark/>
          </w:tcPr>
          <w:p w14:paraId="28FE47C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Низька</w:t>
            </w:r>
          </w:p>
        </w:tc>
        <w:tc>
          <w:tcPr>
            <w:tcW w:w="0" w:type="auto"/>
            <w:vAlign w:val="center"/>
            <w:hideMark/>
          </w:tcPr>
          <w:p w14:paraId="3E1426B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Високий</w:t>
            </w:r>
          </w:p>
        </w:tc>
        <w:tc>
          <w:tcPr>
            <w:tcW w:w="0" w:type="auto"/>
            <w:vAlign w:val="center"/>
            <w:hideMark/>
          </w:tcPr>
          <w:p w14:paraId="261ECFC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Середній</w:t>
            </w:r>
          </w:p>
        </w:tc>
        <w:tc>
          <w:tcPr>
            <w:tcW w:w="0" w:type="auto"/>
            <w:vAlign w:val="center"/>
            <w:hideMark/>
          </w:tcPr>
          <w:p w14:paraId="07165BE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Політика збереження; навчання персоналу</w:t>
            </w:r>
          </w:p>
        </w:tc>
        <w:tc>
          <w:tcPr>
            <w:tcW w:w="0" w:type="auto"/>
            <w:vAlign w:val="center"/>
            <w:hideMark/>
          </w:tcPr>
          <w:p w14:paraId="7FCFF5B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ІТ-відділ; юридичний відділ</w:t>
            </w:r>
          </w:p>
        </w:tc>
      </w:tr>
      <w:tr w:rsidR="008D7B0D" w:rsidRPr="008D7B0D" w14:paraId="4D2FD060" w14:textId="77777777" w:rsidTr="008D7B0D">
        <w:trPr>
          <w:tblCellSpacing w:w="15" w:type="dxa"/>
        </w:trPr>
        <w:tc>
          <w:tcPr>
            <w:tcW w:w="0" w:type="auto"/>
            <w:vAlign w:val="center"/>
            <w:hideMark/>
          </w:tcPr>
          <w:p w14:paraId="0448C8E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5</w:t>
            </w:r>
          </w:p>
        </w:tc>
        <w:tc>
          <w:tcPr>
            <w:tcW w:w="0" w:type="auto"/>
            <w:vAlign w:val="center"/>
            <w:hideMark/>
          </w:tcPr>
          <w:p w14:paraId="774EE4D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Соціальна напруга через нерівність доступу</w:t>
            </w:r>
          </w:p>
        </w:tc>
        <w:tc>
          <w:tcPr>
            <w:tcW w:w="0" w:type="auto"/>
            <w:vAlign w:val="center"/>
            <w:hideMark/>
          </w:tcPr>
          <w:p w14:paraId="28ADA6B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Середня</w:t>
            </w:r>
          </w:p>
        </w:tc>
        <w:tc>
          <w:tcPr>
            <w:tcW w:w="0" w:type="auto"/>
            <w:vAlign w:val="center"/>
            <w:hideMark/>
          </w:tcPr>
          <w:p w14:paraId="28E133D0"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Високий</w:t>
            </w:r>
          </w:p>
        </w:tc>
        <w:tc>
          <w:tcPr>
            <w:tcW w:w="0" w:type="auto"/>
            <w:vAlign w:val="center"/>
            <w:hideMark/>
          </w:tcPr>
          <w:p w14:paraId="628D860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Середньо-високий</w:t>
            </w:r>
          </w:p>
        </w:tc>
        <w:tc>
          <w:tcPr>
            <w:tcW w:w="0" w:type="auto"/>
            <w:vAlign w:val="center"/>
            <w:hideMark/>
          </w:tcPr>
          <w:p w14:paraId="6A5BC81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Прозорий розподіл ресурсів; зворотний зв’язок</w:t>
            </w:r>
          </w:p>
        </w:tc>
        <w:tc>
          <w:tcPr>
            <w:tcW w:w="0" w:type="auto"/>
            <w:vAlign w:val="center"/>
            <w:hideMark/>
          </w:tcPr>
          <w:p w14:paraId="5E17AC0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Місцева влада; комунікаційний підрозділ</w:t>
            </w:r>
          </w:p>
        </w:tc>
      </w:tr>
    </w:tbl>
    <w:p w14:paraId="617DF056" w14:textId="77777777" w:rsidR="008D7B0D" w:rsidRPr="008D7B0D" w:rsidRDefault="008D7B0D" w:rsidP="008D7B0D">
      <w:pPr>
        <w:rPr>
          <w:color w:val="000000" w:themeColor="text1"/>
          <w:sz w:val="28"/>
          <w:szCs w:val="28"/>
        </w:rPr>
      </w:pPr>
    </w:p>
    <w:p w14:paraId="72711F7A" w14:textId="397DCCDA" w:rsidR="00334C25" w:rsidRPr="008D7B0D" w:rsidRDefault="008D7B0D" w:rsidP="008D7B0D">
      <w:pPr>
        <w:rPr>
          <w:color w:val="000000" w:themeColor="text1"/>
          <w:sz w:val="28"/>
          <w:szCs w:val="28"/>
        </w:rPr>
      </w:pPr>
      <w:r w:rsidRPr="008D7B0D">
        <w:rPr>
          <w:color w:val="000000" w:themeColor="text1"/>
          <w:sz w:val="28"/>
          <w:szCs w:val="28"/>
        </w:rPr>
        <w:t xml:space="preserve">Таблиця 5 — План </w:t>
      </w:r>
      <w:proofErr w:type="spellStart"/>
      <w:r w:rsidRPr="008D7B0D">
        <w:rPr>
          <w:color w:val="000000" w:themeColor="text1"/>
          <w:sz w:val="28"/>
          <w:szCs w:val="28"/>
        </w:rPr>
        <w:t>валідації</w:t>
      </w:r>
      <w:proofErr w:type="spellEnd"/>
      <w:r w:rsidRPr="008D7B0D">
        <w:rPr>
          <w:color w:val="000000" w:themeColor="text1"/>
          <w:sz w:val="28"/>
          <w:szCs w:val="28"/>
        </w:rPr>
        <w:t xml:space="preserve"> і контролю якості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3"/>
        <w:gridCol w:w="1937"/>
        <w:gridCol w:w="1904"/>
        <w:gridCol w:w="1705"/>
        <w:gridCol w:w="1647"/>
      </w:tblGrid>
      <w:tr w:rsidR="008D7B0D" w:rsidRPr="008D7B0D" w14:paraId="35C49BB0" w14:textId="77777777" w:rsidTr="008D7B0D">
        <w:trPr>
          <w:tblHeader/>
          <w:tblCellSpacing w:w="15" w:type="dxa"/>
        </w:trPr>
        <w:tc>
          <w:tcPr>
            <w:tcW w:w="0" w:type="auto"/>
            <w:vAlign w:val="center"/>
            <w:hideMark/>
          </w:tcPr>
          <w:p w14:paraId="3A2100DD" w14:textId="7687D1F4" w:rsidR="008D7B0D" w:rsidRPr="008D7B0D" w:rsidRDefault="008D7B0D" w:rsidP="008D7B0D">
            <w:pPr>
              <w:rPr>
                <w:sz w:val="28"/>
                <w:szCs w:val="28"/>
                <w:lang w:val="ru-UA"/>
              </w:rPr>
            </w:pPr>
            <w:r w:rsidRPr="008D7B0D">
              <w:rPr>
                <w:sz w:val="28"/>
                <w:szCs w:val="28"/>
                <w:lang w:val="ru-UA"/>
              </w:rPr>
              <w:t>Крок валідації</w:t>
            </w:r>
          </w:p>
        </w:tc>
        <w:tc>
          <w:tcPr>
            <w:tcW w:w="0" w:type="auto"/>
            <w:vAlign w:val="center"/>
            <w:hideMark/>
          </w:tcPr>
          <w:p w14:paraId="1F2AED56"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Метод</w:t>
            </w:r>
          </w:p>
        </w:tc>
        <w:tc>
          <w:tcPr>
            <w:tcW w:w="0" w:type="auto"/>
            <w:vAlign w:val="center"/>
            <w:hideMark/>
          </w:tcPr>
          <w:p w14:paraId="4CDFC7EB"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Відповідальний</w:t>
            </w:r>
          </w:p>
        </w:tc>
        <w:tc>
          <w:tcPr>
            <w:tcW w:w="0" w:type="auto"/>
            <w:vAlign w:val="center"/>
            <w:hideMark/>
          </w:tcPr>
          <w:p w14:paraId="40056DBE"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Критерій успіху</w:t>
            </w:r>
          </w:p>
        </w:tc>
        <w:tc>
          <w:tcPr>
            <w:tcW w:w="0" w:type="auto"/>
            <w:vAlign w:val="center"/>
            <w:hideMark/>
          </w:tcPr>
          <w:p w14:paraId="2B4FF707" w14:textId="77777777" w:rsidR="008D7B0D" w:rsidRPr="008D7B0D" w:rsidRDefault="008D7B0D" w:rsidP="008D7B0D">
            <w:pPr>
              <w:spacing w:before="100" w:beforeAutospacing="1" w:after="100" w:afterAutospacing="1"/>
              <w:rPr>
                <w:b/>
                <w:bCs/>
                <w:sz w:val="28"/>
                <w:szCs w:val="28"/>
                <w:lang w:val="ru-UA"/>
              </w:rPr>
            </w:pPr>
            <w:r w:rsidRPr="008D7B0D">
              <w:rPr>
                <w:b/>
                <w:bCs/>
                <w:sz w:val="28"/>
                <w:szCs w:val="28"/>
                <w:lang w:val="ru-UA"/>
              </w:rPr>
              <w:t>Термін виконання</w:t>
            </w:r>
          </w:p>
        </w:tc>
      </w:tr>
      <w:tr w:rsidR="008D7B0D" w:rsidRPr="008D7B0D" w14:paraId="14E75F15" w14:textId="77777777" w:rsidTr="008D7B0D">
        <w:trPr>
          <w:tblCellSpacing w:w="15" w:type="dxa"/>
        </w:trPr>
        <w:tc>
          <w:tcPr>
            <w:tcW w:w="0" w:type="auto"/>
            <w:vAlign w:val="center"/>
            <w:hideMark/>
          </w:tcPr>
          <w:p w14:paraId="5295881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Двокодовий перегляд 15 % сегментів</w:t>
            </w:r>
          </w:p>
        </w:tc>
        <w:tc>
          <w:tcPr>
            <w:tcW w:w="0" w:type="auto"/>
            <w:vAlign w:val="center"/>
            <w:hideMark/>
          </w:tcPr>
          <w:p w14:paraId="4D932D2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Повторне кодування іншим аналітиком</w:t>
            </w:r>
          </w:p>
        </w:tc>
        <w:tc>
          <w:tcPr>
            <w:tcW w:w="0" w:type="auto"/>
            <w:vAlign w:val="center"/>
            <w:hideMark/>
          </w:tcPr>
          <w:p w14:paraId="2237231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Головний аналітик + зовнішній рецензент</w:t>
            </w:r>
          </w:p>
        </w:tc>
        <w:tc>
          <w:tcPr>
            <w:tcW w:w="0" w:type="auto"/>
            <w:vAlign w:val="center"/>
            <w:hideMark/>
          </w:tcPr>
          <w:p w14:paraId="384A8DAA"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Узгодженість кодів ≥ 0,8 (коефіцієнт каппа)</w:t>
            </w:r>
          </w:p>
        </w:tc>
        <w:tc>
          <w:tcPr>
            <w:tcW w:w="0" w:type="auto"/>
            <w:vAlign w:val="center"/>
            <w:hideMark/>
          </w:tcPr>
          <w:p w14:paraId="1F2977D8"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1–2 міс.</w:t>
            </w:r>
          </w:p>
        </w:tc>
      </w:tr>
      <w:tr w:rsidR="008D7B0D" w:rsidRPr="008D7B0D" w14:paraId="5045D142" w14:textId="77777777" w:rsidTr="008D7B0D">
        <w:trPr>
          <w:tblCellSpacing w:w="15" w:type="dxa"/>
        </w:trPr>
        <w:tc>
          <w:tcPr>
            <w:tcW w:w="0" w:type="auto"/>
            <w:vAlign w:val="center"/>
            <w:hideMark/>
          </w:tcPr>
          <w:p w14:paraId="0B37524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lastRenderedPageBreak/>
              <w:t>Перевірка завершених перенаправлень</w:t>
            </w:r>
          </w:p>
        </w:tc>
        <w:tc>
          <w:tcPr>
            <w:tcW w:w="0" w:type="auto"/>
            <w:vAlign w:val="center"/>
            <w:hideMark/>
          </w:tcPr>
          <w:p w14:paraId="645CBA6C"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Вибіркова перевірка у партнерів</w:t>
            </w:r>
          </w:p>
        </w:tc>
        <w:tc>
          <w:tcPr>
            <w:tcW w:w="0" w:type="auto"/>
            <w:vAlign w:val="center"/>
            <w:hideMark/>
          </w:tcPr>
          <w:p w14:paraId="54689D6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Координатор супроводу</w:t>
            </w:r>
          </w:p>
        </w:tc>
        <w:tc>
          <w:tcPr>
            <w:tcW w:w="0" w:type="auto"/>
            <w:vAlign w:val="center"/>
            <w:hideMark/>
          </w:tcPr>
          <w:p w14:paraId="4C6B159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80 % підтверджених кейсів</w:t>
            </w:r>
          </w:p>
        </w:tc>
        <w:tc>
          <w:tcPr>
            <w:tcW w:w="0" w:type="auto"/>
            <w:vAlign w:val="center"/>
            <w:hideMark/>
          </w:tcPr>
          <w:p w14:paraId="4327286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Щомісяця (перша перевірка через 3 міс.)</w:t>
            </w:r>
          </w:p>
        </w:tc>
      </w:tr>
      <w:tr w:rsidR="008D7B0D" w:rsidRPr="008D7B0D" w14:paraId="0BF417B2" w14:textId="77777777" w:rsidTr="008D7B0D">
        <w:trPr>
          <w:tblCellSpacing w:w="15" w:type="dxa"/>
        </w:trPr>
        <w:tc>
          <w:tcPr>
            <w:tcW w:w="0" w:type="auto"/>
            <w:vAlign w:val="center"/>
            <w:hideMark/>
          </w:tcPr>
          <w:p w14:paraId="2179A2A7"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Аудит санітарно-гігієнічних стандартів</w:t>
            </w:r>
          </w:p>
        </w:tc>
        <w:tc>
          <w:tcPr>
            <w:tcW w:w="0" w:type="auto"/>
            <w:vAlign w:val="center"/>
            <w:hideMark/>
          </w:tcPr>
          <w:p w14:paraId="526193B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Незалежна інспекція за чек-листом</w:t>
            </w:r>
          </w:p>
        </w:tc>
        <w:tc>
          <w:tcPr>
            <w:tcW w:w="0" w:type="auto"/>
            <w:vAlign w:val="center"/>
            <w:hideMark/>
          </w:tcPr>
          <w:p w14:paraId="046BE1E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Незалежна інспекційна група</w:t>
            </w:r>
          </w:p>
        </w:tc>
        <w:tc>
          <w:tcPr>
            <w:tcW w:w="0" w:type="auto"/>
            <w:vAlign w:val="center"/>
            <w:hideMark/>
          </w:tcPr>
          <w:p w14:paraId="39C5B39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 75 % пунктів виконано</w:t>
            </w:r>
          </w:p>
        </w:tc>
        <w:tc>
          <w:tcPr>
            <w:tcW w:w="0" w:type="auto"/>
            <w:vAlign w:val="center"/>
            <w:hideMark/>
          </w:tcPr>
          <w:p w14:paraId="7087271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3–6 міс.</w:t>
            </w:r>
          </w:p>
        </w:tc>
      </w:tr>
      <w:tr w:rsidR="008D7B0D" w:rsidRPr="008D7B0D" w14:paraId="0C7259F6" w14:textId="77777777" w:rsidTr="008D7B0D">
        <w:trPr>
          <w:tblCellSpacing w:w="15" w:type="dxa"/>
        </w:trPr>
        <w:tc>
          <w:tcPr>
            <w:tcW w:w="0" w:type="auto"/>
            <w:vAlign w:val="center"/>
            <w:hideMark/>
          </w:tcPr>
          <w:p w14:paraId="2E3DB5E5"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Опитування задоволеності отримувачів</w:t>
            </w:r>
          </w:p>
        </w:tc>
        <w:tc>
          <w:tcPr>
            <w:tcW w:w="0" w:type="auto"/>
            <w:vAlign w:val="center"/>
            <w:hideMark/>
          </w:tcPr>
          <w:p w14:paraId="1077EECE"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Стандартизована анкета (N=200)</w:t>
            </w:r>
          </w:p>
        </w:tc>
        <w:tc>
          <w:tcPr>
            <w:tcW w:w="0" w:type="auto"/>
            <w:vAlign w:val="center"/>
            <w:hideMark/>
          </w:tcPr>
          <w:p w14:paraId="64111BC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Відділ моніторингу</w:t>
            </w:r>
          </w:p>
        </w:tc>
        <w:tc>
          <w:tcPr>
            <w:tcW w:w="0" w:type="auto"/>
            <w:vAlign w:val="center"/>
            <w:hideMark/>
          </w:tcPr>
          <w:p w14:paraId="7F64151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Середній бал ≥ 4 з 5</w:t>
            </w:r>
          </w:p>
        </w:tc>
        <w:tc>
          <w:tcPr>
            <w:tcW w:w="0" w:type="auto"/>
            <w:vAlign w:val="center"/>
            <w:hideMark/>
          </w:tcPr>
          <w:p w14:paraId="3D8AAF42"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Квартально</w:t>
            </w:r>
          </w:p>
        </w:tc>
      </w:tr>
      <w:tr w:rsidR="008D7B0D" w:rsidRPr="008D7B0D" w14:paraId="751F4F7F" w14:textId="77777777" w:rsidTr="008D7B0D">
        <w:trPr>
          <w:tblCellSpacing w:w="15" w:type="dxa"/>
        </w:trPr>
        <w:tc>
          <w:tcPr>
            <w:tcW w:w="0" w:type="auto"/>
            <w:vAlign w:val="center"/>
            <w:hideMark/>
          </w:tcPr>
          <w:p w14:paraId="19F1E3D3"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Технічний аудит збереження даних</w:t>
            </w:r>
          </w:p>
        </w:tc>
        <w:tc>
          <w:tcPr>
            <w:tcW w:w="0" w:type="auto"/>
            <w:vAlign w:val="center"/>
            <w:hideMark/>
          </w:tcPr>
          <w:p w14:paraId="6FBDC4A1"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ІТ-аудит політик і баз</w:t>
            </w:r>
          </w:p>
        </w:tc>
        <w:tc>
          <w:tcPr>
            <w:tcW w:w="0" w:type="auto"/>
            <w:vAlign w:val="center"/>
            <w:hideMark/>
          </w:tcPr>
          <w:p w14:paraId="5E2D506B"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ІТ-аудитор</w:t>
            </w:r>
          </w:p>
        </w:tc>
        <w:tc>
          <w:tcPr>
            <w:tcW w:w="0" w:type="auto"/>
            <w:vAlign w:val="center"/>
            <w:hideMark/>
          </w:tcPr>
          <w:p w14:paraId="0B730359"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Відсутність критичних вразливостей</w:t>
            </w:r>
          </w:p>
        </w:tc>
        <w:tc>
          <w:tcPr>
            <w:tcW w:w="0" w:type="auto"/>
            <w:vAlign w:val="center"/>
            <w:hideMark/>
          </w:tcPr>
          <w:p w14:paraId="56542514" w14:textId="77777777" w:rsidR="008D7B0D" w:rsidRPr="008D7B0D" w:rsidRDefault="008D7B0D" w:rsidP="008D7B0D">
            <w:pPr>
              <w:spacing w:before="100" w:beforeAutospacing="1" w:after="100" w:afterAutospacing="1"/>
              <w:rPr>
                <w:sz w:val="28"/>
                <w:szCs w:val="28"/>
                <w:lang w:val="ru-UA"/>
              </w:rPr>
            </w:pPr>
            <w:r w:rsidRPr="008D7B0D">
              <w:rPr>
                <w:sz w:val="28"/>
                <w:szCs w:val="28"/>
                <w:lang w:val="ru-UA"/>
              </w:rPr>
              <w:t>6 міс. після впровадження</w:t>
            </w:r>
          </w:p>
        </w:tc>
      </w:tr>
    </w:tbl>
    <w:p w14:paraId="18ABF365" w14:textId="77777777" w:rsidR="00334C25" w:rsidRPr="008D7B0D" w:rsidRDefault="00334C25" w:rsidP="008D7B0D">
      <w:pPr>
        <w:rPr>
          <w:color w:val="000000" w:themeColor="text1"/>
          <w:sz w:val="28"/>
          <w:szCs w:val="28"/>
        </w:rPr>
      </w:pPr>
    </w:p>
    <w:p w14:paraId="38CF1915" w14:textId="77777777" w:rsidR="00334C25" w:rsidRPr="008D7B0D" w:rsidRDefault="00334C25" w:rsidP="008D7B0D">
      <w:pPr>
        <w:rPr>
          <w:color w:val="000000" w:themeColor="text1"/>
          <w:sz w:val="28"/>
          <w:szCs w:val="28"/>
        </w:rPr>
      </w:pPr>
    </w:p>
    <w:p w14:paraId="0C82C0D7" w14:textId="32C7E93B" w:rsidR="008D7B0D" w:rsidRPr="008D7B0D" w:rsidRDefault="008D7B0D" w:rsidP="008D7B0D">
      <w:pPr>
        <w:rPr>
          <w:color w:val="000000" w:themeColor="text1"/>
          <w:sz w:val="28"/>
          <w:szCs w:val="28"/>
        </w:rPr>
      </w:pPr>
      <w:r w:rsidRPr="008D7B0D">
        <w:rPr>
          <w:color w:val="000000" w:themeColor="text1"/>
          <w:sz w:val="28"/>
          <w:szCs w:val="28"/>
        </w:rPr>
        <w:t>3.4.4. Рекомендації щодо поетапного впровадження</w:t>
      </w:r>
    </w:p>
    <w:p w14:paraId="0F2CBA93" w14:textId="77777777" w:rsidR="008D7B0D" w:rsidRPr="008D7B0D" w:rsidRDefault="008D7B0D" w:rsidP="008D7B0D">
      <w:pPr>
        <w:rPr>
          <w:color w:val="000000" w:themeColor="text1"/>
          <w:sz w:val="28"/>
          <w:szCs w:val="28"/>
        </w:rPr>
      </w:pPr>
      <w:r w:rsidRPr="008D7B0D">
        <w:rPr>
          <w:color w:val="000000" w:themeColor="text1"/>
          <w:sz w:val="28"/>
          <w:szCs w:val="28"/>
        </w:rPr>
        <w:tab/>
        <w:t>1.</w:t>
      </w:r>
      <w:r w:rsidRPr="008D7B0D">
        <w:rPr>
          <w:color w:val="000000" w:themeColor="text1"/>
          <w:sz w:val="28"/>
          <w:szCs w:val="28"/>
        </w:rPr>
        <w:tab/>
        <w:t>Початковий етап (0–3 місяці) — упровадити уніфіковану реєстраційну форму, інструкцію скринінгу та протокол підтвердження перенаправлень; запустити пілотну інспекцію WASH у 3 центрах.</w:t>
      </w:r>
    </w:p>
    <w:p w14:paraId="41FE41EE" w14:textId="77777777" w:rsidR="008D7B0D" w:rsidRPr="008D7B0D" w:rsidRDefault="008D7B0D" w:rsidP="008D7B0D">
      <w:pPr>
        <w:rPr>
          <w:color w:val="000000" w:themeColor="text1"/>
          <w:sz w:val="28"/>
          <w:szCs w:val="28"/>
        </w:rPr>
      </w:pPr>
      <w:r w:rsidRPr="008D7B0D">
        <w:rPr>
          <w:color w:val="000000" w:themeColor="text1"/>
          <w:sz w:val="28"/>
          <w:szCs w:val="28"/>
        </w:rPr>
        <w:tab/>
        <w:t>2.</w:t>
      </w:r>
      <w:r w:rsidRPr="008D7B0D">
        <w:rPr>
          <w:color w:val="000000" w:themeColor="text1"/>
          <w:sz w:val="28"/>
          <w:szCs w:val="28"/>
        </w:rPr>
        <w:tab/>
        <w:t>Середній етап (3–9 місяців) — формалізувати угоди з партнерами-провайдерами, розгорнути адаптовані простори у пілотних центрах, провести навчання персоналу з питань захисту й інклюзії.</w:t>
      </w:r>
    </w:p>
    <w:p w14:paraId="52341C51" w14:textId="77777777" w:rsidR="008D7B0D" w:rsidRPr="008D7B0D" w:rsidRDefault="008D7B0D" w:rsidP="008D7B0D">
      <w:pPr>
        <w:rPr>
          <w:color w:val="000000" w:themeColor="text1"/>
          <w:sz w:val="28"/>
          <w:szCs w:val="28"/>
        </w:rPr>
      </w:pPr>
      <w:r w:rsidRPr="008D7B0D">
        <w:rPr>
          <w:color w:val="000000" w:themeColor="text1"/>
          <w:sz w:val="28"/>
          <w:szCs w:val="28"/>
        </w:rPr>
        <w:lastRenderedPageBreak/>
        <w:tab/>
        <w:t>3.</w:t>
      </w:r>
      <w:r w:rsidRPr="008D7B0D">
        <w:rPr>
          <w:color w:val="000000" w:themeColor="text1"/>
          <w:sz w:val="28"/>
          <w:szCs w:val="28"/>
        </w:rPr>
        <w:tab/>
        <w:t>Довгостроковий етап (9–24 місяці) — інтегрувати реєстраційні дані з державними реєстрами, створити аналітичні панелі для моніторингу показників, закласти бюджетні рамки для підтримки інфраструктури.</w:t>
      </w:r>
    </w:p>
    <w:p w14:paraId="342F3148" w14:textId="77777777" w:rsidR="008D7B0D" w:rsidRPr="008D7B0D" w:rsidRDefault="008D7B0D" w:rsidP="008D7B0D">
      <w:pPr>
        <w:rPr>
          <w:color w:val="000000" w:themeColor="text1"/>
          <w:sz w:val="28"/>
          <w:szCs w:val="28"/>
        </w:rPr>
      </w:pPr>
    </w:p>
    <w:p w14:paraId="1182798A" w14:textId="2217D2B1" w:rsidR="008D7B0D" w:rsidRPr="008D7B0D" w:rsidRDefault="008D7B0D" w:rsidP="008D7B0D">
      <w:pPr>
        <w:rPr>
          <w:color w:val="000000" w:themeColor="text1"/>
          <w:sz w:val="28"/>
          <w:szCs w:val="28"/>
        </w:rPr>
      </w:pPr>
    </w:p>
    <w:p w14:paraId="557D6990" w14:textId="77777777" w:rsidR="008D7B0D" w:rsidRPr="008D7B0D" w:rsidRDefault="008D7B0D" w:rsidP="008D7B0D">
      <w:pPr>
        <w:rPr>
          <w:color w:val="000000" w:themeColor="text1"/>
          <w:sz w:val="28"/>
          <w:szCs w:val="28"/>
        </w:rPr>
      </w:pPr>
    </w:p>
    <w:p w14:paraId="4747AFA0" w14:textId="77777777" w:rsidR="008D7B0D" w:rsidRPr="008D7B0D" w:rsidRDefault="008D7B0D" w:rsidP="008D7B0D">
      <w:pPr>
        <w:rPr>
          <w:color w:val="000000" w:themeColor="text1"/>
          <w:sz w:val="28"/>
          <w:szCs w:val="28"/>
        </w:rPr>
      </w:pPr>
      <w:r w:rsidRPr="008D7B0D">
        <w:rPr>
          <w:color w:val="000000" w:themeColor="text1"/>
          <w:sz w:val="28"/>
          <w:szCs w:val="28"/>
        </w:rPr>
        <w:t>3.5.5. Обмеження аналізу та подальші дослідницькі кроки</w:t>
      </w:r>
    </w:p>
    <w:p w14:paraId="24295FB3" w14:textId="77777777" w:rsidR="008D7B0D" w:rsidRPr="008D7B0D" w:rsidRDefault="008D7B0D" w:rsidP="008D7B0D">
      <w:pPr>
        <w:rPr>
          <w:color w:val="000000" w:themeColor="text1"/>
          <w:sz w:val="28"/>
          <w:szCs w:val="28"/>
        </w:rPr>
      </w:pPr>
      <w:r w:rsidRPr="008D7B0D">
        <w:rPr>
          <w:color w:val="000000" w:themeColor="text1"/>
          <w:sz w:val="28"/>
          <w:szCs w:val="28"/>
        </w:rPr>
        <w:tab/>
        <w:t>•</w:t>
      </w:r>
      <w:r w:rsidRPr="008D7B0D">
        <w:rPr>
          <w:color w:val="000000" w:themeColor="text1"/>
          <w:sz w:val="28"/>
          <w:szCs w:val="28"/>
        </w:rPr>
        <w:tab/>
        <w:t>Репрезентативність: вибіркова природа інтерв’ю обмежує генералізацію результатів; необхідне додаткове кількісне дослідження для перевірки масштабу виявлених проблем.</w:t>
      </w:r>
    </w:p>
    <w:p w14:paraId="62490FF2" w14:textId="77777777" w:rsidR="008D7B0D" w:rsidRPr="008D7B0D" w:rsidRDefault="008D7B0D" w:rsidP="008D7B0D">
      <w:pPr>
        <w:rPr>
          <w:color w:val="000000" w:themeColor="text1"/>
          <w:sz w:val="28"/>
          <w:szCs w:val="28"/>
        </w:rPr>
      </w:pPr>
      <w:r w:rsidRPr="008D7B0D">
        <w:rPr>
          <w:color w:val="000000" w:themeColor="text1"/>
          <w:sz w:val="28"/>
          <w:szCs w:val="28"/>
        </w:rPr>
        <w:tab/>
        <w:t>•</w:t>
      </w:r>
      <w:r w:rsidRPr="008D7B0D">
        <w:rPr>
          <w:color w:val="000000" w:themeColor="text1"/>
          <w:sz w:val="28"/>
          <w:szCs w:val="28"/>
        </w:rPr>
        <w:tab/>
        <w:t xml:space="preserve">Причинність: матричний аналіз виявляє співвідношення, не доводячи причинно-наслідкових </w:t>
      </w:r>
      <w:proofErr w:type="spellStart"/>
      <w:r w:rsidRPr="008D7B0D">
        <w:rPr>
          <w:color w:val="000000" w:themeColor="text1"/>
          <w:sz w:val="28"/>
          <w:szCs w:val="28"/>
        </w:rPr>
        <w:t>зв’язків</w:t>
      </w:r>
      <w:proofErr w:type="spellEnd"/>
      <w:r w:rsidRPr="008D7B0D">
        <w:rPr>
          <w:color w:val="000000" w:themeColor="text1"/>
          <w:sz w:val="28"/>
          <w:szCs w:val="28"/>
        </w:rPr>
        <w:t xml:space="preserve">; для цього потрібні часові або експериментальні </w:t>
      </w:r>
      <w:proofErr w:type="spellStart"/>
      <w:r w:rsidRPr="008D7B0D">
        <w:rPr>
          <w:color w:val="000000" w:themeColor="text1"/>
          <w:sz w:val="28"/>
          <w:szCs w:val="28"/>
        </w:rPr>
        <w:t>дизайни</w:t>
      </w:r>
      <w:proofErr w:type="spellEnd"/>
      <w:r w:rsidRPr="008D7B0D">
        <w:rPr>
          <w:color w:val="000000" w:themeColor="text1"/>
          <w:sz w:val="28"/>
          <w:szCs w:val="28"/>
        </w:rPr>
        <w:t>.</w:t>
      </w:r>
    </w:p>
    <w:p w14:paraId="27F5A06A" w14:textId="77777777" w:rsidR="008D7B0D" w:rsidRPr="008D7B0D" w:rsidRDefault="008D7B0D" w:rsidP="008D7B0D">
      <w:pPr>
        <w:rPr>
          <w:color w:val="000000" w:themeColor="text1"/>
          <w:sz w:val="28"/>
          <w:szCs w:val="28"/>
        </w:rPr>
      </w:pPr>
      <w:r w:rsidRPr="008D7B0D">
        <w:rPr>
          <w:color w:val="000000" w:themeColor="text1"/>
          <w:sz w:val="28"/>
          <w:szCs w:val="28"/>
        </w:rPr>
        <w:tab/>
        <w:t>•</w:t>
      </w:r>
      <w:r w:rsidRPr="008D7B0D">
        <w:rPr>
          <w:color w:val="000000" w:themeColor="text1"/>
          <w:sz w:val="28"/>
          <w:szCs w:val="28"/>
        </w:rPr>
        <w:tab/>
      </w:r>
      <w:proofErr w:type="spellStart"/>
      <w:r w:rsidRPr="008D7B0D">
        <w:rPr>
          <w:color w:val="000000" w:themeColor="text1"/>
          <w:sz w:val="28"/>
          <w:szCs w:val="28"/>
        </w:rPr>
        <w:t>Контекстуальність</w:t>
      </w:r>
      <w:proofErr w:type="spellEnd"/>
      <w:r w:rsidRPr="008D7B0D">
        <w:rPr>
          <w:color w:val="000000" w:themeColor="text1"/>
          <w:sz w:val="28"/>
          <w:szCs w:val="28"/>
        </w:rPr>
        <w:t>: результати залежать від локального контексту (маршрути переміщення, політична ситуація, сезонність); перед масштабуванням слід провести локальні адаптації.</w:t>
      </w:r>
    </w:p>
    <w:p w14:paraId="1517D2C2" w14:textId="77777777" w:rsidR="008D7B0D" w:rsidRPr="008D7B0D" w:rsidRDefault="008D7B0D" w:rsidP="008D7B0D">
      <w:pPr>
        <w:rPr>
          <w:color w:val="000000" w:themeColor="text1"/>
          <w:sz w:val="28"/>
          <w:szCs w:val="28"/>
        </w:rPr>
      </w:pPr>
    </w:p>
    <w:p w14:paraId="31AB5321" w14:textId="2113A175" w:rsidR="008D7B0D" w:rsidRDefault="008D7B0D" w:rsidP="008D7B0D">
      <w:pPr>
        <w:rPr>
          <w:color w:val="000000" w:themeColor="text1"/>
          <w:sz w:val="28"/>
          <w:szCs w:val="28"/>
          <w:lang w:val="en-US"/>
        </w:rPr>
      </w:pPr>
      <w:r w:rsidRPr="008D7B0D">
        <w:rPr>
          <w:color w:val="000000" w:themeColor="text1"/>
          <w:sz w:val="28"/>
          <w:szCs w:val="28"/>
        </w:rPr>
        <w:t xml:space="preserve">Пропоновані дослідницькі кроки: </w:t>
      </w:r>
      <w:proofErr w:type="spellStart"/>
      <w:r w:rsidRPr="008D7B0D">
        <w:rPr>
          <w:color w:val="000000" w:themeColor="text1"/>
          <w:sz w:val="28"/>
          <w:szCs w:val="28"/>
        </w:rPr>
        <w:t>квазіексперименти</w:t>
      </w:r>
      <w:proofErr w:type="spellEnd"/>
      <w:r w:rsidRPr="008D7B0D">
        <w:rPr>
          <w:color w:val="000000" w:themeColor="text1"/>
          <w:sz w:val="28"/>
          <w:szCs w:val="28"/>
        </w:rPr>
        <w:t xml:space="preserve"> з впровадження уніфікованої реєстрації, оцінка вартості та ефективності (економічний аналіз) і дослідження стійкості </w:t>
      </w:r>
      <w:proofErr w:type="spellStart"/>
      <w:r w:rsidRPr="008D7B0D">
        <w:rPr>
          <w:color w:val="000000" w:themeColor="text1"/>
          <w:sz w:val="28"/>
          <w:szCs w:val="28"/>
        </w:rPr>
        <w:t>впроваджень</w:t>
      </w:r>
      <w:proofErr w:type="spellEnd"/>
      <w:r w:rsidRPr="008D7B0D">
        <w:rPr>
          <w:color w:val="000000" w:themeColor="text1"/>
          <w:sz w:val="28"/>
          <w:szCs w:val="28"/>
        </w:rPr>
        <w:t xml:space="preserve"> у часі.</w:t>
      </w:r>
    </w:p>
    <w:p w14:paraId="0B7A95B7" w14:textId="77777777" w:rsidR="008D7B0D" w:rsidRPr="008D7B0D" w:rsidRDefault="008D7B0D" w:rsidP="008D7B0D">
      <w:pPr>
        <w:rPr>
          <w:color w:val="000000" w:themeColor="text1"/>
          <w:sz w:val="28"/>
          <w:szCs w:val="28"/>
          <w:lang w:val="en-US"/>
        </w:rPr>
      </w:pPr>
    </w:p>
    <w:p w14:paraId="14A0DB61" w14:textId="2E3E5DCE" w:rsidR="008D7B0D" w:rsidRPr="008D7B0D" w:rsidRDefault="008D7B0D" w:rsidP="008D7B0D">
      <w:pPr>
        <w:rPr>
          <w:color w:val="000000" w:themeColor="text1"/>
          <w:sz w:val="28"/>
          <w:szCs w:val="28"/>
        </w:rPr>
      </w:pPr>
      <w:r w:rsidRPr="008D7B0D">
        <w:rPr>
          <w:color w:val="000000" w:themeColor="text1"/>
          <w:sz w:val="28"/>
          <w:szCs w:val="28"/>
        </w:rPr>
        <w:t>3.4.6. Висновок</w:t>
      </w:r>
    </w:p>
    <w:p w14:paraId="7A0CC92A" w14:textId="77777777" w:rsidR="008D7B0D" w:rsidRPr="008D7B0D" w:rsidRDefault="008D7B0D" w:rsidP="008D7B0D">
      <w:pPr>
        <w:rPr>
          <w:color w:val="000000" w:themeColor="text1"/>
          <w:sz w:val="28"/>
          <w:szCs w:val="28"/>
        </w:rPr>
      </w:pPr>
    </w:p>
    <w:p w14:paraId="73AD75BC" w14:textId="578E418C" w:rsidR="00334C25" w:rsidRPr="008D7B0D" w:rsidRDefault="008D7B0D" w:rsidP="008D7B0D">
      <w:pPr>
        <w:rPr>
          <w:color w:val="000000" w:themeColor="text1"/>
          <w:sz w:val="28"/>
          <w:szCs w:val="28"/>
        </w:rPr>
      </w:pPr>
      <w:r w:rsidRPr="008D7B0D">
        <w:rPr>
          <w:color w:val="000000" w:themeColor="text1"/>
          <w:sz w:val="28"/>
          <w:szCs w:val="28"/>
        </w:rPr>
        <w:t xml:space="preserve">Результати дослідження демонструють, що для істотного підвищення доступності та якості послуг у транзитних центрах потрібна одночасна робота в трьох </w:t>
      </w:r>
      <w:proofErr w:type="spellStart"/>
      <w:r w:rsidRPr="008D7B0D">
        <w:rPr>
          <w:color w:val="000000" w:themeColor="text1"/>
          <w:sz w:val="28"/>
          <w:szCs w:val="28"/>
        </w:rPr>
        <w:t>площинах</w:t>
      </w:r>
      <w:proofErr w:type="spellEnd"/>
      <w:r w:rsidRPr="008D7B0D">
        <w:rPr>
          <w:color w:val="000000" w:themeColor="text1"/>
          <w:sz w:val="28"/>
          <w:szCs w:val="28"/>
        </w:rPr>
        <w:t xml:space="preserve">: процедури, інфраструктура та координація. Оперативні зміни в процедурах реєстрації і супроводу, доповнені мінімальними інфраструктурними інвестиціями та формалізованою </w:t>
      </w:r>
      <w:proofErr w:type="spellStart"/>
      <w:r w:rsidRPr="008D7B0D">
        <w:rPr>
          <w:color w:val="000000" w:themeColor="text1"/>
          <w:sz w:val="28"/>
          <w:szCs w:val="28"/>
        </w:rPr>
        <w:t>міжорганізаційною</w:t>
      </w:r>
      <w:proofErr w:type="spellEnd"/>
      <w:r w:rsidRPr="008D7B0D">
        <w:rPr>
          <w:color w:val="000000" w:themeColor="text1"/>
          <w:sz w:val="28"/>
          <w:szCs w:val="28"/>
        </w:rPr>
        <w:t xml:space="preserve"> співпрацею, дадуть найшвидший і найстійкіший ефект. </w:t>
      </w:r>
      <w:r w:rsidRPr="008D7B0D">
        <w:rPr>
          <w:color w:val="000000" w:themeColor="text1"/>
          <w:sz w:val="28"/>
          <w:szCs w:val="28"/>
        </w:rPr>
        <w:lastRenderedPageBreak/>
        <w:t>Запропоновані таблиці є практичними інструментами, готовими до імплементації в робочі процеси центрів і до включення в оперативні плани місцевих органів влади та партнерських організацій.</w:t>
      </w:r>
    </w:p>
    <w:p w14:paraId="3F0D08D7" w14:textId="77777777" w:rsidR="00334C25" w:rsidRPr="00334C25" w:rsidRDefault="00334C25" w:rsidP="00334C25">
      <w:pPr>
        <w:rPr>
          <w:color w:val="000000" w:themeColor="text1"/>
        </w:rPr>
      </w:pPr>
    </w:p>
    <w:p w14:paraId="68B365A2" w14:textId="77777777" w:rsidR="00334C25" w:rsidRDefault="00334C25" w:rsidP="00334C25">
      <w:pPr>
        <w:rPr>
          <w:color w:val="000000" w:themeColor="text1"/>
          <w:lang w:val="en-US"/>
        </w:rPr>
      </w:pPr>
    </w:p>
    <w:p w14:paraId="1C95FD8E" w14:textId="77777777" w:rsidR="008D7B0D" w:rsidRDefault="008D7B0D" w:rsidP="00334C25">
      <w:pPr>
        <w:rPr>
          <w:color w:val="000000" w:themeColor="text1"/>
          <w:lang w:val="en-US"/>
        </w:rPr>
      </w:pPr>
    </w:p>
    <w:p w14:paraId="7685D9D2" w14:textId="77777777" w:rsidR="008D7B0D" w:rsidRDefault="008D7B0D" w:rsidP="00334C25">
      <w:pPr>
        <w:rPr>
          <w:color w:val="000000" w:themeColor="text1"/>
          <w:lang w:val="en-US"/>
        </w:rPr>
      </w:pPr>
    </w:p>
    <w:p w14:paraId="59E27DD9" w14:textId="77777777" w:rsidR="008D7B0D" w:rsidRDefault="008D7B0D" w:rsidP="00334C25">
      <w:pPr>
        <w:rPr>
          <w:color w:val="000000" w:themeColor="text1"/>
          <w:lang w:val="en-US"/>
        </w:rPr>
      </w:pPr>
    </w:p>
    <w:p w14:paraId="45F19DC8" w14:textId="77777777" w:rsidR="008D7B0D" w:rsidRDefault="008D7B0D" w:rsidP="00334C25">
      <w:pPr>
        <w:rPr>
          <w:color w:val="000000" w:themeColor="text1"/>
          <w:lang w:val="en-US"/>
        </w:rPr>
      </w:pPr>
    </w:p>
    <w:p w14:paraId="43240C8F" w14:textId="77777777" w:rsidR="008D7B0D" w:rsidRDefault="008D7B0D" w:rsidP="00334C25">
      <w:pPr>
        <w:rPr>
          <w:color w:val="000000" w:themeColor="text1"/>
          <w:lang w:val="en-US"/>
        </w:rPr>
      </w:pPr>
    </w:p>
    <w:p w14:paraId="55EAA733" w14:textId="77777777" w:rsidR="008D7B0D" w:rsidRDefault="008D7B0D" w:rsidP="00334C25">
      <w:pPr>
        <w:rPr>
          <w:color w:val="000000" w:themeColor="text1"/>
          <w:lang w:val="en-US"/>
        </w:rPr>
      </w:pPr>
    </w:p>
    <w:p w14:paraId="497AD94B" w14:textId="77777777" w:rsidR="008D7B0D" w:rsidRDefault="008D7B0D" w:rsidP="00334C25">
      <w:pPr>
        <w:rPr>
          <w:color w:val="000000" w:themeColor="text1"/>
          <w:lang w:val="en-US"/>
        </w:rPr>
      </w:pPr>
    </w:p>
    <w:p w14:paraId="4F8DC90E" w14:textId="77777777" w:rsidR="008D7B0D" w:rsidRDefault="008D7B0D" w:rsidP="00334C25">
      <w:pPr>
        <w:rPr>
          <w:color w:val="000000" w:themeColor="text1"/>
          <w:lang w:val="en-US"/>
        </w:rPr>
      </w:pPr>
    </w:p>
    <w:p w14:paraId="40F1BFE7" w14:textId="77777777" w:rsidR="008D7B0D" w:rsidRDefault="008D7B0D" w:rsidP="00334C25">
      <w:pPr>
        <w:rPr>
          <w:color w:val="000000" w:themeColor="text1"/>
          <w:lang w:val="en-US"/>
        </w:rPr>
      </w:pPr>
    </w:p>
    <w:p w14:paraId="7D579381" w14:textId="77777777" w:rsidR="008D7B0D" w:rsidRDefault="008D7B0D" w:rsidP="00334C25">
      <w:pPr>
        <w:rPr>
          <w:color w:val="000000" w:themeColor="text1"/>
          <w:lang w:val="en-US"/>
        </w:rPr>
      </w:pPr>
    </w:p>
    <w:p w14:paraId="7D1AF35C" w14:textId="77777777" w:rsidR="008D7B0D" w:rsidRDefault="008D7B0D" w:rsidP="00334C25">
      <w:pPr>
        <w:rPr>
          <w:color w:val="000000" w:themeColor="text1"/>
          <w:lang w:val="en-US"/>
        </w:rPr>
      </w:pPr>
    </w:p>
    <w:p w14:paraId="573A9ED8" w14:textId="77777777" w:rsidR="008D7B0D" w:rsidRDefault="008D7B0D" w:rsidP="00334C25">
      <w:pPr>
        <w:rPr>
          <w:color w:val="000000" w:themeColor="text1"/>
          <w:lang w:val="en-US"/>
        </w:rPr>
      </w:pPr>
    </w:p>
    <w:p w14:paraId="5714A7C6" w14:textId="77777777" w:rsidR="008D7B0D" w:rsidRDefault="008D7B0D" w:rsidP="00334C25">
      <w:pPr>
        <w:rPr>
          <w:color w:val="000000" w:themeColor="text1"/>
          <w:lang w:val="en-US"/>
        </w:rPr>
      </w:pPr>
    </w:p>
    <w:p w14:paraId="03CDE55C" w14:textId="77777777" w:rsidR="008D7B0D" w:rsidRDefault="008D7B0D" w:rsidP="00334C25">
      <w:pPr>
        <w:rPr>
          <w:color w:val="000000" w:themeColor="text1"/>
          <w:lang w:val="en-US"/>
        </w:rPr>
      </w:pPr>
    </w:p>
    <w:p w14:paraId="3B0A2C93" w14:textId="77777777" w:rsidR="008D7B0D" w:rsidRDefault="008D7B0D" w:rsidP="00334C25">
      <w:pPr>
        <w:rPr>
          <w:color w:val="000000" w:themeColor="text1"/>
          <w:lang w:val="en-US"/>
        </w:rPr>
      </w:pPr>
    </w:p>
    <w:p w14:paraId="533940DF" w14:textId="77777777" w:rsidR="008D7B0D" w:rsidRDefault="008D7B0D" w:rsidP="00334C25">
      <w:pPr>
        <w:rPr>
          <w:color w:val="000000" w:themeColor="text1"/>
          <w:lang w:val="en-US"/>
        </w:rPr>
      </w:pPr>
    </w:p>
    <w:p w14:paraId="3524F26C" w14:textId="77777777" w:rsidR="008D7B0D" w:rsidRDefault="008D7B0D" w:rsidP="00334C25">
      <w:pPr>
        <w:rPr>
          <w:color w:val="000000" w:themeColor="text1"/>
          <w:lang w:val="en-US"/>
        </w:rPr>
      </w:pPr>
    </w:p>
    <w:p w14:paraId="4E76616D" w14:textId="77777777" w:rsidR="008D7B0D" w:rsidRDefault="008D7B0D" w:rsidP="00334C25">
      <w:pPr>
        <w:rPr>
          <w:color w:val="000000" w:themeColor="text1"/>
          <w:lang w:val="en-US"/>
        </w:rPr>
      </w:pPr>
    </w:p>
    <w:p w14:paraId="27B9E7F3" w14:textId="77777777" w:rsidR="008D7B0D" w:rsidRDefault="008D7B0D" w:rsidP="00334C25">
      <w:pPr>
        <w:rPr>
          <w:color w:val="000000" w:themeColor="text1"/>
          <w:lang w:val="en-US"/>
        </w:rPr>
      </w:pPr>
    </w:p>
    <w:p w14:paraId="13403E37" w14:textId="77777777" w:rsidR="008D7B0D" w:rsidRDefault="008D7B0D" w:rsidP="00334C25">
      <w:pPr>
        <w:rPr>
          <w:color w:val="000000" w:themeColor="text1"/>
          <w:lang w:val="en-US"/>
        </w:rPr>
      </w:pPr>
    </w:p>
    <w:p w14:paraId="5B630D6A" w14:textId="77777777" w:rsidR="008D7B0D" w:rsidRDefault="008D7B0D" w:rsidP="00334C25">
      <w:pPr>
        <w:rPr>
          <w:color w:val="000000" w:themeColor="text1"/>
          <w:lang w:val="en-US"/>
        </w:rPr>
      </w:pPr>
    </w:p>
    <w:p w14:paraId="4FEFC50D" w14:textId="77777777" w:rsidR="008D7B0D" w:rsidRDefault="008D7B0D" w:rsidP="00334C25">
      <w:pPr>
        <w:rPr>
          <w:color w:val="000000" w:themeColor="text1"/>
          <w:lang w:val="en-US"/>
        </w:rPr>
      </w:pPr>
    </w:p>
    <w:p w14:paraId="65353DB5" w14:textId="77777777" w:rsidR="008D7B0D" w:rsidRDefault="008D7B0D" w:rsidP="00334C25">
      <w:pPr>
        <w:rPr>
          <w:color w:val="000000" w:themeColor="text1"/>
          <w:lang w:val="en-US"/>
        </w:rPr>
      </w:pPr>
    </w:p>
    <w:p w14:paraId="347F98D3" w14:textId="77777777" w:rsidR="008D7B0D" w:rsidRDefault="008D7B0D" w:rsidP="00334C25">
      <w:pPr>
        <w:rPr>
          <w:color w:val="000000" w:themeColor="text1"/>
          <w:lang w:val="en-US"/>
        </w:rPr>
      </w:pPr>
    </w:p>
    <w:p w14:paraId="7BAF41CF" w14:textId="77777777" w:rsidR="008D7B0D" w:rsidRDefault="008D7B0D" w:rsidP="00334C25">
      <w:pPr>
        <w:rPr>
          <w:color w:val="000000" w:themeColor="text1"/>
          <w:lang w:val="en-US"/>
        </w:rPr>
      </w:pPr>
    </w:p>
    <w:p w14:paraId="00B163B4" w14:textId="77777777" w:rsidR="008D7B0D" w:rsidRPr="008D7B0D" w:rsidRDefault="008D7B0D" w:rsidP="00334C25">
      <w:pPr>
        <w:rPr>
          <w:color w:val="000000" w:themeColor="text1"/>
          <w:lang w:val="en-US"/>
        </w:rPr>
      </w:pPr>
    </w:p>
    <w:p w14:paraId="006CAFD3" w14:textId="77777777" w:rsidR="00334C25" w:rsidRPr="00334C25" w:rsidRDefault="00334C25" w:rsidP="00334C25">
      <w:pPr>
        <w:rPr>
          <w:color w:val="000000" w:themeColor="text1"/>
        </w:rPr>
      </w:pPr>
    </w:p>
    <w:p w14:paraId="30F15F66" w14:textId="77777777" w:rsidR="00334C25" w:rsidRPr="00334C25" w:rsidRDefault="00334C25" w:rsidP="00334C25">
      <w:pPr>
        <w:rPr>
          <w:color w:val="000000" w:themeColor="text1"/>
        </w:rPr>
      </w:pPr>
    </w:p>
    <w:p w14:paraId="1E8548A1" w14:textId="77777777" w:rsidR="00334C25" w:rsidRPr="00334C25" w:rsidRDefault="00334C25" w:rsidP="00334C25">
      <w:pPr>
        <w:rPr>
          <w:color w:val="000000" w:themeColor="text1"/>
        </w:rPr>
      </w:pPr>
    </w:p>
    <w:p w14:paraId="08638E59" w14:textId="77777777" w:rsidR="00334C25" w:rsidRPr="00334C25" w:rsidRDefault="00334C25" w:rsidP="00334C25">
      <w:pPr>
        <w:rPr>
          <w:color w:val="000000" w:themeColor="text1"/>
        </w:rPr>
      </w:pPr>
    </w:p>
    <w:p w14:paraId="7F91DB7C" w14:textId="77777777" w:rsidR="00334C25" w:rsidRPr="00334C25" w:rsidRDefault="00334C25" w:rsidP="00334C25">
      <w:pPr>
        <w:rPr>
          <w:color w:val="000000" w:themeColor="text1"/>
          <w:lang w:val="en-US"/>
        </w:rPr>
      </w:pPr>
    </w:p>
    <w:p w14:paraId="7DFFB809" w14:textId="77777777" w:rsidR="00334C25" w:rsidRPr="00334C25" w:rsidRDefault="00334C25" w:rsidP="0020188B">
      <w:pPr>
        <w:rPr>
          <w:color w:val="000000" w:themeColor="text1"/>
          <w:lang w:val="en-US" w:eastAsia="en-US"/>
        </w:rPr>
      </w:pPr>
    </w:p>
    <w:p w14:paraId="12EE0C54" w14:textId="77777777" w:rsidR="00334C25" w:rsidRPr="0093374D" w:rsidRDefault="00334C25" w:rsidP="0020188B">
      <w:pPr>
        <w:rPr>
          <w:color w:val="000000" w:themeColor="text1"/>
          <w:lang w:eastAsia="en-US"/>
        </w:rPr>
      </w:pPr>
    </w:p>
    <w:p w14:paraId="44B0EACC" w14:textId="77777777" w:rsidR="00334C25" w:rsidRPr="00334C25" w:rsidRDefault="00334C25" w:rsidP="0020188B">
      <w:pPr>
        <w:rPr>
          <w:color w:val="000000" w:themeColor="text1"/>
          <w:lang w:val="en-US" w:eastAsia="en-US"/>
        </w:rPr>
      </w:pPr>
    </w:p>
    <w:p w14:paraId="0EC7A657" w14:textId="77777777" w:rsidR="00334C25" w:rsidRPr="00334C25" w:rsidRDefault="00334C25" w:rsidP="0020188B">
      <w:pPr>
        <w:rPr>
          <w:color w:val="000000" w:themeColor="text1"/>
          <w:lang w:val="en-US" w:eastAsia="en-US"/>
        </w:rPr>
      </w:pPr>
    </w:p>
    <w:p w14:paraId="1EE9A043" w14:textId="77777777" w:rsidR="00334C25" w:rsidRPr="00334C25" w:rsidRDefault="00334C25" w:rsidP="0020188B">
      <w:pPr>
        <w:rPr>
          <w:color w:val="000000" w:themeColor="text1"/>
          <w:lang w:val="en-US" w:eastAsia="en-US"/>
        </w:rPr>
      </w:pPr>
    </w:p>
    <w:p w14:paraId="7489BB65" w14:textId="77777777" w:rsidR="00334C25" w:rsidRPr="00334C25" w:rsidRDefault="00334C25" w:rsidP="0020188B">
      <w:pPr>
        <w:rPr>
          <w:color w:val="000000" w:themeColor="text1"/>
          <w:lang w:val="en-US" w:eastAsia="en-US"/>
        </w:rPr>
      </w:pPr>
    </w:p>
    <w:p w14:paraId="53EE83A6" w14:textId="77777777" w:rsidR="00334C25" w:rsidRPr="00334C25" w:rsidRDefault="00334C25" w:rsidP="0020188B">
      <w:pPr>
        <w:rPr>
          <w:color w:val="000000" w:themeColor="text1"/>
          <w:lang w:val="en-US" w:eastAsia="en-US"/>
        </w:rPr>
      </w:pPr>
    </w:p>
    <w:p w14:paraId="3EF0F85C" w14:textId="77777777" w:rsidR="0093374D" w:rsidRDefault="0093374D" w:rsidP="0093374D">
      <w:pPr>
        <w:pStyle w:val="1"/>
        <w:rPr>
          <w:color w:val="000000" w:themeColor="text1"/>
          <w:lang w:val="en-US"/>
        </w:rPr>
      </w:pPr>
      <w:bookmarkStart w:id="50" w:name="_Toc214217546"/>
    </w:p>
    <w:p w14:paraId="4B040D35" w14:textId="77777777" w:rsidR="00EE3A37" w:rsidRDefault="00EE3A37" w:rsidP="00EE3A37">
      <w:pPr>
        <w:rPr>
          <w:lang w:val="en-US" w:eastAsia="en-US"/>
        </w:rPr>
      </w:pPr>
    </w:p>
    <w:p w14:paraId="1F7E9345" w14:textId="77777777" w:rsidR="00EE3A37" w:rsidRPr="00EE3A37" w:rsidRDefault="00EE3A37" w:rsidP="00EE3A37">
      <w:pPr>
        <w:rPr>
          <w:lang w:val="en-US" w:eastAsia="en-US"/>
        </w:rPr>
      </w:pPr>
    </w:p>
    <w:bookmarkEnd w:id="50"/>
    <w:p w14:paraId="42FAF6AE" w14:textId="77777777" w:rsidR="0093374D" w:rsidRPr="0093374D" w:rsidRDefault="0093374D" w:rsidP="0093374D">
      <w:pPr>
        <w:rPr>
          <w:lang w:eastAsia="en-US"/>
        </w:rPr>
      </w:pPr>
    </w:p>
    <w:p w14:paraId="3F3C7E0C" w14:textId="77777777" w:rsidR="00334C25" w:rsidRPr="00334C25" w:rsidRDefault="00334C25" w:rsidP="00334C25">
      <w:pPr>
        <w:rPr>
          <w:color w:val="000000" w:themeColor="text1"/>
          <w:lang w:eastAsia="en-US"/>
        </w:rPr>
      </w:pPr>
    </w:p>
    <w:p w14:paraId="6AF1F054" w14:textId="77777777" w:rsidR="00334C25" w:rsidRPr="00334C25" w:rsidRDefault="00334C25" w:rsidP="00334C25">
      <w:pPr>
        <w:rPr>
          <w:color w:val="000000" w:themeColor="text1"/>
          <w:lang w:eastAsia="en-US"/>
        </w:rPr>
      </w:pPr>
    </w:p>
    <w:p w14:paraId="65F7315A" w14:textId="77777777" w:rsidR="00334C25" w:rsidRPr="00334C25" w:rsidRDefault="00334C25" w:rsidP="00334C25">
      <w:pPr>
        <w:rPr>
          <w:color w:val="000000" w:themeColor="text1"/>
          <w:lang w:eastAsia="en-US"/>
        </w:rPr>
      </w:pPr>
    </w:p>
    <w:p w14:paraId="79D8AF04" w14:textId="77777777" w:rsidR="00334C25" w:rsidRPr="00334C25" w:rsidRDefault="00334C25" w:rsidP="00334C25">
      <w:pPr>
        <w:rPr>
          <w:color w:val="000000" w:themeColor="text1"/>
          <w:lang w:eastAsia="en-US"/>
        </w:rPr>
      </w:pPr>
    </w:p>
    <w:p w14:paraId="28046782" w14:textId="77777777" w:rsidR="00334C25" w:rsidRPr="00334C25" w:rsidRDefault="00334C25" w:rsidP="00334C25">
      <w:pPr>
        <w:rPr>
          <w:color w:val="000000" w:themeColor="text1"/>
          <w:lang w:eastAsia="en-US"/>
        </w:rPr>
      </w:pPr>
    </w:p>
    <w:p w14:paraId="44C156CF" w14:textId="77777777" w:rsidR="00334C25" w:rsidRPr="00334C25" w:rsidRDefault="00334C25" w:rsidP="00334C25">
      <w:pPr>
        <w:rPr>
          <w:color w:val="000000" w:themeColor="text1"/>
          <w:lang w:eastAsia="en-US"/>
        </w:rPr>
      </w:pPr>
    </w:p>
    <w:p w14:paraId="5DC7CCCC" w14:textId="77777777" w:rsidR="00334C25" w:rsidRPr="00334C25" w:rsidRDefault="00334C25" w:rsidP="00334C25">
      <w:pPr>
        <w:rPr>
          <w:color w:val="000000" w:themeColor="text1"/>
          <w:lang w:eastAsia="en-US"/>
        </w:rPr>
      </w:pPr>
    </w:p>
    <w:p w14:paraId="4556CFCD" w14:textId="77777777" w:rsidR="00334C25" w:rsidRPr="00334C25" w:rsidRDefault="00334C25" w:rsidP="00334C25">
      <w:pPr>
        <w:rPr>
          <w:color w:val="000000" w:themeColor="text1"/>
          <w:lang w:eastAsia="en-US"/>
        </w:rPr>
      </w:pPr>
    </w:p>
    <w:p w14:paraId="6932CFA4" w14:textId="77777777" w:rsidR="00334C25" w:rsidRPr="00334C25" w:rsidRDefault="00334C25" w:rsidP="00334C25">
      <w:pPr>
        <w:rPr>
          <w:color w:val="000000" w:themeColor="text1"/>
          <w:lang w:eastAsia="en-US"/>
        </w:rPr>
      </w:pPr>
    </w:p>
    <w:p w14:paraId="13C30D3A" w14:textId="77777777" w:rsidR="00334C25" w:rsidRPr="00334C25" w:rsidRDefault="00334C25" w:rsidP="00334C25">
      <w:pPr>
        <w:rPr>
          <w:color w:val="000000" w:themeColor="text1"/>
          <w:lang w:eastAsia="en-US"/>
        </w:rPr>
      </w:pPr>
    </w:p>
    <w:p w14:paraId="560D3A93" w14:textId="77777777" w:rsidR="00334C25" w:rsidRPr="00334C25" w:rsidRDefault="00334C25" w:rsidP="00334C25">
      <w:pPr>
        <w:rPr>
          <w:color w:val="000000" w:themeColor="text1"/>
          <w:lang w:eastAsia="en-US"/>
        </w:rPr>
      </w:pPr>
    </w:p>
    <w:p w14:paraId="3F61F76D" w14:textId="77777777" w:rsidR="00334C25" w:rsidRPr="00334C25" w:rsidRDefault="00334C25" w:rsidP="00334C25">
      <w:pPr>
        <w:rPr>
          <w:color w:val="000000" w:themeColor="text1"/>
          <w:lang w:eastAsia="en-US"/>
        </w:rPr>
      </w:pPr>
    </w:p>
    <w:p w14:paraId="2B30EE44" w14:textId="77777777" w:rsidR="00334C25" w:rsidRPr="00334C25" w:rsidRDefault="00334C25" w:rsidP="00334C25">
      <w:pPr>
        <w:rPr>
          <w:color w:val="000000" w:themeColor="text1"/>
          <w:lang w:eastAsia="en-US"/>
        </w:rPr>
      </w:pPr>
    </w:p>
    <w:p w14:paraId="74F875E3" w14:textId="77777777" w:rsidR="00334C25" w:rsidRPr="00334C25" w:rsidRDefault="00334C25" w:rsidP="00334C25">
      <w:pPr>
        <w:rPr>
          <w:color w:val="000000" w:themeColor="text1"/>
          <w:lang w:eastAsia="en-US"/>
        </w:rPr>
      </w:pPr>
    </w:p>
    <w:p w14:paraId="0422BB80" w14:textId="77777777" w:rsidR="00334C25" w:rsidRPr="00334C25" w:rsidRDefault="00334C25" w:rsidP="00334C25">
      <w:pPr>
        <w:rPr>
          <w:color w:val="000000" w:themeColor="text1"/>
          <w:lang w:eastAsia="en-US"/>
        </w:rPr>
      </w:pPr>
    </w:p>
    <w:p w14:paraId="16AC7916" w14:textId="77777777" w:rsidR="00334C25" w:rsidRPr="00334C25" w:rsidRDefault="00334C25" w:rsidP="00334C25">
      <w:pPr>
        <w:rPr>
          <w:color w:val="000000" w:themeColor="text1"/>
          <w:lang w:eastAsia="en-US"/>
        </w:rPr>
      </w:pPr>
    </w:p>
    <w:p w14:paraId="39DEAD63" w14:textId="77777777" w:rsidR="00334C25" w:rsidRPr="00334C25" w:rsidRDefault="00334C25" w:rsidP="00334C25">
      <w:pPr>
        <w:rPr>
          <w:color w:val="000000" w:themeColor="text1"/>
          <w:lang w:eastAsia="en-US"/>
        </w:rPr>
      </w:pPr>
    </w:p>
    <w:p w14:paraId="776A2806" w14:textId="77777777" w:rsidR="00334C25" w:rsidRPr="00334C25" w:rsidRDefault="00334C25" w:rsidP="00334C25">
      <w:pPr>
        <w:rPr>
          <w:color w:val="000000" w:themeColor="text1"/>
          <w:lang w:eastAsia="en-US"/>
        </w:rPr>
      </w:pPr>
    </w:p>
    <w:p w14:paraId="787B3F5D" w14:textId="77777777" w:rsidR="00334C25" w:rsidRPr="00334C25" w:rsidRDefault="00334C25" w:rsidP="00334C25">
      <w:pPr>
        <w:rPr>
          <w:color w:val="000000" w:themeColor="text1"/>
          <w:lang w:eastAsia="en-US"/>
        </w:rPr>
      </w:pPr>
    </w:p>
    <w:p w14:paraId="09C2F0D6" w14:textId="77777777" w:rsidR="00334C25" w:rsidRPr="00334C25" w:rsidRDefault="00334C25" w:rsidP="00334C25">
      <w:pPr>
        <w:rPr>
          <w:color w:val="000000" w:themeColor="text1"/>
          <w:lang w:eastAsia="en-US"/>
        </w:rPr>
      </w:pPr>
    </w:p>
    <w:p w14:paraId="46C0C0E7" w14:textId="77777777" w:rsidR="00334C25" w:rsidRPr="00334C25" w:rsidRDefault="00334C25" w:rsidP="00334C25">
      <w:pPr>
        <w:rPr>
          <w:color w:val="000000" w:themeColor="text1"/>
          <w:lang w:eastAsia="en-US"/>
        </w:rPr>
      </w:pPr>
    </w:p>
    <w:p w14:paraId="1FF8585F" w14:textId="77777777" w:rsidR="00334C25" w:rsidRPr="00334C25" w:rsidRDefault="00334C25" w:rsidP="00334C25">
      <w:pPr>
        <w:rPr>
          <w:color w:val="000000" w:themeColor="text1"/>
          <w:lang w:eastAsia="en-US"/>
        </w:rPr>
      </w:pPr>
    </w:p>
    <w:p w14:paraId="0E0EAAB9" w14:textId="77777777" w:rsidR="00334C25" w:rsidRPr="00334C25" w:rsidRDefault="00334C25" w:rsidP="00334C25">
      <w:pPr>
        <w:rPr>
          <w:color w:val="000000" w:themeColor="text1"/>
          <w:lang w:eastAsia="en-US"/>
        </w:rPr>
      </w:pPr>
    </w:p>
    <w:p w14:paraId="2E56650E" w14:textId="77777777" w:rsidR="00334C25" w:rsidRPr="00334C25" w:rsidRDefault="00334C25" w:rsidP="00334C25">
      <w:pPr>
        <w:rPr>
          <w:color w:val="000000" w:themeColor="text1"/>
          <w:lang w:eastAsia="en-US"/>
        </w:rPr>
      </w:pPr>
    </w:p>
    <w:p w14:paraId="2A782939" w14:textId="77777777" w:rsidR="00334C25" w:rsidRDefault="00334C25" w:rsidP="00334C25">
      <w:pPr>
        <w:rPr>
          <w:color w:val="000000" w:themeColor="text1"/>
          <w:lang w:val="en-US" w:eastAsia="en-US"/>
        </w:rPr>
      </w:pPr>
    </w:p>
    <w:p w14:paraId="3C348182" w14:textId="77777777" w:rsidR="00EE3A37" w:rsidRDefault="00EE3A37" w:rsidP="00334C25">
      <w:pPr>
        <w:rPr>
          <w:color w:val="000000" w:themeColor="text1"/>
          <w:lang w:val="en-US" w:eastAsia="en-US"/>
        </w:rPr>
      </w:pPr>
    </w:p>
    <w:p w14:paraId="0861592E" w14:textId="77777777" w:rsidR="00EE3A37" w:rsidRDefault="00EE3A37" w:rsidP="00334C25">
      <w:pPr>
        <w:rPr>
          <w:color w:val="000000" w:themeColor="text1"/>
          <w:lang w:val="en-US" w:eastAsia="en-US"/>
        </w:rPr>
      </w:pPr>
    </w:p>
    <w:p w14:paraId="361982C3" w14:textId="77777777" w:rsidR="00EE3A37" w:rsidRDefault="00EE3A37" w:rsidP="00334C25">
      <w:pPr>
        <w:rPr>
          <w:color w:val="000000" w:themeColor="text1"/>
          <w:lang w:val="en-US" w:eastAsia="en-US"/>
        </w:rPr>
      </w:pPr>
    </w:p>
    <w:p w14:paraId="04BAC549" w14:textId="77777777" w:rsidR="00EE3A37" w:rsidRDefault="00EE3A37" w:rsidP="00334C25">
      <w:pPr>
        <w:rPr>
          <w:color w:val="000000" w:themeColor="text1"/>
          <w:lang w:val="en-US" w:eastAsia="en-US"/>
        </w:rPr>
      </w:pPr>
    </w:p>
    <w:p w14:paraId="0800041C" w14:textId="77777777" w:rsidR="00EE3A37" w:rsidRDefault="00EE3A37" w:rsidP="00334C25">
      <w:pPr>
        <w:rPr>
          <w:color w:val="000000" w:themeColor="text1"/>
          <w:lang w:val="en-US" w:eastAsia="en-US"/>
        </w:rPr>
      </w:pPr>
    </w:p>
    <w:p w14:paraId="37D3D746" w14:textId="77777777" w:rsidR="00EE3A37" w:rsidRPr="00EE3A37" w:rsidRDefault="00EE3A37" w:rsidP="00334C25">
      <w:pPr>
        <w:rPr>
          <w:color w:val="000000" w:themeColor="text1"/>
          <w:lang w:val="en-US" w:eastAsia="en-US"/>
        </w:rPr>
      </w:pPr>
    </w:p>
    <w:p w14:paraId="422EAA9F" w14:textId="77777777" w:rsidR="00334C25" w:rsidRPr="00334C25" w:rsidRDefault="00334C25" w:rsidP="00334C25">
      <w:pPr>
        <w:rPr>
          <w:color w:val="000000" w:themeColor="text1"/>
          <w:lang w:eastAsia="en-US"/>
        </w:rPr>
      </w:pPr>
    </w:p>
    <w:p w14:paraId="5989A7A9" w14:textId="4D1DFD42" w:rsidR="00334C25" w:rsidRDefault="00334C25" w:rsidP="0093374D">
      <w:pPr>
        <w:pStyle w:val="1"/>
        <w:jc w:val="center"/>
        <w:rPr>
          <w:color w:val="000000" w:themeColor="text1"/>
          <w:lang w:val="uk-UA"/>
        </w:rPr>
      </w:pPr>
      <w:bookmarkStart w:id="51" w:name="_Toc214217547"/>
      <w:r w:rsidRPr="00334C25">
        <w:rPr>
          <w:color w:val="000000" w:themeColor="text1"/>
        </w:rPr>
        <w:t>ДОДАТКИ</w:t>
      </w:r>
      <w:bookmarkEnd w:id="51"/>
    </w:p>
    <w:p w14:paraId="247F4C8E" w14:textId="7758081A" w:rsidR="0093374D" w:rsidRPr="00EE3A37" w:rsidRDefault="0093374D" w:rsidP="0093374D">
      <w:pPr>
        <w:rPr>
          <w:sz w:val="28"/>
          <w:szCs w:val="28"/>
          <w:lang w:eastAsia="en-US"/>
        </w:rPr>
      </w:pPr>
      <w:r w:rsidRPr="00EE3A37">
        <w:rPr>
          <w:sz w:val="28"/>
          <w:szCs w:val="28"/>
          <w:lang w:eastAsia="en-US"/>
        </w:rPr>
        <w:t xml:space="preserve">Додаток А. Анкета </w:t>
      </w:r>
      <w:r w:rsidRPr="00EE3A37">
        <w:rPr>
          <w:sz w:val="28"/>
          <w:szCs w:val="28"/>
          <w:lang w:val="ru-RU" w:eastAsia="en-US"/>
        </w:rPr>
        <w:t xml:space="preserve">для </w:t>
      </w:r>
      <w:proofErr w:type="spellStart"/>
      <w:r w:rsidRPr="00EE3A37">
        <w:rPr>
          <w:sz w:val="28"/>
          <w:szCs w:val="28"/>
          <w:lang w:val="ru-RU" w:eastAsia="en-US"/>
        </w:rPr>
        <w:t>проведення</w:t>
      </w:r>
      <w:proofErr w:type="spellEnd"/>
      <w:r w:rsidRPr="00EE3A37">
        <w:rPr>
          <w:sz w:val="28"/>
          <w:szCs w:val="28"/>
          <w:lang w:val="ru-RU" w:eastAsia="en-US"/>
        </w:rPr>
        <w:t xml:space="preserve"> </w:t>
      </w:r>
      <w:r w:rsidRPr="00EE3A37">
        <w:rPr>
          <w:sz w:val="28"/>
          <w:szCs w:val="28"/>
          <w:lang w:eastAsia="en-US"/>
        </w:rPr>
        <w:t>інтерв’ю із інформантами:</w:t>
      </w:r>
    </w:p>
    <w:p w14:paraId="1B3377BA" w14:textId="3A845FC8" w:rsidR="0093374D" w:rsidRDefault="0093374D" w:rsidP="0093374D">
      <w:pPr>
        <w:rPr>
          <w:lang w:val="en-US" w:eastAsia="en-US"/>
        </w:rPr>
      </w:pPr>
      <w:r>
        <w:rPr>
          <w:noProof/>
          <w:lang w:eastAsia="en-US"/>
          <w14:ligatures w14:val="standardContextual"/>
        </w:rPr>
        <w:lastRenderedPageBreak/>
        <w:drawing>
          <wp:inline distT="0" distB="0" distL="0" distR="0" wp14:anchorId="035B4E02" wp14:editId="40A6B131">
            <wp:extent cx="5328317" cy="7540283"/>
            <wp:effectExtent l="0" t="0" r="0" b="0"/>
            <wp:docPr id="9526630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63012" name="Рисунок 952663012"/>
                    <pic:cNvPicPr/>
                  </pic:nvPicPr>
                  <pic:blipFill>
                    <a:blip r:embed="rId9"/>
                    <a:stretch>
                      <a:fillRect/>
                    </a:stretch>
                  </pic:blipFill>
                  <pic:spPr>
                    <a:xfrm>
                      <a:off x="0" y="0"/>
                      <a:ext cx="5331965" cy="7545445"/>
                    </a:xfrm>
                    <a:prstGeom prst="rect">
                      <a:avLst/>
                    </a:prstGeom>
                  </pic:spPr>
                </pic:pic>
              </a:graphicData>
            </a:graphic>
          </wp:inline>
        </w:drawing>
      </w:r>
    </w:p>
    <w:p w14:paraId="1F133CF0" w14:textId="7F84BE05" w:rsidR="0093374D" w:rsidRDefault="0093374D" w:rsidP="0093374D">
      <w:pPr>
        <w:rPr>
          <w:lang w:val="en-US" w:eastAsia="en-US"/>
        </w:rPr>
      </w:pPr>
      <w:r w:rsidRPr="0093374D">
        <w:rPr>
          <w:lang w:val="en-US" w:eastAsia="en-US"/>
        </w:rPr>
        <w:lastRenderedPageBreak/>
        <w:t xml:space="preserve">   </w:t>
      </w:r>
      <w:r>
        <w:rPr>
          <w:noProof/>
          <w:lang w:val="en-US" w:eastAsia="en-US"/>
          <w14:ligatures w14:val="standardContextual"/>
        </w:rPr>
        <w:drawing>
          <wp:inline distT="0" distB="0" distL="0" distR="0" wp14:anchorId="2EBA5962" wp14:editId="227AC8DE">
            <wp:extent cx="5731510" cy="8110855"/>
            <wp:effectExtent l="0" t="0" r="0" b="0"/>
            <wp:docPr id="60710110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01108" name="Рисунок 607101108"/>
                    <pic:cNvPicPr/>
                  </pic:nvPicPr>
                  <pic:blipFill>
                    <a:blip r:embed="rId10"/>
                    <a:stretch>
                      <a:fillRect/>
                    </a:stretch>
                  </pic:blipFill>
                  <pic:spPr>
                    <a:xfrm>
                      <a:off x="0" y="0"/>
                      <a:ext cx="5731510" cy="8110855"/>
                    </a:xfrm>
                    <a:prstGeom prst="rect">
                      <a:avLst/>
                    </a:prstGeom>
                  </pic:spPr>
                </pic:pic>
              </a:graphicData>
            </a:graphic>
          </wp:inline>
        </w:drawing>
      </w:r>
    </w:p>
    <w:p w14:paraId="6CDFB349" w14:textId="5B78BAA6" w:rsidR="0093374D" w:rsidRDefault="0093374D" w:rsidP="0093374D">
      <w:pPr>
        <w:rPr>
          <w:lang w:val="en-US" w:eastAsia="en-US"/>
        </w:rPr>
      </w:pPr>
      <w:r>
        <w:rPr>
          <w:noProof/>
          <w:lang w:val="en-US" w:eastAsia="en-US"/>
          <w14:ligatures w14:val="standardContextual"/>
        </w:rPr>
        <w:lastRenderedPageBreak/>
        <w:drawing>
          <wp:inline distT="0" distB="0" distL="0" distR="0" wp14:anchorId="419D4F84" wp14:editId="46426584">
            <wp:extent cx="5731510" cy="8110855"/>
            <wp:effectExtent l="0" t="0" r="0" b="0"/>
            <wp:docPr id="13274739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73914" name="Рисунок 1327473914"/>
                    <pic:cNvPicPr/>
                  </pic:nvPicPr>
                  <pic:blipFill>
                    <a:blip r:embed="rId11"/>
                    <a:stretch>
                      <a:fillRect/>
                    </a:stretch>
                  </pic:blipFill>
                  <pic:spPr>
                    <a:xfrm>
                      <a:off x="0" y="0"/>
                      <a:ext cx="5731510" cy="8110855"/>
                    </a:xfrm>
                    <a:prstGeom prst="rect">
                      <a:avLst/>
                    </a:prstGeom>
                  </pic:spPr>
                </pic:pic>
              </a:graphicData>
            </a:graphic>
          </wp:inline>
        </w:drawing>
      </w:r>
    </w:p>
    <w:p w14:paraId="56DA9036" w14:textId="721EF3CD" w:rsidR="0093374D" w:rsidRDefault="0093374D" w:rsidP="0093374D">
      <w:pPr>
        <w:rPr>
          <w:lang w:val="en-US" w:eastAsia="en-US"/>
        </w:rPr>
      </w:pPr>
      <w:r>
        <w:rPr>
          <w:noProof/>
          <w:lang w:val="en-US" w:eastAsia="en-US"/>
          <w14:ligatures w14:val="standardContextual"/>
        </w:rPr>
        <w:lastRenderedPageBreak/>
        <w:drawing>
          <wp:inline distT="0" distB="0" distL="0" distR="0" wp14:anchorId="194B01F2" wp14:editId="287BE886">
            <wp:extent cx="5731510" cy="8110855"/>
            <wp:effectExtent l="0" t="0" r="0" b="0"/>
            <wp:docPr id="209598016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80165" name="Рисунок 2095980165"/>
                    <pic:cNvPicPr/>
                  </pic:nvPicPr>
                  <pic:blipFill>
                    <a:blip r:embed="rId12"/>
                    <a:stretch>
                      <a:fillRect/>
                    </a:stretch>
                  </pic:blipFill>
                  <pic:spPr>
                    <a:xfrm>
                      <a:off x="0" y="0"/>
                      <a:ext cx="5731510" cy="8110855"/>
                    </a:xfrm>
                    <a:prstGeom prst="rect">
                      <a:avLst/>
                    </a:prstGeom>
                  </pic:spPr>
                </pic:pic>
              </a:graphicData>
            </a:graphic>
          </wp:inline>
        </w:drawing>
      </w:r>
    </w:p>
    <w:p w14:paraId="3308347E" w14:textId="77777777" w:rsidR="0093374D" w:rsidRDefault="0093374D" w:rsidP="0093374D">
      <w:pPr>
        <w:rPr>
          <w:lang w:val="en-US" w:eastAsia="en-US"/>
        </w:rPr>
      </w:pPr>
    </w:p>
    <w:p w14:paraId="662E514D" w14:textId="19F1DC6E" w:rsidR="0093374D" w:rsidRDefault="0093374D" w:rsidP="0093374D">
      <w:pPr>
        <w:rPr>
          <w:lang w:val="en-US" w:eastAsia="en-US"/>
        </w:rPr>
      </w:pPr>
      <w:r>
        <w:rPr>
          <w:noProof/>
          <w:lang w:val="en-US" w:eastAsia="en-US"/>
          <w14:ligatures w14:val="standardContextual"/>
        </w:rPr>
        <w:lastRenderedPageBreak/>
        <w:drawing>
          <wp:inline distT="0" distB="0" distL="0" distR="0" wp14:anchorId="6EA21930" wp14:editId="6AD8EE07">
            <wp:extent cx="5731510" cy="8110855"/>
            <wp:effectExtent l="0" t="0" r="0" b="0"/>
            <wp:docPr id="6969378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37871" name="Рисунок 696937871"/>
                    <pic:cNvPicPr/>
                  </pic:nvPicPr>
                  <pic:blipFill>
                    <a:blip r:embed="rId13"/>
                    <a:stretch>
                      <a:fillRect/>
                    </a:stretch>
                  </pic:blipFill>
                  <pic:spPr>
                    <a:xfrm>
                      <a:off x="0" y="0"/>
                      <a:ext cx="5731510" cy="8110855"/>
                    </a:xfrm>
                    <a:prstGeom prst="rect">
                      <a:avLst/>
                    </a:prstGeom>
                  </pic:spPr>
                </pic:pic>
              </a:graphicData>
            </a:graphic>
          </wp:inline>
        </w:drawing>
      </w:r>
    </w:p>
    <w:p w14:paraId="2117E1F4" w14:textId="77777777" w:rsidR="0093374D" w:rsidRDefault="0093374D" w:rsidP="0093374D">
      <w:pPr>
        <w:rPr>
          <w:lang w:val="en-US" w:eastAsia="en-US"/>
        </w:rPr>
      </w:pPr>
    </w:p>
    <w:p w14:paraId="6C09A71E" w14:textId="77777777" w:rsidR="0093374D" w:rsidRDefault="0093374D" w:rsidP="0093374D">
      <w:pPr>
        <w:rPr>
          <w:lang w:val="en-US" w:eastAsia="en-US"/>
        </w:rPr>
      </w:pPr>
    </w:p>
    <w:p w14:paraId="5EB06EFB" w14:textId="77777777" w:rsidR="0093374D" w:rsidRDefault="0093374D" w:rsidP="0093374D">
      <w:pPr>
        <w:rPr>
          <w:lang w:val="en-US" w:eastAsia="en-US"/>
        </w:rPr>
      </w:pPr>
    </w:p>
    <w:p w14:paraId="2A893A26" w14:textId="77777777" w:rsidR="0093374D" w:rsidRDefault="0093374D" w:rsidP="0093374D">
      <w:pPr>
        <w:rPr>
          <w:lang w:val="en-US" w:eastAsia="en-US"/>
        </w:rPr>
      </w:pPr>
    </w:p>
    <w:p w14:paraId="47EE8D71" w14:textId="319E8CB8" w:rsidR="0093374D" w:rsidRDefault="0093374D" w:rsidP="0093374D">
      <w:pPr>
        <w:rPr>
          <w:lang w:val="en-US" w:eastAsia="en-US"/>
        </w:rPr>
      </w:pPr>
      <w:r>
        <w:rPr>
          <w:noProof/>
          <w:lang w:val="en-US" w:eastAsia="en-US"/>
          <w14:ligatures w14:val="standardContextual"/>
        </w:rPr>
        <w:drawing>
          <wp:inline distT="0" distB="0" distL="0" distR="0" wp14:anchorId="71ED48AF" wp14:editId="68E227B7">
            <wp:extent cx="5731510" cy="8110855"/>
            <wp:effectExtent l="0" t="0" r="0" b="0"/>
            <wp:docPr id="146242908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29084" name="Рисунок 1462429084"/>
                    <pic:cNvPicPr/>
                  </pic:nvPicPr>
                  <pic:blipFill>
                    <a:blip r:embed="rId14"/>
                    <a:stretch>
                      <a:fillRect/>
                    </a:stretch>
                  </pic:blipFill>
                  <pic:spPr>
                    <a:xfrm>
                      <a:off x="0" y="0"/>
                      <a:ext cx="5731510" cy="8110855"/>
                    </a:xfrm>
                    <a:prstGeom prst="rect">
                      <a:avLst/>
                    </a:prstGeom>
                  </pic:spPr>
                </pic:pic>
              </a:graphicData>
            </a:graphic>
          </wp:inline>
        </w:drawing>
      </w:r>
    </w:p>
    <w:p w14:paraId="2A7C927D" w14:textId="77777777" w:rsidR="0093374D" w:rsidRDefault="0093374D" w:rsidP="0093374D">
      <w:pPr>
        <w:rPr>
          <w:lang w:val="en-US" w:eastAsia="en-US"/>
        </w:rPr>
      </w:pPr>
    </w:p>
    <w:p w14:paraId="45BA84AE" w14:textId="1F80D896" w:rsidR="0093374D" w:rsidRDefault="0093374D" w:rsidP="0093374D">
      <w:pPr>
        <w:rPr>
          <w:lang w:val="en-US" w:eastAsia="en-US"/>
        </w:rPr>
      </w:pPr>
      <w:r>
        <w:rPr>
          <w:noProof/>
          <w:lang w:val="en-US" w:eastAsia="en-US"/>
          <w14:ligatures w14:val="standardContextual"/>
        </w:rPr>
        <w:lastRenderedPageBreak/>
        <w:drawing>
          <wp:inline distT="0" distB="0" distL="0" distR="0" wp14:anchorId="2D01B003" wp14:editId="474A26EE">
            <wp:extent cx="5731510" cy="8110855"/>
            <wp:effectExtent l="0" t="0" r="0" b="0"/>
            <wp:docPr id="65915557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55574" name="Рисунок 659155574"/>
                    <pic:cNvPicPr/>
                  </pic:nvPicPr>
                  <pic:blipFill>
                    <a:blip r:embed="rId15"/>
                    <a:stretch>
                      <a:fillRect/>
                    </a:stretch>
                  </pic:blipFill>
                  <pic:spPr>
                    <a:xfrm>
                      <a:off x="0" y="0"/>
                      <a:ext cx="5731510" cy="8110855"/>
                    </a:xfrm>
                    <a:prstGeom prst="rect">
                      <a:avLst/>
                    </a:prstGeom>
                  </pic:spPr>
                </pic:pic>
              </a:graphicData>
            </a:graphic>
          </wp:inline>
        </w:drawing>
      </w:r>
    </w:p>
    <w:p w14:paraId="3F965128" w14:textId="77777777" w:rsidR="0093374D" w:rsidRDefault="0093374D" w:rsidP="0093374D">
      <w:pPr>
        <w:rPr>
          <w:lang w:val="en-US" w:eastAsia="en-US"/>
        </w:rPr>
      </w:pPr>
    </w:p>
    <w:p w14:paraId="103E3410" w14:textId="77777777" w:rsidR="0093374D" w:rsidRDefault="0093374D" w:rsidP="0093374D">
      <w:pPr>
        <w:rPr>
          <w:lang w:val="en-US" w:eastAsia="en-US"/>
        </w:rPr>
      </w:pPr>
    </w:p>
    <w:p w14:paraId="20F082E1" w14:textId="77777777" w:rsidR="0093374D" w:rsidRDefault="0093374D" w:rsidP="0093374D">
      <w:pPr>
        <w:rPr>
          <w:lang w:val="en-US" w:eastAsia="en-US"/>
        </w:rPr>
      </w:pPr>
    </w:p>
    <w:p w14:paraId="4A89F64E" w14:textId="77777777" w:rsidR="0093374D" w:rsidRDefault="0093374D" w:rsidP="0093374D">
      <w:pPr>
        <w:rPr>
          <w:lang w:val="en-US" w:eastAsia="en-US"/>
        </w:rPr>
      </w:pPr>
    </w:p>
    <w:p w14:paraId="29C66C0D" w14:textId="29BAF750" w:rsidR="0093374D" w:rsidRDefault="0093374D" w:rsidP="0093374D">
      <w:pPr>
        <w:rPr>
          <w:lang w:val="en-US" w:eastAsia="en-US"/>
        </w:rPr>
      </w:pPr>
      <w:r>
        <w:rPr>
          <w:noProof/>
          <w:lang w:val="en-US" w:eastAsia="en-US"/>
          <w14:ligatures w14:val="standardContextual"/>
        </w:rPr>
        <w:drawing>
          <wp:inline distT="0" distB="0" distL="0" distR="0" wp14:anchorId="235F9575" wp14:editId="2662218A">
            <wp:extent cx="5731510" cy="8110855"/>
            <wp:effectExtent l="0" t="0" r="0" b="0"/>
            <wp:docPr id="17998551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55108" name="Рисунок 1799855108"/>
                    <pic:cNvPicPr/>
                  </pic:nvPicPr>
                  <pic:blipFill>
                    <a:blip r:embed="rId16"/>
                    <a:stretch>
                      <a:fillRect/>
                    </a:stretch>
                  </pic:blipFill>
                  <pic:spPr>
                    <a:xfrm>
                      <a:off x="0" y="0"/>
                      <a:ext cx="5731510" cy="8110855"/>
                    </a:xfrm>
                    <a:prstGeom prst="rect">
                      <a:avLst/>
                    </a:prstGeom>
                  </pic:spPr>
                </pic:pic>
              </a:graphicData>
            </a:graphic>
          </wp:inline>
        </w:drawing>
      </w:r>
    </w:p>
    <w:p w14:paraId="1E2CBDC5" w14:textId="79C98E90" w:rsidR="0093374D" w:rsidRDefault="0093374D" w:rsidP="0093374D">
      <w:pPr>
        <w:rPr>
          <w:lang w:val="en-US" w:eastAsia="en-US"/>
        </w:rPr>
      </w:pPr>
      <w:r>
        <w:rPr>
          <w:noProof/>
          <w:lang w:val="en-US" w:eastAsia="en-US"/>
          <w14:ligatures w14:val="standardContextual"/>
        </w:rPr>
        <w:lastRenderedPageBreak/>
        <w:drawing>
          <wp:inline distT="0" distB="0" distL="0" distR="0" wp14:anchorId="446F13E3" wp14:editId="4A9BFCD5">
            <wp:extent cx="5731510" cy="8110855"/>
            <wp:effectExtent l="0" t="0" r="0" b="0"/>
            <wp:docPr id="19267096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09634" name="Рисунок 1926709634"/>
                    <pic:cNvPicPr/>
                  </pic:nvPicPr>
                  <pic:blipFill>
                    <a:blip r:embed="rId17"/>
                    <a:stretch>
                      <a:fillRect/>
                    </a:stretch>
                  </pic:blipFill>
                  <pic:spPr>
                    <a:xfrm>
                      <a:off x="0" y="0"/>
                      <a:ext cx="5731510" cy="8110855"/>
                    </a:xfrm>
                    <a:prstGeom prst="rect">
                      <a:avLst/>
                    </a:prstGeom>
                  </pic:spPr>
                </pic:pic>
              </a:graphicData>
            </a:graphic>
          </wp:inline>
        </w:drawing>
      </w:r>
    </w:p>
    <w:p w14:paraId="63352AD4" w14:textId="77777777" w:rsidR="0093374D" w:rsidRDefault="0093374D" w:rsidP="0093374D">
      <w:pPr>
        <w:rPr>
          <w:lang w:val="en-US" w:eastAsia="en-US"/>
        </w:rPr>
      </w:pPr>
    </w:p>
    <w:p w14:paraId="19C4279D" w14:textId="77777777" w:rsidR="0093374D" w:rsidRDefault="0093374D" w:rsidP="0093374D">
      <w:pPr>
        <w:rPr>
          <w:lang w:val="en-US" w:eastAsia="en-US"/>
        </w:rPr>
      </w:pPr>
    </w:p>
    <w:p w14:paraId="7F622559" w14:textId="77777777" w:rsidR="0093374D" w:rsidRDefault="0093374D" w:rsidP="0093374D">
      <w:pPr>
        <w:rPr>
          <w:lang w:val="en-US" w:eastAsia="en-US"/>
        </w:rPr>
      </w:pPr>
    </w:p>
    <w:p w14:paraId="5F3B79DE" w14:textId="40659A10" w:rsidR="0093374D" w:rsidRPr="00EE3A37" w:rsidRDefault="0093374D" w:rsidP="0093374D">
      <w:pPr>
        <w:rPr>
          <w:sz w:val="28"/>
          <w:szCs w:val="28"/>
          <w:lang w:eastAsia="en-US"/>
        </w:rPr>
      </w:pPr>
      <w:r w:rsidRPr="00EE3A37">
        <w:rPr>
          <w:sz w:val="28"/>
          <w:szCs w:val="28"/>
          <w:lang w:eastAsia="en-US"/>
        </w:rPr>
        <w:lastRenderedPageBreak/>
        <w:t>Додаток Б. Система кодів при якісному аналізі</w:t>
      </w:r>
    </w:p>
    <w:p w14:paraId="31A50B87" w14:textId="77777777" w:rsidR="0093374D" w:rsidRDefault="0093374D" w:rsidP="0093374D">
      <w:pPr>
        <w:rPr>
          <w:lang w:eastAsia="en-US"/>
        </w:rPr>
      </w:pPr>
    </w:p>
    <w:tbl>
      <w:tblPr>
        <w:tblW w:w="15138" w:type="dxa"/>
        <w:tblBorders>
          <w:top w:val="none" w:sz="0" w:space="0" w:color="FFFFFF"/>
          <w:left w:val="none" w:sz="0" w:space="0" w:color="FFFFFF"/>
          <w:bottom w:val="single" w:sz="4" w:space="0" w:color="BFBFBF"/>
          <w:right w:val="none" w:sz="0" w:space="0" w:color="FFFFFF"/>
          <w:insideH w:val="none" w:sz="0" w:space="0" w:color="FFFFFF"/>
          <w:insideV w:val="none" w:sz="0" w:space="0" w:color="FFFFFF"/>
        </w:tblBorders>
        <w:tblLayout w:type="fixed"/>
        <w:tblLook w:val="04A0" w:firstRow="1" w:lastRow="0" w:firstColumn="1" w:lastColumn="0" w:noHBand="0" w:noVBand="1"/>
      </w:tblPr>
      <w:tblGrid>
        <w:gridCol w:w="15138"/>
      </w:tblGrid>
      <w:tr w:rsidR="0093374D" w14:paraId="53EAA057"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64EF85BD" w14:textId="33F6585F" w:rsidR="0093374D" w:rsidRDefault="0093374D" w:rsidP="00817264">
            <w:pPr>
              <w:spacing w:line="240" w:lineRule="auto"/>
            </w:pPr>
            <w:proofErr w:type="spellStart"/>
            <w:r>
              <w:rPr>
                <w:rFonts w:ascii="Arial" w:eastAsia="Arial" w:hAnsi="Arial" w:cs="Arial"/>
                <w:color w:val="000000"/>
                <w:lang w:val="ru-RU"/>
              </w:rPr>
              <w:t>Наявні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спроможності</w:t>
            </w:r>
            <w:proofErr w:type="spellEnd"/>
          </w:p>
        </w:tc>
      </w:tr>
      <w:tr w:rsidR="0093374D" w14:paraId="47FEED88"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6B160D08" w14:textId="711DAD9E" w:rsidR="0093374D" w:rsidRDefault="0093374D" w:rsidP="00817264">
            <w:pPr>
              <w:spacing w:line="240" w:lineRule="auto"/>
            </w:pPr>
            <w:proofErr w:type="spellStart"/>
            <w:r>
              <w:rPr>
                <w:rFonts w:ascii="Arial" w:eastAsia="Arial" w:hAnsi="Arial" w:cs="Arial"/>
                <w:color w:val="000000"/>
                <w:lang w:val="ru-RU"/>
              </w:rPr>
              <w:t>Наявні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спроможності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носіїв</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обов</w:t>
            </w:r>
            <w:proofErr w:type="spellEnd"/>
            <w:r>
              <w:rPr>
                <w:rFonts w:ascii="Arial" w:eastAsia="Arial" w:hAnsi="Arial" w:cs="Arial"/>
                <w:color w:val="000000"/>
                <w:lang w:val="ru-RU"/>
              </w:rPr>
              <w:t>'</w:t>
            </w:r>
            <w:proofErr w:type="spellStart"/>
            <w:r>
              <w:rPr>
                <w:rFonts w:ascii="Arial" w:eastAsia="Arial" w:hAnsi="Arial" w:cs="Arial"/>
                <w:color w:val="000000"/>
              </w:rPr>
              <w:t>язків</w:t>
            </w:r>
            <w:proofErr w:type="spellEnd"/>
            <w:r>
              <w:rPr>
                <w:rFonts w:ascii="Arial" w:eastAsia="Arial" w:hAnsi="Arial" w:cs="Arial"/>
                <w:color w:val="000000"/>
                <w:lang w:val="ru-RU"/>
              </w:rPr>
              <w:t xml:space="preserve"> – </w:t>
            </w:r>
            <w:proofErr w:type="spellStart"/>
            <w:r>
              <w:rPr>
                <w:rFonts w:ascii="Arial" w:eastAsia="Arial" w:hAnsi="Arial" w:cs="Arial"/>
                <w:color w:val="000000"/>
                <w:lang w:val="ru-RU"/>
              </w:rPr>
              <w:t>Державні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організації</w:t>
            </w:r>
            <w:proofErr w:type="spellEnd"/>
          </w:p>
        </w:tc>
      </w:tr>
      <w:tr w:rsidR="0093374D" w14:paraId="756A76C7" w14:textId="77777777" w:rsidTr="0093374D">
        <w:tc>
          <w:tcPr>
            <w:tcW w:w="15138" w:type="dxa"/>
            <w:tcBorders>
              <w:top w:val="nil"/>
              <w:left w:val="nil"/>
              <w:bottom w:val="single" w:sz="4" w:space="0" w:color="BFBFBF"/>
              <w:right w:val="nil"/>
            </w:tcBorders>
            <w:shd w:val="clear" w:color="auto" w:fill="F0F5FA"/>
            <w:tcMar>
              <w:top w:w="80" w:type="dxa"/>
              <w:left w:w="1280" w:type="dxa"/>
              <w:bottom w:w="80" w:type="dxa"/>
              <w:right w:w="80" w:type="dxa"/>
            </w:tcMar>
          </w:tcPr>
          <w:p w14:paraId="19EB5D64" w14:textId="7BFF717D" w:rsidR="0093374D" w:rsidRDefault="0093374D" w:rsidP="00817264">
            <w:pPr>
              <w:spacing w:line="240" w:lineRule="auto"/>
            </w:pPr>
            <w:r>
              <w:rPr>
                <w:rFonts w:ascii="Arial" w:eastAsia="Arial" w:hAnsi="Arial" w:cs="Arial"/>
                <w:color w:val="000000"/>
                <w:lang w:val="ru-RU"/>
              </w:rPr>
              <w:t>Прогалина</w:t>
            </w:r>
          </w:p>
        </w:tc>
      </w:tr>
      <w:tr w:rsidR="0093374D" w14:paraId="27E251A5" w14:textId="77777777" w:rsidTr="0093374D">
        <w:tc>
          <w:tcPr>
            <w:tcW w:w="15138" w:type="dxa"/>
            <w:tcBorders>
              <w:top w:val="nil"/>
              <w:left w:val="nil"/>
              <w:bottom w:val="single" w:sz="4" w:space="0" w:color="BFBFBF"/>
              <w:right w:val="nil"/>
            </w:tcBorders>
            <w:shd w:val="clear" w:color="auto" w:fill="F0F5FA"/>
            <w:tcMar>
              <w:top w:w="80" w:type="dxa"/>
              <w:left w:w="1280" w:type="dxa"/>
              <w:bottom w:w="80" w:type="dxa"/>
              <w:right w:w="80" w:type="dxa"/>
            </w:tcMar>
          </w:tcPr>
          <w:p w14:paraId="105BAC01" w14:textId="19869B12" w:rsidR="0093374D" w:rsidRDefault="0093374D" w:rsidP="00817264">
            <w:pPr>
              <w:spacing w:line="240" w:lineRule="auto"/>
            </w:pPr>
            <w:proofErr w:type="spellStart"/>
            <w:r>
              <w:rPr>
                <w:rFonts w:ascii="Arial" w:eastAsia="Arial" w:hAnsi="Arial" w:cs="Arial"/>
                <w:color w:val="000000"/>
                <w:lang w:val="ru-RU"/>
              </w:rPr>
              <w:t>Наявність</w:t>
            </w:r>
            <w:proofErr w:type="spellEnd"/>
          </w:p>
        </w:tc>
      </w:tr>
      <w:tr w:rsidR="0093374D" w14:paraId="5EEB83CE"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3062F205" w14:textId="2E4DD35C" w:rsidR="0093374D" w:rsidRDefault="0093374D" w:rsidP="00817264">
            <w:pPr>
              <w:spacing w:line="240" w:lineRule="auto"/>
            </w:pPr>
            <w:proofErr w:type="spellStart"/>
            <w:r>
              <w:rPr>
                <w:rFonts w:ascii="Arial" w:eastAsia="Arial" w:hAnsi="Arial" w:cs="Arial"/>
                <w:color w:val="000000"/>
                <w:lang w:val="ru-RU"/>
              </w:rPr>
              <w:t>Наявні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спроможності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носіїв</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обов</w:t>
            </w:r>
            <w:proofErr w:type="spellEnd"/>
            <w:r>
              <w:rPr>
                <w:rFonts w:ascii="Arial" w:eastAsia="Arial" w:hAnsi="Arial" w:cs="Arial"/>
                <w:color w:val="000000"/>
                <w:lang w:val="ru-RU"/>
              </w:rPr>
              <w:t>'</w:t>
            </w:r>
            <w:proofErr w:type="spellStart"/>
            <w:r>
              <w:rPr>
                <w:rFonts w:ascii="Arial" w:eastAsia="Arial" w:hAnsi="Arial" w:cs="Arial"/>
                <w:color w:val="000000"/>
              </w:rPr>
              <w:t>язків</w:t>
            </w:r>
            <w:proofErr w:type="spellEnd"/>
            <w:r>
              <w:rPr>
                <w:rFonts w:ascii="Arial" w:eastAsia="Arial" w:hAnsi="Arial" w:cs="Arial"/>
                <w:color w:val="000000"/>
                <w:lang w:val="ru-RU"/>
              </w:rPr>
              <w:t xml:space="preserve"> – </w:t>
            </w:r>
            <w:proofErr w:type="spellStart"/>
            <w:r>
              <w:rPr>
                <w:rFonts w:ascii="Arial" w:eastAsia="Arial" w:hAnsi="Arial" w:cs="Arial"/>
                <w:color w:val="000000"/>
                <w:lang w:val="ru-RU"/>
              </w:rPr>
              <w:t>Неурядові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організації</w:t>
            </w:r>
            <w:proofErr w:type="spellEnd"/>
          </w:p>
        </w:tc>
      </w:tr>
      <w:tr w:rsidR="0093374D" w14:paraId="1BD6C790" w14:textId="77777777" w:rsidTr="0093374D">
        <w:tc>
          <w:tcPr>
            <w:tcW w:w="15138" w:type="dxa"/>
            <w:tcBorders>
              <w:top w:val="nil"/>
              <w:left w:val="nil"/>
              <w:bottom w:val="single" w:sz="4" w:space="0" w:color="BFBFBF"/>
              <w:right w:val="nil"/>
            </w:tcBorders>
            <w:shd w:val="clear" w:color="auto" w:fill="F0F5FA"/>
            <w:tcMar>
              <w:top w:w="80" w:type="dxa"/>
              <w:left w:w="1280" w:type="dxa"/>
              <w:bottom w:w="80" w:type="dxa"/>
              <w:right w:w="80" w:type="dxa"/>
            </w:tcMar>
          </w:tcPr>
          <w:p w14:paraId="0C2C5573" w14:textId="428C06DD" w:rsidR="0093374D" w:rsidRDefault="0093374D" w:rsidP="0093374D">
            <w:pPr>
              <w:spacing w:line="240" w:lineRule="auto"/>
            </w:pPr>
            <w:r>
              <w:rPr>
                <w:rFonts w:ascii="Arial" w:eastAsia="Arial" w:hAnsi="Arial" w:cs="Arial"/>
                <w:color w:val="000000"/>
                <w:lang w:val="ru-RU"/>
              </w:rPr>
              <w:t>Прогалина</w:t>
            </w:r>
          </w:p>
        </w:tc>
      </w:tr>
      <w:tr w:rsidR="0093374D" w14:paraId="76D51197" w14:textId="77777777" w:rsidTr="0093374D">
        <w:tc>
          <w:tcPr>
            <w:tcW w:w="15138" w:type="dxa"/>
            <w:tcBorders>
              <w:top w:val="nil"/>
              <w:left w:val="nil"/>
              <w:bottom w:val="single" w:sz="4" w:space="0" w:color="BFBFBF"/>
              <w:right w:val="nil"/>
            </w:tcBorders>
            <w:shd w:val="clear" w:color="auto" w:fill="F0F5FA"/>
            <w:tcMar>
              <w:top w:w="80" w:type="dxa"/>
              <w:left w:w="1280" w:type="dxa"/>
              <w:bottom w:w="80" w:type="dxa"/>
              <w:right w:w="80" w:type="dxa"/>
            </w:tcMar>
          </w:tcPr>
          <w:p w14:paraId="19B2AE4A" w14:textId="1C503E60" w:rsidR="0093374D" w:rsidRDefault="0093374D" w:rsidP="0093374D">
            <w:pPr>
              <w:spacing w:line="240" w:lineRule="auto"/>
            </w:pPr>
            <w:proofErr w:type="spellStart"/>
            <w:r>
              <w:rPr>
                <w:rFonts w:ascii="Arial" w:eastAsia="Arial" w:hAnsi="Arial" w:cs="Arial"/>
                <w:color w:val="000000"/>
                <w:lang w:val="ru-RU"/>
              </w:rPr>
              <w:t>Наявність</w:t>
            </w:r>
            <w:proofErr w:type="spellEnd"/>
          </w:p>
        </w:tc>
      </w:tr>
      <w:tr w:rsidR="0093374D" w14:paraId="083CE3F7"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6710BD59" w14:textId="63F47EF2" w:rsidR="0093374D" w:rsidRDefault="0093374D" w:rsidP="00817264">
            <w:pPr>
              <w:spacing w:line="240" w:lineRule="auto"/>
            </w:pPr>
            <w:proofErr w:type="spellStart"/>
            <w:r>
              <w:rPr>
                <w:rFonts w:ascii="Arial" w:eastAsia="Arial" w:hAnsi="Arial" w:cs="Arial"/>
                <w:color w:val="000000"/>
                <w:lang w:val="ru-RU"/>
              </w:rPr>
              <w:t>Наявні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спроможності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постраждалого</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населення</w:t>
            </w:r>
            <w:proofErr w:type="spellEnd"/>
          </w:p>
        </w:tc>
      </w:tr>
      <w:tr w:rsidR="0093374D" w14:paraId="25601CAE" w14:textId="77777777" w:rsidTr="0093374D">
        <w:tc>
          <w:tcPr>
            <w:tcW w:w="15138" w:type="dxa"/>
            <w:tcBorders>
              <w:top w:val="nil"/>
              <w:left w:val="nil"/>
              <w:bottom w:val="single" w:sz="4" w:space="0" w:color="BFBFBF"/>
              <w:right w:val="nil"/>
            </w:tcBorders>
            <w:shd w:val="clear" w:color="auto" w:fill="F0F5FA"/>
            <w:tcMar>
              <w:top w:w="80" w:type="dxa"/>
              <w:left w:w="1280" w:type="dxa"/>
              <w:bottom w:w="80" w:type="dxa"/>
              <w:right w:w="80" w:type="dxa"/>
            </w:tcMar>
          </w:tcPr>
          <w:p w14:paraId="23022C09" w14:textId="54F3E065" w:rsidR="0093374D" w:rsidRDefault="0093374D" w:rsidP="0093374D">
            <w:pPr>
              <w:spacing w:line="240" w:lineRule="auto"/>
            </w:pPr>
            <w:r>
              <w:rPr>
                <w:rFonts w:ascii="Arial" w:eastAsia="Arial" w:hAnsi="Arial" w:cs="Arial"/>
                <w:color w:val="000000"/>
                <w:lang w:val="ru-RU"/>
              </w:rPr>
              <w:t>Прогалина</w:t>
            </w:r>
          </w:p>
        </w:tc>
      </w:tr>
      <w:tr w:rsidR="0093374D" w14:paraId="6B5B74C1" w14:textId="77777777" w:rsidTr="0093374D">
        <w:tc>
          <w:tcPr>
            <w:tcW w:w="15138" w:type="dxa"/>
            <w:tcBorders>
              <w:top w:val="nil"/>
              <w:left w:val="nil"/>
              <w:bottom w:val="single" w:sz="4" w:space="0" w:color="BFBFBF"/>
              <w:right w:val="nil"/>
            </w:tcBorders>
            <w:shd w:val="clear" w:color="auto" w:fill="F0F5FA"/>
            <w:tcMar>
              <w:top w:w="80" w:type="dxa"/>
              <w:left w:w="1280" w:type="dxa"/>
              <w:bottom w:w="80" w:type="dxa"/>
              <w:right w:w="80" w:type="dxa"/>
            </w:tcMar>
          </w:tcPr>
          <w:p w14:paraId="7338F6A8" w14:textId="3DC39A08" w:rsidR="0093374D" w:rsidRDefault="0093374D" w:rsidP="0093374D">
            <w:pPr>
              <w:spacing w:line="240" w:lineRule="auto"/>
            </w:pPr>
            <w:proofErr w:type="spellStart"/>
            <w:r>
              <w:rPr>
                <w:rFonts w:ascii="Arial" w:eastAsia="Arial" w:hAnsi="Arial" w:cs="Arial"/>
                <w:color w:val="000000"/>
                <w:lang w:val="ru-RU"/>
              </w:rPr>
              <w:t>Наявність</w:t>
            </w:r>
            <w:proofErr w:type="spellEnd"/>
          </w:p>
        </w:tc>
      </w:tr>
      <w:tr w:rsidR="0093374D" w14:paraId="09C2F3BC"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2E9AF558" w14:textId="39E67A30" w:rsidR="0093374D" w:rsidRDefault="0093374D" w:rsidP="00817264">
            <w:pPr>
              <w:spacing w:line="240" w:lineRule="auto"/>
            </w:pPr>
            <w:proofErr w:type="spellStart"/>
            <w:r>
              <w:rPr>
                <w:rFonts w:ascii="Arial" w:eastAsia="Arial" w:hAnsi="Arial" w:cs="Arial"/>
                <w:color w:val="000000"/>
                <w:lang w:val="ru-RU"/>
              </w:rPr>
              <w:t>Наявні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загрози</w:t>
            </w:r>
            <w:proofErr w:type="spellEnd"/>
            <w:r>
              <w:rPr>
                <w:rFonts w:ascii="Arial" w:eastAsia="Arial" w:hAnsi="Arial" w:cs="Arial"/>
                <w:color w:val="000000"/>
                <w:lang w:val="ru-RU"/>
              </w:rPr>
              <w:t xml:space="preserve"> для </w:t>
            </w:r>
            <w:proofErr w:type="spellStart"/>
            <w:r>
              <w:rPr>
                <w:rFonts w:ascii="Arial" w:eastAsia="Arial" w:hAnsi="Arial" w:cs="Arial"/>
                <w:color w:val="000000"/>
                <w:lang w:val="ru-RU"/>
              </w:rPr>
              <w:t>населення</w:t>
            </w:r>
            <w:proofErr w:type="spellEnd"/>
          </w:p>
        </w:tc>
      </w:tr>
      <w:tr w:rsidR="0093374D" w14:paraId="6DAC7613"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170D20B5" w14:textId="3860A4CB" w:rsidR="0093374D" w:rsidRDefault="0093374D" w:rsidP="00817264">
            <w:pPr>
              <w:spacing w:line="240" w:lineRule="auto"/>
            </w:pPr>
            <w:proofErr w:type="spellStart"/>
            <w:r>
              <w:rPr>
                <w:rFonts w:ascii="Arial" w:eastAsia="Arial" w:hAnsi="Arial" w:cs="Arial"/>
                <w:color w:val="000000"/>
                <w:lang w:val="ru-RU"/>
              </w:rPr>
              <w:t>Чинники</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загроз</w:t>
            </w:r>
            <w:proofErr w:type="spellEnd"/>
          </w:p>
        </w:tc>
      </w:tr>
      <w:tr w:rsidR="0093374D" w14:paraId="41C64D0B"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0C3AAB32" w14:textId="5447E76C" w:rsidR="0093374D" w:rsidRDefault="0093374D" w:rsidP="00817264">
            <w:pPr>
              <w:spacing w:line="240" w:lineRule="auto"/>
            </w:pPr>
            <w:proofErr w:type="spellStart"/>
            <w:r>
              <w:rPr>
                <w:rFonts w:ascii="Arial" w:eastAsia="Arial" w:hAnsi="Arial" w:cs="Arial"/>
                <w:color w:val="000000"/>
                <w:lang w:val="ru-RU"/>
              </w:rPr>
              <w:t>Кривдник</w:t>
            </w:r>
            <w:proofErr w:type="spellEnd"/>
            <w:r>
              <w:rPr>
                <w:rFonts w:ascii="Arial" w:eastAsia="Arial" w:hAnsi="Arial" w:cs="Arial"/>
                <w:color w:val="000000"/>
                <w:lang w:val="ru-RU"/>
              </w:rPr>
              <w:t xml:space="preserve"> (той</w:t>
            </w:r>
            <w:r>
              <w:rPr>
                <w:rFonts w:ascii="Arial" w:eastAsia="Arial" w:hAnsi="Arial" w:cs="Arial"/>
                <w:color w:val="000000"/>
                <w:lang w:val="en-US"/>
              </w:rPr>
              <w:t>,</w:t>
            </w:r>
            <w:r>
              <w:rPr>
                <w:rFonts w:ascii="Arial" w:eastAsia="Arial" w:hAnsi="Arial" w:cs="Arial"/>
                <w:color w:val="000000"/>
              </w:rPr>
              <w:t xml:space="preserve"> хто вчиняв загрозу</w:t>
            </w:r>
            <w:r>
              <w:rPr>
                <w:rFonts w:ascii="Arial" w:eastAsia="Arial" w:hAnsi="Arial" w:cs="Arial"/>
                <w:color w:val="000000"/>
                <w:lang w:val="ru-RU"/>
              </w:rPr>
              <w:t>)</w:t>
            </w:r>
          </w:p>
        </w:tc>
      </w:tr>
      <w:tr w:rsidR="0093374D" w14:paraId="153B16E4"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6F867B74" w14:textId="6F78B136" w:rsidR="0093374D" w:rsidRDefault="0093374D" w:rsidP="00817264">
            <w:pPr>
              <w:spacing w:line="240" w:lineRule="auto"/>
            </w:pPr>
            <w:proofErr w:type="spellStart"/>
            <w:r>
              <w:rPr>
                <w:rFonts w:ascii="Arial" w:eastAsia="Arial" w:hAnsi="Arial" w:cs="Arial"/>
                <w:color w:val="000000"/>
                <w:lang w:val="ru-RU"/>
              </w:rPr>
              <w:t>Загроза</w:t>
            </w:r>
            <w:proofErr w:type="spellEnd"/>
            <w:r>
              <w:rPr>
                <w:rFonts w:ascii="Arial" w:eastAsia="Arial" w:hAnsi="Arial" w:cs="Arial"/>
                <w:color w:val="000000"/>
                <w:lang w:val="ru-RU"/>
              </w:rPr>
              <w:t xml:space="preserve"> у </w:t>
            </w:r>
            <w:proofErr w:type="spellStart"/>
            <w:r>
              <w:rPr>
                <w:rFonts w:ascii="Arial" w:eastAsia="Arial" w:hAnsi="Arial" w:cs="Arial"/>
                <w:color w:val="000000"/>
                <w:lang w:val="ru-RU"/>
              </w:rPr>
              <w:t>сфері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соціального</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захисту</w:t>
            </w:r>
            <w:proofErr w:type="spellEnd"/>
          </w:p>
        </w:tc>
      </w:tr>
      <w:tr w:rsidR="0093374D" w14:paraId="26089EC0"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16E9E526" w14:textId="34171C53" w:rsidR="0093374D" w:rsidRDefault="0093374D" w:rsidP="00817264">
            <w:pPr>
              <w:spacing w:line="240" w:lineRule="auto"/>
            </w:pPr>
            <w:proofErr w:type="spellStart"/>
            <w:r>
              <w:rPr>
                <w:rFonts w:ascii="Arial" w:eastAsia="Arial" w:hAnsi="Arial" w:cs="Arial"/>
                <w:color w:val="000000"/>
                <w:lang w:val="ru-RU"/>
              </w:rPr>
              <w:t>Ефекти</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від</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загрози</w:t>
            </w:r>
            <w:proofErr w:type="spellEnd"/>
          </w:p>
        </w:tc>
      </w:tr>
      <w:tr w:rsidR="0093374D" w14:paraId="3E52710D"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33BEEB37" w14:textId="296A3D62" w:rsidR="0093374D" w:rsidRDefault="0093374D" w:rsidP="00817264">
            <w:pPr>
              <w:spacing w:line="240" w:lineRule="auto"/>
            </w:pPr>
            <w:proofErr w:type="spellStart"/>
            <w:r>
              <w:rPr>
                <w:rFonts w:ascii="Arial" w:eastAsia="Arial" w:hAnsi="Arial" w:cs="Arial"/>
                <w:color w:val="000000"/>
                <w:lang w:val="ru-RU"/>
              </w:rPr>
              <w:t>Наслідки</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загроз</w:t>
            </w:r>
            <w:proofErr w:type="spellEnd"/>
          </w:p>
        </w:tc>
      </w:tr>
      <w:tr w:rsidR="0093374D" w14:paraId="3BCD082D"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7BC7D1EA" w14:textId="0BB1A3BA" w:rsidR="0093374D" w:rsidRDefault="0093374D" w:rsidP="00817264">
            <w:pPr>
              <w:spacing w:line="240" w:lineRule="auto"/>
            </w:pPr>
            <w:r>
              <w:rPr>
                <w:rFonts w:ascii="Arial" w:eastAsia="Arial" w:hAnsi="Arial" w:cs="Arial"/>
                <w:color w:val="000000"/>
                <w:lang w:val="ru-RU"/>
              </w:rPr>
              <w:t xml:space="preserve">Характеристика </w:t>
            </w:r>
            <w:proofErr w:type="spellStart"/>
            <w:r>
              <w:rPr>
                <w:rFonts w:ascii="Arial" w:eastAsia="Arial" w:hAnsi="Arial" w:cs="Arial"/>
                <w:color w:val="000000"/>
                <w:lang w:val="ru-RU"/>
              </w:rPr>
              <w:t>постраждалого</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населнння</w:t>
            </w:r>
            <w:proofErr w:type="spellEnd"/>
          </w:p>
        </w:tc>
      </w:tr>
      <w:tr w:rsidR="0093374D" w14:paraId="245506BC"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43BF7E17" w14:textId="2C3AAFBF" w:rsidR="0093374D" w:rsidRDefault="0093374D" w:rsidP="00817264">
            <w:pPr>
              <w:spacing w:line="240" w:lineRule="auto"/>
            </w:pPr>
            <w:r>
              <w:rPr>
                <w:rFonts w:ascii="Arial" w:eastAsia="Arial" w:hAnsi="Arial" w:cs="Arial"/>
                <w:color w:val="000000"/>
                <w:lang w:val="ru-RU"/>
              </w:rPr>
              <w:t>Контекст</w:t>
            </w:r>
          </w:p>
        </w:tc>
      </w:tr>
      <w:tr w:rsidR="0093374D" w14:paraId="504776DC"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6CF00D9F" w14:textId="0D51AE77" w:rsidR="0093374D" w:rsidRDefault="0093374D" w:rsidP="00817264">
            <w:pPr>
              <w:spacing w:line="240" w:lineRule="auto"/>
            </w:pPr>
            <w:proofErr w:type="spellStart"/>
            <w:r>
              <w:rPr>
                <w:rFonts w:ascii="Arial" w:eastAsia="Arial" w:hAnsi="Arial" w:cs="Arial"/>
                <w:color w:val="000000"/>
                <w:lang w:val="ru-RU"/>
              </w:rPr>
              <w:t>Ризики</w:t>
            </w:r>
            <w:proofErr w:type="spellEnd"/>
            <w:r>
              <w:rPr>
                <w:rFonts w:ascii="Arial" w:eastAsia="Arial" w:hAnsi="Arial" w:cs="Arial"/>
                <w:color w:val="000000"/>
                <w:lang w:val="ru-RU"/>
              </w:rPr>
              <w:t xml:space="preserve"> у </w:t>
            </w:r>
            <w:proofErr w:type="spellStart"/>
            <w:r>
              <w:rPr>
                <w:rFonts w:ascii="Arial" w:eastAsia="Arial" w:hAnsi="Arial" w:cs="Arial"/>
                <w:color w:val="000000"/>
                <w:lang w:val="ru-RU"/>
              </w:rPr>
              <w:t>сфері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захисту</w:t>
            </w:r>
            <w:proofErr w:type="spellEnd"/>
          </w:p>
        </w:tc>
      </w:tr>
      <w:tr w:rsidR="0093374D" w14:paraId="1D399010"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60A7B78D" w14:textId="202BFBAE" w:rsidR="0093374D" w:rsidRDefault="0093374D" w:rsidP="00817264">
            <w:pPr>
              <w:spacing w:line="240" w:lineRule="auto"/>
            </w:pPr>
            <w:proofErr w:type="spellStart"/>
            <w:r>
              <w:rPr>
                <w:rFonts w:ascii="Arial" w:eastAsia="Arial" w:hAnsi="Arial" w:cs="Arial"/>
                <w:color w:val="000000"/>
                <w:lang w:val="ru-RU"/>
              </w:rPr>
              <w:t>Соціальні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відносини</w:t>
            </w:r>
            <w:proofErr w:type="spellEnd"/>
          </w:p>
        </w:tc>
      </w:tr>
      <w:tr w:rsidR="0093374D" w14:paraId="137D9780"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4458889C" w14:textId="7CF5D27F" w:rsidR="0093374D" w:rsidRDefault="0093374D" w:rsidP="00817264">
            <w:pPr>
              <w:spacing w:line="240" w:lineRule="auto"/>
            </w:pPr>
            <w:proofErr w:type="spellStart"/>
            <w:r>
              <w:rPr>
                <w:rFonts w:ascii="Arial" w:eastAsia="Arial" w:hAnsi="Arial" w:cs="Arial"/>
                <w:color w:val="000000"/>
                <w:lang w:val="ru-RU"/>
              </w:rPr>
              <w:t>Негативні</w:t>
            </w:r>
            <w:proofErr w:type="spellEnd"/>
          </w:p>
        </w:tc>
      </w:tr>
      <w:tr w:rsidR="0093374D" w14:paraId="60C20ECD" w14:textId="77777777" w:rsidTr="0093374D">
        <w:tc>
          <w:tcPr>
            <w:tcW w:w="15138" w:type="dxa"/>
            <w:tcBorders>
              <w:top w:val="nil"/>
              <w:left w:val="nil"/>
              <w:bottom w:val="single" w:sz="4" w:space="0" w:color="BFBFBF"/>
              <w:right w:val="nil"/>
            </w:tcBorders>
            <w:shd w:val="clear" w:color="auto" w:fill="F0F5FA"/>
            <w:tcMar>
              <w:top w:w="80" w:type="dxa"/>
              <w:left w:w="880" w:type="dxa"/>
              <w:bottom w:w="80" w:type="dxa"/>
              <w:right w:w="80" w:type="dxa"/>
            </w:tcMar>
          </w:tcPr>
          <w:p w14:paraId="5429C046" w14:textId="79C35DD6" w:rsidR="0093374D" w:rsidRDefault="0093374D" w:rsidP="00817264">
            <w:pPr>
              <w:spacing w:line="240" w:lineRule="auto"/>
            </w:pPr>
            <w:proofErr w:type="spellStart"/>
            <w:r>
              <w:rPr>
                <w:rFonts w:ascii="Arial" w:eastAsia="Arial" w:hAnsi="Arial" w:cs="Arial"/>
                <w:color w:val="000000"/>
                <w:lang w:val="ru-RU"/>
              </w:rPr>
              <w:t>Позитивні</w:t>
            </w:r>
            <w:proofErr w:type="spellEnd"/>
          </w:p>
        </w:tc>
      </w:tr>
      <w:tr w:rsidR="0093374D" w14:paraId="21CD0568" w14:textId="77777777" w:rsidTr="0093374D">
        <w:tc>
          <w:tcPr>
            <w:tcW w:w="15138" w:type="dxa"/>
            <w:tcBorders>
              <w:top w:val="nil"/>
              <w:left w:val="nil"/>
              <w:bottom w:val="single" w:sz="4" w:space="0" w:color="BFBFBF"/>
              <w:right w:val="nil"/>
            </w:tcBorders>
            <w:shd w:val="clear" w:color="auto" w:fill="F0F5FA"/>
            <w:tcMar>
              <w:top w:w="80" w:type="dxa"/>
              <w:left w:w="480" w:type="dxa"/>
              <w:bottom w:w="80" w:type="dxa"/>
              <w:right w:w="80" w:type="dxa"/>
            </w:tcMar>
          </w:tcPr>
          <w:p w14:paraId="0FBEB25B" w14:textId="2CB2C567" w:rsidR="0093374D" w:rsidRDefault="0093374D" w:rsidP="00817264">
            <w:pPr>
              <w:spacing w:line="240" w:lineRule="auto"/>
            </w:pPr>
            <w:r>
              <w:rPr>
                <w:rFonts w:ascii="Arial" w:eastAsia="Arial" w:hAnsi="Arial" w:cs="Arial"/>
                <w:color w:val="000000"/>
                <w:lang w:val="ru-RU"/>
              </w:rPr>
              <w:t>Потреби</w:t>
            </w:r>
          </w:p>
        </w:tc>
      </w:tr>
      <w:tr w:rsidR="0093374D" w14:paraId="4C470055" w14:textId="77777777" w:rsidTr="0093374D">
        <w:tc>
          <w:tcPr>
            <w:tcW w:w="15138" w:type="dxa"/>
            <w:tcBorders>
              <w:top w:val="nil"/>
              <w:left w:val="nil"/>
              <w:bottom w:val="nil"/>
              <w:right w:val="nil"/>
            </w:tcBorders>
            <w:shd w:val="clear" w:color="auto" w:fill="F0F5FA"/>
            <w:tcMar>
              <w:top w:w="80" w:type="dxa"/>
              <w:left w:w="480" w:type="dxa"/>
              <w:bottom w:w="80" w:type="dxa"/>
              <w:right w:w="80" w:type="dxa"/>
            </w:tcMar>
          </w:tcPr>
          <w:p w14:paraId="51553109" w14:textId="751A6759" w:rsidR="0093374D" w:rsidRDefault="0093374D" w:rsidP="00817264">
            <w:pPr>
              <w:spacing w:line="240" w:lineRule="auto"/>
            </w:pPr>
            <w:proofErr w:type="spellStart"/>
            <w:r>
              <w:rPr>
                <w:rFonts w:ascii="Arial" w:eastAsia="Arial" w:hAnsi="Arial" w:cs="Arial"/>
                <w:color w:val="000000"/>
                <w:lang w:val="ru-RU"/>
              </w:rPr>
              <w:t>Подальші</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наміри</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населення</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щодо</w:t>
            </w:r>
            <w:proofErr w:type="spellEnd"/>
            <w:r>
              <w:rPr>
                <w:rFonts w:ascii="Arial" w:eastAsia="Arial" w:hAnsi="Arial" w:cs="Arial"/>
                <w:color w:val="000000"/>
                <w:lang w:val="ru-RU"/>
              </w:rPr>
              <w:t xml:space="preserve"> </w:t>
            </w:r>
            <w:proofErr w:type="spellStart"/>
            <w:r>
              <w:rPr>
                <w:rFonts w:ascii="Arial" w:eastAsia="Arial" w:hAnsi="Arial" w:cs="Arial"/>
                <w:color w:val="000000"/>
                <w:lang w:val="ru-RU"/>
              </w:rPr>
              <w:t>переміщення</w:t>
            </w:r>
            <w:proofErr w:type="spellEnd"/>
          </w:p>
        </w:tc>
      </w:tr>
    </w:tbl>
    <w:p w14:paraId="638448F3" w14:textId="77777777" w:rsidR="0093374D" w:rsidRPr="0093374D" w:rsidRDefault="0093374D" w:rsidP="0093374D">
      <w:pPr>
        <w:rPr>
          <w:lang w:eastAsia="en-US"/>
        </w:rPr>
      </w:pPr>
    </w:p>
    <w:sectPr w:rsidR="0093374D" w:rsidRPr="0093374D" w:rsidSect="0020188B">
      <w:headerReference w:type="even" r:id="rId18"/>
      <w:head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51328" w14:textId="77777777" w:rsidR="00DC70C6" w:rsidRDefault="00DC70C6" w:rsidP="0020188B">
      <w:pPr>
        <w:spacing w:line="240" w:lineRule="auto"/>
      </w:pPr>
      <w:r>
        <w:separator/>
      </w:r>
    </w:p>
  </w:endnote>
  <w:endnote w:type="continuationSeparator" w:id="0">
    <w:p w14:paraId="679567DF" w14:textId="77777777" w:rsidR="00DC70C6" w:rsidRDefault="00DC70C6" w:rsidP="002018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FC9A6" w14:textId="77777777" w:rsidR="00DC70C6" w:rsidRDefault="00DC70C6" w:rsidP="0020188B">
      <w:pPr>
        <w:spacing w:line="240" w:lineRule="auto"/>
      </w:pPr>
      <w:r>
        <w:separator/>
      </w:r>
    </w:p>
  </w:footnote>
  <w:footnote w:type="continuationSeparator" w:id="0">
    <w:p w14:paraId="361047E0" w14:textId="77777777" w:rsidR="00DC70C6" w:rsidRDefault="00DC70C6" w:rsidP="0020188B">
      <w:pPr>
        <w:spacing w:line="240" w:lineRule="auto"/>
      </w:pPr>
      <w:r>
        <w:continuationSeparator/>
      </w:r>
    </w:p>
  </w:footnote>
  <w:footnote w:id="1">
    <w:p w14:paraId="73092A16" w14:textId="243B77AB" w:rsidR="00EE3A37" w:rsidRPr="00EE3A37" w:rsidRDefault="00EE3A37" w:rsidP="00EE3A37">
      <w:pPr>
        <w:pStyle w:val="p1"/>
        <w:spacing w:line="240" w:lineRule="auto"/>
        <w:jc w:val="left"/>
      </w:pPr>
      <w:r w:rsidRPr="00EE3A37">
        <w:rPr>
          <w:rStyle w:val="af6"/>
        </w:rPr>
        <w:footnoteRef/>
      </w:r>
      <w:r w:rsidRPr="00EE3A37">
        <w:t xml:space="preserve"> Закон </w:t>
      </w:r>
      <w:proofErr w:type="spellStart"/>
      <w:r w:rsidRPr="00EE3A37">
        <w:t>України</w:t>
      </w:r>
      <w:proofErr w:type="spellEnd"/>
      <w:r w:rsidRPr="00EE3A37">
        <w:t xml:space="preserve"> «Про </w:t>
      </w:r>
      <w:proofErr w:type="spellStart"/>
      <w:r w:rsidRPr="00EE3A37">
        <w:t>забезпечення</w:t>
      </w:r>
      <w:proofErr w:type="spellEnd"/>
      <w:r w:rsidRPr="00EE3A37">
        <w:t xml:space="preserve"> прав і свобод </w:t>
      </w:r>
      <w:proofErr w:type="spellStart"/>
      <w:r w:rsidRPr="00EE3A37">
        <w:t>внутрішньо</w:t>
      </w:r>
      <w:proofErr w:type="spellEnd"/>
      <w:r w:rsidRPr="00EE3A37">
        <w:t xml:space="preserve"> </w:t>
      </w:r>
      <w:proofErr w:type="spellStart"/>
      <w:r w:rsidRPr="00EE3A37">
        <w:t>переміщених</w:t>
      </w:r>
      <w:proofErr w:type="spellEnd"/>
      <w:r w:rsidRPr="00EE3A37">
        <w:t xml:space="preserve"> </w:t>
      </w:r>
      <w:proofErr w:type="spellStart"/>
      <w:r w:rsidRPr="00EE3A37">
        <w:t>осіб</w:t>
      </w:r>
      <w:proofErr w:type="spellEnd"/>
      <w:r w:rsidRPr="00EE3A37">
        <w:t xml:space="preserve">» № 1706-VII </w:t>
      </w:r>
      <w:proofErr w:type="spellStart"/>
      <w:r w:rsidRPr="00EE3A37">
        <w:t>від</w:t>
      </w:r>
      <w:proofErr w:type="spellEnd"/>
      <w:r w:rsidRPr="00EE3A37">
        <w:t xml:space="preserve"> 20.10.2014 (</w:t>
      </w:r>
      <w:proofErr w:type="spellStart"/>
      <w:r w:rsidRPr="00EE3A37">
        <w:t>зі</w:t>
      </w:r>
      <w:proofErr w:type="spellEnd"/>
      <w:r w:rsidRPr="00EE3A37">
        <w:t xml:space="preserve"> </w:t>
      </w:r>
      <w:proofErr w:type="spellStart"/>
      <w:r w:rsidRPr="00EE3A37">
        <w:t>змінами</w:t>
      </w:r>
      <w:proofErr w:type="spellEnd"/>
      <w:r w:rsidRPr="00EE3A37">
        <w:t>)</w:t>
      </w:r>
      <w:r w:rsidRPr="00EE3A37">
        <w:rPr>
          <w:lang w:val="uk-UA"/>
        </w:rPr>
        <w:t xml:space="preserve"> </w:t>
      </w:r>
      <w:r w:rsidRPr="00EE3A37">
        <w:rPr>
          <w:lang w:val="en-US"/>
        </w:rPr>
        <w:t xml:space="preserve">URL </w:t>
      </w:r>
      <w:r w:rsidRPr="00EE3A37">
        <w:t>https://zakon.rada.gov.ua/laws/main/1706-18</w:t>
      </w:r>
    </w:p>
  </w:footnote>
  <w:footnote w:id="2">
    <w:p w14:paraId="7AE2532F" w14:textId="709FB700" w:rsidR="00EE3A37" w:rsidRPr="00EE3A37" w:rsidRDefault="00EE3A37" w:rsidP="00EE3A37">
      <w:pPr>
        <w:pStyle w:val="p1"/>
        <w:spacing w:line="240" w:lineRule="auto"/>
        <w:jc w:val="left"/>
      </w:pPr>
      <w:r w:rsidRPr="00EE3A37">
        <w:rPr>
          <w:rStyle w:val="af6"/>
        </w:rPr>
        <w:footnoteRef/>
      </w:r>
      <w:r w:rsidRPr="00EE3A37">
        <w:t xml:space="preserve"> </w:t>
      </w:r>
      <w:r w:rsidRPr="00EE3A37">
        <w:t xml:space="preserve">Степанова Е.Р. «Соціальне забезпечення внутрішньо переміщених осіб». </w:t>
      </w:r>
      <w:r w:rsidRPr="00EE3A37">
        <w:rPr>
          <w:i/>
          <w:iCs/>
        </w:rPr>
        <w:t>Business Inform</w:t>
      </w:r>
      <w:r w:rsidRPr="00EE3A37">
        <w:t>, 2023, №1. https://www.business-inform.net/article/?abstract=2023_1_0_101_107&amp;year=2023</w:t>
      </w:r>
    </w:p>
  </w:footnote>
  <w:footnote w:id="3">
    <w:p w14:paraId="3EDCBE81" w14:textId="77777777" w:rsidR="00EE3A37" w:rsidRPr="00EE3A37" w:rsidRDefault="00EE3A37" w:rsidP="00EE3A37">
      <w:pPr>
        <w:pStyle w:val="p1"/>
        <w:spacing w:line="240" w:lineRule="auto"/>
        <w:jc w:val="left"/>
      </w:pPr>
      <w:r w:rsidRPr="00EE3A37">
        <w:rPr>
          <w:rStyle w:val="af6"/>
        </w:rPr>
        <w:footnoteRef/>
      </w:r>
      <w:r w:rsidRPr="00EE3A37">
        <w:t xml:space="preserve"> </w:t>
      </w:r>
      <w:r w:rsidRPr="00EE3A37">
        <w:t xml:space="preserve">UNHCR. </w:t>
      </w:r>
      <w:r w:rsidRPr="00EE3A37">
        <w:rPr>
          <w:i/>
          <w:iCs/>
        </w:rPr>
        <w:t>Access Study: Understanding Effective Coverage and Barriers to the Ukrainian State Social Protection System</w:t>
      </w:r>
      <w:r w:rsidRPr="00EE3A37">
        <w:t>. 2024.</w:t>
      </w:r>
    </w:p>
    <w:p w14:paraId="739FEC05" w14:textId="3585403E" w:rsidR="00EE3A37" w:rsidRPr="00EE3A37" w:rsidRDefault="00EE3A37">
      <w:pPr>
        <w:pStyle w:val="af4"/>
        <w:rPr>
          <w:lang w:val="en-US"/>
        </w:rPr>
      </w:pPr>
      <w:r w:rsidRPr="00EE3A37">
        <w:t>https://data.unhcr.org/en/documents/details/113207</w:t>
      </w:r>
    </w:p>
  </w:footnote>
  <w:footnote w:id="4">
    <w:p w14:paraId="4B1D011B" w14:textId="1661CCC7" w:rsidR="00EE3A37" w:rsidRPr="00EE3A37" w:rsidRDefault="00EE3A37" w:rsidP="00EE3A37">
      <w:pPr>
        <w:pStyle w:val="p1"/>
        <w:spacing w:line="240" w:lineRule="auto"/>
        <w:jc w:val="left"/>
      </w:pPr>
      <w:r w:rsidRPr="00EE3A37">
        <w:rPr>
          <w:rStyle w:val="af6"/>
        </w:rPr>
        <w:footnoteRef/>
      </w:r>
      <w:r w:rsidRPr="00EE3A37">
        <w:t xml:space="preserve"> </w:t>
      </w:r>
      <w:r w:rsidRPr="00EE3A37">
        <w:rPr>
          <w:i/>
          <w:iCs/>
        </w:rPr>
        <w:t>The Sphere Handbook: Humanitarian Charter and Minimum Standards in Humanitarian Response</w:t>
      </w:r>
      <w:r w:rsidRPr="00EE3A37">
        <w:t>. Sphere, 2011/2018 (український переклад 2011 р.). https://spherestandards.org/wp-content/uploads/Sphere-handbook-2011-Ukranian-1.pdf</w:t>
      </w:r>
    </w:p>
  </w:footnote>
  <w:footnote w:id="5">
    <w:p w14:paraId="3960D780" w14:textId="77777777" w:rsidR="00EE3A37" w:rsidRPr="00EE3A37" w:rsidRDefault="00EE3A37">
      <w:pPr>
        <w:pStyle w:val="af4"/>
        <w:rPr>
          <w:lang w:val="en-US"/>
        </w:rPr>
      </w:pPr>
      <w:r w:rsidRPr="00EE3A37">
        <w:rPr>
          <w:rStyle w:val="af6"/>
        </w:rPr>
        <w:footnoteRef/>
      </w:r>
      <w:r w:rsidRPr="00EE3A37">
        <w:t xml:space="preserve"> </w:t>
      </w:r>
      <w:r w:rsidRPr="00EE3A37">
        <w:t>Аналітичні й монографічні праці про соціальний захист ВПО в Україні (наприклад, Козловець М.А., Залібовська-Ільніцька З.В. «Соціальний захист внутрішньо переміщених осіб як складова державної соціальної політики України», 2025)</w:t>
      </w:r>
    </w:p>
    <w:p w14:paraId="79D2899A" w14:textId="7641121D" w:rsidR="00EE3A37" w:rsidRPr="00EE3A37" w:rsidRDefault="00EE3A37">
      <w:pPr>
        <w:pStyle w:val="af4"/>
        <w:rPr>
          <w:lang w:val="en-US"/>
        </w:rPr>
      </w:pPr>
      <w:r w:rsidRPr="00EE3A37">
        <w:t>https://eprints.zu.edu.ua/view/creators/%3D%3D0417%3D%3D0430%3D%3D043B%3D%3D0456%3D%3D0431%3D%3D043E%3D%3D0432%3D%3D0441%3D%3D044C%3D%3D043A%3D%3D0430-%3D%3D0406%3D%3D043B%3D%3D044C%3D%3D043D%3D%3D0456%3D%3D0446%3D%3D044C%3D%3D043A%3D%3D0430%3D3A%3D%3D0417%3D2E_%3D%3D0412%3D2E%3D3A%3D3A.html</w:t>
      </w:r>
    </w:p>
  </w:footnote>
  <w:footnote w:id="6">
    <w:p w14:paraId="189FCAD8" w14:textId="77777777" w:rsidR="00EE3A37" w:rsidRPr="00EE3A37" w:rsidRDefault="00EE3A37" w:rsidP="00EE3A37">
      <w:pPr>
        <w:pStyle w:val="p1"/>
        <w:spacing w:line="240" w:lineRule="auto"/>
        <w:jc w:val="left"/>
      </w:pPr>
      <w:r w:rsidRPr="00EE3A37">
        <w:rPr>
          <w:rStyle w:val="af6"/>
        </w:rPr>
        <w:footnoteRef/>
      </w:r>
      <w:r w:rsidRPr="00EE3A37">
        <w:t xml:space="preserve"> </w:t>
      </w:r>
      <w:r w:rsidRPr="00EE3A37">
        <w:rPr>
          <w:lang w:val="en-US"/>
        </w:rPr>
        <w:t xml:space="preserve"> </w:t>
      </w:r>
      <w:r w:rsidRPr="00EE3A37">
        <w:rPr>
          <w:i/>
          <w:iCs/>
        </w:rPr>
        <w:t>War Migrants: Global Experience and Ukrainian Characteristics</w:t>
      </w:r>
      <w:r w:rsidRPr="00EE3A37">
        <w:t>. Policy paper, 2024.</w:t>
      </w:r>
    </w:p>
    <w:p w14:paraId="453590DE" w14:textId="77777777" w:rsidR="00EE3A37" w:rsidRPr="00EE3A37" w:rsidRDefault="00EE3A37" w:rsidP="00EE3A37">
      <w:pPr>
        <w:pStyle w:val="af4"/>
        <w:rPr>
          <w:lang w:val="en-US"/>
        </w:rPr>
      </w:pPr>
      <w:r w:rsidRPr="00EE3A37">
        <w:t>https://help-ukraine.org.ua/wp-content/uploads/2024/04/Policy-war-migranti-final-engl-1.pdf</w:t>
      </w:r>
    </w:p>
  </w:footnote>
  <w:footnote w:id="7">
    <w:p w14:paraId="67B15D94" w14:textId="1DB6394F" w:rsidR="00EE3A37" w:rsidRPr="00EE3A37" w:rsidRDefault="00EE3A37" w:rsidP="00EE3A37">
      <w:pPr>
        <w:pStyle w:val="p1"/>
        <w:spacing w:line="240" w:lineRule="auto"/>
        <w:jc w:val="left"/>
      </w:pPr>
      <w:r w:rsidRPr="00EE3A37">
        <w:rPr>
          <w:rStyle w:val="af6"/>
        </w:rPr>
        <w:footnoteRef/>
      </w:r>
      <w:r w:rsidRPr="00EE3A37">
        <w:t xml:space="preserve"> </w:t>
      </w:r>
      <w:proofErr w:type="spellStart"/>
      <w:r w:rsidRPr="00EE3A37">
        <w:t>Матеріали</w:t>
      </w:r>
      <w:proofErr w:type="spellEnd"/>
      <w:r w:rsidRPr="00EE3A37">
        <w:t xml:space="preserve"> </w:t>
      </w:r>
      <w:proofErr w:type="spellStart"/>
      <w:r w:rsidRPr="00EE3A37">
        <w:t>Міністерства</w:t>
      </w:r>
      <w:proofErr w:type="spellEnd"/>
      <w:r w:rsidRPr="00EE3A37">
        <w:t xml:space="preserve"> </w:t>
      </w:r>
      <w:proofErr w:type="spellStart"/>
      <w:r w:rsidRPr="00EE3A37">
        <w:t>цифрової</w:t>
      </w:r>
      <w:proofErr w:type="spellEnd"/>
      <w:r w:rsidRPr="00EE3A37">
        <w:t xml:space="preserve"> </w:t>
      </w:r>
      <w:proofErr w:type="spellStart"/>
      <w:r w:rsidRPr="00EE3A37">
        <w:t>трансформації</w:t>
      </w:r>
      <w:proofErr w:type="spellEnd"/>
      <w:r w:rsidRPr="00EE3A37">
        <w:t>, ЦНАП і «</w:t>
      </w:r>
      <w:proofErr w:type="spellStart"/>
      <w:r w:rsidRPr="00EE3A37">
        <w:t>Дія</w:t>
      </w:r>
      <w:proofErr w:type="spellEnd"/>
      <w:r w:rsidRPr="00EE3A37">
        <w:t xml:space="preserve">» як </w:t>
      </w:r>
      <w:proofErr w:type="spellStart"/>
      <w:r w:rsidRPr="00EE3A37">
        <w:t>приклади</w:t>
      </w:r>
      <w:proofErr w:type="spellEnd"/>
      <w:r w:rsidRPr="00EE3A37">
        <w:t xml:space="preserve"> </w:t>
      </w:r>
      <w:proofErr w:type="spellStart"/>
      <w:r w:rsidRPr="00EE3A37">
        <w:t>центрів</w:t>
      </w:r>
      <w:proofErr w:type="spellEnd"/>
      <w:r w:rsidRPr="00EE3A37">
        <w:t xml:space="preserve"> </w:t>
      </w:r>
      <w:proofErr w:type="spellStart"/>
      <w:r w:rsidRPr="00EE3A37">
        <w:t>надання</w:t>
      </w:r>
      <w:proofErr w:type="spellEnd"/>
      <w:r w:rsidRPr="00EE3A37">
        <w:t xml:space="preserve"> </w:t>
      </w:r>
      <w:proofErr w:type="spellStart"/>
      <w:r w:rsidRPr="00EE3A37">
        <w:t>адмінпослуг</w:t>
      </w:r>
      <w:proofErr w:type="spellEnd"/>
      <w:r w:rsidRPr="00EE3A37">
        <w:t xml:space="preserve"> у </w:t>
      </w:r>
      <w:proofErr w:type="spellStart"/>
      <w:r w:rsidRPr="00EE3A37">
        <w:t>форматі</w:t>
      </w:r>
      <w:proofErr w:type="spellEnd"/>
      <w:r w:rsidRPr="00EE3A37">
        <w:t xml:space="preserve"> «</w:t>
      </w:r>
      <w:proofErr w:type="spellStart"/>
      <w:r w:rsidRPr="00EE3A37">
        <w:t>єдиного</w:t>
      </w:r>
      <w:proofErr w:type="spellEnd"/>
      <w:r w:rsidRPr="00EE3A37">
        <w:t xml:space="preserve"> </w:t>
      </w:r>
      <w:proofErr w:type="spellStart"/>
      <w:r w:rsidRPr="00EE3A37">
        <w:t>вікна</w:t>
      </w:r>
      <w:proofErr w:type="spellEnd"/>
      <w:r w:rsidRPr="00EE3A37">
        <w:t>». https://customs-admin.umsf.in.ua/archive/2022/2/2_2022.pdf</w:t>
      </w:r>
    </w:p>
  </w:footnote>
  <w:footnote w:id="8">
    <w:p w14:paraId="4C1F7433" w14:textId="1D30DC08" w:rsidR="00EE3A37" w:rsidRPr="00EE3A37" w:rsidRDefault="00EE3A37" w:rsidP="00EE3A37">
      <w:pPr>
        <w:pStyle w:val="p1"/>
        <w:spacing w:line="240" w:lineRule="auto"/>
        <w:jc w:val="left"/>
      </w:pPr>
      <w:r w:rsidRPr="00EE3A37">
        <w:rPr>
          <w:rStyle w:val="af6"/>
        </w:rPr>
        <w:footnoteRef/>
      </w:r>
      <w:r w:rsidRPr="00EE3A37">
        <w:rPr>
          <w:lang w:val="en-US"/>
        </w:rPr>
        <w:t xml:space="preserve"> </w:t>
      </w:r>
      <w:r w:rsidRPr="00EE3A37">
        <w:t xml:space="preserve">UNFPA. </w:t>
      </w:r>
      <w:r w:rsidRPr="00EE3A37">
        <w:rPr>
          <w:i/>
          <w:iCs/>
        </w:rPr>
        <w:t>101 psychosocial support mobile teams work in Ukraine as of December 2022</w:t>
      </w:r>
      <w:r w:rsidRPr="00EE3A37">
        <w:t xml:space="preserve"> (англомовний матеріал).  https://ukraine.unfpa.org/en/pss-mt-dec22-eng</w:t>
      </w:r>
    </w:p>
  </w:footnote>
  <w:footnote w:id="9">
    <w:p w14:paraId="263102C2" w14:textId="72F1D5D3" w:rsidR="00EE3A37" w:rsidRPr="00EE3A37" w:rsidRDefault="00EE3A37" w:rsidP="00EE3A37">
      <w:pPr>
        <w:pStyle w:val="p1"/>
        <w:spacing w:line="240" w:lineRule="auto"/>
        <w:jc w:val="left"/>
      </w:pPr>
      <w:r w:rsidRPr="00EE3A37">
        <w:rPr>
          <w:rStyle w:val="af6"/>
        </w:rPr>
        <w:footnoteRef/>
      </w:r>
      <w:r w:rsidRPr="00EE3A37">
        <w:t xml:space="preserve"> </w:t>
      </w:r>
      <w:r w:rsidRPr="00EE3A37">
        <w:t>UNICEF. «Мобільні бригади – опора для вразливих сімей в Україні» (історія практики мобільних бригад у модульному містечку для ВПО в Павлограді).   https://www.unicef.org/ukraine/stories/specialist-teams-provide-stability-for-vulnerable-families</w:t>
      </w:r>
    </w:p>
  </w:footnote>
  <w:footnote w:id="10">
    <w:p w14:paraId="00770631" w14:textId="68AA2B9A" w:rsidR="00EE3A37" w:rsidRPr="00EE3A37" w:rsidRDefault="00EE3A37" w:rsidP="00EE3A37">
      <w:pPr>
        <w:pStyle w:val="p1"/>
        <w:spacing w:line="240" w:lineRule="auto"/>
        <w:jc w:val="left"/>
      </w:pPr>
      <w:r w:rsidRPr="00EE3A37">
        <w:rPr>
          <w:rStyle w:val="af6"/>
        </w:rPr>
        <w:footnoteRef/>
      </w:r>
      <w:r w:rsidRPr="00EE3A37">
        <w:t xml:space="preserve"> </w:t>
      </w:r>
      <w:r w:rsidRPr="00EE3A37">
        <w:t xml:space="preserve">UNICEF / інші гуманітарні актори – кейс-менеджмент у програмах підтримки ВПО (напр., матеріали Child Protection / GBV AoR). </w:t>
      </w:r>
      <w:r w:rsidRPr="00EE3A37">
        <w:rPr>
          <w:lang w:val="en-US"/>
        </w:rPr>
        <w:t xml:space="preserve"> </w:t>
      </w:r>
      <w:r w:rsidRPr="00EE3A37">
        <w:t>https://response.reliefweb.int/ukraine/child-protection/assessments?page=1</w:t>
      </w:r>
    </w:p>
  </w:footnote>
  <w:footnote w:id="11">
    <w:p w14:paraId="210C0C2D" w14:textId="2795C77D" w:rsidR="00EE3A37" w:rsidRPr="00EE3A37" w:rsidRDefault="00EE3A37" w:rsidP="00EE3A37">
      <w:pPr>
        <w:pStyle w:val="p1"/>
        <w:spacing w:line="240" w:lineRule="auto"/>
        <w:jc w:val="left"/>
      </w:pPr>
      <w:r w:rsidRPr="00EE3A37">
        <w:rPr>
          <w:rStyle w:val="af6"/>
        </w:rPr>
        <w:footnoteRef/>
      </w:r>
      <w:r w:rsidRPr="00EE3A37">
        <w:rPr>
          <w:lang w:val="en-US"/>
        </w:rPr>
        <w:t xml:space="preserve"> </w:t>
      </w:r>
      <w:r w:rsidRPr="00EE3A37">
        <w:t xml:space="preserve">Global Protection Cluster / IRC / UNHCR. </w:t>
      </w:r>
      <w:r w:rsidRPr="00EE3A37">
        <w:rPr>
          <w:i/>
          <w:iCs/>
        </w:rPr>
        <w:t>Your Guide to Protection Case Management</w:t>
      </w:r>
      <w:r w:rsidRPr="00EE3A37">
        <w:t xml:space="preserve"> (оновлена версія 2024).  https://globalprotectioncluster.org/publications/2133/policy-and-guidance/guidelines/your-guide-protection-case-management</w:t>
      </w:r>
    </w:p>
  </w:footnote>
  <w:footnote w:id="12">
    <w:p w14:paraId="440D99D2" w14:textId="727CB499" w:rsidR="00EE3A37" w:rsidRPr="00EE3A37" w:rsidRDefault="00EE3A37" w:rsidP="00EE3A37">
      <w:pPr>
        <w:pStyle w:val="p1"/>
        <w:spacing w:line="240" w:lineRule="auto"/>
        <w:jc w:val="left"/>
      </w:pPr>
      <w:r w:rsidRPr="00EE3A37">
        <w:rPr>
          <w:rStyle w:val="af6"/>
        </w:rPr>
        <w:footnoteRef/>
      </w:r>
      <w:r w:rsidRPr="00EE3A37">
        <w:t xml:space="preserve"> </w:t>
      </w:r>
      <w:r w:rsidRPr="00EE3A37">
        <w:rPr>
          <w:b/>
          <w:bCs/>
        </w:rPr>
        <w:t>Global Protection Cluster. Protection Mainstreaming Toolkit.</w:t>
      </w:r>
      <w:r w:rsidRPr="00EE3A37">
        <w:t xml:space="preserve"> – GPC, 2017 (оновлені матеріали). https://www.onlinelibrary.iihl.org/wp-content/uploads/2025/02/2017-%E2%80%93-GPC-Global-Protection-Mainstreaming-Toolkit.pdf</w:t>
      </w:r>
    </w:p>
  </w:footnote>
  <w:footnote w:id="13">
    <w:p w14:paraId="48D0FFA1" w14:textId="2470F7B8" w:rsidR="00EE3A37" w:rsidRPr="00EE3A37" w:rsidRDefault="00EE3A37">
      <w:pPr>
        <w:pStyle w:val="af4"/>
        <w:rPr>
          <w:lang w:val="en-US"/>
        </w:rPr>
      </w:pPr>
      <w:r w:rsidRPr="00EE3A37">
        <w:rPr>
          <w:rStyle w:val="af6"/>
        </w:rPr>
        <w:footnoteRef/>
      </w:r>
      <w:r w:rsidRPr="00EE3A37">
        <w:rPr>
          <w:lang w:val="en-US"/>
        </w:rPr>
        <w:t xml:space="preserve"> Закон України «Про соціальні послуги» (№ 2671-VIII)</w:t>
      </w:r>
      <w:r w:rsidRPr="00EE3A37">
        <w:t xml:space="preserve"> https://zakon.rada.gov.ua/laws/show/2671-19/ed20231231/conv/pararz7/only#n480</w:t>
      </w:r>
    </w:p>
  </w:footnote>
  <w:footnote w:id="14">
    <w:p w14:paraId="42BAAF77" w14:textId="53D11860" w:rsidR="00EE3A37" w:rsidRPr="00EE3A37" w:rsidRDefault="00EE3A37" w:rsidP="00EE3A37">
      <w:pPr>
        <w:spacing w:line="240" w:lineRule="auto"/>
        <w:jc w:val="left"/>
        <w:rPr>
          <w:color w:val="0E0E0E"/>
          <w:sz w:val="18"/>
          <w:szCs w:val="18"/>
          <w:lang w:val="ru-UA"/>
        </w:rPr>
      </w:pPr>
      <w:r w:rsidRPr="00EE3A37">
        <w:rPr>
          <w:rStyle w:val="af6"/>
        </w:rPr>
        <w:footnoteRef/>
      </w:r>
      <w:r w:rsidRPr="00EE3A37">
        <w:t xml:space="preserve"> </w:t>
      </w:r>
      <w:r w:rsidRPr="00EE3A37">
        <w:rPr>
          <w:color w:val="0E0E0E"/>
          <w:sz w:val="18"/>
          <w:szCs w:val="18"/>
          <w:lang w:val="ru-UA"/>
        </w:rPr>
        <w:t>Про забезпечення прав і свобод внутрішньо переміщених осіб : Закон України від 20 жовт. 2014 р. № 1706-VII // База даних «Законодавство України» / Верховна Рада України. URL: https://zakon.rada.gov.ua/go/1706-18</w:t>
      </w:r>
    </w:p>
  </w:footnote>
  <w:footnote w:id="15">
    <w:p w14:paraId="209E5874" w14:textId="77777777" w:rsidR="00EE3A37" w:rsidRPr="00EE3A37" w:rsidRDefault="00EE3A37" w:rsidP="00EE3A37">
      <w:pPr>
        <w:spacing w:line="240" w:lineRule="auto"/>
        <w:jc w:val="left"/>
        <w:rPr>
          <w:color w:val="0E0E0E"/>
          <w:sz w:val="18"/>
          <w:szCs w:val="18"/>
          <w:lang w:val="ru-UA"/>
        </w:rPr>
      </w:pPr>
      <w:r w:rsidRPr="00EE3A37">
        <w:rPr>
          <w:rStyle w:val="af6"/>
        </w:rPr>
        <w:footnoteRef/>
      </w:r>
      <w:r w:rsidRPr="00EE3A37">
        <w:t xml:space="preserve"> </w:t>
      </w:r>
      <w:r w:rsidRPr="00EE3A37">
        <w:rPr>
          <w:color w:val="0E0E0E"/>
          <w:sz w:val="18"/>
          <w:szCs w:val="18"/>
          <w:lang w:val="ru-UA"/>
        </w:rPr>
        <w:t>Про облік внутрішньо переміщених осіб : Постанова Кабінету Міністрів України; Порядок, Форма типового документа, Довідка від 01.10.2014 № 509 // База даних «Законодавство України» / Верховна Рада України. URL: https://zakon.rada.gov.ua/go/509-2014-%D0%BF (дата звернення: 16.11.2025)</w:t>
      </w:r>
    </w:p>
    <w:p w14:paraId="5E4438CE" w14:textId="75B41182" w:rsidR="00EE3A37" w:rsidRPr="00EE3A37" w:rsidRDefault="00EE3A37">
      <w:pPr>
        <w:pStyle w:val="af4"/>
        <w:rPr>
          <w:lang w:val="en-US"/>
        </w:rPr>
      </w:pPr>
    </w:p>
  </w:footnote>
  <w:footnote w:id="16">
    <w:p w14:paraId="28A78BBA" w14:textId="77777777" w:rsidR="00EE3A37" w:rsidRPr="00EE3A37" w:rsidRDefault="00EE3A37" w:rsidP="00EE3A37">
      <w:pPr>
        <w:spacing w:line="240" w:lineRule="auto"/>
        <w:jc w:val="left"/>
        <w:rPr>
          <w:color w:val="0E0E0E"/>
          <w:sz w:val="18"/>
          <w:szCs w:val="18"/>
          <w:lang w:val="ru-UA"/>
        </w:rPr>
      </w:pPr>
      <w:r w:rsidRPr="00EE3A37">
        <w:rPr>
          <w:rStyle w:val="af6"/>
        </w:rPr>
        <w:footnoteRef/>
      </w:r>
      <w:r w:rsidRPr="00EE3A37">
        <w:t xml:space="preserve"> </w:t>
      </w:r>
      <w:r w:rsidRPr="00EE3A37">
        <w:rPr>
          <w:color w:val="0E0E0E"/>
          <w:sz w:val="18"/>
          <w:szCs w:val="18"/>
          <w:lang w:val="ru-UA"/>
        </w:rPr>
        <w:t>Деякі питання виплати допомоги на проживання внутрішньо переміщеним особам : Постанова Кабінету Міністрів України; Порядок, Форма типового документа, Заява, Список, Реєстр, Перелік від 20.03.2022 № 332 // База даних «Законодавство України» / Верховна Рада України. URL: https://zakon.rada.gov.ua/go/332-2022-%D0%BF (дата звернення: 16.11.2025).  </w:t>
      </w:r>
    </w:p>
    <w:p w14:paraId="3EA81FD5" w14:textId="77777777" w:rsidR="00EE3A37" w:rsidRPr="00EE3A37" w:rsidRDefault="00EE3A37" w:rsidP="00EE3A37">
      <w:pPr>
        <w:pStyle w:val="af4"/>
        <w:rPr>
          <w:lang w:val="en-US"/>
        </w:rPr>
      </w:pPr>
    </w:p>
  </w:footnote>
  <w:footnote w:id="17">
    <w:p w14:paraId="5EA26864" w14:textId="77777777" w:rsidR="00EE3A37" w:rsidRPr="00EE3A37" w:rsidRDefault="00EE3A37" w:rsidP="00EE3A37">
      <w:pPr>
        <w:spacing w:line="240" w:lineRule="auto"/>
        <w:jc w:val="left"/>
        <w:rPr>
          <w:color w:val="0E0E0E"/>
          <w:sz w:val="18"/>
          <w:szCs w:val="18"/>
          <w:lang w:val="ru-UA"/>
        </w:rPr>
      </w:pPr>
      <w:r w:rsidRPr="00EE3A37">
        <w:rPr>
          <w:rStyle w:val="af6"/>
        </w:rPr>
        <w:footnoteRef/>
      </w:r>
      <w:r w:rsidRPr="00EE3A37">
        <w:t xml:space="preserve"> </w:t>
      </w:r>
      <w:r w:rsidRPr="00EE3A37">
        <w:rPr>
          <w:color w:val="0E0E0E"/>
          <w:sz w:val="18"/>
          <w:szCs w:val="18"/>
          <w:lang w:val="ru-UA"/>
        </w:rPr>
        <w:t>Деякі питання виплати допомоги на проживання внутрішньо переміщеним особам : Постанова Кабінету Міністрів України; Порядок, Форма типового документа, Заява, Список, Реєстр, Перелік від 20.03.2022 № 332 // База даних «Законодавство України» / Верховна Рада України. URL: https://zakon.rada.gov.ua/go/332-2022-%D0%BF (дата звернення: 16.11.2025).  </w:t>
      </w:r>
    </w:p>
    <w:p w14:paraId="2C4C9B25" w14:textId="178BAD15" w:rsidR="00EE3A37" w:rsidRPr="00EE3A37" w:rsidRDefault="00EE3A37">
      <w:pPr>
        <w:pStyle w:val="af4"/>
        <w:rPr>
          <w:lang w:val="en-US"/>
        </w:rPr>
      </w:pPr>
    </w:p>
  </w:footnote>
  <w:footnote w:id="18">
    <w:p w14:paraId="456E45FD" w14:textId="5780F114" w:rsidR="00EE3A37" w:rsidRPr="00EE3A37" w:rsidRDefault="00EE3A37" w:rsidP="00EE3A37">
      <w:pPr>
        <w:pStyle w:val="p1"/>
        <w:spacing w:line="240" w:lineRule="auto"/>
        <w:jc w:val="left"/>
      </w:pPr>
      <w:r w:rsidRPr="00EE3A37">
        <w:rPr>
          <w:rStyle w:val="af6"/>
        </w:rPr>
        <w:footnoteRef/>
      </w:r>
      <w:r w:rsidRPr="00EE3A37">
        <w:t xml:space="preserve"> </w:t>
      </w:r>
      <w:r>
        <w:t>International Organization for Migration. IOM’s Annual Protection Report 2024 [Електронний ресурс]. – Geneva : International Organization for Migration, 2024. – Режим доступу: https://migrantprotection.iom.int/resources/report/ioms-annual-protection-report-2024 (дата звернення: 16.11.2025).</w:t>
      </w:r>
    </w:p>
  </w:footnote>
  <w:footnote w:id="19">
    <w:p w14:paraId="45EC65E2" w14:textId="77777777" w:rsidR="00EE3A37" w:rsidRDefault="00EE3A37" w:rsidP="00EE3A37">
      <w:pPr>
        <w:pStyle w:val="af4"/>
      </w:pPr>
      <w:r>
        <w:rPr>
          <w:rStyle w:val="af6"/>
        </w:rPr>
        <w:footnoteRef/>
      </w:r>
      <w:r>
        <w:t xml:space="preserve"> </w:t>
      </w:r>
      <w:r>
        <w:t>United Nations Development Programme (UNDP).</w:t>
      </w:r>
    </w:p>
    <w:p w14:paraId="7BDEC151" w14:textId="190D6CD7" w:rsidR="00EE3A37" w:rsidRPr="00EE3A37" w:rsidRDefault="00EE3A37" w:rsidP="00EE3A37">
      <w:pPr>
        <w:pStyle w:val="af4"/>
        <w:rPr>
          <w:lang w:val="en-US"/>
        </w:rPr>
      </w:pPr>
      <w:r>
        <w:t>Analytical Report “One-Stop-Shops in Public Administration System” [Електронний ресурс]. – Tashkent : UNDP Uzbekistan, 2015. – Режим доступу: https://www.undp.org/uzbekistan/publications/analytical-report-one-stop-shops-public-administration-system (дата звернення: 16.11.2025).</w:t>
      </w:r>
    </w:p>
  </w:footnote>
  <w:footnote w:id="20">
    <w:p w14:paraId="65355343" w14:textId="2F88B0E8" w:rsidR="00EE3A37" w:rsidRPr="00EE3A37" w:rsidRDefault="00EE3A37" w:rsidP="00EE3A37">
      <w:pPr>
        <w:pStyle w:val="af4"/>
      </w:pPr>
      <w:r>
        <w:rPr>
          <w:rStyle w:val="af6"/>
        </w:rPr>
        <w:footnoteRef/>
      </w:r>
      <w:r>
        <w:t xml:space="preserve"> </w:t>
      </w:r>
      <w:r>
        <w:t>International Organization for Migration.</w:t>
      </w:r>
      <w:r>
        <w:rPr>
          <w:lang w:val="en-US"/>
        </w:rPr>
        <w:t xml:space="preserve"> </w:t>
      </w:r>
      <w:r>
        <w:t>Operating in Crisis: 2023 Annual Report [Електронний ресурс]. – Geneva : International Organization for Migration, 2024. – Режим доступу: https://www.iom.int/sites/g/files/tmzbdl2616/files/documents/2024-11/operating-in-crisis-2023-annual-report.pdf (дата звернення: 16.11.2025).</w:t>
      </w:r>
    </w:p>
  </w:footnote>
  <w:footnote w:id="21">
    <w:p w14:paraId="5B5BAA04" w14:textId="77777777" w:rsidR="00EE3A37" w:rsidRDefault="00EE3A37" w:rsidP="00EE3A37">
      <w:pPr>
        <w:pStyle w:val="af4"/>
      </w:pPr>
      <w:r>
        <w:rPr>
          <w:rStyle w:val="af6"/>
        </w:rPr>
        <w:footnoteRef/>
      </w:r>
      <w:r>
        <w:t xml:space="preserve"> </w:t>
      </w:r>
      <w:r>
        <w:t>United Nations High Commissioner for Refugees (UNHCR).</w:t>
      </w:r>
    </w:p>
    <w:p w14:paraId="1916ECCF" w14:textId="66964985" w:rsidR="00EE3A37" w:rsidRPr="00EE3A37" w:rsidRDefault="00EE3A37" w:rsidP="00EE3A37">
      <w:pPr>
        <w:pStyle w:val="af4"/>
        <w:rPr>
          <w:lang w:val="en-US"/>
        </w:rPr>
      </w:pPr>
      <w:r>
        <w:t>Transit Centres [Електронний ресурс] // UNHCR Emergency Handbook. – Geneva : UNHCR, 2025. – Режим доступу: https://emergency.unhcr.org/entry/52228/transit-centres (дата звернення: 16.11.2025).</w:t>
      </w:r>
    </w:p>
  </w:footnote>
  <w:footnote w:id="22">
    <w:p w14:paraId="4F55723D" w14:textId="7D86EE01" w:rsidR="00EE3A37" w:rsidRPr="00EE3A37" w:rsidRDefault="00EE3A37">
      <w:pPr>
        <w:pStyle w:val="af4"/>
        <w:rPr>
          <w:lang w:val="en-US"/>
        </w:rPr>
      </w:pPr>
      <w:r>
        <w:rPr>
          <w:rStyle w:val="af6"/>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66494648"/>
      <w:docPartObj>
        <w:docPartGallery w:val="Page Numbers (Top of Page)"/>
        <w:docPartUnique/>
      </w:docPartObj>
    </w:sdtPr>
    <w:sdtContent>
      <w:p w14:paraId="43178D6D" w14:textId="0C17B012" w:rsidR="0020188B" w:rsidRDefault="0020188B" w:rsidP="0032103F">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rPr>
          <w:fldChar w:fldCharType="end"/>
        </w:r>
      </w:p>
    </w:sdtContent>
  </w:sdt>
  <w:p w14:paraId="719A2F5A" w14:textId="77777777" w:rsidR="0020188B" w:rsidRDefault="0020188B" w:rsidP="0020188B">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e"/>
      </w:rPr>
      <w:id w:val="2051254480"/>
      <w:docPartObj>
        <w:docPartGallery w:val="Page Numbers (Top of Page)"/>
        <w:docPartUnique/>
      </w:docPartObj>
    </w:sdtPr>
    <w:sdtContent>
      <w:p w14:paraId="4AD7053C" w14:textId="44DC8110" w:rsidR="0020188B" w:rsidRDefault="0020188B" w:rsidP="0032103F">
        <w:pPr>
          <w:pStyle w:val="ac"/>
          <w:framePr w:wrap="none" w:vAnchor="text" w:hAnchor="margin" w:xAlign="right" w:y="1"/>
          <w:rPr>
            <w:rStyle w:val="ae"/>
          </w:rPr>
        </w:pPr>
        <w:r>
          <w:rPr>
            <w:rStyle w:val="ae"/>
          </w:rPr>
          <w:fldChar w:fldCharType="begin"/>
        </w:r>
        <w:r>
          <w:rPr>
            <w:rStyle w:val="ae"/>
          </w:rPr>
          <w:instrText xml:space="preserve"> PAGE </w:instrText>
        </w:r>
        <w:r>
          <w:rPr>
            <w:rStyle w:val="ae"/>
          </w:rPr>
          <w:fldChar w:fldCharType="separate"/>
        </w:r>
        <w:r>
          <w:rPr>
            <w:rStyle w:val="ae"/>
            <w:noProof/>
          </w:rPr>
          <w:t>2</w:t>
        </w:r>
        <w:r>
          <w:rPr>
            <w:rStyle w:val="ae"/>
          </w:rPr>
          <w:fldChar w:fldCharType="end"/>
        </w:r>
      </w:p>
    </w:sdtContent>
  </w:sdt>
  <w:p w14:paraId="3758202C" w14:textId="77777777" w:rsidR="0020188B" w:rsidRDefault="0020188B" w:rsidP="0020188B">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7351"/>
    <w:multiLevelType w:val="multilevel"/>
    <w:tmpl w:val="73BE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E1FFF"/>
    <w:multiLevelType w:val="multilevel"/>
    <w:tmpl w:val="5FF6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5E758B"/>
    <w:multiLevelType w:val="multilevel"/>
    <w:tmpl w:val="3434FC9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C607D9"/>
    <w:multiLevelType w:val="multilevel"/>
    <w:tmpl w:val="858821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CC0A42"/>
    <w:multiLevelType w:val="multilevel"/>
    <w:tmpl w:val="6FF6B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7434AD"/>
    <w:multiLevelType w:val="multilevel"/>
    <w:tmpl w:val="2F321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FC0012"/>
    <w:multiLevelType w:val="hybridMultilevel"/>
    <w:tmpl w:val="E2D4A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6297C0A"/>
    <w:multiLevelType w:val="multilevel"/>
    <w:tmpl w:val="BE6CB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F06274"/>
    <w:multiLevelType w:val="multilevel"/>
    <w:tmpl w:val="9E6036A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9E70566"/>
    <w:multiLevelType w:val="multilevel"/>
    <w:tmpl w:val="AD02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ABC111F"/>
    <w:multiLevelType w:val="hybridMultilevel"/>
    <w:tmpl w:val="0D20E2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BE75065"/>
    <w:multiLevelType w:val="multilevel"/>
    <w:tmpl w:val="F80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537830"/>
    <w:multiLevelType w:val="multilevel"/>
    <w:tmpl w:val="35E0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1A2E42"/>
    <w:multiLevelType w:val="multilevel"/>
    <w:tmpl w:val="BEAEA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2604C6"/>
    <w:multiLevelType w:val="multilevel"/>
    <w:tmpl w:val="918C1E0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FB5D85"/>
    <w:multiLevelType w:val="multilevel"/>
    <w:tmpl w:val="F27A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3D506ED"/>
    <w:multiLevelType w:val="multilevel"/>
    <w:tmpl w:val="C28E6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BD46AD"/>
    <w:multiLevelType w:val="multilevel"/>
    <w:tmpl w:val="277ABA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33512E"/>
    <w:multiLevelType w:val="multilevel"/>
    <w:tmpl w:val="56AC7D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6F190D"/>
    <w:multiLevelType w:val="multilevel"/>
    <w:tmpl w:val="879A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996111"/>
    <w:multiLevelType w:val="multilevel"/>
    <w:tmpl w:val="4AB4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CA1E1D"/>
    <w:multiLevelType w:val="multilevel"/>
    <w:tmpl w:val="D008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2D3EBE"/>
    <w:multiLevelType w:val="multilevel"/>
    <w:tmpl w:val="8532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D15DFC"/>
    <w:multiLevelType w:val="hybridMultilevel"/>
    <w:tmpl w:val="A6663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4BC6CDF"/>
    <w:multiLevelType w:val="multilevel"/>
    <w:tmpl w:val="D1BC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4C25B2F"/>
    <w:multiLevelType w:val="multilevel"/>
    <w:tmpl w:val="C6986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7763AB"/>
    <w:multiLevelType w:val="multilevel"/>
    <w:tmpl w:val="B85C5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8D3707"/>
    <w:multiLevelType w:val="multilevel"/>
    <w:tmpl w:val="9488A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550FC9"/>
    <w:multiLevelType w:val="multilevel"/>
    <w:tmpl w:val="9948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7A34F1E"/>
    <w:multiLevelType w:val="multilevel"/>
    <w:tmpl w:val="0122D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3C0F75"/>
    <w:multiLevelType w:val="multilevel"/>
    <w:tmpl w:val="3AB8160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E03752"/>
    <w:multiLevelType w:val="multilevel"/>
    <w:tmpl w:val="2C06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A6B02A9"/>
    <w:multiLevelType w:val="multilevel"/>
    <w:tmpl w:val="58566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7171BA"/>
    <w:multiLevelType w:val="multilevel"/>
    <w:tmpl w:val="644E8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AB35EAB"/>
    <w:multiLevelType w:val="multilevel"/>
    <w:tmpl w:val="15C6B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AC15D8A"/>
    <w:multiLevelType w:val="multilevel"/>
    <w:tmpl w:val="A8A8D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F493D4F"/>
    <w:multiLevelType w:val="hybridMultilevel"/>
    <w:tmpl w:val="514A0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00320FE"/>
    <w:multiLevelType w:val="multilevel"/>
    <w:tmpl w:val="DCB6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06A012F"/>
    <w:multiLevelType w:val="multilevel"/>
    <w:tmpl w:val="425A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9456AA"/>
    <w:multiLevelType w:val="multilevel"/>
    <w:tmpl w:val="02E8F27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13C0438"/>
    <w:multiLevelType w:val="multilevel"/>
    <w:tmpl w:val="09DC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862668"/>
    <w:multiLevelType w:val="multilevel"/>
    <w:tmpl w:val="1DD4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2DE38FD"/>
    <w:multiLevelType w:val="multilevel"/>
    <w:tmpl w:val="2256BF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6AC1D7B"/>
    <w:multiLevelType w:val="multilevel"/>
    <w:tmpl w:val="69B24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7A14C21"/>
    <w:multiLevelType w:val="multilevel"/>
    <w:tmpl w:val="8F80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91C2D85"/>
    <w:multiLevelType w:val="multilevel"/>
    <w:tmpl w:val="00CAA7F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ABE393B"/>
    <w:multiLevelType w:val="multilevel"/>
    <w:tmpl w:val="BAD61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13E3246"/>
    <w:multiLevelType w:val="multilevel"/>
    <w:tmpl w:val="DF96F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6165CB"/>
    <w:multiLevelType w:val="multilevel"/>
    <w:tmpl w:val="F3360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199556D"/>
    <w:multiLevelType w:val="multilevel"/>
    <w:tmpl w:val="F554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2F615F8"/>
    <w:multiLevelType w:val="multilevel"/>
    <w:tmpl w:val="F132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6D347BD"/>
    <w:multiLevelType w:val="multilevel"/>
    <w:tmpl w:val="C74A17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8A36982"/>
    <w:multiLevelType w:val="multilevel"/>
    <w:tmpl w:val="C0DC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9F0DDA"/>
    <w:multiLevelType w:val="multilevel"/>
    <w:tmpl w:val="373A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562496"/>
    <w:multiLevelType w:val="multilevel"/>
    <w:tmpl w:val="8EA0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D9B6F2A"/>
    <w:multiLevelType w:val="multilevel"/>
    <w:tmpl w:val="B66E0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FC5E2B"/>
    <w:multiLevelType w:val="multilevel"/>
    <w:tmpl w:val="B43E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F2E51D3"/>
    <w:multiLevelType w:val="multilevel"/>
    <w:tmpl w:val="C5F02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FD97A07"/>
    <w:multiLevelType w:val="multilevel"/>
    <w:tmpl w:val="7E9C8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0051021"/>
    <w:multiLevelType w:val="hybridMultilevel"/>
    <w:tmpl w:val="E3F279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5804E4E"/>
    <w:multiLevelType w:val="multilevel"/>
    <w:tmpl w:val="9F64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5CB10D5"/>
    <w:multiLevelType w:val="multilevel"/>
    <w:tmpl w:val="CB76E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0E5AD7"/>
    <w:multiLevelType w:val="multilevel"/>
    <w:tmpl w:val="8ADEFA68"/>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8630AB0"/>
    <w:multiLevelType w:val="multilevel"/>
    <w:tmpl w:val="4F86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D53828"/>
    <w:multiLevelType w:val="hybridMultilevel"/>
    <w:tmpl w:val="3BC44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98470F9"/>
    <w:multiLevelType w:val="multilevel"/>
    <w:tmpl w:val="C358A0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B71562A"/>
    <w:multiLevelType w:val="multilevel"/>
    <w:tmpl w:val="C4BA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C655844"/>
    <w:multiLevelType w:val="multilevel"/>
    <w:tmpl w:val="E3688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D875DDA"/>
    <w:multiLevelType w:val="multilevel"/>
    <w:tmpl w:val="83AA9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FE471E4"/>
    <w:multiLevelType w:val="multilevel"/>
    <w:tmpl w:val="F1107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88653C"/>
    <w:multiLevelType w:val="multilevel"/>
    <w:tmpl w:val="039CC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18A45F9"/>
    <w:multiLevelType w:val="multilevel"/>
    <w:tmpl w:val="33C20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1F829DF"/>
    <w:multiLevelType w:val="multilevel"/>
    <w:tmpl w:val="2DC66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651623"/>
    <w:multiLevelType w:val="multilevel"/>
    <w:tmpl w:val="04604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5287A9F"/>
    <w:multiLevelType w:val="multilevel"/>
    <w:tmpl w:val="0A3E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7631FB1"/>
    <w:multiLevelType w:val="hybridMultilevel"/>
    <w:tmpl w:val="0A944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8282174"/>
    <w:multiLevelType w:val="multilevel"/>
    <w:tmpl w:val="24C2980A"/>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9913469"/>
    <w:multiLevelType w:val="multilevel"/>
    <w:tmpl w:val="B300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B515585"/>
    <w:multiLevelType w:val="multilevel"/>
    <w:tmpl w:val="51AA7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CD44285"/>
    <w:multiLevelType w:val="multilevel"/>
    <w:tmpl w:val="622C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D23372A"/>
    <w:multiLevelType w:val="multilevel"/>
    <w:tmpl w:val="E5628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DAA709D"/>
    <w:multiLevelType w:val="multilevel"/>
    <w:tmpl w:val="F5C2C0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E143186"/>
    <w:multiLevelType w:val="multilevel"/>
    <w:tmpl w:val="4B103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04C51FB"/>
    <w:multiLevelType w:val="multilevel"/>
    <w:tmpl w:val="9FCE2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B5671B"/>
    <w:multiLevelType w:val="multilevel"/>
    <w:tmpl w:val="7EE21F92"/>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77F1893"/>
    <w:multiLevelType w:val="multilevel"/>
    <w:tmpl w:val="C460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8872CD6"/>
    <w:multiLevelType w:val="multilevel"/>
    <w:tmpl w:val="87FE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9120BF1"/>
    <w:multiLevelType w:val="hybridMultilevel"/>
    <w:tmpl w:val="948C5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CD307C1"/>
    <w:multiLevelType w:val="multilevel"/>
    <w:tmpl w:val="474C9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F3565C1"/>
    <w:multiLevelType w:val="multilevel"/>
    <w:tmpl w:val="E788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8483883">
    <w:abstractNumId w:val="4"/>
  </w:num>
  <w:num w:numId="2" w16cid:durableId="581258875">
    <w:abstractNumId w:val="82"/>
  </w:num>
  <w:num w:numId="3" w16cid:durableId="1558782418">
    <w:abstractNumId w:val="51"/>
  </w:num>
  <w:num w:numId="4" w16cid:durableId="63796279">
    <w:abstractNumId w:val="62"/>
  </w:num>
  <w:num w:numId="5" w16cid:durableId="2137405155">
    <w:abstractNumId w:val="34"/>
  </w:num>
  <w:num w:numId="6" w16cid:durableId="2088769844">
    <w:abstractNumId w:val="79"/>
  </w:num>
  <w:num w:numId="7" w16cid:durableId="1332370937">
    <w:abstractNumId w:val="12"/>
  </w:num>
  <w:num w:numId="8" w16cid:durableId="77750502">
    <w:abstractNumId w:val="74"/>
  </w:num>
  <w:num w:numId="9" w16cid:durableId="908617349">
    <w:abstractNumId w:val="22"/>
  </w:num>
  <w:num w:numId="10" w16cid:durableId="1066103058">
    <w:abstractNumId w:val="63"/>
  </w:num>
  <w:num w:numId="11" w16cid:durableId="1884445420">
    <w:abstractNumId w:val="5"/>
  </w:num>
  <w:num w:numId="12" w16cid:durableId="427623809">
    <w:abstractNumId w:val="66"/>
  </w:num>
  <w:num w:numId="13" w16cid:durableId="1835491647">
    <w:abstractNumId w:val="10"/>
  </w:num>
  <w:num w:numId="14" w16cid:durableId="840389677">
    <w:abstractNumId w:val="87"/>
  </w:num>
  <w:num w:numId="15" w16cid:durableId="112795363">
    <w:abstractNumId w:val="23"/>
  </w:num>
  <w:num w:numId="16" w16cid:durableId="1485930016">
    <w:abstractNumId w:val="75"/>
  </w:num>
  <w:num w:numId="17" w16cid:durableId="264071066">
    <w:abstractNumId w:val="64"/>
  </w:num>
  <w:num w:numId="18" w16cid:durableId="1817716893">
    <w:abstractNumId w:val="59"/>
  </w:num>
  <w:num w:numId="19" w16cid:durableId="1189758357">
    <w:abstractNumId w:val="80"/>
  </w:num>
  <w:num w:numId="20" w16cid:durableId="536893937">
    <w:abstractNumId w:val="36"/>
  </w:num>
  <w:num w:numId="21" w16cid:durableId="311058978">
    <w:abstractNumId w:val="6"/>
  </w:num>
  <w:num w:numId="22" w16cid:durableId="887257796">
    <w:abstractNumId w:val="40"/>
  </w:num>
  <w:num w:numId="23" w16cid:durableId="1215655630">
    <w:abstractNumId w:val="9"/>
  </w:num>
  <w:num w:numId="24" w16cid:durableId="845708311">
    <w:abstractNumId w:val="21"/>
  </w:num>
  <w:num w:numId="25" w16cid:durableId="1970430995">
    <w:abstractNumId w:val="31"/>
  </w:num>
  <w:num w:numId="26" w16cid:durableId="1066223789">
    <w:abstractNumId w:val="70"/>
  </w:num>
  <w:num w:numId="27" w16cid:durableId="1669866531">
    <w:abstractNumId w:val="72"/>
  </w:num>
  <w:num w:numId="28" w16cid:durableId="1801343877">
    <w:abstractNumId w:val="52"/>
  </w:num>
  <w:num w:numId="29" w16cid:durableId="61878182">
    <w:abstractNumId w:val="57"/>
  </w:num>
  <w:num w:numId="30" w16cid:durableId="477773314">
    <w:abstractNumId w:val="27"/>
  </w:num>
  <w:num w:numId="31" w16cid:durableId="161361632">
    <w:abstractNumId w:val="18"/>
  </w:num>
  <w:num w:numId="32" w16cid:durableId="479275538">
    <w:abstractNumId w:val="15"/>
  </w:num>
  <w:num w:numId="33" w16cid:durableId="1506360141">
    <w:abstractNumId w:val="24"/>
  </w:num>
  <w:num w:numId="34" w16cid:durableId="227767263">
    <w:abstractNumId w:val="37"/>
  </w:num>
  <w:num w:numId="35" w16cid:durableId="2126119760">
    <w:abstractNumId w:val="41"/>
  </w:num>
  <w:num w:numId="36" w16cid:durableId="50156459">
    <w:abstractNumId w:val="50"/>
  </w:num>
  <w:num w:numId="37" w16cid:durableId="1624801004">
    <w:abstractNumId w:val="7"/>
  </w:num>
  <w:num w:numId="38" w16cid:durableId="1737974176">
    <w:abstractNumId w:val="0"/>
  </w:num>
  <w:num w:numId="39" w16cid:durableId="1177959717">
    <w:abstractNumId w:val="85"/>
  </w:num>
  <w:num w:numId="40" w16cid:durableId="1735084007">
    <w:abstractNumId w:val="86"/>
  </w:num>
  <w:num w:numId="41" w16cid:durableId="383913578">
    <w:abstractNumId w:val="25"/>
  </w:num>
  <w:num w:numId="42" w16cid:durableId="220362719">
    <w:abstractNumId w:val="44"/>
  </w:num>
  <w:num w:numId="43" w16cid:durableId="1852715743">
    <w:abstractNumId w:val="89"/>
  </w:num>
  <w:num w:numId="44" w16cid:durableId="546919001">
    <w:abstractNumId w:val="73"/>
  </w:num>
  <w:num w:numId="45" w16cid:durableId="1565337504">
    <w:abstractNumId w:val="35"/>
  </w:num>
  <w:num w:numId="46" w16cid:durableId="457644627">
    <w:abstractNumId w:val="83"/>
  </w:num>
  <w:num w:numId="47" w16cid:durableId="1495292682">
    <w:abstractNumId w:val="16"/>
  </w:num>
  <w:num w:numId="48" w16cid:durableId="1306811071">
    <w:abstractNumId w:val="55"/>
  </w:num>
  <w:num w:numId="49" w16cid:durableId="413170393">
    <w:abstractNumId w:val="77"/>
  </w:num>
  <w:num w:numId="50" w16cid:durableId="1080374127">
    <w:abstractNumId w:val="33"/>
  </w:num>
  <w:num w:numId="51" w16cid:durableId="315111116">
    <w:abstractNumId w:val="69"/>
  </w:num>
  <w:num w:numId="52" w16cid:durableId="1363440290">
    <w:abstractNumId w:val="71"/>
  </w:num>
  <w:num w:numId="53" w16cid:durableId="693194482">
    <w:abstractNumId w:val="1"/>
  </w:num>
  <w:num w:numId="54" w16cid:durableId="1122917229">
    <w:abstractNumId w:val="67"/>
  </w:num>
  <w:num w:numId="55" w16cid:durableId="508297248">
    <w:abstractNumId w:val="29"/>
  </w:num>
  <w:num w:numId="56" w16cid:durableId="1918392617">
    <w:abstractNumId w:val="48"/>
  </w:num>
  <w:num w:numId="57" w16cid:durableId="13579214">
    <w:abstractNumId w:val="42"/>
  </w:num>
  <w:num w:numId="58" w16cid:durableId="1690526196">
    <w:abstractNumId w:val="20"/>
  </w:num>
  <w:num w:numId="59" w16cid:durableId="411968836">
    <w:abstractNumId w:val="54"/>
  </w:num>
  <w:num w:numId="60" w16cid:durableId="949819647">
    <w:abstractNumId w:val="28"/>
  </w:num>
  <w:num w:numId="61" w16cid:durableId="1586256527">
    <w:abstractNumId w:val="3"/>
  </w:num>
  <w:num w:numId="62" w16cid:durableId="1414233615">
    <w:abstractNumId w:val="58"/>
  </w:num>
  <w:num w:numId="63" w16cid:durableId="890460111">
    <w:abstractNumId w:val="32"/>
  </w:num>
  <w:num w:numId="64" w16cid:durableId="2092121303">
    <w:abstractNumId w:val="19"/>
  </w:num>
  <w:num w:numId="65" w16cid:durableId="1105927911">
    <w:abstractNumId w:val="60"/>
  </w:num>
  <w:num w:numId="66" w16cid:durableId="318461722">
    <w:abstractNumId w:val="78"/>
  </w:num>
  <w:num w:numId="67" w16cid:durableId="1290473232">
    <w:abstractNumId w:val="26"/>
  </w:num>
  <w:num w:numId="68" w16cid:durableId="384724654">
    <w:abstractNumId w:val="49"/>
  </w:num>
  <w:num w:numId="69" w16cid:durableId="971062423">
    <w:abstractNumId w:val="61"/>
  </w:num>
  <w:num w:numId="70" w16cid:durableId="1509171006">
    <w:abstractNumId w:val="38"/>
  </w:num>
  <w:num w:numId="71" w16cid:durableId="906106938">
    <w:abstractNumId w:val="47"/>
  </w:num>
  <w:num w:numId="72" w16cid:durableId="65567437">
    <w:abstractNumId w:val="11"/>
  </w:num>
  <w:num w:numId="73" w16cid:durableId="1650744541">
    <w:abstractNumId w:val="56"/>
  </w:num>
  <w:num w:numId="74" w16cid:durableId="1855028423">
    <w:abstractNumId w:val="65"/>
  </w:num>
  <w:num w:numId="75" w16cid:durableId="1738746200">
    <w:abstractNumId w:val="43"/>
  </w:num>
  <w:num w:numId="76" w16cid:durableId="1110314441">
    <w:abstractNumId w:val="68"/>
  </w:num>
  <w:num w:numId="77" w16cid:durableId="1930577049">
    <w:abstractNumId w:val="88"/>
  </w:num>
  <w:num w:numId="78" w16cid:durableId="1342974914">
    <w:abstractNumId w:val="53"/>
  </w:num>
  <w:num w:numId="79" w16cid:durableId="234974394">
    <w:abstractNumId w:val="81"/>
  </w:num>
  <w:num w:numId="80" w16cid:durableId="641619284">
    <w:abstractNumId w:val="17"/>
  </w:num>
  <w:num w:numId="81" w16cid:durableId="1575578436">
    <w:abstractNumId w:val="2"/>
  </w:num>
  <w:num w:numId="82" w16cid:durableId="848956388">
    <w:abstractNumId w:val="8"/>
  </w:num>
  <w:num w:numId="83" w16cid:durableId="1000161081">
    <w:abstractNumId w:val="39"/>
  </w:num>
  <w:num w:numId="84" w16cid:durableId="2087679923">
    <w:abstractNumId w:val="45"/>
  </w:num>
  <w:num w:numId="85" w16cid:durableId="2147354530">
    <w:abstractNumId w:val="14"/>
  </w:num>
  <w:num w:numId="86" w16cid:durableId="836000141">
    <w:abstractNumId w:val="76"/>
  </w:num>
  <w:num w:numId="87" w16cid:durableId="1343702444">
    <w:abstractNumId w:val="84"/>
  </w:num>
  <w:num w:numId="88" w16cid:durableId="743068684">
    <w:abstractNumId w:val="30"/>
  </w:num>
  <w:num w:numId="89" w16cid:durableId="2037778254">
    <w:abstractNumId w:val="46"/>
  </w:num>
  <w:num w:numId="90" w16cid:durableId="19339254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88B"/>
    <w:rsid w:val="0020188B"/>
    <w:rsid w:val="002927C1"/>
    <w:rsid w:val="00334C25"/>
    <w:rsid w:val="00403275"/>
    <w:rsid w:val="004E6F84"/>
    <w:rsid w:val="007D24E0"/>
    <w:rsid w:val="008D7B0D"/>
    <w:rsid w:val="0093374D"/>
    <w:rsid w:val="00953D7E"/>
    <w:rsid w:val="009D4D25"/>
    <w:rsid w:val="00A572B5"/>
    <w:rsid w:val="00C14602"/>
    <w:rsid w:val="00C4458C"/>
    <w:rsid w:val="00DC70C6"/>
    <w:rsid w:val="00DF3244"/>
    <w:rsid w:val="00E12325"/>
    <w:rsid w:val="00E6421A"/>
    <w:rsid w:val="00E754A0"/>
    <w:rsid w:val="00EE3A37"/>
    <w:rsid w:val="00FC3438"/>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C2D0C"/>
  <w15:chartTrackingRefBased/>
  <w15:docId w15:val="{7650468F-EB2F-3F47-8F4A-49DF36F9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C25"/>
    <w:pPr>
      <w:spacing w:line="360" w:lineRule="auto"/>
      <w:jc w:val="both"/>
    </w:pPr>
    <w:rPr>
      <w:rFonts w:ascii="Times New Roman" w:eastAsia="Times New Roman" w:hAnsi="Times New Roman" w:cs="Times New Roman"/>
      <w:kern w:val="0"/>
      <w:sz w:val="20"/>
      <w:szCs w:val="20"/>
      <w:lang w:val="uk-UA" w:eastAsia="ru-RU"/>
      <w14:ligatures w14:val="none"/>
    </w:rPr>
  </w:style>
  <w:style w:type="paragraph" w:styleId="1">
    <w:name w:val="heading 1"/>
    <w:basedOn w:val="a"/>
    <w:next w:val="a"/>
    <w:link w:val="10"/>
    <w:uiPriority w:val="9"/>
    <w:qFormat/>
    <w:rsid w:val="0020188B"/>
    <w:pPr>
      <w:keepNext/>
      <w:keepLines/>
      <w:spacing w:before="360" w:after="80"/>
      <w:outlineLvl w:val="0"/>
    </w:pPr>
    <w:rPr>
      <w:rFonts w:eastAsiaTheme="majorEastAsia" w:cstheme="majorBidi"/>
      <w:color w:val="0F4761" w:themeColor="accent1" w:themeShade="BF"/>
      <w:kern w:val="2"/>
      <w:sz w:val="40"/>
      <w:szCs w:val="40"/>
      <w:lang w:val="ru-UA" w:eastAsia="en-US"/>
      <w14:ligatures w14:val="standardContextual"/>
    </w:rPr>
  </w:style>
  <w:style w:type="paragraph" w:styleId="2">
    <w:name w:val="heading 2"/>
    <w:basedOn w:val="a"/>
    <w:next w:val="a"/>
    <w:link w:val="20"/>
    <w:uiPriority w:val="9"/>
    <w:unhideWhenUsed/>
    <w:qFormat/>
    <w:rsid w:val="002018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20188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20188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20188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20188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20188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20188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20188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0188B"/>
    <w:rPr>
      <w:rFonts w:ascii="Times New Roman" w:eastAsiaTheme="majorEastAsia" w:hAnsi="Times New Roman" w:cstheme="majorBidi"/>
      <w:color w:val="0F4761" w:themeColor="accent1" w:themeShade="BF"/>
      <w:sz w:val="40"/>
      <w:szCs w:val="40"/>
    </w:rPr>
  </w:style>
  <w:style w:type="character" w:customStyle="1" w:styleId="20">
    <w:name w:val="Заголовок 2 Знак"/>
    <w:basedOn w:val="a0"/>
    <w:link w:val="2"/>
    <w:uiPriority w:val="9"/>
    <w:rsid w:val="0020188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20188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20188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20188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20188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20188B"/>
    <w:rPr>
      <w:rFonts w:eastAsiaTheme="majorEastAsia" w:cstheme="majorBidi"/>
      <w:color w:val="595959" w:themeColor="text1" w:themeTint="A6"/>
    </w:rPr>
  </w:style>
  <w:style w:type="character" w:customStyle="1" w:styleId="80">
    <w:name w:val="Заголовок 8 Знак"/>
    <w:basedOn w:val="a0"/>
    <w:link w:val="8"/>
    <w:uiPriority w:val="9"/>
    <w:semiHidden/>
    <w:rsid w:val="0020188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20188B"/>
    <w:rPr>
      <w:rFonts w:eastAsiaTheme="majorEastAsia" w:cstheme="majorBidi"/>
      <w:color w:val="272727" w:themeColor="text1" w:themeTint="D8"/>
    </w:rPr>
  </w:style>
  <w:style w:type="paragraph" w:styleId="a3">
    <w:name w:val="Title"/>
    <w:basedOn w:val="a"/>
    <w:next w:val="a"/>
    <w:link w:val="a4"/>
    <w:uiPriority w:val="10"/>
    <w:qFormat/>
    <w:rsid w:val="0020188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0188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0188B"/>
    <w:pPr>
      <w:numPr>
        <w:ilvl w:val="1"/>
      </w:numPr>
      <w:spacing w:after="160"/>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20188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20188B"/>
    <w:pPr>
      <w:spacing w:before="160" w:after="160"/>
      <w:jc w:val="center"/>
    </w:pPr>
    <w:rPr>
      <w:i/>
      <w:iCs/>
      <w:color w:val="404040" w:themeColor="text1" w:themeTint="BF"/>
    </w:rPr>
  </w:style>
  <w:style w:type="character" w:customStyle="1" w:styleId="22">
    <w:name w:val="Цитата 2 Знак"/>
    <w:basedOn w:val="a0"/>
    <w:link w:val="21"/>
    <w:uiPriority w:val="29"/>
    <w:rsid w:val="0020188B"/>
    <w:rPr>
      <w:i/>
      <w:iCs/>
      <w:color w:val="404040" w:themeColor="text1" w:themeTint="BF"/>
    </w:rPr>
  </w:style>
  <w:style w:type="paragraph" w:styleId="a7">
    <w:name w:val="List Paragraph"/>
    <w:basedOn w:val="a"/>
    <w:uiPriority w:val="34"/>
    <w:qFormat/>
    <w:rsid w:val="0020188B"/>
    <w:pPr>
      <w:ind w:left="720"/>
      <w:contextualSpacing/>
    </w:pPr>
  </w:style>
  <w:style w:type="character" w:styleId="a8">
    <w:name w:val="Intense Emphasis"/>
    <w:basedOn w:val="a0"/>
    <w:uiPriority w:val="21"/>
    <w:qFormat/>
    <w:rsid w:val="0020188B"/>
    <w:rPr>
      <w:i/>
      <w:iCs/>
      <w:color w:val="0F4761" w:themeColor="accent1" w:themeShade="BF"/>
    </w:rPr>
  </w:style>
  <w:style w:type="paragraph" w:styleId="a9">
    <w:name w:val="Intense Quote"/>
    <w:basedOn w:val="a"/>
    <w:next w:val="a"/>
    <w:link w:val="aa"/>
    <w:uiPriority w:val="30"/>
    <w:qFormat/>
    <w:rsid w:val="002018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0188B"/>
    <w:rPr>
      <w:i/>
      <w:iCs/>
      <w:color w:val="0F4761" w:themeColor="accent1" w:themeShade="BF"/>
    </w:rPr>
  </w:style>
  <w:style w:type="character" w:styleId="ab">
    <w:name w:val="Intense Reference"/>
    <w:basedOn w:val="a0"/>
    <w:uiPriority w:val="32"/>
    <w:qFormat/>
    <w:rsid w:val="0020188B"/>
    <w:rPr>
      <w:b/>
      <w:bCs/>
      <w:smallCaps/>
      <w:color w:val="0F4761" w:themeColor="accent1" w:themeShade="BF"/>
      <w:spacing w:val="5"/>
    </w:rPr>
  </w:style>
  <w:style w:type="paragraph" w:styleId="ac">
    <w:name w:val="header"/>
    <w:basedOn w:val="a"/>
    <w:link w:val="ad"/>
    <w:uiPriority w:val="99"/>
    <w:unhideWhenUsed/>
    <w:rsid w:val="0020188B"/>
    <w:pPr>
      <w:tabs>
        <w:tab w:val="center" w:pos="4513"/>
        <w:tab w:val="right" w:pos="9026"/>
      </w:tabs>
    </w:pPr>
  </w:style>
  <w:style w:type="character" w:customStyle="1" w:styleId="ad">
    <w:name w:val="Верхний колонтитул Знак"/>
    <w:basedOn w:val="a0"/>
    <w:link w:val="ac"/>
    <w:uiPriority w:val="99"/>
    <w:rsid w:val="0020188B"/>
    <w:rPr>
      <w:rFonts w:ascii="Times New Roman" w:eastAsia="Times New Roman" w:hAnsi="Times New Roman" w:cs="Times New Roman"/>
      <w:kern w:val="0"/>
      <w:sz w:val="20"/>
      <w:szCs w:val="20"/>
      <w:lang w:val="uk-UA" w:eastAsia="ru-RU"/>
      <w14:ligatures w14:val="none"/>
    </w:rPr>
  </w:style>
  <w:style w:type="character" w:styleId="ae">
    <w:name w:val="page number"/>
    <w:basedOn w:val="a0"/>
    <w:uiPriority w:val="99"/>
    <w:semiHidden/>
    <w:unhideWhenUsed/>
    <w:rsid w:val="0020188B"/>
  </w:style>
  <w:style w:type="paragraph" w:styleId="af">
    <w:name w:val="TOC Heading"/>
    <w:basedOn w:val="1"/>
    <w:next w:val="a"/>
    <w:uiPriority w:val="39"/>
    <w:unhideWhenUsed/>
    <w:qFormat/>
    <w:rsid w:val="0020188B"/>
    <w:pPr>
      <w:spacing w:before="480" w:after="0" w:line="276" w:lineRule="auto"/>
      <w:outlineLvl w:val="9"/>
    </w:pPr>
    <w:rPr>
      <w:b/>
      <w:bCs/>
      <w:kern w:val="0"/>
      <w:sz w:val="28"/>
      <w:szCs w:val="28"/>
      <w:lang w:eastAsia="ru-RU"/>
      <w14:ligatures w14:val="none"/>
    </w:rPr>
  </w:style>
  <w:style w:type="paragraph" w:styleId="11">
    <w:name w:val="toc 1"/>
    <w:basedOn w:val="a"/>
    <w:next w:val="a"/>
    <w:autoRedefine/>
    <w:uiPriority w:val="39"/>
    <w:unhideWhenUsed/>
    <w:rsid w:val="008D7B0D"/>
    <w:pPr>
      <w:tabs>
        <w:tab w:val="right" w:leader="dot" w:pos="9016"/>
      </w:tabs>
      <w:spacing w:before="120"/>
    </w:pPr>
    <w:rPr>
      <w:rFonts w:asciiTheme="minorHAnsi" w:hAnsiTheme="minorHAnsi"/>
      <w:b/>
      <w:bCs/>
      <w:i/>
      <w:iCs/>
      <w:sz w:val="24"/>
      <w:szCs w:val="24"/>
    </w:rPr>
  </w:style>
  <w:style w:type="paragraph" w:styleId="23">
    <w:name w:val="toc 2"/>
    <w:basedOn w:val="a"/>
    <w:next w:val="a"/>
    <w:autoRedefine/>
    <w:uiPriority w:val="39"/>
    <w:unhideWhenUsed/>
    <w:rsid w:val="0020188B"/>
    <w:pPr>
      <w:spacing w:before="120"/>
      <w:ind w:left="200"/>
    </w:pPr>
    <w:rPr>
      <w:rFonts w:asciiTheme="minorHAnsi" w:hAnsiTheme="minorHAnsi"/>
      <w:b/>
      <w:bCs/>
      <w:sz w:val="22"/>
      <w:szCs w:val="22"/>
    </w:rPr>
  </w:style>
  <w:style w:type="paragraph" w:styleId="31">
    <w:name w:val="toc 3"/>
    <w:basedOn w:val="a"/>
    <w:next w:val="a"/>
    <w:autoRedefine/>
    <w:uiPriority w:val="39"/>
    <w:unhideWhenUsed/>
    <w:rsid w:val="0020188B"/>
    <w:pPr>
      <w:ind w:left="400"/>
    </w:pPr>
    <w:rPr>
      <w:rFonts w:asciiTheme="minorHAnsi" w:hAnsiTheme="minorHAnsi"/>
    </w:rPr>
  </w:style>
  <w:style w:type="paragraph" w:styleId="41">
    <w:name w:val="toc 4"/>
    <w:basedOn w:val="a"/>
    <w:next w:val="a"/>
    <w:autoRedefine/>
    <w:uiPriority w:val="39"/>
    <w:semiHidden/>
    <w:unhideWhenUsed/>
    <w:rsid w:val="0020188B"/>
    <w:pPr>
      <w:ind w:left="600"/>
    </w:pPr>
    <w:rPr>
      <w:rFonts w:asciiTheme="minorHAnsi" w:hAnsiTheme="minorHAnsi"/>
    </w:rPr>
  </w:style>
  <w:style w:type="paragraph" w:styleId="51">
    <w:name w:val="toc 5"/>
    <w:basedOn w:val="a"/>
    <w:next w:val="a"/>
    <w:autoRedefine/>
    <w:uiPriority w:val="39"/>
    <w:semiHidden/>
    <w:unhideWhenUsed/>
    <w:rsid w:val="0020188B"/>
    <w:pPr>
      <w:ind w:left="800"/>
    </w:pPr>
    <w:rPr>
      <w:rFonts w:asciiTheme="minorHAnsi" w:hAnsiTheme="minorHAnsi"/>
    </w:rPr>
  </w:style>
  <w:style w:type="paragraph" w:styleId="61">
    <w:name w:val="toc 6"/>
    <w:basedOn w:val="a"/>
    <w:next w:val="a"/>
    <w:autoRedefine/>
    <w:uiPriority w:val="39"/>
    <w:semiHidden/>
    <w:unhideWhenUsed/>
    <w:rsid w:val="0020188B"/>
    <w:pPr>
      <w:ind w:left="1000"/>
    </w:pPr>
    <w:rPr>
      <w:rFonts w:asciiTheme="minorHAnsi" w:hAnsiTheme="minorHAnsi"/>
    </w:rPr>
  </w:style>
  <w:style w:type="paragraph" w:styleId="71">
    <w:name w:val="toc 7"/>
    <w:basedOn w:val="a"/>
    <w:next w:val="a"/>
    <w:autoRedefine/>
    <w:uiPriority w:val="39"/>
    <w:semiHidden/>
    <w:unhideWhenUsed/>
    <w:rsid w:val="0020188B"/>
    <w:pPr>
      <w:ind w:left="1200"/>
    </w:pPr>
    <w:rPr>
      <w:rFonts w:asciiTheme="minorHAnsi" w:hAnsiTheme="minorHAnsi"/>
    </w:rPr>
  </w:style>
  <w:style w:type="paragraph" w:styleId="81">
    <w:name w:val="toc 8"/>
    <w:basedOn w:val="a"/>
    <w:next w:val="a"/>
    <w:autoRedefine/>
    <w:uiPriority w:val="39"/>
    <w:semiHidden/>
    <w:unhideWhenUsed/>
    <w:rsid w:val="0020188B"/>
    <w:pPr>
      <w:ind w:left="1400"/>
    </w:pPr>
    <w:rPr>
      <w:rFonts w:asciiTheme="minorHAnsi" w:hAnsiTheme="minorHAnsi"/>
    </w:rPr>
  </w:style>
  <w:style w:type="paragraph" w:styleId="91">
    <w:name w:val="toc 9"/>
    <w:basedOn w:val="a"/>
    <w:next w:val="a"/>
    <w:autoRedefine/>
    <w:uiPriority w:val="39"/>
    <w:semiHidden/>
    <w:unhideWhenUsed/>
    <w:rsid w:val="0020188B"/>
    <w:pPr>
      <w:ind w:left="1600"/>
    </w:pPr>
    <w:rPr>
      <w:rFonts w:asciiTheme="minorHAnsi" w:hAnsiTheme="minorHAnsi"/>
    </w:rPr>
  </w:style>
  <w:style w:type="character" w:styleId="af0">
    <w:name w:val="Hyperlink"/>
    <w:basedOn w:val="a0"/>
    <w:uiPriority w:val="99"/>
    <w:unhideWhenUsed/>
    <w:rsid w:val="0020188B"/>
    <w:rPr>
      <w:color w:val="467886" w:themeColor="hyperlink"/>
      <w:u w:val="single"/>
    </w:rPr>
  </w:style>
  <w:style w:type="paragraph" w:customStyle="1" w:styleId="p1">
    <w:name w:val="p1"/>
    <w:basedOn w:val="a"/>
    <w:rsid w:val="0020188B"/>
    <w:pPr>
      <w:spacing w:before="100" w:beforeAutospacing="1" w:after="100" w:afterAutospacing="1"/>
    </w:pPr>
    <w:rPr>
      <w:sz w:val="24"/>
      <w:szCs w:val="24"/>
      <w:lang w:val="ru-UA"/>
    </w:rPr>
  </w:style>
  <w:style w:type="paragraph" w:customStyle="1" w:styleId="p2">
    <w:name w:val="p2"/>
    <w:basedOn w:val="a"/>
    <w:rsid w:val="00334C25"/>
    <w:pPr>
      <w:spacing w:before="100" w:beforeAutospacing="1" w:after="100" w:afterAutospacing="1" w:line="240" w:lineRule="auto"/>
      <w:jc w:val="left"/>
    </w:pPr>
    <w:rPr>
      <w:sz w:val="24"/>
      <w:szCs w:val="24"/>
      <w:lang w:val="ru-UA"/>
    </w:rPr>
  </w:style>
  <w:style w:type="character" w:customStyle="1" w:styleId="s1">
    <w:name w:val="s1"/>
    <w:basedOn w:val="a0"/>
    <w:rsid w:val="00334C25"/>
  </w:style>
  <w:style w:type="character" w:customStyle="1" w:styleId="s2">
    <w:name w:val="s2"/>
    <w:basedOn w:val="a0"/>
    <w:rsid w:val="00334C25"/>
  </w:style>
  <w:style w:type="paragraph" w:customStyle="1" w:styleId="p4">
    <w:name w:val="p4"/>
    <w:basedOn w:val="a"/>
    <w:rsid w:val="00334C25"/>
    <w:pPr>
      <w:spacing w:before="100" w:beforeAutospacing="1" w:after="100" w:afterAutospacing="1" w:line="240" w:lineRule="auto"/>
      <w:jc w:val="left"/>
    </w:pPr>
    <w:rPr>
      <w:sz w:val="24"/>
      <w:szCs w:val="24"/>
      <w:lang w:val="ru-UA"/>
    </w:rPr>
  </w:style>
  <w:style w:type="character" w:customStyle="1" w:styleId="apple-converted-space">
    <w:name w:val="apple-converted-space"/>
    <w:basedOn w:val="a0"/>
    <w:rsid w:val="00334C25"/>
  </w:style>
  <w:style w:type="table" w:styleId="af1">
    <w:name w:val="Table Grid"/>
    <w:basedOn w:val="a1"/>
    <w:uiPriority w:val="39"/>
    <w:rsid w:val="00334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
    <w:rsid w:val="00334C25"/>
    <w:pPr>
      <w:spacing w:before="100" w:beforeAutospacing="1" w:after="100" w:afterAutospacing="1" w:line="240" w:lineRule="auto"/>
      <w:jc w:val="left"/>
    </w:pPr>
    <w:rPr>
      <w:sz w:val="24"/>
      <w:szCs w:val="24"/>
      <w:lang w:val="ru-UA"/>
    </w:rPr>
  </w:style>
  <w:style w:type="paragraph" w:styleId="af2">
    <w:name w:val="footer"/>
    <w:basedOn w:val="a"/>
    <w:link w:val="af3"/>
    <w:uiPriority w:val="99"/>
    <w:unhideWhenUsed/>
    <w:rsid w:val="0093374D"/>
    <w:pPr>
      <w:tabs>
        <w:tab w:val="center" w:pos="4513"/>
        <w:tab w:val="right" w:pos="9026"/>
      </w:tabs>
      <w:spacing w:line="240" w:lineRule="auto"/>
    </w:pPr>
  </w:style>
  <w:style w:type="character" w:customStyle="1" w:styleId="af3">
    <w:name w:val="Нижний колонтитул Знак"/>
    <w:basedOn w:val="a0"/>
    <w:link w:val="af2"/>
    <w:uiPriority w:val="99"/>
    <w:rsid w:val="0093374D"/>
    <w:rPr>
      <w:rFonts w:ascii="Times New Roman" w:eastAsia="Times New Roman" w:hAnsi="Times New Roman" w:cs="Times New Roman"/>
      <w:kern w:val="0"/>
      <w:sz w:val="20"/>
      <w:szCs w:val="20"/>
      <w:lang w:val="uk-UA" w:eastAsia="ru-RU"/>
      <w14:ligatures w14:val="none"/>
    </w:rPr>
  </w:style>
  <w:style w:type="paragraph" w:styleId="af4">
    <w:name w:val="footnote text"/>
    <w:basedOn w:val="a"/>
    <w:link w:val="af5"/>
    <w:uiPriority w:val="99"/>
    <w:semiHidden/>
    <w:unhideWhenUsed/>
    <w:rsid w:val="00EE3A37"/>
    <w:pPr>
      <w:spacing w:line="240" w:lineRule="auto"/>
    </w:pPr>
  </w:style>
  <w:style w:type="character" w:customStyle="1" w:styleId="af5">
    <w:name w:val="Текст сноски Знак"/>
    <w:basedOn w:val="a0"/>
    <w:link w:val="af4"/>
    <w:uiPriority w:val="99"/>
    <w:semiHidden/>
    <w:rsid w:val="00EE3A37"/>
    <w:rPr>
      <w:rFonts w:ascii="Times New Roman" w:eastAsia="Times New Roman" w:hAnsi="Times New Roman" w:cs="Times New Roman"/>
      <w:kern w:val="0"/>
      <w:sz w:val="20"/>
      <w:szCs w:val="20"/>
      <w:lang w:val="uk-UA" w:eastAsia="ru-RU"/>
      <w14:ligatures w14:val="none"/>
    </w:rPr>
  </w:style>
  <w:style w:type="character" w:styleId="af6">
    <w:name w:val="footnote reference"/>
    <w:basedOn w:val="a0"/>
    <w:uiPriority w:val="99"/>
    <w:semiHidden/>
    <w:unhideWhenUsed/>
    <w:rsid w:val="00EE3A3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7542EE29-9641-3447-9011-95F16958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14887</Words>
  <Characters>84857</Characters>
  <Application>Microsoft Office Word</Application>
  <DocSecurity>0</DocSecurity>
  <Lines>707</Lines>
  <Paragraphs>199</Paragraphs>
  <ScaleCrop>false</ScaleCrop>
  <Company/>
  <LinksUpToDate>false</LinksUpToDate>
  <CharactersWithSpaces>99545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Aндрій Копілевич</dc:creator>
  <cp:keywords/>
  <dc:description/>
  <cp:lastModifiedBy>Наталія Завацька</cp:lastModifiedBy>
  <cp:revision>4</cp:revision>
  <dcterms:created xsi:type="dcterms:W3CDTF">2025-12-21T16:54:00Z</dcterms:created>
  <dcterms:modified xsi:type="dcterms:W3CDTF">2025-12-21T20:27:00Z</dcterms:modified>
</cp:coreProperties>
</file>