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86D3" w14:textId="7993A78D" w:rsidR="00987846" w:rsidRPr="008C0919" w:rsidRDefault="00987846" w:rsidP="009878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91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671E7D">
        <w:rPr>
          <w:rFonts w:ascii="Times New Roman" w:hAnsi="Times New Roman" w:cs="Times New Roman"/>
          <w:b/>
          <w:sz w:val="28"/>
          <w:szCs w:val="28"/>
          <w:lang w:val="uk-UA"/>
        </w:rPr>
        <w:t>)))</w:t>
      </w:r>
    </w:p>
    <w:p w14:paraId="160A3AE0" w14:textId="77777777" w:rsidR="006A696F" w:rsidRPr="00646EA9" w:rsidRDefault="006A696F" w:rsidP="009878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0A4E10" w14:textId="1DA1D6F8" w:rsidR="006A696F" w:rsidRPr="00646EA9" w:rsidRDefault="009D45C7" w:rsidP="006A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A696F" w:rsidRPr="00646EA9">
        <w:rPr>
          <w:rFonts w:ascii="Times New Roman" w:hAnsi="Times New Roman" w:cs="Times New Roman"/>
          <w:sz w:val="28"/>
          <w:szCs w:val="28"/>
          <w:lang w:val="uk-UA"/>
        </w:rPr>
        <w:t>кономік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96F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України вирішальне значення має удосконалення діяльності банківської сфери, зокрема в напрямку безготівкового обігу.</w:t>
      </w:r>
    </w:p>
    <w:p w14:paraId="1DBF41EF" w14:textId="77777777" w:rsidR="001B5823" w:rsidRPr="00646EA9" w:rsidRDefault="001B5823" w:rsidP="001B5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Банк – це найнеобхідніший компонент сучасного грошового господарства, який утворює основу ринкового механізму, завдяки якому економіка держави функціонує. Комерційні банки регулюють рух грошових потоків, зокрема безготівкових, сприяють раціональному використанню фінансових ресурсів суспільства.</w:t>
      </w:r>
    </w:p>
    <w:p w14:paraId="4D513634" w14:textId="31C67672" w:rsidR="001B5823" w:rsidRPr="00646EA9" w:rsidRDefault="00344BC4" w:rsidP="001B5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Від правильно організованого безготівкового обігу інтеграція у світове господарство банківської системи.</w:t>
      </w:r>
      <w:r w:rsidR="008D6519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995490" w14:textId="77777777" w:rsidR="008D6519" w:rsidRPr="00646EA9" w:rsidRDefault="008D6519" w:rsidP="001B5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Виходячи з цього, дослідження питань організації безготівкових розрахунків набирають все більше актуальності, адже на ринку України та на світовому ринку все більше угод здійснюєть</w:t>
      </w:r>
      <w:r w:rsidR="00A7156F" w:rsidRPr="00646EA9">
        <w:rPr>
          <w:rFonts w:ascii="Times New Roman" w:hAnsi="Times New Roman" w:cs="Times New Roman"/>
          <w:sz w:val="28"/>
          <w:szCs w:val="28"/>
          <w:lang w:val="uk-UA"/>
        </w:rPr>
        <w:t>ся через комп’ютерні мережі та І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нтернет, що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внесло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значні полегшення  та прискорило розрахунки.</w:t>
      </w:r>
    </w:p>
    <w:p w14:paraId="784DF2D3" w14:textId="0787D077" w:rsidR="008D6519" w:rsidRPr="00646EA9" w:rsidRDefault="00A7156F" w:rsidP="001B5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4899CD" w14:textId="77777777" w:rsidR="006A696F" w:rsidRPr="00646EA9" w:rsidRDefault="006A696F" w:rsidP="006A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0F795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6EC1D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CFE56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35EF00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EB0F5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79EAA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EBCBF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BAED2" w14:textId="77777777" w:rsidR="00987846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E9A6A" w14:textId="77777777" w:rsidR="00244217" w:rsidRDefault="00244217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68C1B" w14:textId="77777777" w:rsidR="00244217" w:rsidRPr="00646EA9" w:rsidRDefault="00244217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9B91A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F1DB8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F3FEAD" w14:textId="77777777" w:rsidR="00987846" w:rsidRPr="00646EA9" w:rsidRDefault="00987846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DFCCC" w14:textId="77777777" w:rsidR="00A16239" w:rsidRPr="00646EA9" w:rsidRDefault="00A16239" w:rsidP="008A1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82908" w14:textId="77777777" w:rsidR="008A1F87" w:rsidRPr="008C0919" w:rsidRDefault="00EF68EC" w:rsidP="008C0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91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A1F87" w:rsidRPr="008C0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ТЕОРЕТИЧНІ ЗАСАДИ ОРГАНІЗАЦІЇ БЕЗГОТІВКОВИХ РОЗРАХУНКІВ У БАНКАХ У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8A1F87" w:rsidRPr="008C0919">
        <w:rPr>
          <w:rFonts w:ascii="Times New Roman" w:hAnsi="Times New Roman" w:cs="Times New Roman"/>
          <w:b/>
          <w:sz w:val="28"/>
          <w:szCs w:val="28"/>
          <w:lang w:val="uk-UA"/>
        </w:rPr>
        <w:t>РАЇНИ</w:t>
      </w:r>
    </w:p>
    <w:p w14:paraId="152AC265" w14:textId="77777777" w:rsidR="00EF68EC" w:rsidRPr="00646EA9" w:rsidRDefault="00EF68EC" w:rsidP="008A1F87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04FCB" w14:textId="179BC3F6" w:rsidR="008A1F87" w:rsidRPr="00646EA9" w:rsidRDefault="00EF68EC" w:rsidP="008C0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8C09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Сутність та принципи організації </w:t>
      </w:r>
    </w:p>
    <w:p w14:paraId="03B1F3F2" w14:textId="77777777" w:rsidR="00EF68EC" w:rsidRPr="00646EA9" w:rsidRDefault="00EF68EC" w:rsidP="00F9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82C2E" w14:textId="71AE42D3" w:rsidR="00A3029C" w:rsidRPr="00646EA9" w:rsidRDefault="009D45C7" w:rsidP="00F9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б</w:t>
      </w:r>
      <w:r w:rsidR="00A3029C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анках визначається важливістю її удосконалення у розв’язанні економічних проблем України, </w:t>
      </w:r>
      <w:r w:rsidR="00F84F9D" w:rsidRPr="00646EA9">
        <w:rPr>
          <w:rFonts w:ascii="Times New Roman" w:hAnsi="Times New Roman" w:cs="Times New Roman"/>
          <w:sz w:val="28"/>
          <w:szCs w:val="28"/>
          <w:lang w:val="uk-UA"/>
        </w:rPr>
        <w:t>і необхідністю швидких та якісних розрахунків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02D9F6" w14:textId="2A1AEB66" w:rsidR="00326752" w:rsidRPr="00646EA9" w:rsidRDefault="009D45C7" w:rsidP="00F9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26752" w:rsidRPr="00646EA9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6752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безготівкових розрахунків займали та займають значне місце в дослідженнях відомих закордонних та вітчизняних науковців.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26752" w:rsidRPr="00646EA9">
        <w:rPr>
          <w:rFonts w:ascii="Times New Roman" w:hAnsi="Times New Roman" w:cs="Times New Roman"/>
          <w:sz w:val="28"/>
          <w:szCs w:val="28"/>
          <w:lang w:val="uk-UA"/>
        </w:rPr>
        <w:t>ормування ефективної організації безготівкових розрахунків з урахуванням швидкого розвитку технологій.</w:t>
      </w:r>
    </w:p>
    <w:p w14:paraId="12707249" w14:textId="77777777" w:rsidR="00AE185F" w:rsidRPr="00646EA9" w:rsidRDefault="00AE185F" w:rsidP="00F9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У вітчизняній літературі є велика кількість робіт, присвячених саме безготівковому обігу.</w:t>
      </w:r>
    </w:p>
    <w:p w14:paraId="293D3066" w14:textId="6DD98E36" w:rsidR="00327336" w:rsidRPr="00646EA9" w:rsidRDefault="00C533E0" w:rsidP="00D01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27336" w:rsidRPr="00646EA9">
        <w:rPr>
          <w:rFonts w:ascii="Times New Roman" w:hAnsi="Times New Roman" w:cs="Times New Roman"/>
          <w:sz w:val="28"/>
          <w:szCs w:val="28"/>
          <w:lang w:val="uk-UA"/>
        </w:rPr>
        <w:t>езготівкові розрахунки –</w:t>
      </w:r>
      <w:r w:rsidR="0026568B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33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це платежі за продукцію або послуги, які можуть здійснюватися </w:t>
      </w:r>
      <w:r w:rsidR="00D0164C" w:rsidRPr="00646EA9">
        <w:rPr>
          <w:rFonts w:ascii="Times New Roman" w:hAnsi="Times New Roman" w:cs="Times New Roman"/>
          <w:sz w:val="28"/>
          <w:szCs w:val="28"/>
          <w:lang w:val="uk-UA"/>
        </w:rPr>
        <w:t>в таких формах</w:t>
      </w:r>
      <w:r w:rsidR="009D45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4F9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767214" w14:textId="3747B17F" w:rsidR="00372250" w:rsidRPr="00646EA9" w:rsidRDefault="009D45C7" w:rsidP="0037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B7CBB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езготівкові розрахунки класифікують за різними ознаками. </w:t>
      </w:r>
      <w:r w:rsidR="00F90325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521ADF" w14:textId="77777777" w:rsidR="005706CF" w:rsidRPr="00646EA9" w:rsidRDefault="005706CF" w:rsidP="00F9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D9C07" w14:textId="77777777" w:rsidR="00F90325" w:rsidRPr="00646EA9" w:rsidRDefault="00F90325" w:rsidP="00F9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2F67424D" wp14:editId="27674144">
            <wp:extent cx="5674105" cy="1190625"/>
            <wp:effectExtent l="0" t="0" r="3175" b="0"/>
            <wp:docPr id="1" name="Рисунок 1" descr="&amp;Ocy;&amp;zcy;&amp;ncy;&amp;acy;&amp;kcy;&amp;icy; &amp;kcy;&amp;lcy;&amp;acy;&amp;scy;&amp;icy;&amp;fcy;&amp;iukcy;&amp;kcy;&amp;acy;&amp;tscy;&amp;iukcy;&amp;yicy; &amp;bcy;&amp;iecy;&amp;zcy;&amp;gcy;&amp;ocy;&amp;tcy;&amp;iukcy;&amp;vcy;&amp;kcy;&amp;ocy;&amp;vcy;&amp;icy;&amp;khcy; &amp;rcy;&amp;ocy;&amp;zcy;&amp;rcy;&amp;acy;&amp;khcy;&amp;ucy;&amp;ncy;&amp;kcy;&amp;iuk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zcy;&amp;ncy;&amp;acy;&amp;kcy;&amp;icy; &amp;kcy;&amp;lcy;&amp;acy;&amp;scy;&amp;icy;&amp;fcy;&amp;iukcy;&amp;kcy;&amp;acy;&amp;tscy;&amp;iukcy;&amp;yicy; &amp;bcy;&amp;iecy;&amp;zcy;&amp;gcy;&amp;ocy;&amp;tcy;&amp;iukcy;&amp;vcy;&amp;kcy;&amp;ocy;&amp;vcy;&amp;icy;&amp;khcy; &amp;rcy;&amp;ocy;&amp;zcy;&amp;rcy;&amp;acy;&amp;khcy;&amp;ucy;&amp;ncy;&amp;kcy;&amp;iukcy;&amp;v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892B" w14:textId="77777777" w:rsidR="008C0919" w:rsidRDefault="008C0919" w:rsidP="00F9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5FB2F" w14:textId="4C1090B5" w:rsidR="00F90325" w:rsidRPr="008C0919" w:rsidRDefault="00F90325" w:rsidP="008C09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919">
        <w:rPr>
          <w:rFonts w:ascii="Times New Roman" w:hAnsi="Times New Roman" w:cs="Times New Roman"/>
          <w:b/>
          <w:sz w:val="28"/>
          <w:szCs w:val="28"/>
          <w:lang w:val="uk-UA"/>
        </w:rPr>
        <w:t>Рис.1.1</w:t>
      </w:r>
      <w:r w:rsidR="008C09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C0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Ознаки</w:t>
      </w:r>
      <w:r w:rsidR="009D4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розрахунків</w:t>
      </w:r>
    </w:p>
    <w:p w14:paraId="7D51F544" w14:textId="77777777" w:rsidR="00415EC4" w:rsidRPr="00646EA9" w:rsidRDefault="00415EC4" w:rsidP="00F9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78627" w14:textId="21A55C26" w:rsidR="000D0A37" w:rsidRPr="00646EA9" w:rsidRDefault="009D45C7" w:rsidP="00F9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0D0A37" w:rsidRPr="00646EA9">
        <w:rPr>
          <w:rFonts w:ascii="Times New Roman" w:hAnsi="Times New Roman" w:cs="Times New Roman"/>
          <w:sz w:val="28"/>
          <w:szCs w:val="28"/>
          <w:lang w:val="uk-UA"/>
        </w:rPr>
        <w:t>безготівкових розрахунків виділяють:</w:t>
      </w:r>
    </w:p>
    <w:p w14:paraId="38526135" w14:textId="77777777" w:rsidR="000D0A37" w:rsidRPr="00646EA9" w:rsidRDefault="000D0A37" w:rsidP="003003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внутрішньодержавні;</w:t>
      </w:r>
    </w:p>
    <w:p w14:paraId="4B6809F7" w14:textId="77777777" w:rsidR="000D0A37" w:rsidRPr="00646EA9" w:rsidRDefault="000D0A37" w:rsidP="003003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міждержавні розрахунки.</w:t>
      </w:r>
    </w:p>
    <w:p w14:paraId="71532F28" w14:textId="3C48CFE7" w:rsidR="00532937" w:rsidRPr="00646EA9" w:rsidRDefault="00532937" w:rsidP="00646E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Безготівкові розрахунки </w:t>
      </w:r>
      <w:r w:rsidR="00F179DF" w:rsidRPr="00646EA9">
        <w:rPr>
          <w:rFonts w:ascii="Times New Roman" w:hAnsi="Times New Roman" w:cs="Times New Roman"/>
          <w:sz w:val="28"/>
          <w:szCs w:val="28"/>
          <w:lang w:val="uk-UA"/>
        </w:rPr>
        <w:t>здійснюються у національній валюті шляхом перерахування</w:t>
      </w:r>
      <w:r w:rsidR="009D45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79DF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За розпорядженням власника рахунка кошти можуть бути списані з нього, крім випадків, визначених законодавством. Банком приймаються розрахункові документи.</w:t>
      </w:r>
    </w:p>
    <w:p w14:paraId="6875A866" w14:textId="0CB92E35" w:rsidR="00A0257B" w:rsidRPr="00646EA9" w:rsidRDefault="0027351D" w:rsidP="00F928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6752" w:rsidRPr="00646EA9">
        <w:rPr>
          <w:rFonts w:ascii="Times New Roman" w:hAnsi="Times New Roman" w:cs="Times New Roman"/>
          <w:sz w:val="28"/>
          <w:szCs w:val="28"/>
          <w:lang w:val="uk-UA"/>
        </w:rPr>
        <w:t>истема безготівкових розрахунків тісно пов’язана з реальним грошовим оборотом, то за цієї умови забезпечується безперебійний кругообіг коштів господарських суб’єктів.</w:t>
      </w:r>
    </w:p>
    <w:p w14:paraId="531D62D2" w14:textId="77777777" w:rsidR="004A653C" w:rsidRPr="00646EA9" w:rsidRDefault="004A653C" w:rsidP="00F928C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3F3F9782" wp14:editId="05A42CD9">
            <wp:extent cx="4095750" cy="4720527"/>
            <wp:effectExtent l="0" t="0" r="0" b="4445"/>
            <wp:docPr id="2" name="Рисунок 2" descr="&amp;Vcy;&amp;zcy;&amp;acy;&amp;jukcy;&amp;mcy;&amp;ocy;&amp;zcy;&amp;vcy;'&amp;yacy;&amp;zcy;&amp;kcy;&amp;icy; &amp;mcy;&amp;iukcy;&amp;zhcy; &amp;scy;&amp;tcy;&amp;rcy;&amp;ucy;&amp;kcy;&amp;tcy;&amp;ucy;&amp;rcy;&amp;ncy;&amp;icy;&amp;mcy;&amp;icy; &amp;kcy;&amp;ocy;&amp;mcy;&amp;pcy;&amp;ocy;&amp;ncy;&amp;iecy;&amp;ncy;&amp;tcy;&amp;acy;&amp;mcy;&amp;icy; &amp;scy;&amp;icy;&amp;scy;&amp;tcy;&amp;iecy;&amp;mcy;&amp;icy; &amp;bcy;&amp;iecy;&amp;zcy;&amp;gcy;&amp;ocy;&amp;tcy;&amp;iukcy;&amp;vcy;&amp;kcy;&amp;ocy;&amp;vcy;&amp;icy;&amp;khcy; &amp;rcy;&amp;ocy;&amp;zcy;&amp;rcy;&amp;acy;&amp;khcy;&amp;ucy;&amp;ncy;&amp;kcy;&amp;iuk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&amp;zcy;&amp;acy;&amp;jukcy;&amp;mcy;&amp;ocy;&amp;zcy;&amp;vcy;'&amp;yacy;&amp;zcy;&amp;kcy;&amp;icy; &amp;mcy;&amp;iukcy;&amp;zhcy; &amp;scy;&amp;tcy;&amp;rcy;&amp;ucy;&amp;kcy;&amp;tcy;&amp;ucy;&amp;rcy;&amp;ncy;&amp;icy;&amp;mcy;&amp;icy; &amp;kcy;&amp;ocy;&amp;mcy;&amp;pcy;&amp;ocy;&amp;ncy;&amp;iecy;&amp;ncy;&amp;tcy;&amp;acy;&amp;mcy;&amp;icy; &amp;scy;&amp;icy;&amp;scy;&amp;tcy;&amp;iecy;&amp;mcy;&amp;icy; &amp;bcy;&amp;iecy;&amp;zcy;&amp;gcy;&amp;ocy;&amp;tcy;&amp;iukcy;&amp;vcy;&amp;kcy;&amp;ocy;&amp;vcy;&amp;icy;&amp;khcy; &amp;rcy;&amp;ocy;&amp;zcy;&amp;rcy;&amp;acy;&amp;khcy;&amp;ucy;&amp;ncy;&amp;kcy;&amp;iukcy;&amp;v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51" cy="47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E383" w14:textId="77777777" w:rsidR="008C0919" w:rsidRDefault="008C0919" w:rsidP="00F928C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8EE89" w14:textId="4C14E9A0" w:rsidR="00A761F8" w:rsidRPr="008C0919" w:rsidRDefault="00A761F8" w:rsidP="008C091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3BE5C" w14:textId="77777777" w:rsidR="008E2080" w:rsidRPr="00646EA9" w:rsidRDefault="008E2080" w:rsidP="00F928C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953E0" w14:textId="6B28EAC2" w:rsidR="008E2080" w:rsidRPr="00646EA9" w:rsidRDefault="006642B4" w:rsidP="00497B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6622B" w:rsidRPr="00646EA9">
        <w:rPr>
          <w:rFonts w:ascii="Times New Roman" w:hAnsi="Times New Roman" w:cs="Times New Roman"/>
          <w:sz w:val="28"/>
          <w:szCs w:val="28"/>
          <w:lang w:val="uk-UA"/>
        </w:rPr>
        <w:t>ринципи регулюють всі складові безготівкових розрахунків, і насамперед це способи та форми розрахунків.</w:t>
      </w:r>
    </w:p>
    <w:p w14:paraId="6B19325F" w14:textId="77777777" w:rsidR="0076622B" w:rsidRPr="00646EA9" w:rsidRDefault="0076622B" w:rsidP="00497B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Способи розрахунків – це певний порядок здійснення грошових відносин (списання коштів тощо) між продавцем і покупцем.</w:t>
      </w:r>
    </w:p>
    <w:p w14:paraId="7646E1B5" w14:textId="04581AB8" w:rsidR="00DD76A9" w:rsidRPr="00646EA9" w:rsidRDefault="00DD76A9" w:rsidP="00FE5AF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банкі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покладені повноваження щодо контролю за додержанням правил розрахунків їхніх клієнтів (підприємств). Підприємства в свою чергу також повинні контролювати проведення безготівкових розрахунків.</w:t>
      </w:r>
    </w:p>
    <w:p w14:paraId="184DD3AB" w14:textId="77777777" w:rsidR="004765A7" w:rsidRPr="00646EA9" w:rsidRDefault="00D6509B" w:rsidP="00FE5AF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Таким чином, в</w:t>
      </w:r>
      <w:r w:rsidR="004765A7" w:rsidRPr="00646EA9">
        <w:rPr>
          <w:rFonts w:ascii="Times New Roman" w:hAnsi="Times New Roman" w:cs="Times New Roman"/>
          <w:sz w:val="28"/>
          <w:szCs w:val="28"/>
          <w:lang w:val="uk-UA"/>
        </w:rPr>
        <w:t>изначення сутності та принципів організації безготівкових розрахунків, а саме узагальнення та подання класифікації безготівкових розрахунків, способів платежу та складових безготівкових розрахунків, дозволяє безпосередньо перейти до розв’язання питань, пов’язаних з визначенням форм безготівкових розрахунків та їх документообігу в комерційних банках України.</w:t>
      </w:r>
    </w:p>
    <w:p w14:paraId="7CBE04C9" w14:textId="77777777" w:rsidR="000D0A37" w:rsidRPr="00646EA9" w:rsidRDefault="000D0A37" w:rsidP="0049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CA7FAB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08549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5603E8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E0B293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F7C56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194EE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7B564F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AB0B76" w14:textId="77777777" w:rsidR="008C0919" w:rsidRDefault="008C0919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E383F6" w14:textId="77777777" w:rsidR="00EA618A" w:rsidRPr="00646EA9" w:rsidRDefault="00EA618A" w:rsidP="008C0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4D142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безготівкових розрахунків та їх документообіг</w:t>
      </w:r>
    </w:p>
    <w:p w14:paraId="094A42E5" w14:textId="77777777" w:rsidR="008A1F87" w:rsidRPr="00646EA9" w:rsidRDefault="008A1F87" w:rsidP="00497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F50C75" w14:textId="77777777" w:rsidR="008C0919" w:rsidRDefault="008C0919" w:rsidP="00D75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B9FFF" w14:textId="77777777" w:rsidR="00D758EB" w:rsidRPr="00646EA9" w:rsidRDefault="00D758EB" w:rsidP="00D75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Безготівкові розрахунки здійснюються в різних формах, котрі відрізняються способами платежу, організацією документообігу, особливостями економічних відносин контрагентів тощо.</w:t>
      </w:r>
    </w:p>
    <w:p w14:paraId="1165DC06" w14:textId="77777777" w:rsidR="00962FB8" w:rsidRPr="00646EA9" w:rsidRDefault="00962FB8" w:rsidP="00D75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Визначення поняття форм безготівкових розрахунків відсутнє на законодавчому рівні України, тому принциповим є визначення цього поняття.</w:t>
      </w:r>
    </w:p>
    <w:p w14:paraId="2A4831E1" w14:textId="54E724AF" w:rsidR="00F66E9F" w:rsidRPr="00646EA9" w:rsidRDefault="00F66E9F" w:rsidP="00F6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Банки приймають доручення від платників  в межах коштів на їх розрахунковому рахунку, за винятком доручень на перерахування до бюджету сум податків.</w:t>
      </w:r>
    </w:p>
    <w:p w14:paraId="6EAC30C2" w14:textId="77777777" w:rsidR="009B5357" w:rsidRPr="00646EA9" w:rsidRDefault="009B5357" w:rsidP="00F66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D781B4" w14:textId="77777777" w:rsidR="00E111CC" w:rsidRPr="00646EA9" w:rsidRDefault="00E111CC" w:rsidP="009B53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0659336A" wp14:editId="27160DED">
            <wp:extent cx="4222552" cy="1171575"/>
            <wp:effectExtent l="0" t="0" r="6985" b="0"/>
            <wp:docPr id="4" name="Рисунок 4" descr="http://buklib.net/msohtml1/70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lib.net/msohtml1/70/clip_image0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55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C0B8" w14:textId="77777777" w:rsidR="008C0919" w:rsidRDefault="008C0919" w:rsidP="008C09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8FCA8" w14:textId="0ABBFFB8" w:rsidR="00E111CC" w:rsidRPr="008C0919" w:rsidRDefault="00E111CC" w:rsidP="008C09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917A25" w14:textId="77777777" w:rsidR="00E111CC" w:rsidRPr="00646EA9" w:rsidRDefault="00E111CC" w:rsidP="00F6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F109F" w14:textId="77777777" w:rsidR="009C27FC" w:rsidRPr="00646EA9" w:rsidRDefault="009C27FC" w:rsidP="00DA68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D9402" w14:textId="77777777" w:rsidR="00322C32" w:rsidRPr="00646EA9" w:rsidRDefault="00322C32" w:rsidP="008C091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1420FB37" wp14:editId="505236B6">
            <wp:extent cx="3981267" cy="1314450"/>
            <wp:effectExtent l="0" t="0" r="635" b="0"/>
            <wp:docPr id="5" name="Рисунок 5" descr="http://buklib.net/msohtml1/70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lib.net/msohtml1/70/clip_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6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C819" w14:textId="77777777" w:rsidR="008C0919" w:rsidRDefault="008C0919" w:rsidP="0032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049D7" w14:textId="1953B409" w:rsidR="00322C32" w:rsidRPr="008C0919" w:rsidRDefault="00322C32" w:rsidP="00322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D802B" w14:textId="77777777" w:rsidR="00052C03" w:rsidRPr="00646EA9" w:rsidRDefault="00052C03" w:rsidP="0032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6A09A" w14:textId="77777777" w:rsidR="003D3FBF" w:rsidRPr="00646EA9" w:rsidRDefault="008D7BF9" w:rsidP="009C7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EA9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0" wp14:anchorId="7D09B3C3" wp14:editId="78424343">
            <wp:simplePos x="0" y="0"/>
            <wp:positionH relativeFrom="column">
              <wp:posOffset>1348740</wp:posOffset>
            </wp:positionH>
            <wp:positionV relativeFrom="line">
              <wp:posOffset>182880</wp:posOffset>
            </wp:positionV>
            <wp:extent cx="3400425" cy="1343025"/>
            <wp:effectExtent l="0" t="0" r="9525" b="9525"/>
            <wp:wrapSquare wrapText="bothSides"/>
            <wp:docPr id="7" name="Рисунок 7" descr="http://uchni.com.ua/pars_docs/refs/6/5087/5087_html_m79aa91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ni.com.ua/pars_docs/refs/6/5087/5087_html_m79aa91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BF" w:rsidRPr="00646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12C2444" w14:textId="77777777" w:rsidR="003D3FBF" w:rsidRPr="00646EA9" w:rsidRDefault="003D3FBF" w:rsidP="009C7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802E5" w14:textId="77777777" w:rsidR="009C75BA" w:rsidRPr="00646EA9" w:rsidRDefault="009C75BA" w:rsidP="009C7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3DBE3" w14:textId="77777777" w:rsidR="00322C32" w:rsidRPr="00646EA9" w:rsidRDefault="00322C32" w:rsidP="00DA68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E7855C" w14:textId="77777777" w:rsidR="008D7BF9" w:rsidRPr="00646EA9" w:rsidRDefault="008D7BF9" w:rsidP="008D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3D17F" w14:textId="77777777" w:rsidR="008C0919" w:rsidRDefault="008C0919" w:rsidP="008D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8BC05" w14:textId="77777777" w:rsidR="008D7BF9" w:rsidRPr="009B5357" w:rsidRDefault="008D7BF9" w:rsidP="009B5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57">
        <w:rPr>
          <w:rFonts w:ascii="Times New Roman" w:hAnsi="Times New Roman" w:cs="Times New Roman"/>
          <w:b/>
          <w:sz w:val="28"/>
          <w:szCs w:val="28"/>
          <w:lang w:val="uk-UA"/>
        </w:rPr>
        <w:t>Рис. 1.5</w:t>
      </w:r>
      <w:r w:rsidR="009B5357" w:rsidRPr="009B535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B5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Розрахунки платіжними вимогами</w:t>
      </w:r>
    </w:p>
    <w:p w14:paraId="4611DF36" w14:textId="77777777" w:rsidR="008D7BF9" w:rsidRPr="00646EA9" w:rsidRDefault="008D7BF9" w:rsidP="008D7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CFAD3" w14:textId="77777777" w:rsidR="00C01182" w:rsidRPr="00646EA9" w:rsidRDefault="00C01182" w:rsidP="00C01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Техніка розрахунку платіжною вимогою:</w:t>
      </w:r>
    </w:p>
    <w:p w14:paraId="788CD500" w14:textId="77777777" w:rsidR="009B5357" w:rsidRDefault="009B5357" w:rsidP="009B5357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D44BC6" w14:textId="77777777" w:rsidR="009B5357" w:rsidRDefault="009B5357" w:rsidP="009B5357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6BBE9F" w14:textId="77777777" w:rsidR="009B5357" w:rsidRPr="00646EA9" w:rsidRDefault="009B5357" w:rsidP="009B5357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7CD5D9" w14:textId="77777777" w:rsidR="00E325D7" w:rsidRPr="00646EA9" w:rsidRDefault="00E325D7" w:rsidP="009B53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lastRenderedPageBreak/>
        <w:drawing>
          <wp:inline distT="0" distB="0" distL="0" distR="0" wp14:anchorId="211B5242" wp14:editId="302F7DA0">
            <wp:extent cx="3724275" cy="1130992"/>
            <wp:effectExtent l="0" t="0" r="0" b="0"/>
            <wp:docPr id="8" name="Рисунок 8" descr="http://buklib.net/msohtml1/70/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lib.net/msohtml1/70/clip_image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20" cy="11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9185" w14:textId="77777777" w:rsidR="009B5357" w:rsidRDefault="009B5357" w:rsidP="007D5D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EF4AD2" w14:textId="77777777" w:rsidR="00E325D7" w:rsidRPr="009B5357" w:rsidRDefault="00E325D7" w:rsidP="009B53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57">
        <w:rPr>
          <w:rFonts w:ascii="Times New Roman" w:hAnsi="Times New Roman" w:cs="Times New Roman"/>
          <w:b/>
          <w:sz w:val="28"/>
          <w:szCs w:val="28"/>
          <w:lang w:val="uk-UA"/>
        </w:rPr>
        <w:t>Рис. 1.6</w:t>
      </w:r>
      <w:r w:rsidR="009B5357" w:rsidRPr="009B535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B5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Розрахунок </w:t>
      </w:r>
      <w:proofErr w:type="spellStart"/>
      <w:r w:rsidRPr="009B5357">
        <w:rPr>
          <w:rFonts w:ascii="Times New Roman" w:hAnsi="Times New Roman" w:cs="Times New Roman"/>
          <w:b/>
          <w:sz w:val="28"/>
          <w:szCs w:val="28"/>
          <w:lang w:val="uk-UA"/>
        </w:rPr>
        <w:t>чеком</w:t>
      </w:r>
      <w:proofErr w:type="spellEnd"/>
    </w:p>
    <w:p w14:paraId="4C163A46" w14:textId="77777777" w:rsidR="00C01182" w:rsidRPr="00646EA9" w:rsidRDefault="00C01182" w:rsidP="007D5D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83150" w14:textId="77777777" w:rsidR="00052C03" w:rsidRPr="00646EA9" w:rsidRDefault="00052C03" w:rsidP="00C727FD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28F34030" wp14:editId="16F23BD8">
            <wp:extent cx="3629025" cy="1036864"/>
            <wp:effectExtent l="0" t="0" r="0" b="0"/>
            <wp:docPr id="9" name="Рисунок 9" descr="http://buklib.net/msohtml1/70/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lib.net/msohtml1/70/clip_image0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3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BD27" w14:textId="77777777" w:rsidR="00C727FD" w:rsidRDefault="00C727FD" w:rsidP="00052C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D5B02" w14:textId="23E405FD" w:rsidR="00052C03" w:rsidRPr="00C727FD" w:rsidRDefault="00052C03" w:rsidP="00C727F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7FD">
        <w:rPr>
          <w:rFonts w:ascii="Times New Roman" w:hAnsi="Times New Roman" w:cs="Times New Roman"/>
          <w:b/>
          <w:sz w:val="28"/>
          <w:szCs w:val="28"/>
          <w:lang w:val="uk-UA"/>
        </w:rPr>
        <w:t>Рис. 1.7</w:t>
      </w:r>
      <w:r w:rsidR="00C727FD" w:rsidRPr="00C727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72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E092D67" w14:textId="77777777" w:rsidR="00052C03" w:rsidRPr="00646EA9" w:rsidRDefault="00052C03" w:rsidP="00052C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0E858" w14:textId="5C4C4A16" w:rsidR="00B3677F" w:rsidRPr="00646EA9" w:rsidRDefault="006642B4" w:rsidP="00B36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52C03" w:rsidRPr="00646EA9">
        <w:rPr>
          <w:rFonts w:ascii="Times New Roman" w:hAnsi="Times New Roman" w:cs="Times New Roman"/>
          <w:sz w:val="28"/>
          <w:szCs w:val="28"/>
          <w:lang w:val="uk-UA"/>
        </w:rPr>
        <w:t>кредитив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52C03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дають постачальнику впевненість в тому, що відвантажений товар буде вчасно </w:t>
      </w:r>
      <w:proofErr w:type="spellStart"/>
      <w:r w:rsidR="00052C03" w:rsidRPr="00646EA9">
        <w:rPr>
          <w:rFonts w:ascii="Times New Roman" w:hAnsi="Times New Roman" w:cs="Times New Roman"/>
          <w:sz w:val="28"/>
          <w:szCs w:val="28"/>
          <w:lang w:val="uk-UA"/>
        </w:rPr>
        <w:t>оплачено</w:t>
      </w:r>
      <w:proofErr w:type="spellEnd"/>
      <w:r w:rsidR="00052C03" w:rsidRPr="00646EA9">
        <w:rPr>
          <w:rFonts w:ascii="Times New Roman" w:hAnsi="Times New Roman" w:cs="Times New Roman"/>
          <w:sz w:val="28"/>
          <w:szCs w:val="28"/>
          <w:lang w:val="uk-UA"/>
        </w:rPr>
        <w:t>. Ця форма розрахунків для постачальників надійна, проста і приваблива, бо гарантує оплату. Для покупців акредитивні розрахунки не вигідні, тому що на певний час кошти вилучаються з обороту, що може погіршити їхнє фінансове становище.</w:t>
      </w:r>
    </w:p>
    <w:p w14:paraId="403E460B" w14:textId="77777777" w:rsidR="00954A4E" w:rsidRPr="00646EA9" w:rsidRDefault="00954A4E" w:rsidP="00687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Приклад заповнення акредитива наведено у Додатку </w:t>
      </w:r>
      <w:r w:rsidR="005577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80D453" w14:textId="75C32833" w:rsidR="00410A52" w:rsidRPr="00646EA9" w:rsidRDefault="00410A52" w:rsidP="007B7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30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E74F4" w14:textId="77777777" w:rsidR="00410A52" w:rsidRPr="00646EA9" w:rsidRDefault="007D56D0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65EE8F1B" wp14:editId="0BF4DD26">
            <wp:extent cx="4381500" cy="1028700"/>
            <wp:effectExtent l="0" t="0" r="0" b="0"/>
            <wp:docPr id="10" name="Рисунок 10" descr="http://buklib.net/msohtml1/97/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lib.net/msohtml1/97/clip_image0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97C5" w14:textId="77777777" w:rsidR="00C727FD" w:rsidRDefault="00C727FD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04651" w14:textId="77777777" w:rsidR="00410A52" w:rsidRPr="00C727FD" w:rsidRDefault="00410A52" w:rsidP="00C7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7FD">
        <w:rPr>
          <w:rFonts w:ascii="Times New Roman" w:hAnsi="Times New Roman" w:cs="Times New Roman"/>
          <w:b/>
          <w:sz w:val="28"/>
          <w:szCs w:val="28"/>
          <w:lang w:val="uk-UA"/>
        </w:rPr>
        <w:t>Рис. 1.8. Простий вексельний обіг</w:t>
      </w:r>
    </w:p>
    <w:p w14:paraId="3E9684E4" w14:textId="77777777" w:rsidR="00C01182" w:rsidRPr="00646EA9" w:rsidRDefault="00C01182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4F539" w14:textId="77777777" w:rsidR="00C01182" w:rsidRPr="00646EA9" w:rsidRDefault="00C01182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Техніка обігу простого векселя:</w:t>
      </w:r>
    </w:p>
    <w:p w14:paraId="34F04FBE" w14:textId="77777777" w:rsidR="00410A52" w:rsidRPr="00646EA9" w:rsidRDefault="00410A52" w:rsidP="00C01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1 – векселедавець передає вексель;</w:t>
      </w:r>
    </w:p>
    <w:p w14:paraId="0230032B" w14:textId="77777777" w:rsidR="00410A52" w:rsidRPr="00646EA9" w:rsidRDefault="00410A52" w:rsidP="00C01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lastRenderedPageBreak/>
        <w:t>2 – ремітент</w:t>
      </w:r>
      <w:r w:rsidR="007B7E58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(перший власник векселя) пред’являє вексель до акцепту;</w:t>
      </w:r>
    </w:p>
    <w:p w14:paraId="06F6459E" w14:textId="77777777" w:rsidR="007B7E58" w:rsidRPr="00646EA9" w:rsidRDefault="007B7E58" w:rsidP="00C01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3 – вексель погашається векселедавцем і передається ремітенту;</w:t>
      </w:r>
    </w:p>
    <w:p w14:paraId="30D96C55" w14:textId="77777777" w:rsidR="007B7E58" w:rsidRPr="00646EA9" w:rsidRDefault="007B7E58" w:rsidP="00C01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4 – ремітент (власник) передає погашений вексель векселедавцеві.</w:t>
      </w:r>
    </w:p>
    <w:p w14:paraId="3D609A9D" w14:textId="77777777" w:rsidR="00C727FD" w:rsidRPr="00646EA9" w:rsidRDefault="00C727FD" w:rsidP="0066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5FE67" w14:textId="77777777" w:rsidR="00C727FD" w:rsidRPr="00646EA9" w:rsidRDefault="00C727FD" w:rsidP="007B7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30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D9900" w14:textId="77777777" w:rsidR="007B7E58" w:rsidRPr="00646EA9" w:rsidRDefault="007D56D0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noProof/>
          <w:lang w:val="uk-UA" w:eastAsia="uk-UA"/>
        </w:rPr>
        <w:drawing>
          <wp:inline distT="0" distB="0" distL="0" distR="0" wp14:anchorId="4BD4A237" wp14:editId="376006A7">
            <wp:extent cx="5162550" cy="1295400"/>
            <wp:effectExtent l="0" t="0" r="0" b="0"/>
            <wp:docPr id="11" name="Рисунок 11" descr="http://buklib.net/msohtml1/97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lib.net/msohtml1/97/clip_image01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57D5" w14:textId="77777777" w:rsidR="00C727FD" w:rsidRDefault="00C727FD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D877B" w14:textId="5AEA102E" w:rsidR="007B7E58" w:rsidRPr="00C727FD" w:rsidRDefault="007B7E58" w:rsidP="00C7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35254" w14:textId="77777777" w:rsidR="00C01182" w:rsidRPr="00646EA9" w:rsidRDefault="00C01182" w:rsidP="0003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02C00" w14:textId="25CCA9C8" w:rsidR="00B75928" w:rsidRPr="00646EA9" w:rsidRDefault="006642B4" w:rsidP="00C4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5928" w:rsidRPr="00646EA9">
        <w:rPr>
          <w:rFonts w:ascii="Times New Roman" w:hAnsi="Times New Roman" w:cs="Times New Roman"/>
          <w:sz w:val="28"/>
          <w:szCs w:val="28"/>
          <w:lang w:val="uk-UA"/>
        </w:rPr>
        <w:t>изначені форми безготівкових розрахунків та їх документообіг дозволяють перейти до розгляду безпосередньо нормативно-правового забезпечення проведення безготівкових розрахунків в комерційних банках України.</w:t>
      </w:r>
    </w:p>
    <w:p w14:paraId="5624BFCF" w14:textId="77777777" w:rsidR="00954A4E" w:rsidRDefault="00954A4E" w:rsidP="00D5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F50CC" w14:textId="77777777" w:rsidR="00C727FD" w:rsidRPr="00646EA9" w:rsidRDefault="00C727FD" w:rsidP="00D5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2B91D4" w14:textId="77777777" w:rsidR="007969FA" w:rsidRPr="00646EA9" w:rsidRDefault="007969FA" w:rsidP="00C7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>1.3. Нормативно-правові основи проведення безготівкових розрахунків</w:t>
      </w:r>
    </w:p>
    <w:p w14:paraId="5686452F" w14:textId="77777777" w:rsidR="007969FA" w:rsidRDefault="007969FA" w:rsidP="00796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190DBD" w14:textId="77777777" w:rsidR="00C727FD" w:rsidRPr="00646EA9" w:rsidRDefault="00C727FD" w:rsidP="00796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68FCED" w14:textId="77777777" w:rsidR="000C450D" w:rsidRPr="00646EA9" w:rsidRDefault="000C450D" w:rsidP="000C450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46EA9">
        <w:rPr>
          <w:sz w:val="28"/>
          <w:szCs w:val="28"/>
          <w:lang w:val="uk-UA"/>
        </w:rPr>
        <w:t>Технологічно рух безготівкових коштів починається з відкриття рахунку суб’єктом в комерційному банку, розміщенням на ньому коштів та безпосередньо проведення банківських операцій, пов’язаних з рухом безготівкових грошей.</w:t>
      </w:r>
    </w:p>
    <w:p w14:paraId="2502FFE7" w14:textId="77777777" w:rsidR="007752AA" w:rsidRDefault="00C74692" w:rsidP="007752A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46EA9">
        <w:rPr>
          <w:sz w:val="28"/>
          <w:szCs w:val="28"/>
          <w:lang w:val="uk-UA"/>
        </w:rPr>
        <w:t>Інструкція</w:t>
      </w:r>
      <w:r w:rsidR="006642B4">
        <w:rPr>
          <w:sz w:val="28"/>
          <w:szCs w:val="28"/>
          <w:lang w:val="uk-UA"/>
        </w:rPr>
        <w:t xml:space="preserve"> </w:t>
      </w:r>
      <w:r w:rsidR="006642B4" w:rsidRPr="006642B4">
        <w:rPr>
          <w:sz w:val="28"/>
          <w:szCs w:val="28"/>
          <w:lang w:val="uk-UA"/>
        </w:rPr>
        <w:t>«Про безготівкових обіг в Україні в національній валюті</w:t>
      </w:r>
      <w:r w:rsidRPr="00646EA9">
        <w:rPr>
          <w:sz w:val="28"/>
          <w:szCs w:val="28"/>
          <w:lang w:val="uk-UA"/>
        </w:rPr>
        <w:t xml:space="preserve"> не є доскональною, тому Національний банк України постійно вносить зміни та </w:t>
      </w:r>
      <w:r w:rsidRPr="00646EA9">
        <w:rPr>
          <w:sz w:val="28"/>
          <w:szCs w:val="28"/>
          <w:lang w:val="uk-UA"/>
        </w:rPr>
        <w:lastRenderedPageBreak/>
        <w:t>доповнення до І</w:t>
      </w:r>
      <w:r w:rsidR="006336AE" w:rsidRPr="00646EA9">
        <w:rPr>
          <w:sz w:val="28"/>
          <w:szCs w:val="28"/>
          <w:lang w:val="uk-UA"/>
        </w:rPr>
        <w:t>нструкції, що в подальшому дозволить удосконалювати систему безготівкових</w:t>
      </w:r>
      <w:r w:rsidR="007D477C" w:rsidRPr="00646EA9">
        <w:rPr>
          <w:sz w:val="28"/>
          <w:szCs w:val="28"/>
          <w:lang w:val="uk-UA"/>
        </w:rPr>
        <w:t xml:space="preserve"> розрахунків</w:t>
      </w:r>
      <w:r w:rsidR="001F7BAF">
        <w:rPr>
          <w:sz w:val="28"/>
          <w:szCs w:val="28"/>
          <w:lang w:val="uk-UA"/>
        </w:rPr>
        <w:t>.</w:t>
      </w:r>
    </w:p>
    <w:p w14:paraId="1B6A5B75" w14:textId="0CE33F56" w:rsidR="00BC3DD3" w:rsidRPr="00646EA9" w:rsidRDefault="007752AA" w:rsidP="007752A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F3BF2" w:rsidRPr="00646EA9">
        <w:rPr>
          <w:sz w:val="28"/>
          <w:szCs w:val="28"/>
          <w:lang w:val="uk-UA"/>
        </w:rPr>
        <w:t>езготівков</w:t>
      </w:r>
      <w:r>
        <w:rPr>
          <w:sz w:val="28"/>
          <w:szCs w:val="28"/>
          <w:lang w:val="uk-UA"/>
        </w:rPr>
        <w:t>і</w:t>
      </w:r>
      <w:r w:rsidR="003F3BF2" w:rsidRPr="00646EA9">
        <w:rPr>
          <w:sz w:val="28"/>
          <w:szCs w:val="28"/>
          <w:lang w:val="uk-UA"/>
        </w:rPr>
        <w:t xml:space="preserve"> розрахунк</w:t>
      </w:r>
      <w:r>
        <w:rPr>
          <w:sz w:val="28"/>
          <w:szCs w:val="28"/>
          <w:lang w:val="uk-UA"/>
        </w:rPr>
        <w:t>и</w:t>
      </w:r>
      <w:r w:rsidR="003F3BF2" w:rsidRPr="00646EA9">
        <w:rPr>
          <w:sz w:val="28"/>
          <w:szCs w:val="28"/>
          <w:lang w:val="uk-UA"/>
        </w:rPr>
        <w:t xml:space="preserve"> організаційно поділяється на міжбанківські розрахунки, що обслуговують відношення між банками. </w:t>
      </w:r>
      <w:r w:rsidR="0087150A" w:rsidRPr="00646EA9">
        <w:rPr>
          <w:sz w:val="28"/>
          <w:szCs w:val="28"/>
          <w:lang w:val="uk-UA"/>
        </w:rPr>
        <w:t>Організація міжбанківських розрахунків регулюється Інструкцією «Про міжбанківський переказ коштів в Україні в національній валюті»</w:t>
      </w:r>
      <w:r>
        <w:rPr>
          <w:sz w:val="28"/>
          <w:szCs w:val="28"/>
          <w:lang w:val="uk-UA"/>
        </w:rPr>
        <w:t>.</w:t>
      </w:r>
      <w:r w:rsidR="0087150A" w:rsidRPr="00646EA9">
        <w:rPr>
          <w:sz w:val="28"/>
          <w:szCs w:val="28"/>
          <w:lang w:val="uk-UA"/>
        </w:rPr>
        <w:t xml:space="preserve"> </w:t>
      </w:r>
    </w:p>
    <w:p w14:paraId="5A4353AC" w14:textId="01A73068" w:rsidR="00E53016" w:rsidRDefault="007752AA" w:rsidP="00A1623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НБУ</w:t>
      </w:r>
      <w:r w:rsidR="00BC3DD3" w:rsidRPr="00646EA9">
        <w:rPr>
          <w:sz w:val="28"/>
          <w:szCs w:val="28"/>
          <w:lang w:val="uk-UA"/>
        </w:rPr>
        <w:t xml:space="preserve"> статистичну інформацію щодо навантаження системи </w:t>
      </w:r>
      <w:r w:rsidR="00BC3DD3" w:rsidRPr="00C727FD">
        <w:rPr>
          <w:sz w:val="28"/>
          <w:szCs w:val="28"/>
          <w:lang w:val="uk-UA"/>
        </w:rPr>
        <w:t>електронних</w:t>
      </w:r>
      <w:r w:rsidR="00BC3DD3" w:rsidRPr="00646EA9">
        <w:rPr>
          <w:sz w:val="28"/>
          <w:szCs w:val="28"/>
          <w:lang w:val="uk-UA"/>
        </w:rPr>
        <w:t xml:space="preserve"> п</w:t>
      </w:r>
      <w:r w:rsidR="000427A6" w:rsidRPr="00646EA9">
        <w:rPr>
          <w:sz w:val="28"/>
          <w:szCs w:val="28"/>
          <w:lang w:val="uk-UA"/>
        </w:rPr>
        <w:t>ереводів</w:t>
      </w:r>
      <w:r w:rsidR="00BC3DD3" w:rsidRPr="00646EA9">
        <w:rPr>
          <w:sz w:val="28"/>
          <w:szCs w:val="28"/>
          <w:lang w:val="uk-UA"/>
        </w:rPr>
        <w:t xml:space="preserve"> </w:t>
      </w:r>
      <w:r w:rsidR="00F47D04" w:rsidRPr="00C727FD">
        <w:rPr>
          <w:sz w:val="28"/>
          <w:szCs w:val="28"/>
          <w:lang w:val="uk-UA"/>
        </w:rPr>
        <w:t>(СЕП)</w:t>
      </w:r>
      <w:r w:rsidR="00F47D04">
        <w:rPr>
          <w:sz w:val="28"/>
          <w:szCs w:val="28"/>
          <w:lang w:val="uk-UA"/>
        </w:rPr>
        <w:t xml:space="preserve"> </w:t>
      </w:r>
      <w:r w:rsidR="00BC3DD3" w:rsidRPr="00646EA9">
        <w:rPr>
          <w:sz w:val="28"/>
          <w:szCs w:val="28"/>
          <w:lang w:val="uk-UA"/>
        </w:rPr>
        <w:t xml:space="preserve">у розрізі платіжних інструментів (табл. 1.1) [6]. </w:t>
      </w:r>
    </w:p>
    <w:p w14:paraId="77B5A1A5" w14:textId="77777777" w:rsidR="00C727FD" w:rsidRPr="00646EA9" w:rsidRDefault="00C727FD" w:rsidP="007752A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37C25070" w14:textId="77777777" w:rsidR="00A16239" w:rsidRPr="00646EA9" w:rsidRDefault="00A16239" w:rsidP="00A16239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</w:p>
    <w:p w14:paraId="34949CCC" w14:textId="0802C6E1" w:rsidR="00BC3DD3" w:rsidRPr="00646EA9" w:rsidRDefault="00BC3DD3" w:rsidP="00BC3DD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46EA9">
        <w:rPr>
          <w:sz w:val="28"/>
          <w:szCs w:val="28"/>
          <w:lang w:val="uk-UA"/>
        </w:rPr>
        <w:t>Дані</w:t>
      </w:r>
      <w:r w:rsidR="00905B4C" w:rsidRPr="00646EA9">
        <w:rPr>
          <w:sz w:val="28"/>
          <w:szCs w:val="28"/>
          <w:lang w:val="uk-UA"/>
        </w:rPr>
        <w:t xml:space="preserve"> таблиці 1</w:t>
      </w:r>
      <w:r w:rsidRPr="00646EA9">
        <w:rPr>
          <w:sz w:val="28"/>
          <w:szCs w:val="28"/>
          <w:lang w:val="uk-UA"/>
        </w:rPr>
        <w:t xml:space="preserve">.1 доводять перевантаження використання форми платіжних доручень у СЕП, як у питомій вазі від загальної кількості початкових платежів, так </w:t>
      </w:r>
      <w:r w:rsidR="007752AA">
        <w:rPr>
          <w:sz w:val="28"/>
          <w:szCs w:val="28"/>
          <w:lang w:val="uk-UA"/>
        </w:rPr>
        <w:t xml:space="preserve">і </w:t>
      </w:r>
      <w:r w:rsidRPr="00646EA9">
        <w:rPr>
          <w:sz w:val="28"/>
          <w:szCs w:val="28"/>
          <w:lang w:val="uk-UA"/>
        </w:rPr>
        <w:t>вазі від загальної суми початкових платежів у СЕП. На другому місці у питомій вазі платіжних інструментів знаходився меморіальний ордер, питома вага від загальної кількості та від загальної суми початкових</w:t>
      </w:r>
      <w:r w:rsidR="00272681">
        <w:rPr>
          <w:sz w:val="28"/>
          <w:szCs w:val="28"/>
          <w:lang w:val="uk-UA"/>
        </w:rPr>
        <w:t xml:space="preserve"> платежів якого становила у </w:t>
      </w:r>
      <w:r w:rsidR="00EE53FD">
        <w:rPr>
          <w:sz w:val="28"/>
          <w:szCs w:val="28"/>
          <w:lang w:val="uk-UA"/>
        </w:rPr>
        <w:t>2018</w:t>
      </w:r>
      <w:r w:rsidRPr="00646EA9">
        <w:rPr>
          <w:sz w:val="28"/>
          <w:szCs w:val="28"/>
          <w:lang w:val="uk-UA"/>
        </w:rPr>
        <w:t xml:space="preserve"> році 39% та 25,4% відповідно. Всі інші інструменти практично не використовуються у вітчизняній практиці міжбанківських розрахунків.</w:t>
      </w:r>
    </w:p>
    <w:p w14:paraId="44501C38" w14:textId="481270BA" w:rsidR="00905B4C" w:rsidRPr="00646EA9" w:rsidRDefault="00905B4C" w:rsidP="00E530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У процесі здійснення безготівкових розрахунків їх учасники мають дотримуватися встановле</w:t>
      </w:r>
      <w:r w:rsidR="00DC402D" w:rsidRPr="00646EA9">
        <w:rPr>
          <w:rFonts w:ascii="Times New Roman" w:hAnsi="Times New Roman" w:cs="Times New Roman"/>
          <w:sz w:val="28"/>
          <w:szCs w:val="28"/>
          <w:lang w:val="uk-UA"/>
        </w:rPr>
        <w:t>них правил, своєчасно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товари, </w:t>
      </w:r>
      <w:r w:rsidR="0018113D" w:rsidRPr="00646EA9">
        <w:rPr>
          <w:rFonts w:ascii="Times New Roman" w:hAnsi="Times New Roman" w:cs="Times New Roman"/>
          <w:sz w:val="28"/>
          <w:szCs w:val="28"/>
          <w:lang w:val="uk-UA"/>
        </w:rPr>
        <w:t>послуги тощо, а банки — забезпе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чувати своєчасне виконання розрахункових документів, чітке і якісне обслуговування клієнтів.</w:t>
      </w:r>
    </w:p>
    <w:p w14:paraId="1BBA66E8" w14:textId="53F15ED4" w:rsidR="00D065CF" w:rsidRPr="00646EA9" w:rsidRDefault="00905B4C" w:rsidP="007752A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порушення, допущені при проведенні розрахунків між платниками і </w:t>
      </w:r>
      <w:r w:rsidR="0018113D" w:rsidRPr="00646EA9">
        <w:rPr>
          <w:rFonts w:ascii="Times New Roman" w:hAnsi="Times New Roman" w:cs="Times New Roman"/>
          <w:sz w:val="28"/>
          <w:szCs w:val="28"/>
          <w:lang w:val="uk-UA"/>
        </w:rPr>
        <w:t>одержувачами коштів, слід перед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бачати у відповідних господарс</w:t>
      </w:r>
      <w:r w:rsidR="0018113D" w:rsidRPr="00646EA9">
        <w:rPr>
          <w:rFonts w:ascii="Times New Roman" w:hAnsi="Times New Roman" w:cs="Times New Roman"/>
          <w:sz w:val="28"/>
          <w:szCs w:val="28"/>
          <w:lang w:val="uk-UA"/>
        </w:rPr>
        <w:t>ьких угодах про поставку (купів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лю-продаж), а у відносинах між банками і кліє</w:t>
      </w:r>
      <w:r w:rsidR="0018113D" w:rsidRPr="00646EA9">
        <w:rPr>
          <w:rFonts w:ascii="Times New Roman" w:hAnsi="Times New Roman" w:cs="Times New Roman"/>
          <w:sz w:val="28"/>
          <w:szCs w:val="28"/>
          <w:lang w:val="uk-UA"/>
        </w:rPr>
        <w:t>нтами — у договорах на здійснен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ня розрахунково-касового обслуговування.</w:t>
      </w:r>
    </w:p>
    <w:p w14:paraId="25496288" w14:textId="77777777" w:rsidR="00EA06D2" w:rsidRPr="00646EA9" w:rsidRDefault="00EA06D2" w:rsidP="00C31BF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5CE0E" w14:textId="77777777" w:rsidR="00400ED1" w:rsidRPr="00646EA9" w:rsidRDefault="00400ED1" w:rsidP="00F0360D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CEAFF9" w14:textId="6DCFDC01" w:rsidR="005511AD" w:rsidRPr="00DA2874" w:rsidRDefault="00DA2874" w:rsidP="00801945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28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</w:p>
    <w:p w14:paraId="1541C8D7" w14:textId="77777777" w:rsidR="005A1EBE" w:rsidRPr="00646EA9" w:rsidRDefault="005A1EBE" w:rsidP="00DA28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2.1. Фінансово-економічна характеристика 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АТ КБ «ПРИВАТБАНК»</w:t>
      </w:r>
    </w:p>
    <w:p w14:paraId="17C28A71" w14:textId="77777777" w:rsidR="005A1EBE" w:rsidRDefault="005A1EBE" w:rsidP="005A1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BF734" w14:textId="77777777" w:rsidR="008B0312" w:rsidRPr="00646EA9" w:rsidRDefault="008B0312" w:rsidP="0014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Місія банку - надавати банківські послуги українським родинам з покоління в покоління, обслуговувати їхню справу з року в рік; сприяти примноженню населення з середнім рівнем достатку; зміцнити довіру суспільства до банківської системи завдяки порядності та відповідальному ставленню до потреб клієнтів.</w:t>
      </w:r>
    </w:p>
    <w:p w14:paraId="5DB74CC5" w14:textId="77777777" w:rsidR="00753E07" w:rsidRPr="00646EA9" w:rsidRDefault="00753E07" w:rsidP="0075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Статутний капітал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6118CD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="008B6A6E" w:rsidRPr="00646E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080 </w:t>
      </w:r>
      <w:r w:rsidR="008B6A6E" w:rsidRPr="00646EA9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DA2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A6E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5C091B53" w14:textId="77777777" w:rsidR="00753E07" w:rsidRPr="00646EA9" w:rsidRDefault="00753E07" w:rsidP="0075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Станом на 01.01.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регіональна мережа банку налічує 140 установ по всій Україні. </w:t>
      </w:r>
    </w:p>
    <w:p w14:paraId="646A1F5C" w14:textId="69DB1A0B" w:rsidR="007752AA" w:rsidRPr="00646EA9" w:rsidRDefault="00EE53FD" w:rsidP="00775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є членом  Асоціації «</w:t>
      </w:r>
      <w:proofErr w:type="spellStart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>УкрСВІФТ</w:t>
      </w:r>
      <w:proofErr w:type="spellEnd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», ФГВФО, </w:t>
      </w:r>
      <w:r w:rsidR="00F113E3">
        <w:rPr>
          <w:rFonts w:ascii="Times New Roman" w:hAnsi="Times New Roman" w:cs="Times New Roman"/>
          <w:sz w:val="28"/>
          <w:szCs w:val="28"/>
          <w:lang w:val="uk-UA"/>
        </w:rPr>
        <w:t>УМВБ, учасником Фондової біржі «ПФТС»</w:t>
      </w:r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та повноправним членом  платіжних систем </w:t>
      </w:r>
      <w:proofErr w:type="spellStart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>MasterCard</w:t>
      </w:r>
      <w:proofErr w:type="spellEnd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>Worldwide</w:t>
      </w:r>
      <w:proofErr w:type="spellEnd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, VISA </w:t>
      </w:r>
      <w:proofErr w:type="spellStart"/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7752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E07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0F6C7C" w14:textId="6C8675BB" w:rsidR="0096556C" w:rsidRPr="00646EA9" w:rsidRDefault="00272681" w:rsidP="00D0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216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6556C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«ПРИВАТБАНК»</w:t>
      </w:r>
      <w:r w:rsidR="0096556C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став лауреатом V Всеукраїнсько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конкурсу «Банк року –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216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6556C" w:rsidRPr="00646EA9">
        <w:rPr>
          <w:rFonts w:ascii="Times New Roman" w:hAnsi="Times New Roman" w:cs="Times New Roman"/>
          <w:sz w:val="28"/>
          <w:szCs w:val="28"/>
          <w:lang w:val="uk-UA"/>
        </w:rPr>
        <w:t>» за версією журналу «</w:t>
      </w:r>
      <w:proofErr w:type="spellStart"/>
      <w:r w:rsidR="0096556C" w:rsidRPr="00646EA9">
        <w:rPr>
          <w:rFonts w:ascii="Times New Roman" w:hAnsi="Times New Roman" w:cs="Times New Roman"/>
          <w:sz w:val="28"/>
          <w:szCs w:val="28"/>
          <w:lang w:val="uk-UA"/>
        </w:rPr>
        <w:t>Банкиръ</w:t>
      </w:r>
      <w:proofErr w:type="spellEnd"/>
      <w:r w:rsidR="0096556C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» і був визнаний кращим банком цього року в номінації «Банк – лідер з кредитування». </w:t>
      </w:r>
    </w:p>
    <w:p w14:paraId="40C1A3C5" w14:textId="3FC7181D" w:rsidR="002A50FD" w:rsidRPr="00C0188A" w:rsidRDefault="00EE53FD" w:rsidP="0014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«ПРИВАТБАНК»</w:t>
      </w:r>
      <w:r w:rsidR="00272681" w:rsidRPr="00C0188A">
        <w:rPr>
          <w:rFonts w:ascii="Times New Roman" w:hAnsi="Times New Roman" w:cs="Times New Roman"/>
          <w:sz w:val="27"/>
          <w:szCs w:val="27"/>
          <w:lang w:val="uk-UA"/>
        </w:rPr>
        <w:t xml:space="preserve">   понад 20</w:t>
      </w:r>
      <w:r w:rsidR="002A50FD" w:rsidRPr="00C0188A">
        <w:rPr>
          <w:rFonts w:ascii="Times New Roman" w:hAnsi="Times New Roman" w:cs="Times New Roman"/>
          <w:sz w:val="27"/>
          <w:szCs w:val="27"/>
          <w:lang w:val="uk-UA"/>
        </w:rPr>
        <w:t xml:space="preserve"> років працює на фінансовому ринку України, сприяючи розбудові вітчизняної банківської системи, економічному розвитку держави та  підвищенню якості життя громадян.</w:t>
      </w:r>
    </w:p>
    <w:p w14:paraId="55083D25" w14:textId="77777777" w:rsidR="00BE0EDB" w:rsidRPr="00646EA9" w:rsidRDefault="00BE0EDB" w:rsidP="00BE0E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BE0EDB" w:rsidRPr="00646EA9" w:rsidSect="00210587">
          <w:headerReference w:type="default" r:id="rId19"/>
          <w:pgSz w:w="11906" w:h="16838"/>
          <w:pgMar w:top="1134" w:right="851" w:bottom="1134" w:left="1701" w:header="709" w:footer="709" w:gutter="0"/>
          <w:pgNumType w:start="7"/>
          <w:cols w:space="708"/>
          <w:docGrid w:linePitch="360"/>
        </w:sectPr>
      </w:pPr>
    </w:p>
    <w:p w14:paraId="32DDDE38" w14:textId="77777777" w:rsidR="003E02EA" w:rsidRPr="00646EA9" w:rsidRDefault="003E02EA" w:rsidP="00C66471">
      <w:pPr>
        <w:spacing w:after="0" w:line="360" w:lineRule="auto"/>
        <w:rPr>
          <w:rFonts w:ascii="Times New Roman" w:hAnsi="Times New Roman" w:cs="Times New Roman"/>
          <w:lang w:val="uk-UA"/>
        </w:rPr>
        <w:sectPr w:rsidR="003E02EA" w:rsidRPr="00646EA9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79CB29" w14:textId="77777777" w:rsidR="00190BED" w:rsidRPr="00646EA9" w:rsidRDefault="00190BED" w:rsidP="003306F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72CCAC" w14:textId="53F4DC96" w:rsidR="00DD1CAD" w:rsidRPr="00646EA9" w:rsidRDefault="00DD1CAD" w:rsidP="009A0234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Отже, фінансова стійкість була збільшена завдяки загальному підвищенню всіх основних статей балансу банку.</w:t>
      </w:r>
    </w:p>
    <w:p w14:paraId="4622C17E" w14:textId="4AED7097" w:rsidR="00D52122" w:rsidRPr="00646EA9" w:rsidRDefault="00D52122" w:rsidP="00D52122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Також для фінансово-економічної характеристики банку є важливим аналіз ділової стійкості банку</w:t>
      </w:r>
      <w:r w:rsidR="006D74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65E4E7" w14:textId="77777777" w:rsidR="001C357D" w:rsidRPr="00646EA9" w:rsidRDefault="007D34C5" w:rsidP="00D52122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Отже, з таблиці 2.3 видно, що обсяги кредитування зменшились, що пов’язане з поверненням кредитів, загалом кредитування в банку відновлене.</w:t>
      </w:r>
    </w:p>
    <w:p w14:paraId="660B3B7F" w14:textId="77777777" w:rsidR="00CF1EB1" w:rsidRPr="00646EA9" w:rsidRDefault="00CF1EB1" w:rsidP="002656CE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F65F36" w14:textId="77777777" w:rsidR="00CF1EB1" w:rsidRPr="00646EA9" w:rsidRDefault="00CF1EB1" w:rsidP="002656CE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F7FEC" w14:textId="77777777" w:rsidR="00CF1EB1" w:rsidRPr="00DA2874" w:rsidRDefault="00D52122" w:rsidP="00D52122">
      <w:pPr>
        <w:tabs>
          <w:tab w:val="left" w:pos="3345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2874">
        <w:rPr>
          <w:rFonts w:ascii="Times New Roman" w:hAnsi="Times New Roman" w:cs="Times New Roman"/>
          <w:i/>
          <w:sz w:val="28"/>
          <w:szCs w:val="28"/>
          <w:lang w:val="uk-UA"/>
        </w:rPr>
        <w:t>Таблиця 2.3</w:t>
      </w:r>
    </w:p>
    <w:p w14:paraId="4C767E9D" w14:textId="77777777" w:rsidR="00D52122" w:rsidRPr="00646EA9" w:rsidRDefault="00D52122" w:rsidP="00D52122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6948E6" w14:textId="120536C3" w:rsidR="00E22256" w:rsidRPr="00646EA9" w:rsidRDefault="00E22256" w:rsidP="00E2225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Отже, діяльність банку у звітному році була ефективною</w:t>
      </w:r>
      <w:r w:rsidR="009766FC" w:rsidRPr="00646EA9">
        <w:rPr>
          <w:rFonts w:ascii="Times New Roman" w:hAnsi="Times New Roman" w:cs="Times New Roman"/>
          <w:sz w:val="28"/>
          <w:szCs w:val="28"/>
          <w:lang w:val="uk-UA"/>
        </w:rPr>
        <w:t>, що пов’язане із загальним стабільним станом банківської системи.</w:t>
      </w:r>
    </w:p>
    <w:p w14:paraId="361E81F0" w14:textId="77777777" w:rsidR="00CF1EB1" w:rsidRPr="00646EA9" w:rsidRDefault="00CF1EB1" w:rsidP="00021178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B9A9F" w14:textId="77777777" w:rsidR="00CF1EB1" w:rsidRPr="00646EA9" w:rsidRDefault="00CF1EB1" w:rsidP="002656CE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1795B5" w14:textId="77777777" w:rsidR="001C357D" w:rsidRPr="00646EA9" w:rsidRDefault="001C357D" w:rsidP="002656CE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7F1506" w14:textId="77777777" w:rsidR="006D74B9" w:rsidRDefault="006D74B9" w:rsidP="00A33364">
      <w:pPr>
        <w:tabs>
          <w:tab w:val="left" w:pos="33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ABA8EA" w14:textId="77777777" w:rsidR="00C61005" w:rsidRDefault="00C61005" w:rsidP="00A33364">
      <w:pPr>
        <w:tabs>
          <w:tab w:val="left" w:pos="33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7BDE52" w14:textId="77777777" w:rsidR="00C61005" w:rsidRPr="00646EA9" w:rsidRDefault="00C61005" w:rsidP="00A33364">
      <w:pPr>
        <w:tabs>
          <w:tab w:val="left" w:pos="33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0CA3F0" w14:textId="7A7203BA" w:rsidR="001C357D" w:rsidRPr="00646EA9" w:rsidRDefault="001C357D" w:rsidP="00C61005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Організація проведення  безготівкових розрахунків </w:t>
      </w:r>
    </w:p>
    <w:p w14:paraId="08964EBF" w14:textId="0C46ECA5" w:rsidR="00AB00F4" w:rsidRPr="00646EA9" w:rsidRDefault="00AB00F4" w:rsidP="006D74B9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7A8F1" w14:textId="570EFF9E" w:rsidR="00601C02" w:rsidRPr="00646EA9" w:rsidRDefault="006D74B9" w:rsidP="00601C02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1C02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изначивши організацію проведення безготівкових розрахунків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«ПРИВАТБАНК»</w:t>
      </w:r>
      <w:r w:rsidR="00601C02" w:rsidRPr="00646EA9">
        <w:rPr>
          <w:rFonts w:ascii="Times New Roman" w:hAnsi="Times New Roman" w:cs="Times New Roman"/>
          <w:sz w:val="28"/>
          <w:szCs w:val="28"/>
          <w:lang w:val="uk-UA"/>
        </w:rPr>
        <w:t>, а саме системи, через які здійснюється організація безготівкового обігу (операційний відділ, «Клієнт-банк» та Інтернет-банкінг), необхідно перейти до визначення структури.</w:t>
      </w:r>
    </w:p>
    <w:p w14:paraId="02F8D7D5" w14:textId="77777777" w:rsidR="002E3C0B" w:rsidRPr="00646EA9" w:rsidRDefault="002E3C0B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CB549" w14:textId="77777777" w:rsidR="002E3C0B" w:rsidRPr="00646EA9" w:rsidRDefault="002E3C0B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38020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7047F" w14:textId="77777777" w:rsidR="00601C02" w:rsidRPr="00646EA9" w:rsidRDefault="00601C02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450CF" w14:textId="77777777" w:rsidR="00601C02" w:rsidRPr="00646EA9" w:rsidRDefault="00601C02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8A319" w14:textId="77777777" w:rsidR="00601C02" w:rsidRPr="00646EA9" w:rsidRDefault="00601C02" w:rsidP="00601C02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59EB1" w14:textId="69166B8D" w:rsidR="001248EC" w:rsidRPr="00646EA9" w:rsidRDefault="001248EC" w:rsidP="00124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2.3. </w:t>
      </w:r>
    </w:p>
    <w:p w14:paraId="2495D760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4529F" w14:textId="033C8DDE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C0188A" w:rsidRPr="00C0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використовуються всі форм</w:t>
      </w:r>
      <w:r w:rsidR="001702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: меморіальний ордер, платіжне доручення, платіжна вимога-доручення, платіжна вимога, розрахункові чеки, акредитив, інкасове доручення, векселі та банківські картки [14]. Але найпоширенішими є такі форми: платіжне  доручення, чек, платіжна вимога-доручення.</w:t>
      </w:r>
    </w:p>
    <w:p w14:paraId="6B899C62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Абсолютне відхилення (базове):</w:t>
      </w:r>
    </w:p>
    <w:p w14:paraId="19415703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3C7DB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А(б)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Ко,                                                (2.1)    </w:t>
      </w:r>
    </w:p>
    <w:p w14:paraId="5E071E7C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22953B0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де А(б) – абсолютне відхилення (базове);</w:t>
      </w:r>
    </w:p>
    <w:p w14:paraId="167C5C35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у звітному періоді;</w:t>
      </w:r>
    </w:p>
    <w:p w14:paraId="3BEA2BDB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Ко – кількість на початок періоду.</w:t>
      </w:r>
    </w:p>
    <w:p w14:paraId="21A138CB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Абсолютне відхилення (ланцюгове):</w:t>
      </w:r>
    </w:p>
    <w:p w14:paraId="410C7B1E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C10A8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А(л)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1,                                          (2.2)</w:t>
      </w:r>
    </w:p>
    <w:p w14:paraId="1377BFF2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40B6241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де А(л) – абсолютне відхилення (ланцюгове);</w:t>
      </w:r>
    </w:p>
    <w:p w14:paraId="73C5526B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у звітному періоді;</w:t>
      </w:r>
    </w:p>
    <w:p w14:paraId="73F7C7FB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1 – кількість у періоді, що передує звітному.</w:t>
      </w:r>
    </w:p>
    <w:p w14:paraId="03BFE4CB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Темп росту (базовий):</w:t>
      </w:r>
    </w:p>
    <w:p w14:paraId="73B8F5EB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BF1EBA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(б)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/Ко*100%,                                    (2.3)</w:t>
      </w:r>
    </w:p>
    <w:p w14:paraId="540A7DD7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18A8AC1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(б) – темп росту (базовий);</w:t>
      </w:r>
    </w:p>
    <w:p w14:paraId="2AF9EC4D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- кількість у звітному періоді;</w:t>
      </w:r>
    </w:p>
    <w:p w14:paraId="50EB05D0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Ко – кількість на початок періоду.</w:t>
      </w:r>
    </w:p>
    <w:p w14:paraId="634ACD1C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Темп росту (ланцюговий):</w:t>
      </w:r>
    </w:p>
    <w:p w14:paraId="47AB8F20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EA44E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(л)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–1 * 100%,                               (2.4) </w:t>
      </w:r>
    </w:p>
    <w:p w14:paraId="30120A78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F287808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(л) – темп росту (ланцюговий);</w:t>
      </w:r>
    </w:p>
    <w:p w14:paraId="0E91ADF7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у звітному періоді;</w:t>
      </w:r>
    </w:p>
    <w:p w14:paraId="05CB9528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Кі-1 – кількість у періоді, що передує звітному.</w:t>
      </w:r>
    </w:p>
    <w:p w14:paraId="6E25CA63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Темп приросту (базовий):</w:t>
      </w:r>
    </w:p>
    <w:p w14:paraId="3AD23446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C2218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Тпр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(б)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/Ко*100% - 100%,                     (2.5)</w:t>
      </w:r>
    </w:p>
    <w:p w14:paraId="1124C332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610BC9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Тпр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(б) – темп приросту (базовий);</w:t>
      </w:r>
    </w:p>
    <w:p w14:paraId="080E07D2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у звітному періоді;</w:t>
      </w:r>
    </w:p>
    <w:p w14:paraId="1D4EC90D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Ко – кількість на початок періоду.</w:t>
      </w:r>
    </w:p>
    <w:p w14:paraId="7283AF51" w14:textId="77777777" w:rsidR="001248EC" w:rsidRDefault="001248EC" w:rsidP="00300375">
      <w:pPr>
        <w:pStyle w:val="a3"/>
        <w:numPr>
          <w:ilvl w:val="0"/>
          <w:numId w:val="2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Темп приросту (ланцюговий):</w:t>
      </w:r>
    </w:p>
    <w:p w14:paraId="40E9AE16" w14:textId="77777777" w:rsidR="0087647D" w:rsidRPr="00646EA9" w:rsidRDefault="0087647D" w:rsidP="0087647D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85EFA" w14:textId="77777777" w:rsidR="001248EC" w:rsidRDefault="001248EC" w:rsidP="0087647D">
      <w:pPr>
        <w:pStyle w:val="a3"/>
        <w:tabs>
          <w:tab w:val="left" w:pos="3345"/>
        </w:tabs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Тпр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(л) =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/Кі-1 *100% - 100%,                  (2.6)</w:t>
      </w:r>
    </w:p>
    <w:p w14:paraId="24F0869F" w14:textId="77777777" w:rsidR="0087647D" w:rsidRPr="00646EA9" w:rsidRDefault="0087647D" w:rsidP="001248EC">
      <w:pPr>
        <w:pStyle w:val="a3"/>
        <w:tabs>
          <w:tab w:val="left" w:pos="334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785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Тпр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>(л) – темп приросту (ланцюговий);</w:t>
      </w:r>
    </w:p>
    <w:p w14:paraId="73E99746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у звітному періоді;</w:t>
      </w:r>
    </w:p>
    <w:p w14:paraId="635D5017" w14:textId="77777777" w:rsidR="001248EC" w:rsidRPr="00646EA9" w:rsidRDefault="001248EC" w:rsidP="001248EC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Кі-1 – кількість у періоді, що передує звітному.</w:t>
      </w:r>
    </w:p>
    <w:p w14:paraId="0DD65F58" w14:textId="77777777" w:rsidR="001248EC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Вихідні дані обсягів платіжних </w:t>
      </w:r>
      <w:r w:rsidR="00E05C6D" w:rsidRPr="00646EA9">
        <w:rPr>
          <w:rFonts w:ascii="Times New Roman" w:hAnsi="Times New Roman" w:cs="Times New Roman"/>
          <w:sz w:val="28"/>
          <w:szCs w:val="28"/>
          <w:lang w:val="uk-UA"/>
        </w:rPr>
        <w:t>документів згрупуємо в табл. 2.4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147667" w14:textId="77777777" w:rsidR="0087647D" w:rsidRDefault="0087647D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F398A" w14:textId="77777777" w:rsidR="0087647D" w:rsidRDefault="0087647D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F412A" w14:textId="77777777" w:rsidR="0087647D" w:rsidRDefault="0087647D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3E6E4" w14:textId="77777777" w:rsidR="0087647D" w:rsidRPr="00646EA9" w:rsidRDefault="0087647D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8D6B68" w14:textId="77777777" w:rsidR="001248EC" w:rsidRPr="002B34CA" w:rsidRDefault="00E05C6D" w:rsidP="001248EC">
      <w:pPr>
        <w:tabs>
          <w:tab w:val="left" w:pos="334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34CA">
        <w:rPr>
          <w:rFonts w:ascii="Times New Roman" w:hAnsi="Times New Roman" w:cs="Times New Roman"/>
          <w:i/>
          <w:sz w:val="28"/>
          <w:szCs w:val="28"/>
          <w:lang w:val="uk-UA"/>
        </w:rPr>
        <w:t>Таблиця 2.4</w:t>
      </w:r>
    </w:p>
    <w:p w14:paraId="235E3F90" w14:textId="451B3E16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3"/>
        <w:gridCol w:w="1050"/>
        <w:gridCol w:w="2396"/>
        <w:gridCol w:w="2675"/>
        <w:gridCol w:w="2636"/>
      </w:tblGrid>
      <w:tr w:rsidR="001248EC" w:rsidRPr="00646EA9" w14:paraId="490B5E57" w14:textId="77777777" w:rsidTr="00226C0E">
        <w:trPr>
          <w:trHeight w:val="353"/>
        </w:trPr>
        <w:tc>
          <w:tcPr>
            <w:tcW w:w="816" w:type="dxa"/>
            <w:vMerge w:val="restart"/>
          </w:tcPr>
          <w:p w14:paraId="71B9356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vMerge w:val="restart"/>
          </w:tcPr>
          <w:p w14:paraId="694386B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7763" w:type="dxa"/>
            <w:gridSpan w:val="3"/>
          </w:tcPr>
          <w:p w14:paraId="5E9303F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розрахункових документів</w:t>
            </w:r>
          </w:p>
        </w:tc>
      </w:tr>
      <w:tr w:rsidR="001248EC" w:rsidRPr="00646EA9" w14:paraId="730994D0" w14:textId="77777777" w:rsidTr="00226C0E">
        <w:trPr>
          <w:trHeight w:val="470"/>
        </w:trPr>
        <w:tc>
          <w:tcPr>
            <w:tcW w:w="816" w:type="dxa"/>
            <w:vMerge/>
          </w:tcPr>
          <w:p w14:paraId="542EFA0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14:paraId="293A06B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3220EBE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Платіжне  </w:t>
            </w: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доручення, шт.</w:t>
            </w:r>
          </w:p>
        </w:tc>
        <w:tc>
          <w:tcPr>
            <w:tcW w:w="2692" w:type="dxa"/>
          </w:tcPr>
          <w:p w14:paraId="3406F10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Платіжна вимога-</w:t>
            </w: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доручення, шт.</w:t>
            </w:r>
          </w:p>
        </w:tc>
        <w:tc>
          <w:tcPr>
            <w:tcW w:w="2662" w:type="dxa"/>
          </w:tcPr>
          <w:p w14:paraId="095A94C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Чеки, шт.</w:t>
            </w:r>
          </w:p>
        </w:tc>
      </w:tr>
      <w:tr w:rsidR="001248EC" w:rsidRPr="00646EA9" w14:paraId="00FD6ED8" w14:textId="77777777" w:rsidTr="00226C0E">
        <w:tc>
          <w:tcPr>
            <w:tcW w:w="816" w:type="dxa"/>
          </w:tcPr>
          <w:p w14:paraId="519EF48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14:paraId="5A18FBAC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2409" w:type="dxa"/>
          </w:tcPr>
          <w:p w14:paraId="0B7BDAA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117825</w:t>
            </w:r>
          </w:p>
        </w:tc>
        <w:tc>
          <w:tcPr>
            <w:tcW w:w="2692" w:type="dxa"/>
          </w:tcPr>
          <w:p w14:paraId="297F814C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</w:p>
        </w:tc>
        <w:tc>
          <w:tcPr>
            <w:tcW w:w="2662" w:type="dxa"/>
          </w:tcPr>
          <w:p w14:paraId="1B90118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</w:t>
            </w:r>
          </w:p>
        </w:tc>
      </w:tr>
      <w:tr w:rsidR="001248EC" w:rsidRPr="00646EA9" w14:paraId="0F65FB0E" w14:textId="77777777" w:rsidTr="00226C0E">
        <w:tc>
          <w:tcPr>
            <w:tcW w:w="816" w:type="dxa"/>
          </w:tcPr>
          <w:p w14:paraId="1591FF2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14:paraId="1CF74FB8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2409" w:type="dxa"/>
          </w:tcPr>
          <w:p w14:paraId="56BA1A2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123510</w:t>
            </w:r>
          </w:p>
        </w:tc>
        <w:tc>
          <w:tcPr>
            <w:tcW w:w="2692" w:type="dxa"/>
          </w:tcPr>
          <w:p w14:paraId="3C8B07C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</w:t>
            </w:r>
          </w:p>
        </w:tc>
        <w:tc>
          <w:tcPr>
            <w:tcW w:w="2662" w:type="dxa"/>
          </w:tcPr>
          <w:p w14:paraId="3CB5395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</w:tr>
      <w:tr w:rsidR="001248EC" w:rsidRPr="00646EA9" w14:paraId="7A843683" w14:textId="77777777" w:rsidTr="00226C0E">
        <w:tc>
          <w:tcPr>
            <w:tcW w:w="816" w:type="dxa"/>
          </w:tcPr>
          <w:p w14:paraId="565CF4E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472BC07F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409" w:type="dxa"/>
          </w:tcPr>
          <w:p w14:paraId="748490A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126000</w:t>
            </w:r>
          </w:p>
        </w:tc>
        <w:tc>
          <w:tcPr>
            <w:tcW w:w="2692" w:type="dxa"/>
          </w:tcPr>
          <w:p w14:paraId="1CAEC35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</w:t>
            </w:r>
          </w:p>
        </w:tc>
        <w:tc>
          <w:tcPr>
            <w:tcW w:w="2662" w:type="dxa"/>
          </w:tcPr>
          <w:p w14:paraId="7789BF7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</w:t>
            </w:r>
          </w:p>
        </w:tc>
      </w:tr>
      <w:tr w:rsidR="001248EC" w:rsidRPr="00646EA9" w14:paraId="75737B08" w14:textId="77777777" w:rsidTr="00226C0E">
        <w:tc>
          <w:tcPr>
            <w:tcW w:w="816" w:type="dxa"/>
          </w:tcPr>
          <w:p w14:paraId="3D2C359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64113214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409" w:type="dxa"/>
          </w:tcPr>
          <w:p w14:paraId="02BB210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128475</w:t>
            </w:r>
          </w:p>
        </w:tc>
        <w:tc>
          <w:tcPr>
            <w:tcW w:w="2692" w:type="dxa"/>
          </w:tcPr>
          <w:p w14:paraId="5FEDE0E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1845</w:t>
            </w:r>
          </w:p>
        </w:tc>
        <w:tc>
          <w:tcPr>
            <w:tcW w:w="2662" w:type="dxa"/>
          </w:tcPr>
          <w:p w14:paraId="43D8F67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</w:tr>
      <w:tr w:rsidR="001248EC" w:rsidRPr="00646EA9" w14:paraId="0AC6D957" w14:textId="77777777" w:rsidTr="00226C0E">
        <w:tc>
          <w:tcPr>
            <w:tcW w:w="816" w:type="dxa"/>
          </w:tcPr>
          <w:p w14:paraId="6A43D94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47F2ED2E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409" w:type="dxa"/>
          </w:tcPr>
          <w:p w14:paraId="4D81D1A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134700</w:t>
            </w:r>
          </w:p>
        </w:tc>
        <w:tc>
          <w:tcPr>
            <w:tcW w:w="2692" w:type="dxa"/>
          </w:tcPr>
          <w:p w14:paraId="0853F81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662" w:type="dxa"/>
          </w:tcPr>
          <w:p w14:paraId="1862363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3675</w:t>
            </w:r>
          </w:p>
        </w:tc>
      </w:tr>
      <w:tr w:rsidR="001248EC" w:rsidRPr="00646EA9" w14:paraId="3C0806E6" w14:textId="77777777" w:rsidTr="00226C0E">
        <w:tc>
          <w:tcPr>
            <w:tcW w:w="816" w:type="dxa"/>
          </w:tcPr>
          <w:p w14:paraId="098C8DA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02368E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09" w:type="dxa"/>
          </w:tcPr>
          <w:p w14:paraId="197D58D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630510</w:t>
            </w:r>
          </w:p>
        </w:tc>
        <w:tc>
          <w:tcPr>
            <w:tcW w:w="2692" w:type="dxa"/>
          </w:tcPr>
          <w:p w14:paraId="78C5023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7470</w:t>
            </w:r>
          </w:p>
        </w:tc>
        <w:tc>
          <w:tcPr>
            <w:tcW w:w="2662" w:type="dxa"/>
          </w:tcPr>
          <w:p w14:paraId="38F221D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17745</w:t>
            </w:r>
          </w:p>
        </w:tc>
      </w:tr>
    </w:tbl>
    <w:p w14:paraId="1AFD7355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E4C30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У відсотковому відношенні структура безготівкових розрахунків за всі роки буде такою:</w:t>
      </w:r>
    </w:p>
    <w:p w14:paraId="58FD8BC7" w14:textId="77777777" w:rsidR="001248EC" w:rsidRPr="00646EA9" w:rsidRDefault="001248EC" w:rsidP="00300375">
      <w:pPr>
        <w:pStyle w:val="a3"/>
        <w:numPr>
          <w:ilvl w:val="0"/>
          <w:numId w:val="2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Платіжне доручення – 96%;</w:t>
      </w:r>
    </w:p>
    <w:p w14:paraId="11E82FEE" w14:textId="77777777" w:rsidR="001248EC" w:rsidRPr="00646EA9" w:rsidRDefault="001248EC" w:rsidP="00300375">
      <w:pPr>
        <w:pStyle w:val="a3"/>
        <w:numPr>
          <w:ilvl w:val="0"/>
          <w:numId w:val="2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Платіжна вимога-доручення – 1,14%;</w:t>
      </w:r>
    </w:p>
    <w:p w14:paraId="138380C0" w14:textId="77777777" w:rsidR="001248EC" w:rsidRPr="00646EA9" w:rsidRDefault="001248EC" w:rsidP="00300375">
      <w:pPr>
        <w:pStyle w:val="a3"/>
        <w:numPr>
          <w:ilvl w:val="0"/>
          <w:numId w:val="2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Чеки – 2,86%.</w:t>
      </w:r>
    </w:p>
    <w:p w14:paraId="36EEFD93" w14:textId="77777777" w:rsidR="001248EC" w:rsidRDefault="001248EC" w:rsidP="001248EC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Графічно це можна зобразити так:</w:t>
      </w:r>
    </w:p>
    <w:p w14:paraId="0982B03F" w14:textId="77777777" w:rsidR="002B34CA" w:rsidRPr="00646EA9" w:rsidRDefault="002B34CA" w:rsidP="001248EC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00B12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9EBF301" wp14:editId="6BD6725C">
            <wp:extent cx="4581525" cy="2333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DA5957D" w14:textId="77777777" w:rsidR="001248EC" w:rsidRPr="002B34CA" w:rsidRDefault="001248EC" w:rsidP="002B34CA">
      <w:pPr>
        <w:tabs>
          <w:tab w:val="left" w:pos="334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2.1. Структура безготівкових розрахунків за видами розрахункових документів у 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АТ КБ «ПРИВАТБАНК»</w:t>
      </w:r>
    </w:p>
    <w:p w14:paraId="5464E89A" w14:textId="5BE214B3" w:rsidR="00213D09" w:rsidRPr="00646EA9" w:rsidRDefault="00170245" w:rsidP="00170245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48EC" w:rsidRPr="00646EA9">
        <w:rPr>
          <w:rFonts w:ascii="Times New Roman" w:hAnsi="Times New Roman" w:cs="Times New Roman"/>
          <w:sz w:val="28"/>
          <w:szCs w:val="28"/>
          <w:lang w:val="uk-UA"/>
        </w:rPr>
        <w:t>айбільший обсяг у безготівкових розрахунках займають платіжні доручення. Використання платіжних доручень є найбільш зручним у використання як для клієнтів, так і для самого банку.</w:t>
      </w:r>
    </w:p>
    <w:p w14:paraId="3E3C3017" w14:textId="50201139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Аналіз структури передбачає вивчення співвідношень</w:t>
      </w:r>
      <w:r w:rsidR="0017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окремих частин цілого, а також порівняння цих частин з цілим.</w:t>
      </w:r>
    </w:p>
    <w:p w14:paraId="260DBB86" w14:textId="794192BE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виявлення розвитку динаміки показника необхідно прослідити за його приростом протягом розглядуваного періоду. </w:t>
      </w:r>
    </w:p>
    <w:p w14:paraId="77DFBCFF" w14:textId="77777777" w:rsidR="001248EC" w:rsidRPr="00BC0182" w:rsidRDefault="00E05C6D" w:rsidP="001248EC">
      <w:pPr>
        <w:tabs>
          <w:tab w:val="left" w:pos="334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i/>
          <w:sz w:val="28"/>
          <w:szCs w:val="28"/>
          <w:lang w:val="uk-UA"/>
        </w:rPr>
        <w:t>Таблиця 2.5</w:t>
      </w:r>
    </w:p>
    <w:p w14:paraId="5D62811D" w14:textId="77777777" w:rsidR="00BC0182" w:rsidRDefault="00BC0182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0026C1" w14:textId="32B9ACC4" w:rsidR="001248EC" w:rsidRDefault="001248EC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Абсолютні показники приросту розрахунків з використанням </w:t>
      </w:r>
      <w:r w:rsidR="00170245">
        <w:rPr>
          <w:rFonts w:ascii="Times New Roman" w:hAnsi="Times New Roman" w:cs="Times New Roman"/>
          <w:b/>
          <w:sz w:val="28"/>
          <w:szCs w:val="28"/>
          <w:lang w:val="uk-UA"/>
        </w:rPr>
        <w:t>доручень</w:t>
      </w:r>
    </w:p>
    <w:p w14:paraId="4BDB7F32" w14:textId="77777777" w:rsidR="00BC0182" w:rsidRPr="00646EA9" w:rsidRDefault="00BC0182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992"/>
        <w:gridCol w:w="2835"/>
        <w:gridCol w:w="3119"/>
        <w:gridCol w:w="2800"/>
      </w:tblGrid>
      <w:tr w:rsidR="001248EC" w:rsidRPr="00646EA9" w14:paraId="057CB8D1" w14:textId="77777777" w:rsidTr="00226C0E">
        <w:tc>
          <w:tcPr>
            <w:tcW w:w="993" w:type="dxa"/>
          </w:tcPr>
          <w:p w14:paraId="3EAB8D2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835" w:type="dxa"/>
          </w:tcPr>
          <w:p w14:paraId="565247B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на кінець року, шт.</w:t>
            </w:r>
          </w:p>
        </w:tc>
        <w:tc>
          <w:tcPr>
            <w:tcW w:w="3119" w:type="dxa"/>
          </w:tcPr>
          <w:p w14:paraId="2D96F73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Абсолютне відхилення(б), шт.</w:t>
            </w:r>
          </w:p>
        </w:tc>
        <w:tc>
          <w:tcPr>
            <w:tcW w:w="2800" w:type="dxa"/>
          </w:tcPr>
          <w:p w14:paraId="13963BB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Абсолютне відхилення(л), шт.</w:t>
            </w:r>
          </w:p>
        </w:tc>
      </w:tr>
      <w:tr w:rsidR="001248EC" w:rsidRPr="00646EA9" w14:paraId="41744737" w14:textId="77777777" w:rsidTr="00226C0E">
        <w:tc>
          <w:tcPr>
            <w:tcW w:w="993" w:type="dxa"/>
          </w:tcPr>
          <w:p w14:paraId="1CCAD04B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2835" w:type="dxa"/>
          </w:tcPr>
          <w:p w14:paraId="2BA580B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117825</w:t>
            </w:r>
          </w:p>
        </w:tc>
        <w:tc>
          <w:tcPr>
            <w:tcW w:w="3119" w:type="dxa"/>
          </w:tcPr>
          <w:p w14:paraId="07480AE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0" w:type="dxa"/>
          </w:tcPr>
          <w:p w14:paraId="71D6332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2D0DD0C6" w14:textId="77777777" w:rsidTr="00226C0E">
        <w:tc>
          <w:tcPr>
            <w:tcW w:w="993" w:type="dxa"/>
          </w:tcPr>
          <w:p w14:paraId="24DCD4BC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2835" w:type="dxa"/>
          </w:tcPr>
          <w:p w14:paraId="46D9FC4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123510</w:t>
            </w:r>
          </w:p>
        </w:tc>
        <w:tc>
          <w:tcPr>
            <w:tcW w:w="3119" w:type="dxa"/>
          </w:tcPr>
          <w:p w14:paraId="33AFEA5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5685</w:t>
            </w:r>
          </w:p>
        </w:tc>
        <w:tc>
          <w:tcPr>
            <w:tcW w:w="2800" w:type="dxa"/>
          </w:tcPr>
          <w:p w14:paraId="7EBCD39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5685</w:t>
            </w:r>
          </w:p>
        </w:tc>
      </w:tr>
      <w:tr w:rsidR="001248EC" w:rsidRPr="00646EA9" w14:paraId="24627335" w14:textId="77777777" w:rsidTr="00226C0E">
        <w:tc>
          <w:tcPr>
            <w:tcW w:w="993" w:type="dxa"/>
          </w:tcPr>
          <w:p w14:paraId="060F0716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835" w:type="dxa"/>
          </w:tcPr>
          <w:p w14:paraId="098F919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126000</w:t>
            </w:r>
          </w:p>
        </w:tc>
        <w:tc>
          <w:tcPr>
            <w:tcW w:w="3119" w:type="dxa"/>
          </w:tcPr>
          <w:p w14:paraId="63D102F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8175</w:t>
            </w:r>
          </w:p>
        </w:tc>
        <w:tc>
          <w:tcPr>
            <w:tcW w:w="2800" w:type="dxa"/>
          </w:tcPr>
          <w:p w14:paraId="646C28B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2490</w:t>
            </w:r>
          </w:p>
        </w:tc>
      </w:tr>
      <w:tr w:rsidR="001248EC" w:rsidRPr="00646EA9" w14:paraId="329DCA94" w14:textId="77777777" w:rsidTr="00226C0E">
        <w:tc>
          <w:tcPr>
            <w:tcW w:w="993" w:type="dxa"/>
          </w:tcPr>
          <w:p w14:paraId="6FEA8EB8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835" w:type="dxa"/>
          </w:tcPr>
          <w:p w14:paraId="14721A3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128475</w:t>
            </w:r>
          </w:p>
        </w:tc>
        <w:tc>
          <w:tcPr>
            <w:tcW w:w="3119" w:type="dxa"/>
          </w:tcPr>
          <w:p w14:paraId="78645CB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10650</w:t>
            </w:r>
          </w:p>
        </w:tc>
        <w:tc>
          <w:tcPr>
            <w:tcW w:w="2800" w:type="dxa"/>
          </w:tcPr>
          <w:p w14:paraId="3D459CD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2475</w:t>
            </w:r>
          </w:p>
        </w:tc>
      </w:tr>
      <w:tr w:rsidR="001248EC" w:rsidRPr="00646EA9" w14:paraId="48DAA5ED" w14:textId="77777777" w:rsidTr="00226C0E">
        <w:tc>
          <w:tcPr>
            <w:tcW w:w="993" w:type="dxa"/>
          </w:tcPr>
          <w:p w14:paraId="6A7162A2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835" w:type="dxa"/>
          </w:tcPr>
          <w:p w14:paraId="1AE1DD0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134700</w:t>
            </w:r>
          </w:p>
        </w:tc>
        <w:tc>
          <w:tcPr>
            <w:tcW w:w="3119" w:type="dxa"/>
          </w:tcPr>
          <w:p w14:paraId="65E86EB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16875</w:t>
            </w:r>
          </w:p>
        </w:tc>
        <w:tc>
          <w:tcPr>
            <w:tcW w:w="2800" w:type="dxa"/>
          </w:tcPr>
          <w:p w14:paraId="20ED40C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6225</w:t>
            </w:r>
          </w:p>
        </w:tc>
      </w:tr>
    </w:tbl>
    <w:p w14:paraId="071C3F35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17A04" w14:textId="77777777" w:rsidR="00226C0E" w:rsidRPr="00646EA9" w:rsidRDefault="00226C0E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Для більшої зрозумілості, отримані дані можна зобразити у графічному варіанті (рис. 2.2).</w:t>
      </w:r>
    </w:p>
    <w:p w14:paraId="70A2DA45" w14:textId="77777777" w:rsidR="00396ED1" w:rsidRPr="00646EA9" w:rsidRDefault="00396ED1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EE1D26" wp14:editId="75E0F9AB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29C7BB5" w14:textId="77777777" w:rsidR="00BC0182" w:rsidRDefault="00BC0182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2A54C" w14:textId="77777777" w:rsidR="00226C0E" w:rsidRPr="00BC0182" w:rsidRDefault="00226C0E" w:rsidP="00BC0182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Рис.2.2. Динаміка абсолютного приросту розрахунків з використанням платіжних доручень</w:t>
      </w:r>
    </w:p>
    <w:p w14:paraId="6FCC2694" w14:textId="77777777" w:rsidR="0018655E" w:rsidRPr="00646EA9" w:rsidRDefault="0018655E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0F108" w14:textId="0EA89B08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З наведеної таблиці </w:t>
      </w:r>
      <w:r w:rsidR="00226C0E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та графіку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видно, що збільшення розрахунків з використанням платіжних доручень спостерігалося на протязі усього досліджуваного пе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>ріоду, порівняно з базовим (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р.).</w:t>
      </w:r>
      <w:r w:rsidR="00226C0E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Якщо спостерігати за абсолютним ланцюговим приростом, то можна сказати, що приріст був далеко не тенденційним і легко можна відзначити значні перепади графіку, що відображають різкі коливання у фактичних темпах розвитку показника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 xml:space="preserve">. Так, 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C8547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р. відбувається значний спад обсягів 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>розрахунків</w:t>
      </w:r>
      <w:r w:rsidR="00C8547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пок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 xml:space="preserve">азник майже не мінявся, а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C85476" w:rsidRPr="00646EA9">
        <w:rPr>
          <w:rFonts w:ascii="Times New Roman" w:hAnsi="Times New Roman" w:cs="Times New Roman"/>
          <w:sz w:val="28"/>
          <w:szCs w:val="28"/>
          <w:lang w:val="uk-UA"/>
        </w:rPr>
        <w:t>р. спостерігається зростання. Здебільшого це пов’язано з кризовими процесами, що вивели з нормального функціонування не лише банківську систему, а і роботу підприємств, що і спричинило дисбаланс у безготівковому обігу.</w:t>
      </w:r>
      <w:r w:rsidR="00226C0E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5B7DBA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Також необхідно розглянути темпи росту та приросту кількості роз</w:t>
      </w:r>
      <w:r w:rsidR="00E05C6D" w:rsidRPr="00646EA9">
        <w:rPr>
          <w:rFonts w:ascii="Times New Roman" w:hAnsi="Times New Roman" w:cs="Times New Roman"/>
          <w:sz w:val="28"/>
          <w:szCs w:val="28"/>
          <w:lang w:val="uk-UA"/>
        </w:rPr>
        <w:t>рахункових документів (табл. 2.6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5BF2F66D" w14:textId="77777777" w:rsidR="001248EC" w:rsidRDefault="001248EC" w:rsidP="00C8547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E493BC" w14:textId="77777777" w:rsidR="00BC0182" w:rsidRPr="00646EA9" w:rsidRDefault="00BC0182" w:rsidP="00C8547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4487E" w14:textId="77777777" w:rsidR="001248EC" w:rsidRDefault="001248EC" w:rsidP="001248EC">
      <w:pPr>
        <w:tabs>
          <w:tab w:val="left" w:pos="334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i/>
          <w:sz w:val="28"/>
          <w:szCs w:val="28"/>
          <w:lang w:val="uk-UA"/>
        </w:rPr>
        <w:t>Таблиця 2.</w:t>
      </w:r>
      <w:r w:rsidR="00E05C6D" w:rsidRPr="00BC0182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</w:p>
    <w:p w14:paraId="4D5E08A0" w14:textId="77777777" w:rsidR="00BC0182" w:rsidRPr="00BC0182" w:rsidRDefault="00BC0182" w:rsidP="001248EC">
      <w:pPr>
        <w:tabs>
          <w:tab w:val="left" w:pos="334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B7DCFD2" w14:textId="3A0D24AB" w:rsidR="001248EC" w:rsidRDefault="001248EC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>Темпи росту та приросту кількості розрахунків з використ</w:t>
      </w:r>
      <w:r w:rsidR="00E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анням доручень </w:t>
      </w:r>
    </w:p>
    <w:p w14:paraId="149A8222" w14:textId="77777777" w:rsidR="00BC0182" w:rsidRPr="00646EA9" w:rsidRDefault="00BC0182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133"/>
        <w:gridCol w:w="1418"/>
        <w:gridCol w:w="1843"/>
        <w:gridCol w:w="1842"/>
        <w:gridCol w:w="1843"/>
        <w:gridCol w:w="1950"/>
      </w:tblGrid>
      <w:tr w:rsidR="001248EC" w:rsidRPr="00646EA9" w14:paraId="58BF4343" w14:textId="77777777" w:rsidTr="00226C0E">
        <w:tc>
          <w:tcPr>
            <w:tcW w:w="1134" w:type="dxa"/>
          </w:tcPr>
          <w:p w14:paraId="067F19D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8" w:type="dxa"/>
          </w:tcPr>
          <w:p w14:paraId="550EE52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К-ть, К(і)</w:t>
            </w:r>
          </w:p>
        </w:tc>
        <w:tc>
          <w:tcPr>
            <w:tcW w:w="1843" w:type="dxa"/>
          </w:tcPr>
          <w:p w14:paraId="377A152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росту (баз.), %</w:t>
            </w:r>
          </w:p>
        </w:tc>
        <w:tc>
          <w:tcPr>
            <w:tcW w:w="1842" w:type="dxa"/>
          </w:tcPr>
          <w:p w14:paraId="61899EE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росту (ланц.), %</w:t>
            </w:r>
          </w:p>
        </w:tc>
        <w:tc>
          <w:tcPr>
            <w:tcW w:w="1843" w:type="dxa"/>
          </w:tcPr>
          <w:p w14:paraId="77A0FC4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приросту (баз.), %</w:t>
            </w:r>
          </w:p>
        </w:tc>
        <w:tc>
          <w:tcPr>
            <w:tcW w:w="1950" w:type="dxa"/>
          </w:tcPr>
          <w:p w14:paraId="75FBD24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приросту (ланц.), %</w:t>
            </w:r>
          </w:p>
        </w:tc>
      </w:tr>
      <w:tr w:rsidR="001248EC" w:rsidRPr="00646EA9" w14:paraId="66DBAAC0" w14:textId="77777777" w:rsidTr="00226C0E">
        <w:tc>
          <w:tcPr>
            <w:tcW w:w="1134" w:type="dxa"/>
          </w:tcPr>
          <w:p w14:paraId="3C844E36" w14:textId="77777777" w:rsidR="001248EC" w:rsidRPr="00646EA9" w:rsidRDefault="00EE53FD" w:rsidP="002132C7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</w:tcPr>
          <w:p w14:paraId="3AB9448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117825</w:t>
            </w:r>
          </w:p>
        </w:tc>
        <w:tc>
          <w:tcPr>
            <w:tcW w:w="1843" w:type="dxa"/>
          </w:tcPr>
          <w:p w14:paraId="70870A3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079FE70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14:paraId="1C6DD12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</w:tcPr>
          <w:p w14:paraId="3BFCA89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317BB81B" w14:textId="77777777" w:rsidTr="00226C0E">
        <w:tc>
          <w:tcPr>
            <w:tcW w:w="1134" w:type="dxa"/>
          </w:tcPr>
          <w:p w14:paraId="14326D0E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418" w:type="dxa"/>
          </w:tcPr>
          <w:p w14:paraId="6D8E7BB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123510</w:t>
            </w:r>
          </w:p>
        </w:tc>
        <w:tc>
          <w:tcPr>
            <w:tcW w:w="1843" w:type="dxa"/>
          </w:tcPr>
          <w:p w14:paraId="0E2DF0B5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104,82</w:t>
            </w:r>
          </w:p>
        </w:tc>
        <w:tc>
          <w:tcPr>
            <w:tcW w:w="1842" w:type="dxa"/>
          </w:tcPr>
          <w:p w14:paraId="13780AB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104,82</w:t>
            </w:r>
          </w:p>
        </w:tc>
        <w:tc>
          <w:tcPr>
            <w:tcW w:w="1843" w:type="dxa"/>
          </w:tcPr>
          <w:p w14:paraId="7F40332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4,82</w:t>
            </w:r>
          </w:p>
        </w:tc>
        <w:tc>
          <w:tcPr>
            <w:tcW w:w="1950" w:type="dxa"/>
          </w:tcPr>
          <w:p w14:paraId="5CF8024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4,82</w:t>
            </w:r>
          </w:p>
        </w:tc>
      </w:tr>
      <w:tr w:rsidR="001248EC" w:rsidRPr="00646EA9" w14:paraId="7DB4E7F0" w14:textId="77777777" w:rsidTr="00226C0E">
        <w:tc>
          <w:tcPr>
            <w:tcW w:w="1134" w:type="dxa"/>
          </w:tcPr>
          <w:p w14:paraId="7252AFA2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418" w:type="dxa"/>
          </w:tcPr>
          <w:p w14:paraId="6928D32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126000</w:t>
            </w:r>
          </w:p>
        </w:tc>
        <w:tc>
          <w:tcPr>
            <w:tcW w:w="1843" w:type="dxa"/>
          </w:tcPr>
          <w:p w14:paraId="5E39A8B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106,94</w:t>
            </w:r>
          </w:p>
        </w:tc>
        <w:tc>
          <w:tcPr>
            <w:tcW w:w="1842" w:type="dxa"/>
          </w:tcPr>
          <w:p w14:paraId="650AE9C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102,02</w:t>
            </w:r>
          </w:p>
        </w:tc>
        <w:tc>
          <w:tcPr>
            <w:tcW w:w="1843" w:type="dxa"/>
          </w:tcPr>
          <w:p w14:paraId="6EB8051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6,94</w:t>
            </w:r>
          </w:p>
        </w:tc>
        <w:tc>
          <w:tcPr>
            <w:tcW w:w="1950" w:type="dxa"/>
          </w:tcPr>
          <w:p w14:paraId="24A8E06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2,02</w:t>
            </w:r>
          </w:p>
        </w:tc>
      </w:tr>
      <w:tr w:rsidR="001248EC" w:rsidRPr="00646EA9" w14:paraId="02E43608" w14:textId="77777777" w:rsidTr="00226C0E">
        <w:tc>
          <w:tcPr>
            <w:tcW w:w="1134" w:type="dxa"/>
          </w:tcPr>
          <w:p w14:paraId="2032E850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2017</w:t>
            </w:r>
          </w:p>
        </w:tc>
        <w:tc>
          <w:tcPr>
            <w:tcW w:w="1418" w:type="dxa"/>
          </w:tcPr>
          <w:p w14:paraId="5C06FDE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128475</w:t>
            </w:r>
          </w:p>
        </w:tc>
        <w:tc>
          <w:tcPr>
            <w:tcW w:w="1843" w:type="dxa"/>
          </w:tcPr>
          <w:p w14:paraId="13488E7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109,04</w:t>
            </w:r>
          </w:p>
        </w:tc>
        <w:tc>
          <w:tcPr>
            <w:tcW w:w="1842" w:type="dxa"/>
          </w:tcPr>
          <w:p w14:paraId="618F5B5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101,96</w:t>
            </w:r>
          </w:p>
        </w:tc>
        <w:tc>
          <w:tcPr>
            <w:tcW w:w="1843" w:type="dxa"/>
          </w:tcPr>
          <w:p w14:paraId="53B074E5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9,04</w:t>
            </w:r>
          </w:p>
        </w:tc>
        <w:tc>
          <w:tcPr>
            <w:tcW w:w="1950" w:type="dxa"/>
          </w:tcPr>
          <w:p w14:paraId="33814FE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1,96</w:t>
            </w:r>
          </w:p>
        </w:tc>
      </w:tr>
      <w:tr w:rsidR="001248EC" w:rsidRPr="00646EA9" w14:paraId="2305F6A1" w14:textId="77777777" w:rsidTr="00226C0E">
        <w:tc>
          <w:tcPr>
            <w:tcW w:w="1134" w:type="dxa"/>
          </w:tcPr>
          <w:p w14:paraId="07F978D9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18" w:type="dxa"/>
          </w:tcPr>
          <w:p w14:paraId="089DC93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134700</w:t>
            </w:r>
          </w:p>
        </w:tc>
        <w:tc>
          <w:tcPr>
            <w:tcW w:w="1843" w:type="dxa"/>
          </w:tcPr>
          <w:p w14:paraId="283C3BA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114,32</w:t>
            </w:r>
          </w:p>
        </w:tc>
        <w:tc>
          <w:tcPr>
            <w:tcW w:w="1842" w:type="dxa"/>
          </w:tcPr>
          <w:p w14:paraId="29C93E9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104,85</w:t>
            </w:r>
          </w:p>
        </w:tc>
        <w:tc>
          <w:tcPr>
            <w:tcW w:w="1843" w:type="dxa"/>
          </w:tcPr>
          <w:p w14:paraId="2873711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14,32</w:t>
            </w:r>
          </w:p>
        </w:tc>
        <w:tc>
          <w:tcPr>
            <w:tcW w:w="1950" w:type="dxa"/>
          </w:tcPr>
          <w:p w14:paraId="6FC63C5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4,85</w:t>
            </w:r>
          </w:p>
        </w:tc>
      </w:tr>
    </w:tbl>
    <w:p w14:paraId="36D33F4D" w14:textId="77777777" w:rsidR="001248EC" w:rsidRPr="00646EA9" w:rsidRDefault="001248EC" w:rsidP="001248EC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304B61" w14:textId="77777777" w:rsidR="00BC0182" w:rsidRDefault="00BC0182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sz w:val="28"/>
          <w:szCs w:val="28"/>
          <w:lang w:val="uk-UA"/>
        </w:rPr>
        <w:t>З наведеної таблиці 2.6  можна зробити висновки: кількість розрахунків платіжними дорученнями збільшилась порівняно з базовим роком на 30%. Найбільші темпи приросту були в останньому році.</w:t>
      </w:r>
    </w:p>
    <w:p w14:paraId="14C8C359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Тепер розглянемо динаміку розрахунків з використанням пла</w:t>
      </w:r>
      <w:r w:rsidR="00E05C6D" w:rsidRPr="00646EA9">
        <w:rPr>
          <w:rFonts w:ascii="Times New Roman" w:hAnsi="Times New Roman" w:cs="Times New Roman"/>
          <w:sz w:val="28"/>
          <w:szCs w:val="28"/>
          <w:lang w:val="uk-UA"/>
        </w:rPr>
        <w:t>тіжних вимог-доручень (табл. 2.7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4FAF184" w14:textId="77777777" w:rsidR="001248EC" w:rsidRPr="00BC0182" w:rsidRDefault="00E05C6D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i/>
          <w:sz w:val="28"/>
          <w:szCs w:val="28"/>
          <w:lang w:val="uk-UA"/>
        </w:rPr>
        <w:t>Таблиця 2.7</w:t>
      </w:r>
    </w:p>
    <w:p w14:paraId="5A103A08" w14:textId="77777777" w:rsidR="001248EC" w:rsidRPr="00646EA9" w:rsidRDefault="001248EC" w:rsidP="00124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Абсолютні показники приросту розрахунків з використанням платіжних вимог-доручень в 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АТ КБ «ПРИВАТБАНК»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1559"/>
        <w:gridCol w:w="2268"/>
        <w:gridCol w:w="2977"/>
        <w:gridCol w:w="3367"/>
      </w:tblGrid>
      <w:tr w:rsidR="001248EC" w:rsidRPr="00646EA9" w14:paraId="6C3D4624" w14:textId="77777777" w:rsidTr="00226C0E">
        <w:tc>
          <w:tcPr>
            <w:tcW w:w="1560" w:type="dxa"/>
          </w:tcPr>
          <w:p w14:paraId="3B8F2018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268" w:type="dxa"/>
          </w:tcPr>
          <w:p w14:paraId="7CCF14BA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на кінець року, К(і)</w:t>
            </w:r>
          </w:p>
        </w:tc>
        <w:tc>
          <w:tcPr>
            <w:tcW w:w="2977" w:type="dxa"/>
          </w:tcPr>
          <w:p w14:paraId="2F5B25DF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 відхилення (базове)</w:t>
            </w:r>
          </w:p>
        </w:tc>
        <w:tc>
          <w:tcPr>
            <w:tcW w:w="3367" w:type="dxa"/>
          </w:tcPr>
          <w:p w14:paraId="56C8B10E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 відхилення (ланцюгове)</w:t>
            </w:r>
          </w:p>
        </w:tc>
      </w:tr>
      <w:tr w:rsidR="001248EC" w:rsidRPr="00646EA9" w14:paraId="298C30DB" w14:textId="77777777" w:rsidTr="00226C0E">
        <w:tc>
          <w:tcPr>
            <w:tcW w:w="1560" w:type="dxa"/>
          </w:tcPr>
          <w:p w14:paraId="05B8CE0A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2268" w:type="dxa"/>
          </w:tcPr>
          <w:p w14:paraId="1DC50BF5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</w:p>
        </w:tc>
        <w:tc>
          <w:tcPr>
            <w:tcW w:w="2977" w:type="dxa"/>
          </w:tcPr>
          <w:p w14:paraId="2B6883EE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367" w:type="dxa"/>
          </w:tcPr>
          <w:p w14:paraId="639A17B4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169DB3BA" w14:textId="77777777" w:rsidTr="00226C0E">
        <w:tc>
          <w:tcPr>
            <w:tcW w:w="1560" w:type="dxa"/>
          </w:tcPr>
          <w:p w14:paraId="023AFA95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2268" w:type="dxa"/>
          </w:tcPr>
          <w:p w14:paraId="2BABE25F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</w:t>
            </w:r>
          </w:p>
        </w:tc>
        <w:tc>
          <w:tcPr>
            <w:tcW w:w="2977" w:type="dxa"/>
          </w:tcPr>
          <w:p w14:paraId="7C1831D9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(135)</w:t>
            </w:r>
          </w:p>
        </w:tc>
        <w:tc>
          <w:tcPr>
            <w:tcW w:w="3367" w:type="dxa"/>
          </w:tcPr>
          <w:p w14:paraId="473D52C9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(135)</w:t>
            </w:r>
          </w:p>
        </w:tc>
      </w:tr>
      <w:tr w:rsidR="001248EC" w:rsidRPr="00646EA9" w14:paraId="555A1F93" w14:textId="77777777" w:rsidTr="00226C0E">
        <w:tc>
          <w:tcPr>
            <w:tcW w:w="1560" w:type="dxa"/>
          </w:tcPr>
          <w:p w14:paraId="3B049DB8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268" w:type="dxa"/>
          </w:tcPr>
          <w:p w14:paraId="3B2369B2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</w:t>
            </w:r>
          </w:p>
        </w:tc>
        <w:tc>
          <w:tcPr>
            <w:tcW w:w="2977" w:type="dxa"/>
          </w:tcPr>
          <w:p w14:paraId="589AA0F0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(45)</w:t>
            </w:r>
          </w:p>
        </w:tc>
        <w:tc>
          <w:tcPr>
            <w:tcW w:w="3367" w:type="dxa"/>
          </w:tcPr>
          <w:p w14:paraId="3F1CF7C5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1248EC" w:rsidRPr="00646EA9" w14:paraId="47F7A3C3" w14:textId="77777777" w:rsidTr="00226C0E">
        <w:tc>
          <w:tcPr>
            <w:tcW w:w="1560" w:type="dxa"/>
          </w:tcPr>
          <w:p w14:paraId="7D7A3087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268" w:type="dxa"/>
          </w:tcPr>
          <w:p w14:paraId="53A49AFC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1845</w:t>
            </w:r>
          </w:p>
        </w:tc>
        <w:tc>
          <w:tcPr>
            <w:tcW w:w="2977" w:type="dxa"/>
          </w:tcPr>
          <w:p w14:paraId="6CDA9DC5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3367" w:type="dxa"/>
          </w:tcPr>
          <w:p w14:paraId="19E381CF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</w:tr>
      <w:tr w:rsidR="001248EC" w:rsidRPr="00646EA9" w14:paraId="269E2CE0" w14:textId="77777777" w:rsidTr="00226C0E">
        <w:tc>
          <w:tcPr>
            <w:tcW w:w="1560" w:type="dxa"/>
          </w:tcPr>
          <w:p w14:paraId="02524736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268" w:type="dxa"/>
          </w:tcPr>
          <w:p w14:paraId="29828E27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977" w:type="dxa"/>
          </w:tcPr>
          <w:p w14:paraId="1094361B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765</w:t>
            </w:r>
          </w:p>
        </w:tc>
        <w:tc>
          <w:tcPr>
            <w:tcW w:w="3367" w:type="dxa"/>
          </w:tcPr>
          <w:p w14:paraId="20EC5C50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</w:tbl>
    <w:p w14:paraId="1D2C4F9D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70364" w14:textId="77777777" w:rsidR="00C85476" w:rsidRPr="00646EA9" w:rsidRDefault="00C85476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Для більшої зрозумілості, отримані дані необхідно зобразити у графічному варіанті (рис. 2.3).</w:t>
      </w:r>
    </w:p>
    <w:p w14:paraId="6A49E67F" w14:textId="77777777" w:rsidR="00C85476" w:rsidRPr="00646EA9" w:rsidRDefault="00C85476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2D6FE2B" wp14:editId="1CE1AAF0">
            <wp:extent cx="5305425" cy="30575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01C87CE" w14:textId="77777777" w:rsidR="00BC0182" w:rsidRDefault="00BC0182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2B25E" w14:textId="77777777" w:rsidR="00BC0182" w:rsidRDefault="00BC0182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19366" w14:textId="77777777" w:rsidR="007A4DE1" w:rsidRPr="00BC0182" w:rsidRDefault="007A4DE1" w:rsidP="00BC0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b/>
          <w:sz w:val="28"/>
          <w:szCs w:val="28"/>
          <w:lang w:val="uk-UA"/>
        </w:rPr>
        <w:t>Рис.2.3. Динаміка абсолютного приросту розрахунків з використанням платіжних вимог-доручень</w:t>
      </w:r>
    </w:p>
    <w:p w14:paraId="1A105BF7" w14:textId="77777777" w:rsidR="0018655E" w:rsidRDefault="0018655E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A4D725" w14:textId="77777777" w:rsidR="00BC0182" w:rsidRPr="00646EA9" w:rsidRDefault="00BC0182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E53B3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Як видно з таблиці</w:t>
      </w:r>
      <w:r w:rsidR="007A4DE1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та графіку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, базовий абсолютний приріст даного показника був нерівномірним протяго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 xml:space="preserve">м розглядуваного періоду,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він навіть мав мінусове значення, після чого показник став ефективно рости. Ланцюговий абсолютний приріст показника також коливався протягом всього періоду, найбі</w:t>
      </w:r>
      <w:r w:rsidR="00E577FE">
        <w:rPr>
          <w:rFonts w:ascii="Times New Roman" w:hAnsi="Times New Roman" w:cs="Times New Roman"/>
          <w:sz w:val="28"/>
          <w:szCs w:val="28"/>
          <w:lang w:val="uk-UA"/>
        </w:rPr>
        <w:t xml:space="preserve">льшого значення він досяг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423DC8C7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Тепер розглянемо темпи росту і приросту з використанням пла</w:t>
      </w:r>
      <w:r w:rsidR="00591370" w:rsidRPr="00646EA9">
        <w:rPr>
          <w:rFonts w:ascii="Times New Roman" w:hAnsi="Times New Roman" w:cs="Times New Roman"/>
          <w:sz w:val="28"/>
          <w:szCs w:val="28"/>
          <w:lang w:val="uk-UA"/>
        </w:rPr>
        <w:t>тіжних вимог-доручень (табл. 2.8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74C5BEC" w14:textId="77777777" w:rsidR="00BC0182" w:rsidRDefault="00BC0182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76F6093" w14:textId="77777777" w:rsidR="00BC0182" w:rsidRDefault="00BC0182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D8BA32" w14:textId="77777777" w:rsidR="00BC0182" w:rsidRDefault="00BC0182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36C0559" w14:textId="77777777" w:rsidR="00BC0182" w:rsidRDefault="00BC0182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2162AD6" w14:textId="77777777" w:rsidR="001248EC" w:rsidRPr="00BC0182" w:rsidRDefault="00591370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i/>
          <w:sz w:val="28"/>
          <w:szCs w:val="28"/>
          <w:lang w:val="uk-UA"/>
        </w:rPr>
        <w:t>Таблиця 2.8</w:t>
      </w:r>
    </w:p>
    <w:p w14:paraId="7775FED3" w14:textId="77777777" w:rsidR="001248EC" w:rsidRPr="00646EA9" w:rsidRDefault="001248EC" w:rsidP="00124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Темп росту та темп приросту кількості розрахунків з використання платіжних вимог-доручень в 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АТ КБ «ПРИВАТБАНК»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133"/>
        <w:gridCol w:w="1418"/>
        <w:gridCol w:w="1843"/>
        <w:gridCol w:w="1842"/>
        <w:gridCol w:w="1843"/>
        <w:gridCol w:w="1950"/>
      </w:tblGrid>
      <w:tr w:rsidR="001248EC" w:rsidRPr="00646EA9" w14:paraId="7C916147" w14:textId="77777777" w:rsidTr="00226C0E">
        <w:tc>
          <w:tcPr>
            <w:tcW w:w="1134" w:type="dxa"/>
          </w:tcPr>
          <w:p w14:paraId="04BDCF8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18" w:type="dxa"/>
          </w:tcPr>
          <w:p w14:paraId="00CE3C3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К-ть, К(і)</w:t>
            </w:r>
          </w:p>
        </w:tc>
        <w:tc>
          <w:tcPr>
            <w:tcW w:w="1843" w:type="dxa"/>
          </w:tcPr>
          <w:p w14:paraId="02E9C8B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росту (баз.), %</w:t>
            </w:r>
          </w:p>
        </w:tc>
        <w:tc>
          <w:tcPr>
            <w:tcW w:w="1842" w:type="dxa"/>
          </w:tcPr>
          <w:p w14:paraId="5DC655D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росту (ланц.), %</w:t>
            </w:r>
          </w:p>
        </w:tc>
        <w:tc>
          <w:tcPr>
            <w:tcW w:w="1843" w:type="dxa"/>
          </w:tcPr>
          <w:p w14:paraId="1CD92A3C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приросту (баз.), %</w:t>
            </w:r>
          </w:p>
        </w:tc>
        <w:tc>
          <w:tcPr>
            <w:tcW w:w="1950" w:type="dxa"/>
          </w:tcPr>
          <w:p w14:paraId="5235FF5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приросту (ланц.), %</w:t>
            </w:r>
          </w:p>
        </w:tc>
      </w:tr>
      <w:tr w:rsidR="001248EC" w:rsidRPr="00646EA9" w14:paraId="21B80649" w14:textId="77777777" w:rsidTr="00226C0E">
        <w:tc>
          <w:tcPr>
            <w:tcW w:w="1134" w:type="dxa"/>
          </w:tcPr>
          <w:p w14:paraId="704DD53B" w14:textId="77777777" w:rsidR="001248EC" w:rsidRPr="00646EA9" w:rsidRDefault="00EE53FD" w:rsidP="002132C7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</w:tcPr>
          <w:p w14:paraId="74FA1CC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</w:p>
        </w:tc>
        <w:tc>
          <w:tcPr>
            <w:tcW w:w="1843" w:type="dxa"/>
          </w:tcPr>
          <w:p w14:paraId="3A2E471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1C695C7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14:paraId="110D6D1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</w:tcPr>
          <w:p w14:paraId="4B1FE599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2404D90B" w14:textId="77777777" w:rsidTr="00226C0E">
        <w:tc>
          <w:tcPr>
            <w:tcW w:w="1134" w:type="dxa"/>
          </w:tcPr>
          <w:p w14:paraId="2BD5E0FC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418" w:type="dxa"/>
          </w:tcPr>
          <w:p w14:paraId="4724DB7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</w:t>
            </w:r>
          </w:p>
        </w:tc>
        <w:tc>
          <w:tcPr>
            <w:tcW w:w="1843" w:type="dxa"/>
          </w:tcPr>
          <w:p w14:paraId="6C036B3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89,29</w:t>
            </w:r>
          </w:p>
        </w:tc>
        <w:tc>
          <w:tcPr>
            <w:tcW w:w="1842" w:type="dxa"/>
          </w:tcPr>
          <w:p w14:paraId="5A353622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89,29</w:t>
            </w:r>
          </w:p>
        </w:tc>
        <w:tc>
          <w:tcPr>
            <w:tcW w:w="1843" w:type="dxa"/>
          </w:tcPr>
          <w:p w14:paraId="466A9AA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(10,71)</w:t>
            </w:r>
          </w:p>
        </w:tc>
        <w:tc>
          <w:tcPr>
            <w:tcW w:w="1950" w:type="dxa"/>
          </w:tcPr>
          <w:p w14:paraId="02BCE75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(10,71)</w:t>
            </w:r>
          </w:p>
        </w:tc>
      </w:tr>
      <w:tr w:rsidR="001248EC" w:rsidRPr="00646EA9" w14:paraId="0474E397" w14:textId="77777777" w:rsidTr="00226C0E">
        <w:tc>
          <w:tcPr>
            <w:tcW w:w="1134" w:type="dxa"/>
          </w:tcPr>
          <w:p w14:paraId="690730F2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418" w:type="dxa"/>
          </w:tcPr>
          <w:p w14:paraId="53ED9C5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</w:t>
            </w:r>
          </w:p>
        </w:tc>
        <w:tc>
          <w:tcPr>
            <w:tcW w:w="1843" w:type="dxa"/>
          </w:tcPr>
          <w:p w14:paraId="5D947D9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96,43</w:t>
            </w:r>
          </w:p>
        </w:tc>
        <w:tc>
          <w:tcPr>
            <w:tcW w:w="1842" w:type="dxa"/>
          </w:tcPr>
          <w:p w14:paraId="24A1FF1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843" w:type="dxa"/>
          </w:tcPr>
          <w:p w14:paraId="75C3DFE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(3,57)</w:t>
            </w:r>
          </w:p>
        </w:tc>
        <w:tc>
          <w:tcPr>
            <w:tcW w:w="1950" w:type="dxa"/>
          </w:tcPr>
          <w:p w14:paraId="7671BD3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8,00</w:t>
            </w:r>
          </w:p>
        </w:tc>
      </w:tr>
      <w:tr w:rsidR="001248EC" w:rsidRPr="00646EA9" w14:paraId="5185D8FA" w14:textId="77777777" w:rsidTr="00226C0E">
        <w:tc>
          <w:tcPr>
            <w:tcW w:w="1134" w:type="dxa"/>
          </w:tcPr>
          <w:p w14:paraId="134BCE08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418" w:type="dxa"/>
          </w:tcPr>
          <w:p w14:paraId="5E2BC8E5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1845</w:t>
            </w:r>
          </w:p>
        </w:tc>
        <w:tc>
          <w:tcPr>
            <w:tcW w:w="1843" w:type="dxa"/>
          </w:tcPr>
          <w:p w14:paraId="50C6D7A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146,43</w:t>
            </w:r>
          </w:p>
        </w:tc>
        <w:tc>
          <w:tcPr>
            <w:tcW w:w="1842" w:type="dxa"/>
          </w:tcPr>
          <w:p w14:paraId="774CE38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151,85</w:t>
            </w:r>
          </w:p>
        </w:tc>
        <w:tc>
          <w:tcPr>
            <w:tcW w:w="1843" w:type="dxa"/>
          </w:tcPr>
          <w:p w14:paraId="5BC2CB6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46,43</w:t>
            </w:r>
          </w:p>
        </w:tc>
        <w:tc>
          <w:tcPr>
            <w:tcW w:w="1950" w:type="dxa"/>
          </w:tcPr>
          <w:p w14:paraId="5B01076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51,85</w:t>
            </w:r>
          </w:p>
        </w:tc>
      </w:tr>
      <w:tr w:rsidR="001248EC" w:rsidRPr="00646EA9" w14:paraId="0592EA2F" w14:textId="77777777" w:rsidTr="00226C0E">
        <w:tc>
          <w:tcPr>
            <w:tcW w:w="1134" w:type="dxa"/>
          </w:tcPr>
          <w:p w14:paraId="16E1D181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18" w:type="dxa"/>
          </w:tcPr>
          <w:p w14:paraId="702EFDCE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843" w:type="dxa"/>
          </w:tcPr>
          <w:p w14:paraId="55CBADA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160,71</w:t>
            </w:r>
          </w:p>
        </w:tc>
        <w:tc>
          <w:tcPr>
            <w:tcW w:w="1842" w:type="dxa"/>
          </w:tcPr>
          <w:p w14:paraId="01D226E8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109,76</w:t>
            </w:r>
          </w:p>
        </w:tc>
        <w:tc>
          <w:tcPr>
            <w:tcW w:w="1843" w:type="dxa"/>
          </w:tcPr>
          <w:p w14:paraId="762B451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60,71</w:t>
            </w:r>
          </w:p>
        </w:tc>
        <w:tc>
          <w:tcPr>
            <w:tcW w:w="1950" w:type="dxa"/>
          </w:tcPr>
          <w:p w14:paraId="7506165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9,76</w:t>
            </w:r>
          </w:p>
        </w:tc>
      </w:tr>
    </w:tbl>
    <w:p w14:paraId="702ECEEF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59A10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наведеної таблиці можна зробити висновки, що найбільші темпи росту 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і приросту спостерігались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році,  а протягом усього досліджуваного періоду спостерігалося коливання даних показників.</w:t>
      </w:r>
    </w:p>
    <w:p w14:paraId="0DB43FBE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Тепер розглянемо динаміку розрахунків з використанням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591370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(табл. 2.9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6FE0D07" w14:textId="77777777" w:rsidR="001248EC" w:rsidRPr="00BC0182" w:rsidRDefault="00591370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0182">
        <w:rPr>
          <w:rFonts w:ascii="Times New Roman" w:hAnsi="Times New Roman" w:cs="Times New Roman"/>
          <w:i/>
          <w:sz w:val="28"/>
          <w:szCs w:val="28"/>
          <w:lang w:val="uk-UA"/>
        </w:rPr>
        <w:t>Таблиця 2.9</w:t>
      </w:r>
    </w:p>
    <w:p w14:paraId="6B469770" w14:textId="77777777" w:rsidR="001248EC" w:rsidRPr="00646EA9" w:rsidRDefault="001248EC" w:rsidP="00124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Абсолютні показники приросту розрахунків з використанням </w:t>
      </w:r>
      <w:proofErr w:type="spellStart"/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>чеків</w:t>
      </w:r>
      <w:proofErr w:type="spellEnd"/>
      <w:r w:rsidRPr="00646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EE53FD">
        <w:rPr>
          <w:rFonts w:ascii="Times New Roman" w:hAnsi="Times New Roman" w:cs="Times New Roman"/>
          <w:b/>
          <w:sz w:val="28"/>
          <w:szCs w:val="28"/>
          <w:lang w:val="uk-UA"/>
        </w:rPr>
        <w:t>АТ КБ «ПРИВАТБАНК»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1559"/>
        <w:gridCol w:w="2268"/>
        <w:gridCol w:w="2977"/>
        <w:gridCol w:w="3367"/>
      </w:tblGrid>
      <w:tr w:rsidR="001248EC" w:rsidRPr="00646EA9" w14:paraId="470DC6A6" w14:textId="77777777" w:rsidTr="0018655E">
        <w:tc>
          <w:tcPr>
            <w:tcW w:w="1559" w:type="dxa"/>
          </w:tcPr>
          <w:p w14:paraId="0E2C91FC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268" w:type="dxa"/>
          </w:tcPr>
          <w:p w14:paraId="5EE93268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на кінець року, К(і)</w:t>
            </w:r>
          </w:p>
        </w:tc>
        <w:tc>
          <w:tcPr>
            <w:tcW w:w="2977" w:type="dxa"/>
          </w:tcPr>
          <w:p w14:paraId="333FB306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 відхилення (базове)</w:t>
            </w:r>
          </w:p>
        </w:tc>
        <w:tc>
          <w:tcPr>
            <w:tcW w:w="3367" w:type="dxa"/>
          </w:tcPr>
          <w:p w14:paraId="2DC3AE98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 відхилення (ланцюгове)</w:t>
            </w:r>
          </w:p>
        </w:tc>
      </w:tr>
      <w:tr w:rsidR="001248EC" w:rsidRPr="00646EA9" w14:paraId="375EA92A" w14:textId="77777777" w:rsidTr="0018655E">
        <w:tc>
          <w:tcPr>
            <w:tcW w:w="1559" w:type="dxa"/>
          </w:tcPr>
          <w:p w14:paraId="768AA871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2268" w:type="dxa"/>
          </w:tcPr>
          <w:p w14:paraId="406CE499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</w:t>
            </w:r>
          </w:p>
        </w:tc>
        <w:tc>
          <w:tcPr>
            <w:tcW w:w="2977" w:type="dxa"/>
          </w:tcPr>
          <w:p w14:paraId="2C8A8AA3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367" w:type="dxa"/>
          </w:tcPr>
          <w:p w14:paraId="59F56CE0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1B8DF27E" w14:textId="77777777" w:rsidTr="0018655E">
        <w:tc>
          <w:tcPr>
            <w:tcW w:w="1559" w:type="dxa"/>
          </w:tcPr>
          <w:p w14:paraId="458C774A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2268" w:type="dxa"/>
          </w:tcPr>
          <w:p w14:paraId="38C93337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  <w:tc>
          <w:tcPr>
            <w:tcW w:w="2977" w:type="dxa"/>
          </w:tcPr>
          <w:p w14:paraId="19BE9CF3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(75)</w:t>
            </w:r>
          </w:p>
        </w:tc>
        <w:tc>
          <w:tcPr>
            <w:tcW w:w="3367" w:type="dxa"/>
          </w:tcPr>
          <w:p w14:paraId="4097D332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(75)</w:t>
            </w:r>
          </w:p>
        </w:tc>
      </w:tr>
      <w:tr w:rsidR="001248EC" w:rsidRPr="00646EA9" w14:paraId="000E1F8F" w14:textId="77777777" w:rsidTr="0018655E">
        <w:tc>
          <w:tcPr>
            <w:tcW w:w="1559" w:type="dxa"/>
          </w:tcPr>
          <w:p w14:paraId="2F9C90A2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268" w:type="dxa"/>
          </w:tcPr>
          <w:p w14:paraId="24656DEC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</w:t>
            </w:r>
          </w:p>
        </w:tc>
        <w:tc>
          <w:tcPr>
            <w:tcW w:w="2977" w:type="dxa"/>
          </w:tcPr>
          <w:p w14:paraId="6236ACC2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3367" w:type="dxa"/>
          </w:tcPr>
          <w:p w14:paraId="668E66E4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1248EC" w:rsidRPr="00646EA9" w14:paraId="66170D65" w14:textId="77777777" w:rsidTr="0018655E">
        <w:tc>
          <w:tcPr>
            <w:tcW w:w="1559" w:type="dxa"/>
          </w:tcPr>
          <w:p w14:paraId="38DD658D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268" w:type="dxa"/>
          </w:tcPr>
          <w:p w14:paraId="208D9955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  <w:tc>
          <w:tcPr>
            <w:tcW w:w="2977" w:type="dxa"/>
          </w:tcPr>
          <w:p w14:paraId="73402173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367" w:type="dxa"/>
          </w:tcPr>
          <w:p w14:paraId="7E50353B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(45)</w:t>
            </w:r>
          </w:p>
        </w:tc>
      </w:tr>
      <w:tr w:rsidR="001248EC" w:rsidRPr="00646EA9" w14:paraId="1357FB2F" w14:textId="77777777" w:rsidTr="0018655E">
        <w:tc>
          <w:tcPr>
            <w:tcW w:w="1559" w:type="dxa"/>
          </w:tcPr>
          <w:p w14:paraId="1D69CA5D" w14:textId="77777777" w:rsidR="001248EC" w:rsidRPr="00646EA9" w:rsidRDefault="00EE53FD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268" w:type="dxa"/>
          </w:tcPr>
          <w:p w14:paraId="7E85101F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3675</w:t>
            </w:r>
          </w:p>
        </w:tc>
        <w:tc>
          <w:tcPr>
            <w:tcW w:w="2977" w:type="dxa"/>
          </w:tcPr>
          <w:p w14:paraId="51C87A42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3367" w:type="dxa"/>
          </w:tcPr>
          <w:p w14:paraId="13071FB4" w14:textId="77777777" w:rsidR="001248EC" w:rsidRPr="00646EA9" w:rsidRDefault="001248EC" w:rsidP="00226C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</w:tbl>
    <w:p w14:paraId="314BF5CB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13DAB" w14:textId="77777777" w:rsidR="007A4DE1" w:rsidRPr="00646EA9" w:rsidRDefault="007A4DE1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Отримані дані зобразимо графічно (рис.2.4).</w:t>
      </w:r>
    </w:p>
    <w:p w14:paraId="7847A98D" w14:textId="77777777" w:rsidR="007A4DE1" w:rsidRPr="00646EA9" w:rsidRDefault="007A4DE1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8678192" wp14:editId="55E28359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407DA8" w14:textId="77777777" w:rsidR="00FD4931" w:rsidRDefault="00FD4931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21848C" w14:textId="77777777" w:rsidR="007A4DE1" w:rsidRPr="00FD4931" w:rsidRDefault="007A4DE1" w:rsidP="00FD49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Рис.2.4. Динаміка абсолютного приросту розрахунків з використанням </w:t>
      </w:r>
      <w:proofErr w:type="spellStart"/>
      <w:r w:rsidRPr="00FD4931">
        <w:rPr>
          <w:rFonts w:ascii="Times New Roman" w:hAnsi="Times New Roman" w:cs="Times New Roman"/>
          <w:b/>
          <w:sz w:val="28"/>
          <w:szCs w:val="28"/>
          <w:lang w:val="uk-UA"/>
        </w:rPr>
        <w:t>чеків</w:t>
      </w:r>
      <w:proofErr w:type="spellEnd"/>
    </w:p>
    <w:p w14:paraId="21E6EC11" w14:textId="77777777" w:rsidR="0018655E" w:rsidRPr="00646EA9" w:rsidRDefault="0018655E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B0FBC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З на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веденої таблиці видно, що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спостерігається різке зростання </w:t>
      </w:r>
      <w:r w:rsidR="007A4DE1" w:rsidRPr="00646EA9">
        <w:rPr>
          <w:rFonts w:ascii="Times New Roman" w:hAnsi="Times New Roman" w:cs="Times New Roman"/>
          <w:sz w:val="28"/>
          <w:szCs w:val="28"/>
          <w:lang w:val="uk-UA"/>
        </w:rPr>
        <w:t>абсолютного базового відхилення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, а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ві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н починає зменшуватись, а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обсяги безготівкових розрахунків знову почали збільшуватись.</w:t>
      </w:r>
      <w:r w:rsidR="007A4DE1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Абсолютне ланцюгове відхилення протягом всього періоду мало тенденцію коливання. Найменше значення він мав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B91D79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т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а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, а найбільше –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B91D79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649764AE" w14:textId="77777777" w:rsidR="001248EC" w:rsidRPr="00646EA9" w:rsidRDefault="001248EC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Тепер розглянемо темпи росту та приросту показників з використання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0A0FFA" w:rsidRPr="000A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370" w:rsidRPr="00646EA9">
        <w:rPr>
          <w:rFonts w:ascii="Times New Roman" w:hAnsi="Times New Roman" w:cs="Times New Roman"/>
          <w:sz w:val="28"/>
          <w:szCs w:val="28"/>
          <w:lang w:val="uk-UA"/>
        </w:rPr>
        <w:t>(табл. 2.10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EFE48B2" w14:textId="77777777" w:rsidR="001248EC" w:rsidRPr="0037224C" w:rsidRDefault="00591370" w:rsidP="001248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224C">
        <w:rPr>
          <w:rFonts w:ascii="Times New Roman" w:hAnsi="Times New Roman" w:cs="Times New Roman"/>
          <w:i/>
          <w:sz w:val="28"/>
          <w:szCs w:val="28"/>
          <w:lang w:val="uk-UA"/>
        </w:rPr>
        <w:t>Таблиця 2.10</w:t>
      </w:r>
    </w:p>
    <w:p w14:paraId="1C379435" w14:textId="77777777" w:rsidR="0037224C" w:rsidRDefault="001248EC" w:rsidP="00124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Темпи росту та приросту кількості розрахунків </w:t>
      </w:r>
    </w:p>
    <w:p w14:paraId="1B3D69EE" w14:textId="77777777" w:rsidR="001248EC" w:rsidRPr="0037224C" w:rsidRDefault="001248EC" w:rsidP="00124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використанням </w:t>
      </w:r>
      <w:proofErr w:type="spellStart"/>
      <w:r w:rsidRPr="0037224C">
        <w:rPr>
          <w:rFonts w:ascii="Times New Roman" w:hAnsi="Times New Roman" w:cs="Times New Roman"/>
          <w:b/>
          <w:sz w:val="28"/>
          <w:szCs w:val="28"/>
          <w:lang w:val="uk-UA"/>
        </w:rPr>
        <w:t>чеків</w:t>
      </w:r>
      <w:proofErr w:type="spellEnd"/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133"/>
        <w:gridCol w:w="1418"/>
        <w:gridCol w:w="1843"/>
        <w:gridCol w:w="1842"/>
        <w:gridCol w:w="1843"/>
        <w:gridCol w:w="1950"/>
      </w:tblGrid>
      <w:tr w:rsidR="001248EC" w:rsidRPr="00646EA9" w14:paraId="0ACC0843" w14:textId="77777777" w:rsidTr="0018655E">
        <w:tc>
          <w:tcPr>
            <w:tcW w:w="1133" w:type="dxa"/>
          </w:tcPr>
          <w:p w14:paraId="1E159D8A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18" w:type="dxa"/>
          </w:tcPr>
          <w:p w14:paraId="3E4974F3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К-ть, К(і)</w:t>
            </w:r>
          </w:p>
        </w:tc>
        <w:tc>
          <w:tcPr>
            <w:tcW w:w="1843" w:type="dxa"/>
          </w:tcPr>
          <w:p w14:paraId="2318628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росту (баз.), %</w:t>
            </w:r>
          </w:p>
        </w:tc>
        <w:tc>
          <w:tcPr>
            <w:tcW w:w="1842" w:type="dxa"/>
          </w:tcPr>
          <w:p w14:paraId="7987824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росту (ланц.), %</w:t>
            </w:r>
          </w:p>
        </w:tc>
        <w:tc>
          <w:tcPr>
            <w:tcW w:w="1843" w:type="dxa"/>
          </w:tcPr>
          <w:p w14:paraId="5E9D6CA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приросту (баз.), %</w:t>
            </w:r>
          </w:p>
        </w:tc>
        <w:tc>
          <w:tcPr>
            <w:tcW w:w="1950" w:type="dxa"/>
          </w:tcPr>
          <w:p w14:paraId="585D3521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приросту (ланц.), %</w:t>
            </w:r>
          </w:p>
        </w:tc>
      </w:tr>
      <w:tr w:rsidR="001248EC" w:rsidRPr="00646EA9" w14:paraId="2FE6727D" w14:textId="77777777" w:rsidTr="0018655E">
        <w:tc>
          <w:tcPr>
            <w:tcW w:w="1133" w:type="dxa"/>
          </w:tcPr>
          <w:p w14:paraId="50659A93" w14:textId="77777777" w:rsidR="001248EC" w:rsidRPr="00646EA9" w:rsidRDefault="00EE53FD" w:rsidP="00102D9A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</w:tcPr>
          <w:p w14:paraId="64E7E7FF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</w:t>
            </w:r>
          </w:p>
        </w:tc>
        <w:tc>
          <w:tcPr>
            <w:tcW w:w="1843" w:type="dxa"/>
          </w:tcPr>
          <w:p w14:paraId="2FBBFF6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5A40C244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14:paraId="016993F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</w:tcPr>
          <w:p w14:paraId="4A5EBF8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48EC" w:rsidRPr="00646EA9" w14:paraId="00214665" w14:textId="77777777" w:rsidTr="0018655E">
        <w:tc>
          <w:tcPr>
            <w:tcW w:w="1133" w:type="dxa"/>
          </w:tcPr>
          <w:p w14:paraId="36C2FF8D" w14:textId="77777777" w:rsidR="001248EC" w:rsidRPr="00646EA9" w:rsidRDefault="00EE53FD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418" w:type="dxa"/>
          </w:tcPr>
          <w:p w14:paraId="71D28B67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  <w:tc>
          <w:tcPr>
            <w:tcW w:w="1843" w:type="dxa"/>
          </w:tcPr>
          <w:p w14:paraId="353ADDB0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97,83</w:t>
            </w:r>
          </w:p>
        </w:tc>
        <w:tc>
          <w:tcPr>
            <w:tcW w:w="1842" w:type="dxa"/>
          </w:tcPr>
          <w:p w14:paraId="2E5778BD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97,83</w:t>
            </w:r>
          </w:p>
        </w:tc>
        <w:tc>
          <w:tcPr>
            <w:tcW w:w="1843" w:type="dxa"/>
          </w:tcPr>
          <w:p w14:paraId="6CBFAF4B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(2,17)</w:t>
            </w:r>
          </w:p>
        </w:tc>
        <w:tc>
          <w:tcPr>
            <w:tcW w:w="1950" w:type="dxa"/>
          </w:tcPr>
          <w:p w14:paraId="10B4B8C6" w14:textId="77777777" w:rsidR="001248EC" w:rsidRPr="00646EA9" w:rsidRDefault="001248EC" w:rsidP="00226C0E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(2,17)</w:t>
            </w:r>
          </w:p>
        </w:tc>
      </w:tr>
    </w:tbl>
    <w:p w14:paraId="17964897" w14:textId="77777777" w:rsidR="00E54628" w:rsidRPr="006B75F0" w:rsidRDefault="0037224C" w:rsidP="0018655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75F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Продовження таблиці 2.10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133"/>
        <w:gridCol w:w="1418"/>
        <w:gridCol w:w="1843"/>
        <w:gridCol w:w="1842"/>
        <w:gridCol w:w="1843"/>
        <w:gridCol w:w="1950"/>
      </w:tblGrid>
      <w:tr w:rsidR="0018655E" w:rsidRPr="00646EA9" w14:paraId="304B8EEB" w14:textId="77777777" w:rsidTr="00D26476">
        <w:tc>
          <w:tcPr>
            <w:tcW w:w="1134" w:type="dxa"/>
          </w:tcPr>
          <w:p w14:paraId="7B6B8FA9" w14:textId="77777777" w:rsidR="0018655E" w:rsidRPr="00646EA9" w:rsidRDefault="00EE53FD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418" w:type="dxa"/>
          </w:tcPr>
          <w:p w14:paraId="6873478D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</w:t>
            </w:r>
          </w:p>
        </w:tc>
        <w:tc>
          <w:tcPr>
            <w:tcW w:w="1843" w:type="dxa"/>
          </w:tcPr>
          <w:p w14:paraId="298CD3B3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105,65</w:t>
            </w:r>
          </w:p>
        </w:tc>
        <w:tc>
          <w:tcPr>
            <w:tcW w:w="1842" w:type="dxa"/>
          </w:tcPr>
          <w:p w14:paraId="1AA24DF3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843" w:type="dxa"/>
          </w:tcPr>
          <w:p w14:paraId="5F952789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5,65</w:t>
            </w:r>
          </w:p>
        </w:tc>
        <w:tc>
          <w:tcPr>
            <w:tcW w:w="1950" w:type="dxa"/>
          </w:tcPr>
          <w:p w14:paraId="781A9ED0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8655E" w:rsidRPr="00646EA9" w14:paraId="3EE2936E" w14:textId="77777777" w:rsidTr="00D26476">
        <w:tc>
          <w:tcPr>
            <w:tcW w:w="1134" w:type="dxa"/>
          </w:tcPr>
          <w:p w14:paraId="5DB6A2DD" w14:textId="77777777" w:rsidR="0018655E" w:rsidRPr="00646EA9" w:rsidRDefault="00EE53FD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418" w:type="dxa"/>
          </w:tcPr>
          <w:p w14:paraId="4292DBCA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  <w:tc>
          <w:tcPr>
            <w:tcW w:w="1843" w:type="dxa"/>
          </w:tcPr>
          <w:p w14:paraId="1706B69E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104,35</w:t>
            </w:r>
          </w:p>
        </w:tc>
        <w:tc>
          <w:tcPr>
            <w:tcW w:w="1842" w:type="dxa"/>
          </w:tcPr>
          <w:p w14:paraId="779883E4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98,77</w:t>
            </w:r>
          </w:p>
        </w:tc>
        <w:tc>
          <w:tcPr>
            <w:tcW w:w="1843" w:type="dxa"/>
          </w:tcPr>
          <w:p w14:paraId="3108C062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4,35</w:t>
            </w:r>
          </w:p>
        </w:tc>
        <w:tc>
          <w:tcPr>
            <w:tcW w:w="1950" w:type="dxa"/>
          </w:tcPr>
          <w:p w14:paraId="37C94180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(1,23)</w:t>
            </w:r>
          </w:p>
        </w:tc>
      </w:tr>
      <w:tr w:rsidR="0018655E" w:rsidRPr="00646EA9" w14:paraId="7A6E05CA" w14:textId="77777777" w:rsidTr="00D26476">
        <w:tc>
          <w:tcPr>
            <w:tcW w:w="1134" w:type="dxa"/>
          </w:tcPr>
          <w:p w14:paraId="153ECB30" w14:textId="77777777" w:rsidR="0018655E" w:rsidRPr="00646EA9" w:rsidRDefault="00EE53FD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18" w:type="dxa"/>
          </w:tcPr>
          <w:p w14:paraId="2505BD51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3675</w:t>
            </w:r>
          </w:p>
        </w:tc>
        <w:tc>
          <w:tcPr>
            <w:tcW w:w="1843" w:type="dxa"/>
          </w:tcPr>
          <w:p w14:paraId="683C8DD6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106,52</w:t>
            </w:r>
          </w:p>
        </w:tc>
        <w:tc>
          <w:tcPr>
            <w:tcW w:w="1842" w:type="dxa"/>
          </w:tcPr>
          <w:p w14:paraId="761A3A88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102,08</w:t>
            </w:r>
          </w:p>
        </w:tc>
        <w:tc>
          <w:tcPr>
            <w:tcW w:w="1843" w:type="dxa"/>
          </w:tcPr>
          <w:p w14:paraId="674473E8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6,52</w:t>
            </w:r>
          </w:p>
        </w:tc>
        <w:tc>
          <w:tcPr>
            <w:tcW w:w="1950" w:type="dxa"/>
          </w:tcPr>
          <w:p w14:paraId="481F78E7" w14:textId="77777777" w:rsidR="0018655E" w:rsidRPr="00646EA9" w:rsidRDefault="0018655E" w:rsidP="00D26476">
            <w:pPr>
              <w:tabs>
                <w:tab w:val="left" w:pos="33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2,08</w:t>
            </w:r>
          </w:p>
        </w:tc>
      </w:tr>
    </w:tbl>
    <w:p w14:paraId="69E10859" w14:textId="77777777" w:rsidR="0018655E" w:rsidRPr="00646EA9" w:rsidRDefault="0018655E" w:rsidP="001865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90A22CF" w14:textId="77777777" w:rsidR="001248EC" w:rsidRPr="00646EA9" w:rsidRDefault="00591370" w:rsidP="0012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Як видно з таблиці 2.10</w:t>
      </w:r>
      <w:r w:rsidR="001248EC" w:rsidRPr="00646EA9">
        <w:rPr>
          <w:rFonts w:ascii="Times New Roman" w:hAnsi="Times New Roman" w:cs="Times New Roman"/>
          <w:sz w:val="28"/>
          <w:szCs w:val="28"/>
          <w:lang w:val="uk-UA"/>
        </w:rPr>
        <w:t>, найбільші темпи росту та приросту спостерігалися в останньому році.</w:t>
      </w:r>
    </w:p>
    <w:p w14:paraId="14E64F4B" w14:textId="77777777" w:rsidR="00515A72" w:rsidRPr="00646EA9" w:rsidRDefault="00BB5C65" w:rsidP="0028290F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Зобразимо графічно темпи росту і темпи приросту розрахунків з використанням всіх платіжних документів (рис. 2.5, 2.6).</w:t>
      </w:r>
    </w:p>
    <w:p w14:paraId="627CBFE5" w14:textId="77777777" w:rsidR="00BB5C65" w:rsidRPr="00646EA9" w:rsidRDefault="00BB5C65" w:rsidP="0028290F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DD5C7D8" wp14:editId="3D60937E">
            <wp:extent cx="5486400" cy="33528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6DA9140" w14:textId="77777777" w:rsidR="006B75F0" w:rsidRDefault="006B75F0" w:rsidP="00E075E2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33504" w14:textId="77777777" w:rsidR="00E075E2" w:rsidRPr="006B75F0" w:rsidRDefault="00CF2497" w:rsidP="006B75F0">
      <w:pPr>
        <w:pStyle w:val="a3"/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Рис.2.5. Темпи росту розрахунків з використанням платіжних доручень, платіжних вимог-доручень та </w:t>
      </w:r>
      <w:proofErr w:type="spellStart"/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>чеків</w:t>
      </w:r>
      <w:proofErr w:type="spellEnd"/>
    </w:p>
    <w:p w14:paraId="1815C275" w14:textId="77777777" w:rsidR="0018655E" w:rsidRPr="00646EA9" w:rsidRDefault="0018655E" w:rsidP="00E075E2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D1BA7A" w14:textId="77777777" w:rsidR="00CF2497" w:rsidRPr="00646EA9" w:rsidRDefault="00CF2497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Як видно з наведеного графіку (рис.2.5), найбільші темпи росту спостерігались при розрахунках платіжними вимогами-дорученнями.</w:t>
      </w:r>
    </w:p>
    <w:p w14:paraId="29EBA819" w14:textId="77777777" w:rsidR="00CF2497" w:rsidRPr="00646EA9" w:rsidRDefault="00CF2497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D072383" wp14:editId="55EA3127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09C8F63" w14:textId="77777777" w:rsidR="006B75F0" w:rsidRDefault="006B75F0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5ADAC" w14:textId="77777777" w:rsidR="00CF2497" w:rsidRPr="006B75F0" w:rsidRDefault="00CF2497" w:rsidP="006B75F0">
      <w:pPr>
        <w:pStyle w:val="a3"/>
        <w:tabs>
          <w:tab w:val="left" w:pos="334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>Рис.</w:t>
      </w:r>
      <w:r w:rsidR="00F40F40" w:rsidRPr="006B7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="004A7D90">
        <w:rPr>
          <w:rFonts w:ascii="Times New Roman" w:hAnsi="Times New Roman" w:cs="Times New Roman"/>
          <w:b/>
          <w:sz w:val="28"/>
          <w:szCs w:val="28"/>
          <w:lang w:val="uk-UA"/>
        </w:rPr>
        <w:t>Коливання темпів</w:t>
      </w:r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приросту розрахунків з використанням платіжних доручень, платіжних вимог-доручень та розрахункових </w:t>
      </w:r>
      <w:proofErr w:type="spellStart"/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>чеків</w:t>
      </w:r>
      <w:proofErr w:type="spellEnd"/>
    </w:p>
    <w:p w14:paraId="235457C2" w14:textId="77777777" w:rsidR="0018655E" w:rsidRPr="00646EA9" w:rsidRDefault="0018655E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770C2" w14:textId="77777777" w:rsidR="00CF2497" w:rsidRPr="00646EA9" w:rsidRDefault="00F40F40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На рис. 2.6 видно, що найбільші коливання темпів приросту також спостерігались при розрахунках платіжними вимогами-дорученнями.</w:t>
      </w:r>
    </w:p>
    <w:p w14:paraId="196DC707" w14:textId="556B9A75" w:rsidR="0069677A" w:rsidRPr="00646EA9" w:rsidRDefault="00170245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9677A" w:rsidRPr="00646EA9">
        <w:rPr>
          <w:rFonts w:ascii="Times New Roman" w:hAnsi="Times New Roman" w:cs="Times New Roman"/>
          <w:sz w:val="28"/>
          <w:szCs w:val="28"/>
          <w:lang w:val="uk-UA"/>
        </w:rPr>
        <w:t>біг досліджуваних платіжних документів не мав стабільної тенденції, показники мали як тенденцію збільшення, так і тенденцію зменшення. Найбільшого приросту набули розрахунки платіжними вимогами-дорученнями.</w:t>
      </w:r>
    </w:p>
    <w:p w14:paraId="23791775" w14:textId="7EF8950C" w:rsidR="002D69F9" w:rsidRPr="00646EA9" w:rsidRDefault="002D69F9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проведений аналіз структури та динаміки </w:t>
      </w:r>
      <w:r w:rsidR="00170245">
        <w:rPr>
          <w:rFonts w:ascii="Times New Roman" w:hAnsi="Times New Roman" w:cs="Times New Roman"/>
          <w:sz w:val="28"/>
          <w:szCs w:val="28"/>
          <w:lang w:val="uk-UA"/>
        </w:rPr>
        <w:t>розрахунків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, розрахунок абсолютних показників приросту </w:t>
      </w:r>
      <w:r w:rsidR="0094698A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розрахунків з використанням платіжних інструментів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та темпів росту та приросту </w:t>
      </w:r>
      <w:r w:rsidR="0094698A" w:rsidRPr="00646EA9">
        <w:rPr>
          <w:rFonts w:ascii="Times New Roman" w:hAnsi="Times New Roman" w:cs="Times New Roman"/>
          <w:sz w:val="28"/>
          <w:szCs w:val="28"/>
          <w:lang w:val="uk-UA"/>
        </w:rPr>
        <w:t>цих показників, дозволяє перейди до визначення проблем та перспектив</w:t>
      </w:r>
      <w:r w:rsidR="00170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85BB04" w14:textId="77777777" w:rsidR="0094698A" w:rsidRPr="00646EA9" w:rsidRDefault="0094698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48EA6" w14:textId="77777777" w:rsidR="0094698A" w:rsidRPr="00646EA9" w:rsidRDefault="0094698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15C6F" w14:textId="77777777" w:rsidR="0094698A" w:rsidRPr="00646EA9" w:rsidRDefault="0094698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3D7E7" w14:textId="77777777" w:rsidR="0094698A" w:rsidRPr="00646EA9" w:rsidRDefault="0094698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7EA0FE" w14:textId="77777777" w:rsidR="006B75F0" w:rsidRPr="006B75F0" w:rsidRDefault="006B75F0" w:rsidP="00D2647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F0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2</w:t>
      </w:r>
    </w:p>
    <w:p w14:paraId="03F315A8" w14:textId="77777777" w:rsidR="006B75F0" w:rsidRDefault="006B75F0" w:rsidP="00D2647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92784B" w14:textId="77777777" w:rsidR="00D26476" w:rsidRPr="00646EA9" w:rsidRDefault="00906311" w:rsidP="00D2647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другий розділ, </w:t>
      </w:r>
      <w:r w:rsidR="00D2647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слід сказати, що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D2647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є стабільною установою, яка постійно розвивається та адекватно реагує на процеси, що відбуваються в економіці країни і світу.</w:t>
      </w:r>
    </w:p>
    <w:p w14:paraId="511D99CE" w14:textId="1075D60D" w:rsidR="0094698A" w:rsidRPr="00646EA9" w:rsidRDefault="004F4356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Аналіз фінансово-економічних показників виявив, що активи у звітному році зросли на 262 864 тис. гр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н., що становить 1,05 % від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року; зобов’язання також зросл</w:t>
      </w:r>
      <w:r w:rsidR="00F33865">
        <w:rPr>
          <w:rFonts w:ascii="Times New Roman" w:hAnsi="Times New Roman" w:cs="Times New Roman"/>
          <w:sz w:val="28"/>
          <w:szCs w:val="28"/>
          <w:lang w:val="uk-UA"/>
        </w:rPr>
        <w:t>и. А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наліз фінансово-економічних показників свідчить про активну позицію банку та стабільність його.</w:t>
      </w:r>
    </w:p>
    <w:p w14:paraId="77A25564" w14:textId="72349FCB" w:rsidR="004F4356" w:rsidRPr="00646EA9" w:rsidRDefault="00F33865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F4356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датність банку залучати кошти на фінансовому ринку знизилась, з огляду на складність залучення депозитів в сучасних умовах, про що говорить зниження коефіцієнта важеля на 0,3.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F4356" w:rsidRPr="00646EA9">
        <w:rPr>
          <w:rFonts w:ascii="Times New Roman" w:hAnsi="Times New Roman" w:cs="Times New Roman"/>
          <w:sz w:val="28"/>
          <w:szCs w:val="28"/>
          <w:lang w:val="uk-UA"/>
        </w:rPr>
        <w:t>авдяки швидшому зростання обсягу власного капіталу над активами, що і доводить зниження мультиплікатора капіталу. Отже, фінансова стійкість була збільшена завдяки загальному підвищенню всіх основних статей балансу банку.</w:t>
      </w:r>
    </w:p>
    <w:p w14:paraId="29B2CA33" w14:textId="77777777" w:rsidR="008B7C6A" w:rsidRPr="00646EA9" w:rsidRDefault="008B7C6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З аналізу ділової активності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видно, що обсяги кредитування зменшились, що пов’язане з поверненням кредитів, загалом кредитування в банку відновлене.</w:t>
      </w:r>
    </w:p>
    <w:p w14:paraId="4B03DD85" w14:textId="77777777" w:rsidR="008B7C6A" w:rsidRPr="00646EA9" w:rsidRDefault="008B7C6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Отже, проведений аналіз фінансового стану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те, що загалом діяльність банку у звітному році була ефективною, що пов’язане із загальним стабільним станом банківської системи.</w:t>
      </w:r>
    </w:p>
    <w:p w14:paraId="6E560CBB" w14:textId="77660AAC" w:rsidR="008B7C6A" w:rsidRPr="00646EA9" w:rsidRDefault="00F33865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B7C6A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8B7C6A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вони здійснюються через такі системи як: операційний відділ, «Клієнт-банк», Інтернет-банкінг. </w:t>
      </w:r>
    </w:p>
    <w:p w14:paraId="763364D5" w14:textId="25DA1031" w:rsidR="008B7C6A" w:rsidRPr="00646EA9" w:rsidRDefault="008B7C6A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застосовуються всі форми</w:t>
      </w:r>
      <w:r w:rsidR="00F3386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ордер, платіжне доручення, платіжна вимога-доручення, платіжна вимога, розрахункові чеки, акредитив, інкасове доручення, векселі та банківські картки [14]. Але найпоширенішими є такі форми: платіжне  доручення, чек, платіжна вимога-доручення, що складає </w:t>
      </w:r>
      <w:r w:rsidR="00CC489D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у відсотковому відношенні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CC489D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96%,  2,86% та 1,14% </w:t>
      </w:r>
      <w:r w:rsidR="007A2146">
        <w:rPr>
          <w:rFonts w:ascii="Times New Roman" w:hAnsi="Times New Roman" w:cs="Times New Roman"/>
          <w:sz w:val="28"/>
          <w:szCs w:val="28"/>
          <w:lang w:val="uk-UA"/>
        </w:rPr>
        <w:t xml:space="preserve"> за досліджуваний період (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0A0F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CC489D" w:rsidRPr="00646EA9">
        <w:rPr>
          <w:rFonts w:ascii="Times New Roman" w:hAnsi="Times New Roman" w:cs="Times New Roman"/>
          <w:sz w:val="28"/>
          <w:szCs w:val="28"/>
          <w:lang w:val="uk-UA"/>
        </w:rPr>
        <w:t>рр.).</w:t>
      </w:r>
    </w:p>
    <w:p w14:paraId="2CB025CF" w14:textId="39ABEBC3" w:rsidR="008B7C6A" w:rsidRPr="00646EA9" w:rsidRDefault="00CC489D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аналіз виявив, що збільшення розрахунків з використанням платіжних доручень спостерігалося на протязі усього досліджуваного періоду; розрахунки коливалися протягом всього періоду, найбільш</w:t>
      </w:r>
      <w:r w:rsidR="00BA25DB">
        <w:rPr>
          <w:rFonts w:ascii="Times New Roman" w:hAnsi="Times New Roman" w:cs="Times New Roman"/>
          <w:sz w:val="28"/>
          <w:szCs w:val="28"/>
          <w:lang w:val="uk-UA"/>
        </w:rPr>
        <w:t xml:space="preserve">ого значення вони досягли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році; розрахунки із використанням </w:t>
      </w:r>
      <w:proofErr w:type="spellStart"/>
      <w:r w:rsidRPr="00646EA9">
        <w:rPr>
          <w:rFonts w:ascii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також мали тенденцію коливання</w:t>
      </w:r>
      <w:r w:rsidR="00267465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A9">
        <w:rPr>
          <w:rFonts w:ascii="Times New Roman" w:hAnsi="Times New Roman" w:cs="Times New Roman"/>
          <w:sz w:val="28"/>
          <w:szCs w:val="28"/>
          <w:lang w:val="uk-UA"/>
        </w:rPr>
        <w:t>- на початку аналізованого періоду</w:t>
      </w:r>
      <w:r w:rsidR="00267465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було р</w:t>
      </w:r>
      <w:r w:rsidR="00BA25DB">
        <w:rPr>
          <w:rFonts w:ascii="Times New Roman" w:hAnsi="Times New Roman" w:cs="Times New Roman"/>
          <w:sz w:val="28"/>
          <w:szCs w:val="28"/>
          <w:lang w:val="uk-UA"/>
        </w:rPr>
        <w:t xml:space="preserve">ізке зростання показника,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267465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він починає зменшуватись, а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267465"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 році обсяги розрахунків чеками знову почали збільшуватись.</w:t>
      </w:r>
    </w:p>
    <w:p w14:paraId="7CA7355C" w14:textId="77777777" w:rsidR="00267465" w:rsidRPr="00646EA9" w:rsidRDefault="00267465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>Наведені графіки темпів росту та приросту показали, що найбільші коливання спостерігались при розрахунках платіжними вимогами-дорученнями.</w:t>
      </w:r>
    </w:p>
    <w:p w14:paraId="35B70F58" w14:textId="77777777" w:rsidR="00267465" w:rsidRPr="00646EA9" w:rsidRDefault="00A755E1" w:rsidP="00CF2497">
      <w:pPr>
        <w:pStyle w:val="a3"/>
        <w:tabs>
          <w:tab w:val="left" w:pos="33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A9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проведеного аналізу </w:t>
      </w:r>
      <w:r w:rsidR="0069677A" w:rsidRPr="00646EA9">
        <w:rPr>
          <w:rFonts w:ascii="Times New Roman" w:hAnsi="Times New Roman" w:cs="Times New Roman"/>
          <w:sz w:val="28"/>
          <w:szCs w:val="28"/>
          <w:lang w:val="uk-UA"/>
        </w:rPr>
        <w:t>можна зробити висновки, що обіг досліджуваних платіжних документів не мав стабільної тенденції, показники мали як тенденцію збільшення, так і тенденцію зменшення.</w:t>
      </w:r>
    </w:p>
    <w:p w14:paraId="4AD485CD" w14:textId="77777777" w:rsidR="00CC489D" w:rsidRDefault="00CC489D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1DD35A" w14:textId="77777777" w:rsidR="00EC3A5C" w:rsidRDefault="00EC3A5C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420148" w14:textId="77777777" w:rsidR="00EC3A5C" w:rsidRDefault="00EC3A5C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7FBF9" w14:textId="77777777" w:rsidR="00EC3A5C" w:rsidRDefault="00EC3A5C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CA70F9" w14:textId="77777777" w:rsidR="00EC3A5C" w:rsidRDefault="00EC3A5C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5CE17E" w14:textId="13806804" w:rsidR="00EC3A5C" w:rsidRPr="009A0ED6" w:rsidRDefault="009A0ED6" w:rsidP="009A0ED6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E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</w:p>
    <w:p w14:paraId="1D435ADE" w14:textId="77777777" w:rsidR="009A0ED6" w:rsidRDefault="009A0ED6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01C40D" w14:textId="77777777" w:rsidR="009A0ED6" w:rsidRDefault="009A0ED6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AF28D" w14:textId="40232291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5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3.1</w:t>
      </w:r>
      <w:r w:rsidR="002C4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B45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6C7DE2B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862880" w14:textId="21ACAE51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3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45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кономіці України пластикові картки застосовуються з 1996 року, коли в національній банківській системі почався період певної стабілізації. </w:t>
      </w:r>
    </w:p>
    <w:p w14:paraId="10D8EE48" w14:textId="73269ABB" w:rsidR="00B456C2" w:rsidRPr="00B456C2" w:rsidRDefault="00F33865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 w:rsidR="00B456C2"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редметом дослідження виступає послуга з надання карткового обслуговування клієнтам </w:t>
      </w:r>
      <w:r w:rsidR="00EA523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ХФ АБ «</w:t>
      </w:r>
      <w:proofErr w:type="spellStart"/>
      <w:r w:rsidR="002E00B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Індустріал</w:t>
      </w:r>
      <w:r w:rsidR="00EA523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банк</w:t>
      </w:r>
      <w:proofErr w:type="spellEnd"/>
      <w:r w:rsidR="00EA523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</w:t>
      </w:r>
      <w:r w:rsidR="00B456C2" w:rsidRPr="00362C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то</w:t>
      </w:r>
      <w:r w:rsidR="00B456C2"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розгляд взято декілька крупних банків Харківського регіону стано</w:t>
      </w:r>
      <w:r w:rsidR="00BA25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 на 01.03.</w:t>
      </w:r>
      <w:r w:rsidR="00EE53F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2018</w:t>
      </w:r>
      <w:r w:rsidR="00B456C2"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р.</w:t>
      </w:r>
    </w:p>
    <w:p w14:paraId="652D208A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F463ADB" w14:textId="77777777" w:rsidR="00B456C2" w:rsidRPr="00B456C2" w:rsidRDefault="00B456C2" w:rsidP="002C4EBC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Pr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= f (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Im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D) 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(3.1)</w:t>
      </w:r>
    </w:p>
    <w:p w14:paraId="144CAC8B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2F1667D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Так як оперуємо безособовими величинами, призначеними для якісних оцінок та порівняння конкурентоспроможності карткового обслуговування, то в якості узагальненого показника конкурентоспроможності (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Pr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може бути запропонована лінійна залежність:</w:t>
      </w:r>
    </w:p>
    <w:p w14:paraId="01F58475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2E73514" w14:textId="77777777" w:rsidR="00B456C2" w:rsidRPr="00B456C2" w:rsidRDefault="00B456C2" w:rsidP="002C4EBC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Pr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= K1*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Im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+ K2*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+ K3*D 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(3.2)</w:t>
      </w:r>
    </w:p>
    <w:p w14:paraId="3AEC100F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D30F2CF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 К1, К2, К3 - коефіцієнти, що визначають значимість вказаних параметрів у споживацьких мотиваціях.</w:t>
      </w:r>
    </w:p>
    <w:p w14:paraId="29DF9D22" w14:textId="084C79FC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результаті кінцева залежність:</w:t>
      </w:r>
    </w:p>
    <w:p w14:paraId="029BE218" w14:textId="77777777" w:rsidR="002C4EBC" w:rsidRDefault="002C4EBC" w:rsidP="00B456C2">
      <w:pPr>
        <w:keepNext/>
        <w:shd w:val="clear" w:color="auto" w:fill="FFFFFF"/>
        <w:suppressAutoHyphen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</w:pPr>
    </w:p>
    <w:p w14:paraId="313D63CC" w14:textId="77777777" w:rsidR="00B456C2" w:rsidRPr="00B456C2" w:rsidRDefault="00B456C2" w:rsidP="002C4EBC">
      <w:pPr>
        <w:keepNext/>
        <w:shd w:val="clear" w:color="auto" w:fill="FFFFFF"/>
        <w:suppressAutoHyphens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</w:pPr>
      <w:proofErr w:type="spellStart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>Pr</w:t>
      </w:r>
      <w:proofErr w:type="spellEnd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 xml:space="preserve"> = 0,5*</w:t>
      </w:r>
      <w:proofErr w:type="spellStart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>Im</w:t>
      </w:r>
      <w:proofErr w:type="spellEnd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 xml:space="preserve"> + 0,2*</w:t>
      </w:r>
      <w:proofErr w:type="spellStart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 xml:space="preserve"> + 0,3*D </w:t>
      </w:r>
      <w:r w:rsidR="002C4EBC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ab/>
      </w:r>
      <w:r w:rsidR="002C4EBC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ab/>
      </w:r>
      <w:r w:rsidRPr="00B456C2"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>(3.4)</w:t>
      </w:r>
    </w:p>
    <w:p w14:paraId="1B2A61FB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3FD8EA2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Імідж – суспільна уява про якість банку, включаючи довго тривалість безконфліктного існування на ринку, позитивні відгуки влади (ЗМІ, влади, реклама та ін.), престижність. Головною складовою іміджу є довіра клієнту. В даному проекті імідж визначений через довіру клієнтів у вигляді співвідношення коштів юридичних і фізичних осіб до пасивів балансів відповідних банків.</w:t>
      </w:r>
    </w:p>
    <w:p w14:paraId="7155BC62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табл. 3.1 наведений рівень довіри клієнтів, банкам 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Луганс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ького регіону.</w:t>
      </w:r>
    </w:p>
    <w:p w14:paraId="0128EC26" w14:textId="77777777" w:rsidR="002C4EBC" w:rsidRPr="00117533" w:rsidRDefault="00B456C2" w:rsidP="002C4EBC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175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3.1</w:t>
      </w:r>
    </w:p>
    <w:p w14:paraId="19F81AB0" w14:textId="77777777" w:rsidR="00B456C2" w:rsidRPr="00B456C2" w:rsidRDefault="00B456C2" w:rsidP="002C4E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Ступінь довіри клієнтів деякими банками </w:t>
      </w:r>
      <w:r w:rsidR="00BB1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</w:t>
      </w:r>
      <w:r w:rsidRPr="002C4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2C4EBC" w:rsidRPr="002C4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ького регіону станом на 1.03.</w:t>
      </w:r>
      <w:r w:rsidR="00EE5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2018</w:t>
      </w:r>
      <w:r w:rsidRPr="00B45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2316"/>
        <w:gridCol w:w="2277"/>
        <w:gridCol w:w="1924"/>
      </w:tblGrid>
      <w:tr w:rsidR="00B456C2" w:rsidRPr="002C4EBC" w14:paraId="15B1F0F8" w14:textId="77777777" w:rsidTr="002C4EBC">
        <w:trPr>
          <w:trHeight w:val="1052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A435" w14:textId="77777777" w:rsidR="00B456C2" w:rsidRPr="00B456C2" w:rsidRDefault="00B456C2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Назва банку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7B8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Питома вага коштів клієнтів в пасиві банку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CC59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Імідж банку з урахуванням коефіцієнту значення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B582A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Рейтинг іміджу</w:t>
            </w:r>
          </w:p>
        </w:tc>
      </w:tr>
      <w:tr w:rsidR="00B456C2" w:rsidRPr="00B456C2" w14:paraId="4D555168" w14:textId="77777777" w:rsidTr="002C4EBC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05ED" w14:textId="77777777" w:rsidR="00B456C2" w:rsidRPr="00B456C2" w:rsidRDefault="001761F8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</w:t>
            </w:r>
            <w:r w:rsidR="00BB1F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 </w:t>
            </w:r>
            <w:r w:rsidR="002C4EB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«Укрсоцбанк»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38E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0,77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9CDA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0,3850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39AC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2</w:t>
            </w:r>
          </w:p>
        </w:tc>
      </w:tr>
      <w:tr w:rsidR="00B456C2" w:rsidRPr="00B456C2" w14:paraId="59D0B25C" w14:textId="77777777" w:rsidTr="002C4EBC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0D474" w14:textId="77777777" w:rsidR="00B456C2" w:rsidRPr="00B456C2" w:rsidRDefault="00BB1F2F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ПАТ 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«Південний</w:t>
            </w:r>
            <w:r w:rsidR="002C4EB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33F8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0,58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12A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0,2900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9C9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</w:tr>
      <w:tr w:rsidR="00B456C2" w:rsidRPr="00B456C2" w14:paraId="070DA97A" w14:textId="77777777" w:rsidTr="002C4EBC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5B46" w14:textId="77777777" w:rsidR="00B456C2" w:rsidRPr="00B456C2" w:rsidRDefault="00EE53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 КБ «ПРИВАТБАНК»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55CD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0,63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7070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5ABD3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</w:tr>
      <w:tr w:rsidR="00B456C2" w:rsidRPr="00B456C2" w14:paraId="35B47646" w14:textId="77777777" w:rsidTr="002C4EBC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B6F69" w14:textId="77777777" w:rsidR="00B456C2" w:rsidRPr="00B456C2" w:rsidRDefault="00BB1F2F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lastRenderedPageBreak/>
              <w:t xml:space="preserve">АТ </w:t>
            </w:r>
            <w:r w:rsidR="00EC6EF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Ощадбанк</w:t>
            </w:r>
            <w:r w:rsidR="00EC6EF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DCA9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0,52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0D1B9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0,2600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972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5</w:t>
            </w:r>
          </w:p>
        </w:tc>
      </w:tr>
      <w:tr w:rsidR="00B456C2" w:rsidRPr="00B456C2" w14:paraId="355CBBE6" w14:textId="77777777" w:rsidTr="002C4EBC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387D" w14:textId="77777777" w:rsidR="00B456C2" w:rsidRPr="00B456C2" w:rsidRDefault="002C4EBC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ПУМБ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042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0,89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B1A5A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0,4450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EA6AC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</w:t>
            </w:r>
          </w:p>
        </w:tc>
      </w:tr>
    </w:tbl>
    <w:p w14:paraId="41A12EDC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F8F92A0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 табл. 3.1 видно, що найвищою довірою серед у клієнтів серед </w:t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Луган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ських банків користуються банки Укрсоцбанк, до банків з середні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 р</w:t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івнем довіри можна віднести Приватбанк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ПАТ «</w:t>
      </w:r>
      <w:r w:rsidR="00362C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Південний</w:t>
      </w:r>
      <w:r w:rsidR="002C4E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21F8E2C3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Наступною складовою інтегрального показника є сприятливість тарифної політики послуг (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 Сприятливість визначається співвідношенням діючого тарифу з найбільш вигідним для клієнта</w:t>
      </w:r>
      <w:r w:rsidR="00E4188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аналогічну послугу на ринку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(табл. 3.2). Сприятливість послуги розраховується за формулою 3.4.</w:t>
      </w:r>
    </w:p>
    <w:p w14:paraId="64201620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DFDA7CF" w14:textId="77777777" w:rsidR="00B456C2" w:rsidRDefault="00B456C2" w:rsidP="00117533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= (t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min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/ (t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min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t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max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</w:t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(3.4)</w:t>
      </w:r>
    </w:p>
    <w:p w14:paraId="471B9667" w14:textId="77777777" w:rsidR="00117533" w:rsidRPr="00B456C2" w:rsidRDefault="00117533" w:rsidP="00117533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865BDF8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де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сприятливість тарифної політики;</w:t>
      </w:r>
    </w:p>
    <w:p w14:paraId="423590AF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tr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діючий тариф;</w:t>
      </w:r>
    </w:p>
    <w:p w14:paraId="1BFC6F41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t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min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найменш вигідний тариф для клієнта;</w:t>
      </w:r>
    </w:p>
    <w:p w14:paraId="3E44D6BF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t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max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найбільш вигідний тариф для клієнта.</w:t>
      </w:r>
    </w:p>
    <w:p w14:paraId="71EF37D3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При розгляді тарифів має сенс аналізувати лише тарифи, які підтверджують зацікавленість банку в виконанні даної послуги. Розрахунок ступеню сприятливості тарифної політики з карткового обслуговування по банкам </w:t>
      </w:r>
      <w:r w:rsidR="001175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Луган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ської області представлений в табл. 3.2.</w:t>
      </w:r>
    </w:p>
    <w:p w14:paraId="013D7CB6" w14:textId="77777777" w:rsidR="00117533" w:rsidRPr="00117533" w:rsidRDefault="00B456C2" w:rsidP="00117533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175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3.2</w:t>
      </w:r>
    </w:p>
    <w:p w14:paraId="2EE60AB0" w14:textId="78F07DB4" w:rsidR="00B456C2" w:rsidRPr="00117533" w:rsidRDefault="00B456C2" w:rsidP="0011753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1030"/>
        <w:gridCol w:w="1199"/>
        <w:gridCol w:w="1152"/>
        <w:gridCol w:w="1775"/>
        <w:gridCol w:w="1378"/>
      </w:tblGrid>
      <w:tr w:rsidR="00B456C2" w:rsidRPr="00117533" w14:paraId="4649D46E" w14:textId="77777777" w:rsidTr="002C4EBC">
        <w:trPr>
          <w:cantSplit/>
          <w:trHeight w:val="375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4E119" w14:textId="0CA3792C" w:rsidR="00B456C2" w:rsidRPr="00B456C2" w:rsidRDefault="00F33865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Банк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C554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Тариф, %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A18C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Коефіцієнт сприятливості тарифної політики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2B0A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Рейтинг банків за привабливістю тарифів</w:t>
            </w:r>
          </w:p>
        </w:tc>
      </w:tr>
      <w:tr w:rsidR="00B456C2" w:rsidRPr="00B456C2" w14:paraId="06BDDE32" w14:textId="77777777" w:rsidTr="002C4EBC">
        <w:trPr>
          <w:cantSplit/>
          <w:trHeight w:val="1875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69D6" w14:textId="77777777" w:rsidR="00B456C2" w:rsidRPr="00B456C2" w:rsidRDefault="00B456C2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037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діючий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5EC6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найбільш вигідний для клієнту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2FFE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найменш вигідний для клієнту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306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91D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B456C2" w:rsidRPr="00B456C2" w14:paraId="74F63230" w14:textId="77777777" w:rsidTr="002C4EBC">
        <w:trPr>
          <w:trHeight w:val="37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1C5A8" w14:textId="77777777" w:rsidR="00B456C2" w:rsidRPr="00B456C2" w:rsidRDefault="00EC6EFD" w:rsidP="0011753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АТ </w:t>
            </w:r>
            <w:r w:rsidR="0011753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</w:t>
            </w:r>
            <w:r w:rsidR="00B456C2"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Укрсоцбанк</w:t>
            </w:r>
            <w:r w:rsidR="0011753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9F4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0,5000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3AAE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F612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E6F0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0,1304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64E4A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</w:t>
            </w:r>
          </w:p>
        </w:tc>
      </w:tr>
      <w:tr w:rsidR="00B456C2" w:rsidRPr="00B456C2" w14:paraId="06F6668C" w14:textId="77777777" w:rsidTr="002C4EBC">
        <w:trPr>
          <w:trHeight w:val="37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5C51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ПАТ 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«Південний</w:t>
            </w:r>
            <w:r w:rsidR="0011753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25316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0,7500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4DA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F7A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5ADF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0,1077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075D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</w:tr>
      <w:tr w:rsidR="00B456C2" w:rsidRPr="00B456C2" w14:paraId="74597819" w14:textId="77777777" w:rsidTr="002C4EBC">
        <w:trPr>
          <w:trHeight w:val="37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8B25F" w14:textId="77777777" w:rsidR="00B456C2" w:rsidRPr="00B456C2" w:rsidRDefault="00EE53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 КБ «ПРИВАТБАНК»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FB21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0,6000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E6F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6E5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CC6D6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0,1250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4B611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2</w:t>
            </w:r>
          </w:p>
        </w:tc>
      </w:tr>
      <w:tr w:rsidR="00B456C2" w:rsidRPr="00B456C2" w14:paraId="42F583C2" w14:textId="77777777" w:rsidTr="002C4EBC">
        <w:trPr>
          <w:trHeight w:val="37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153B1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lastRenderedPageBreak/>
              <w:t>АТ «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Ощадбанк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6379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1,0000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8FF4E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7582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EDED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0,0294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88B52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</w:tr>
      <w:tr w:rsidR="00B456C2" w:rsidRPr="00B456C2" w14:paraId="718BE74B" w14:textId="77777777" w:rsidTr="002C4EBC">
        <w:trPr>
          <w:trHeight w:val="37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C8171" w14:textId="77777777" w:rsidR="00B456C2" w:rsidRPr="00B456C2" w:rsidRDefault="00117533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ПУМБ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EAF5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1,0000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91D3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23F1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1,1000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129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0,0286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7A5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5</w:t>
            </w:r>
          </w:p>
        </w:tc>
      </w:tr>
    </w:tbl>
    <w:p w14:paraId="1F350EFA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18C417F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 табл. 3.2 видно, що ринок названої послуги характеризується високою конкуренцією між банками. Про свідчить досить однорідний тариф у банків, які розглянуто. Тариф відрізняється максимум на 0,5%.</w:t>
      </w:r>
    </w:p>
    <w:p w14:paraId="0CB97337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Наступним параметром в функції для визначення конкурентоспроможності послуги є доступність (D). При визначенні міри доступності використовується припущення раціональності розміщення мережі філій банків по території, що обслуговується. При цьому доступність хоч і визначається кількістю філіалів банків, не пов’язана лінійно з розвитком мережі філій.</w:t>
      </w:r>
    </w:p>
    <w:p w14:paraId="4185C2CC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Шляхом експертних оцінок встановлено, що доступність послуги (D) в залежності від кількості філій (N) визначається так:</w:t>
      </w:r>
    </w:p>
    <w:p w14:paraId="438EE054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діапазоні від 0 до 20 філій D1 = 0,025*N;</w:t>
      </w:r>
    </w:p>
    <w:p w14:paraId="5B40D6A6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діапазоні від 21 до 40 філій D2 = 0,015*N + 0,2;</w:t>
      </w:r>
    </w:p>
    <w:p w14:paraId="617779DE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діапазоні від 41 до 200 філій D3 = 0,00125*N + 0,75;</w:t>
      </w:r>
    </w:p>
    <w:p w14:paraId="3F8B1224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діапазоні від 200 і більше філій D4 = 1,0.</w:t>
      </w:r>
    </w:p>
    <w:p w14:paraId="5543B669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Як видно доступність, яку приносить кожна додатково відкрита філія у мережі банку з більше ніж сорока філіями, знижується. </w:t>
      </w:r>
    </w:p>
    <w:p w14:paraId="21B9B0FD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Розрахуємо доступність послуги з карткового обслу</w:t>
      </w:r>
      <w:r w:rsidR="00117533" w:rsidRP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говування клієнтів банків Луган</w:t>
      </w:r>
      <w:r w:rsidRP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ського регіону в табл. 3.3.</w:t>
      </w:r>
    </w:p>
    <w:p w14:paraId="6BC7A164" w14:textId="77777777" w:rsidR="00117533" w:rsidRPr="00117533" w:rsidRDefault="00B456C2" w:rsidP="00117533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175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3.3</w:t>
      </w:r>
    </w:p>
    <w:p w14:paraId="64875E1B" w14:textId="77777777" w:rsidR="00117533" w:rsidRDefault="00117533" w:rsidP="0011753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2177D" w14:textId="77777777" w:rsidR="00B456C2" w:rsidRPr="00117533" w:rsidRDefault="00B456C2" w:rsidP="0011753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75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Доступність карткового обслуговування для клієнтів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1582"/>
        <w:gridCol w:w="1582"/>
        <w:gridCol w:w="3296"/>
      </w:tblGrid>
      <w:tr w:rsidR="00B456C2" w:rsidRPr="00B456C2" w14:paraId="52765AF1" w14:textId="77777777" w:rsidTr="002C4EBC">
        <w:trPr>
          <w:trHeight w:val="112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DC8A" w14:textId="77777777" w:rsidR="00B456C2" w:rsidRPr="00B456C2" w:rsidRDefault="00B456C2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Назва банку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89AE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Кількість відділень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A5F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Рівень доступності послуги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7676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Рейтинг за рівнем доступності</w:t>
            </w:r>
          </w:p>
        </w:tc>
      </w:tr>
      <w:tr w:rsidR="00B456C2" w:rsidRPr="00B456C2" w14:paraId="0C55C5B5" w14:textId="77777777" w:rsidTr="002C4EBC">
        <w:trPr>
          <w:trHeight w:val="375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BB3CF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АТ </w:t>
            </w:r>
            <w:r w:rsidR="009A52B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«Укрсоцбанк»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DC10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2DF3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0,1425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36B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</w:t>
            </w:r>
          </w:p>
        </w:tc>
      </w:tr>
      <w:tr w:rsidR="00B456C2" w:rsidRPr="00B456C2" w14:paraId="52EDB37E" w14:textId="77777777" w:rsidTr="002C4EBC">
        <w:trPr>
          <w:trHeight w:val="375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E6A73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ПАТ 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«Південний</w:t>
            </w:r>
            <w:r w:rsidR="009A52B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6925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A232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0,0225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24996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</w:tr>
      <w:tr w:rsidR="00B456C2" w:rsidRPr="00B456C2" w14:paraId="4A3498F1" w14:textId="77777777" w:rsidTr="002C4EBC">
        <w:trPr>
          <w:trHeight w:val="375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BC4DD" w14:textId="77777777" w:rsidR="00B456C2" w:rsidRPr="00B456C2" w:rsidRDefault="00EE53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 КБ «ПРИВАТБАНК»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0ED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1ABD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0,0225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B16C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</w:tr>
      <w:tr w:rsidR="00B456C2" w:rsidRPr="00B456C2" w14:paraId="1EAA899A" w14:textId="77777777" w:rsidTr="002C4EBC">
        <w:trPr>
          <w:trHeight w:val="375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438B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lastRenderedPageBreak/>
              <w:t>АТ «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Ощадбанк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1E36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DAF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0,0300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C8F1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</w:tr>
      <w:tr w:rsidR="00B456C2" w:rsidRPr="00B456C2" w14:paraId="42099443" w14:textId="77777777" w:rsidTr="002C4EBC">
        <w:trPr>
          <w:trHeight w:val="375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926B" w14:textId="77777777" w:rsidR="00B456C2" w:rsidRPr="00B456C2" w:rsidRDefault="009A52B9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ПУМБ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6D28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8A0ED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0,1200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26A02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2</w:t>
            </w:r>
          </w:p>
        </w:tc>
      </w:tr>
    </w:tbl>
    <w:p w14:paraId="04899766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Табл. 3.3 показує рейтинг банків по ступеню обхвату території філіями. Найбільш доступна послуга обслуговування карток клієнтів є в Укрсоцбанку (0,1425) та в П</w:t>
      </w:r>
      <w:r w:rsid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УМБ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(0,12). З середнім рівнем дост</w:t>
      </w:r>
      <w:r w:rsidR="00362C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упності можна назвати «Ощадбанк»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(0,03). Інші до низького рівня доступності.</w:t>
      </w:r>
    </w:p>
    <w:p w14:paraId="2D81DB5A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Зіставляючи табл. 3.2 та 3.3 можна зробити висновок про те, що найвищі тарифи у банків з</w:t>
      </w:r>
      <w:r w:rsid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розвиненою мережею філій Укрсоцбанк. Але ПУМБ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напроти з самим низьким тарифом, а з однією </w:t>
      </w:r>
      <w:proofErr w:type="spellStart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найрозвиніших</w:t>
      </w:r>
      <w:proofErr w:type="spellEnd"/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філій. Банки з вузькою мережею філій ведуть політику завоювання клієнтів нижчими тарифами.</w:t>
      </w:r>
    </w:p>
    <w:p w14:paraId="69C8E77B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Розрахувавши складові параметри інтегрального показника привабливості послуги карткового обслуговування можна визначити сам показник. Він показує рейтинг кожного банку </w:t>
      </w:r>
      <w:r w:rsid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Луган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ської області щодо даної послуги (табл. 3.4).</w:t>
      </w:r>
    </w:p>
    <w:p w14:paraId="5B654714" w14:textId="77777777" w:rsidR="009A52B9" w:rsidRPr="009A52B9" w:rsidRDefault="00B456C2" w:rsidP="009A52B9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A52B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Таблиця 3.4</w:t>
      </w:r>
    </w:p>
    <w:p w14:paraId="5764AB99" w14:textId="77777777" w:rsidR="00B456C2" w:rsidRDefault="00B456C2" w:rsidP="009A52B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A52B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Визначення конкурентоспроможності карткового об</w:t>
      </w:r>
      <w:r w:rsidR="009A52B9" w:rsidRPr="009A52B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слуговування станом на 1.04.</w:t>
      </w:r>
      <w:r w:rsidR="00EE53F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2018</w:t>
      </w:r>
      <w:r w:rsidRPr="009A52B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р.</w:t>
      </w:r>
    </w:p>
    <w:p w14:paraId="4C17E48C" w14:textId="77777777" w:rsidR="009A52B9" w:rsidRPr="009A52B9" w:rsidRDefault="009A52B9" w:rsidP="009A52B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095"/>
        <w:gridCol w:w="954"/>
        <w:gridCol w:w="954"/>
        <w:gridCol w:w="953"/>
        <w:gridCol w:w="2524"/>
      </w:tblGrid>
      <w:tr w:rsidR="00B456C2" w:rsidRPr="00B456C2" w14:paraId="28C5D564" w14:textId="77777777" w:rsidTr="002C4EBC">
        <w:trPr>
          <w:trHeight w:val="150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7B224" w14:textId="77777777" w:rsidR="00B456C2" w:rsidRPr="00B456C2" w:rsidRDefault="00B456C2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Назва банку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DC6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proofErr w:type="spellStart"/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Im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946A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proofErr w:type="spellStart"/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Tr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D8B8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D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EE33" w14:textId="77777777" w:rsidR="00B456C2" w:rsidRPr="00B456C2" w:rsidRDefault="00B456C2" w:rsidP="00BB1F2F">
            <w:pPr>
              <w:keepNext/>
              <w:shd w:val="clear" w:color="auto" w:fill="FFFFFF"/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uk-UA" w:eastAsia="ru-RU"/>
              </w:rPr>
            </w:pPr>
            <w:proofErr w:type="spellStart"/>
            <w:r w:rsidRPr="00B456C2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uk-UA" w:eastAsia="ru-RU"/>
              </w:rPr>
              <w:t>Pr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BEED3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Рейтинг конкурентоспроможності карткового обслуговування</w:t>
            </w:r>
          </w:p>
        </w:tc>
      </w:tr>
      <w:tr w:rsidR="00B456C2" w:rsidRPr="00B456C2" w14:paraId="7A425680" w14:textId="77777777" w:rsidTr="002C4EBC">
        <w:trPr>
          <w:trHeight w:val="37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834C5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АТ </w:t>
            </w:r>
            <w:r w:rsidR="009A52B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«Укрсоцбанк»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D426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0,3850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6022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0,1304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6E0F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0,1425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B9F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0,6579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3EC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1</w:t>
            </w:r>
          </w:p>
        </w:tc>
      </w:tr>
      <w:tr w:rsidR="00B456C2" w:rsidRPr="00B456C2" w14:paraId="1BAF8226" w14:textId="77777777" w:rsidTr="002C4EBC">
        <w:trPr>
          <w:trHeight w:val="37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D5B64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ПАТ 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«Південний</w:t>
            </w:r>
            <w:r w:rsidR="009A52B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804EF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0,2900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23D7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0,1077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C9C4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4236A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0,4202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F6842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4</w:t>
            </w:r>
          </w:p>
        </w:tc>
      </w:tr>
      <w:tr w:rsidR="00B456C2" w:rsidRPr="00B456C2" w14:paraId="3EB4476A" w14:textId="77777777" w:rsidTr="002C4EBC">
        <w:trPr>
          <w:trHeight w:val="37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09AEF" w14:textId="77777777" w:rsidR="00B456C2" w:rsidRPr="00B456C2" w:rsidRDefault="00EE53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 КБ «ПРИВАТБАНК»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A653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0,3150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DC6BE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0,1250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6C52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E6507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0,4625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66BD9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3</w:t>
            </w:r>
          </w:p>
        </w:tc>
      </w:tr>
      <w:tr w:rsidR="00B456C2" w:rsidRPr="00B456C2" w14:paraId="573CDD1B" w14:textId="77777777" w:rsidTr="002C4EBC">
        <w:trPr>
          <w:trHeight w:val="37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706C" w14:textId="77777777" w:rsidR="00B456C2" w:rsidRPr="00B456C2" w:rsidRDefault="00EC6EFD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АТ «</w:t>
            </w:r>
            <w:r w:rsidR="00362C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Ощадбанк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99A9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0,2600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BF43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48A4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0,0300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4573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0,3194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71D54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5</w:t>
            </w:r>
          </w:p>
        </w:tc>
      </w:tr>
      <w:tr w:rsidR="00B456C2" w:rsidRPr="00B456C2" w14:paraId="0950EEBC" w14:textId="77777777" w:rsidTr="002C4EBC">
        <w:trPr>
          <w:trHeight w:val="375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3A7C" w14:textId="77777777" w:rsidR="00B456C2" w:rsidRPr="00B456C2" w:rsidRDefault="009A52B9" w:rsidP="00B456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ПУМБ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F938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0,4450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C15F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0,0286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254E0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0,1200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F1A85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0,5936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957FB" w14:textId="77777777" w:rsidR="00B456C2" w:rsidRPr="00B456C2" w:rsidRDefault="00B456C2" w:rsidP="00BB1F2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2</w:t>
            </w:r>
          </w:p>
        </w:tc>
      </w:tr>
    </w:tbl>
    <w:p w14:paraId="00E35EC5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DB74F15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Як бачимо, конкурентоспроможність карткового обслуговування в </w:t>
      </w:r>
      <w:r w:rsid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Луганс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ькому регіону характеризується певною однорідністю. Немає банків з великим відривом від загального рівня.</w:t>
      </w:r>
    </w:p>
    <w:p w14:paraId="6C61B637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Розрахунок показав, що найбільша міра привабливості в Укрсоцбанку,</w:t>
      </w:r>
      <w:r w:rsidR="009A5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другому місці ПУМБ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ін.. Можна зробити висновок, банкам необхідно розвивати мережу філій і знижувати вартість послуг, які представляються, лише за такої умови буде отримано більший прибуток, розшириться коло клієнтів та підвищиться рівень довіри до банку.</w:t>
      </w:r>
    </w:p>
    <w:p w14:paraId="7B983C4C" w14:textId="77777777" w:rsid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4E2FD0" w14:textId="77777777" w:rsidR="009A52B9" w:rsidRDefault="009A52B9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8D104F" w14:textId="77777777" w:rsidR="009A52B9" w:rsidRPr="00B456C2" w:rsidRDefault="009A52B9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CBF691" w14:textId="4715DB31" w:rsidR="00B456C2" w:rsidRPr="00B456C2" w:rsidRDefault="00B456C2" w:rsidP="00B456C2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3.3</w:t>
      </w:r>
      <w:r w:rsidR="00FB71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</w:t>
      </w:r>
      <w:r w:rsidRPr="00B456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Використання технічних можливостей в управлінні процесом</w:t>
      </w:r>
      <w:r w:rsidRPr="00B456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5BF0A7F" w14:textId="77777777" w:rsidR="00B456C2" w:rsidRDefault="00B456C2" w:rsidP="00B456C2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D025A50" w14:textId="77777777" w:rsidR="00FB71B3" w:rsidRPr="00B456C2" w:rsidRDefault="00FB71B3" w:rsidP="00B456C2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0D5C2F5" w14:textId="1F557525" w:rsidR="00B456C2" w:rsidRPr="00B456C2" w:rsidRDefault="00F33865" w:rsidP="00F3386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</w:t>
      </w:r>
      <w:r w:rsidR="00B456C2"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агальновизнаним методом вивчення систем, які характеризуються випадковими процесами, є імітаційне моделювання. За його допомогою можна віднайти такі шляхи вдосконалення системи, які не потребують капіталовкладень. Розглянемо імітаційну модель для аналізу та оптимізації роботи </w:t>
      </w:r>
      <w:r w:rsidR="00EE53F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АТ КБ «ПРИВАТБАНК»</w:t>
      </w:r>
      <w:r w:rsidR="00B456C2"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0C062EA5" w14:textId="10D0AD44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43818ED" w14:textId="77777777" w:rsidR="00742FD5" w:rsidRPr="008013F6" w:rsidRDefault="008013F6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Таблиця 3.5</w:t>
      </w:r>
    </w:p>
    <w:p w14:paraId="572123A6" w14:textId="77777777" w:rsid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42FD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Середня кількість початкових платежів, які надходять до банку</w:t>
      </w:r>
    </w:p>
    <w:p w14:paraId="2D617232" w14:textId="77777777" w:rsidR="00742FD5" w:rsidRPr="00742FD5" w:rsidRDefault="00742FD5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B456C2" w:rsidRPr="00B456C2" w14:paraId="0524BC2A" w14:textId="77777777" w:rsidTr="002C4EBC">
        <w:tc>
          <w:tcPr>
            <w:tcW w:w="2500" w:type="pct"/>
          </w:tcPr>
          <w:p w14:paraId="0E66A84E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 надходження</w:t>
            </w:r>
          </w:p>
        </w:tc>
        <w:tc>
          <w:tcPr>
            <w:tcW w:w="2500" w:type="pct"/>
          </w:tcPr>
          <w:p w14:paraId="13537E66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платежів</w:t>
            </w:r>
          </w:p>
        </w:tc>
      </w:tr>
      <w:tr w:rsidR="00B456C2" w:rsidRPr="00B456C2" w14:paraId="45A0A705" w14:textId="77777777" w:rsidTr="002C4EBC">
        <w:tc>
          <w:tcPr>
            <w:tcW w:w="2500" w:type="pct"/>
          </w:tcPr>
          <w:p w14:paraId="6D535811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8.00 - 9.00</w:t>
            </w:r>
          </w:p>
        </w:tc>
        <w:tc>
          <w:tcPr>
            <w:tcW w:w="2500" w:type="pct"/>
          </w:tcPr>
          <w:p w14:paraId="316688F3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B456C2" w:rsidRPr="00B456C2" w14:paraId="1D3CBA67" w14:textId="77777777" w:rsidTr="002C4EBC">
        <w:tc>
          <w:tcPr>
            <w:tcW w:w="2500" w:type="pct"/>
          </w:tcPr>
          <w:p w14:paraId="3F34555D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9.01 - 10.00</w:t>
            </w:r>
          </w:p>
        </w:tc>
        <w:tc>
          <w:tcPr>
            <w:tcW w:w="2500" w:type="pct"/>
          </w:tcPr>
          <w:p w14:paraId="55BBB5DD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B456C2" w:rsidRPr="00B456C2" w14:paraId="266F2CAD" w14:textId="77777777" w:rsidTr="002C4EBC">
        <w:tc>
          <w:tcPr>
            <w:tcW w:w="2500" w:type="pct"/>
          </w:tcPr>
          <w:p w14:paraId="3DC7B019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10.01 - 11.00</w:t>
            </w:r>
          </w:p>
        </w:tc>
        <w:tc>
          <w:tcPr>
            <w:tcW w:w="2500" w:type="pct"/>
          </w:tcPr>
          <w:p w14:paraId="30BB8F24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</w:tr>
      <w:tr w:rsidR="00B456C2" w:rsidRPr="00B456C2" w14:paraId="372BDEFF" w14:textId="77777777" w:rsidTr="002C4EBC">
        <w:tc>
          <w:tcPr>
            <w:tcW w:w="2500" w:type="pct"/>
          </w:tcPr>
          <w:p w14:paraId="12119F19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11.01 - 12.00</w:t>
            </w:r>
          </w:p>
        </w:tc>
        <w:tc>
          <w:tcPr>
            <w:tcW w:w="2500" w:type="pct"/>
          </w:tcPr>
          <w:p w14:paraId="4911490A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</w:tr>
      <w:tr w:rsidR="00B456C2" w:rsidRPr="00B456C2" w14:paraId="50A84D62" w14:textId="77777777" w:rsidTr="002C4EBC">
        <w:tc>
          <w:tcPr>
            <w:tcW w:w="2500" w:type="pct"/>
          </w:tcPr>
          <w:p w14:paraId="2916B8BA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12.01 - 13.00</w:t>
            </w:r>
          </w:p>
        </w:tc>
        <w:tc>
          <w:tcPr>
            <w:tcW w:w="2500" w:type="pct"/>
          </w:tcPr>
          <w:p w14:paraId="67B9741C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</w:tr>
      <w:tr w:rsidR="00B456C2" w:rsidRPr="00B456C2" w14:paraId="124C5325" w14:textId="77777777" w:rsidTr="002C4EBC">
        <w:tc>
          <w:tcPr>
            <w:tcW w:w="2500" w:type="pct"/>
          </w:tcPr>
          <w:p w14:paraId="63AD8210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13.01 - 14.00</w:t>
            </w:r>
          </w:p>
        </w:tc>
        <w:tc>
          <w:tcPr>
            <w:tcW w:w="2500" w:type="pct"/>
          </w:tcPr>
          <w:p w14:paraId="12639B5F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</w:tr>
      <w:tr w:rsidR="00B456C2" w:rsidRPr="00B456C2" w14:paraId="00976517" w14:textId="77777777" w:rsidTr="002C4EBC">
        <w:tc>
          <w:tcPr>
            <w:tcW w:w="2500" w:type="pct"/>
          </w:tcPr>
          <w:p w14:paraId="151E7ECC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14.01 - 15.00</w:t>
            </w:r>
          </w:p>
        </w:tc>
        <w:tc>
          <w:tcPr>
            <w:tcW w:w="2500" w:type="pct"/>
          </w:tcPr>
          <w:p w14:paraId="4DF30F1B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</w:tr>
      <w:tr w:rsidR="00B456C2" w:rsidRPr="00B456C2" w14:paraId="12B1B3F8" w14:textId="77777777" w:rsidTr="002C4EBC">
        <w:tc>
          <w:tcPr>
            <w:tcW w:w="2500" w:type="pct"/>
          </w:tcPr>
          <w:p w14:paraId="4B0DD482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15.01 - 16.00</w:t>
            </w:r>
          </w:p>
        </w:tc>
        <w:tc>
          <w:tcPr>
            <w:tcW w:w="2500" w:type="pct"/>
          </w:tcPr>
          <w:p w14:paraId="6C9E5F0F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</w:tr>
      <w:tr w:rsidR="00B456C2" w:rsidRPr="00B456C2" w14:paraId="3F368303" w14:textId="77777777" w:rsidTr="002C4EBC">
        <w:tc>
          <w:tcPr>
            <w:tcW w:w="2500" w:type="pct"/>
          </w:tcPr>
          <w:p w14:paraId="4651EBC3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16.01 - 17.00</w:t>
            </w:r>
          </w:p>
        </w:tc>
        <w:tc>
          <w:tcPr>
            <w:tcW w:w="2500" w:type="pct"/>
          </w:tcPr>
          <w:p w14:paraId="4FCE7A4C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</w:tr>
      <w:tr w:rsidR="00B456C2" w:rsidRPr="00B456C2" w14:paraId="2E9CDF30" w14:textId="77777777" w:rsidTr="002C4EBC">
        <w:tc>
          <w:tcPr>
            <w:tcW w:w="2500" w:type="pct"/>
          </w:tcPr>
          <w:p w14:paraId="294CD5EB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17.01 - 18.00</w:t>
            </w:r>
          </w:p>
        </w:tc>
        <w:tc>
          <w:tcPr>
            <w:tcW w:w="2500" w:type="pct"/>
          </w:tcPr>
          <w:p w14:paraId="03B76B52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</w:tr>
      <w:tr w:rsidR="00B456C2" w:rsidRPr="00B456C2" w14:paraId="07FEE0D7" w14:textId="77777777" w:rsidTr="002C4EBC">
        <w:tc>
          <w:tcPr>
            <w:tcW w:w="2500" w:type="pct"/>
          </w:tcPr>
          <w:p w14:paraId="532B0955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18.01 - 19.00</w:t>
            </w:r>
          </w:p>
        </w:tc>
        <w:tc>
          <w:tcPr>
            <w:tcW w:w="2500" w:type="pct"/>
          </w:tcPr>
          <w:p w14:paraId="3511D400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</w:tr>
      <w:tr w:rsidR="00B456C2" w:rsidRPr="00B456C2" w14:paraId="0B9910EA" w14:textId="77777777" w:rsidTr="002C4EBC">
        <w:tc>
          <w:tcPr>
            <w:tcW w:w="2500" w:type="pct"/>
          </w:tcPr>
          <w:p w14:paraId="58044D9A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19.01 - 20.00</w:t>
            </w:r>
          </w:p>
        </w:tc>
        <w:tc>
          <w:tcPr>
            <w:tcW w:w="2500" w:type="pct"/>
          </w:tcPr>
          <w:p w14:paraId="3822014F" w14:textId="77777777" w:rsidR="00B456C2" w:rsidRPr="00B456C2" w:rsidRDefault="00B456C2" w:rsidP="00742F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56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</w:tbl>
    <w:p w14:paraId="0A2A92FD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E6686B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3D40BDF8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77C4988D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4C1D41AC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196D456B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100CDCDC" w14:textId="77777777" w:rsidR="00362CEC" w:rsidRDefault="00362CEC" w:rsidP="00742FD5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14:paraId="22F76755" w14:textId="2F7F975E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Одержані результати моделювання мають практичну цінність насамперед для </w:t>
      </w:r>
      <w:r w:rsidR="00EE53F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АТ КБ «ПРИВАТБАНК»</w:t>
      </w:r>
      <w:r w:rsidRPr="00B456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тому що модель будувалась на даних цього банку. </w:t>
      </w:r>
    </w:p>
    <w:p w14:paraId="0843E313" w14:textId="77777777" w:rsidR="00B456C2" w:rsidRPr="00B456C2" w:rsidRDefault="00B456C2" w:rsidP="00B456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F6B1669" w14:textId="77777777" w:rsidR="00B456C2" w:rsidRDefault="00B456C2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79110" w14:textId="77777777" w:rsidR="00B456C2" w:rsidRDefault="00B456C2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94E143" w14:textId="77777777" w:rsidR="00B456C2" w:rsidRDefault="00B456C2" w:rsidP="00CC489D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2A7FF" w14:textId="77777777" w:rsidR="00C357F1" w:rsidRDefault="00C357F1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43C79E" w14:textId="77777777" w:rsidR="00272A0B" w:rsidRDefault="00272A0B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DB41E" w14:textId="77777777" w:rsidR="00272A0B" w:rsidRDefault="00272A0B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3B3D2" w14:textId="77777777" w:rsidR="00272A0B" w:rsidRPr="00293024" w:rsidRDefault="00272A0B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024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3</w:t>
      </w:r>
    </w:p>
    <w:p w14:paraId="65165FB8" w14:textId="77777777" w:rsidR="0086075F" w:rsidRDefault="0086075F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3BCFA" w14:textId="3B2EA4E1" w:rsidR="001814E3" w:rsidRDefault="00F33865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14E3">
        <w:rPr>
          <w:rFonts w:ascii="Times New Roman" w:hAnsi="Times New Roman" w:cs="Times New Roman"/>
          <w:sz w:val="28"/>
          <w:szCs w:val="28"/>
          <w:lang w:val="uk-UA"/>
        </w:rPr>
        <w:t>ейтинг привабливості банків серед населення. Б</w:t>
      </w:r>
      <w:r w:rsidR="001814E3" w:rsidRPr="001814E3">
        <w:rPr>
          <w:rFonts w:ascii="Times New Roman" w:hAnsi="Times New Roman" w:cs="Times New Roman"/>
          <w:sz w:val="28"/>
          <w:szCs w:val="28"/>
          <w:lang w:val="uk-UA"/>
        </w:rPr>
        <w:t>анкам необхідно розвивати мережу філій і знижувати вартість послуг, які представляються, лише за такої умови буде отримано більший прибуток, розшириться коло клієнтів та підвищиться рівень довіри до банку</w:t>
      </w:r>
      <w:r w:rsidR="00362C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A5B250" w14:textId="42FFA438" w:rsidR="002C3D6E" w:rsidRDefault="00A76E61" w:rsidP="002C3D6E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E61">
        <w:rPr>
          <w:rFonts w:ascii="Times New Roman" w:hAnsi="Times New Roman" w:cs="Times New Roman"/>
          <w:sz w:val="28"/>
          <w:szCs w:val="28"/>
          <w:lang w:val="uk-UA"/>
        </w:rPr>
        <w:t>Щоб допомогти банку з’ясувати, яку кількість платіжних документів доцільно поміщати в один файл,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математичну модель. В </w:t>
      </w:r>
      <w:r w:rsidRPr="00A76E61">
        <w:rPr>
          <w:rFonts w:ascii="Times New Roman" w:hAnsi="Times New Roman" w:cs="Times New Roman"/>
          <w:sz w:val="28"/>
          <w:szCs w:val="28"/>
          <w:lang w:val="uk-UA"/>
        </w:rPr>
        <w:t xml:space="preserve">моделі розглядається ефективність з огляду на ефективність роботи СЕП в цілому. </w:t>
      </w:r>
    </w:p>
    <w:p w14:paraId="3BB68BB1" w14:textId="644BDF5E" w:rsidR="00293024" w:rsidRDefault="00EC6EFD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EFD">
        <w:rPr>
          <w:rFonts w:ascii="Times New Roman" w:hAnsi="Times New Roman" w:cs="Times New Roman"/>
          <w:sz w:val="28"/>
          <w:szCs w:val="28"/>
          <w:lang w:val="uk-UA"/>
        </w:rPr>
        <w:t xml:space="preserve">Одержані результати моделювання мають практичну цінність насамперед для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EC6EFD">
        <w:rPr>
          <w:rFonts w:ascii="Times New Roman" w:hAnsi="Times New Roman" w:cs="Times New Roman"/>
          <w:sz w:val="28"/>
          <w:szCs w:val="28"/>
          <w:lang w:val="uk-UA"/>
        </w:rPr>
        <w:t xml:space="preserve">, тому що модель будувалась на даних цього банку. </w:t>
      </w:r>
    </w:p>
    <w:p w14:paraId="6519DCF7" w14:textId="77777777" w:rsidR="00293024" w:rsidRDefault="00293024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EDD80" w14:textId="77777777" w:rsidR="00C96CD7" w:rsidRDefault="00C96CD7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45550" w14:textId="77777777" w:rsidR="00C96CD7" w:rsidRDefault="00C96CD7" w:rsidP="003826B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09A16C" w14:textId="77777777" w:rsidR="00FD1CB5" w:rsidRDefault="00FD1CB5" w:rsidP="00FD1CB5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B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29829164" w14:textId="77777777" w:rsidR="00FD1CB5" w:rsidRDefault="00FD1CB5" w:rsidP="00FD1CB5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AC487" w14:textId="77777777" w:rsidR="00FA4AE3" w:rsidRPr="00FA4AE3" w:rsidRDefault="00EE53FD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FA4AE3"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є стабільною установою, яка постійно розвивається та адекватно реагує на процеси, що відбуваються в економіці країни і світу.</w:t>
      </w:r>
    </w:p>
    <w:p w14:paraId="5F9251F2" w14:textId="1F8C603A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>Аналіз фінансово-економічних показників виявив, що активи у звітному році зросли на 262 864 тис. гр</w:t>
      </w:r>
      <w:r w:rsidR="00362CEC">
        <w:rPr>
          <w:rFonts w:ascii="Times New Roman" w:hAnsi="Times New Roman" w:cs="Times New Roman"/>
          <w:sz w:val="28"/>
          <w:szCs w:val="28"/>
          <w:lang w:val="uk-UA"/>
        </w:rPr>
        <w:t xml:space="preserve">н., що становить 1,05 % від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року; зобов’язання також зросли</w:t>
      </w:r>
      <w:r w:rsidR="008A4C03">
        <w:rPr>
          <w:rFonts w:ascii="Times New Roman" w:hAnsi="Times New Roman" w:cs="Times New Roman"/>
          <w:sz w:val="28"/>
          <w:szCs w:val="28"/>
          <w:lang w:val="uk-UA"/>
        </w:rPr>
        <w:t xml:space="preserve"> Аналіз 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>фінансово-економічних показників свідчить про активну позицію банку та стабільність його розвитку.</w:t>
      </w:r>
    </w:p>
    <w:p w14:paraId="0B5EA821" w14:textId="26AE4258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>Зріс швидшому зростання обсягу власного капіталу над активами, що і доводить зниження мультиплікатора капіталу. Отже, фінансова стійкість була збільшена завдяки загальному підвищенню всіх основних статей балансу банку.</w:t>
      </w:r>
    </w:p>
    <w:p w14:paraId="4964AD17" w14:textId="77777777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З аналізу ділової активності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видно, що обсяги кредитування зменшились, що пов’язане з поверненням кредитів, загалом кредитування в банку відновлене.</w:t>
      </w:r>
    </w:p>
    <w:p w14:paraId="3651208D" w14:textId="3435798A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Отже, проведений аналіз фінансового стану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свідчить що діяльність банку у звітному році була ефективною, що пов’язане із загальним стабільним станом банківської системи.</w:t>
      </w:r>
    </w:p>
    <w:p w14:paraId="615A88DA" w14:textId="02847688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Що стосовно організації безготівкових розрахунків, то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вони здійснюються через такі системи як: операційний відділ, «Клієнт-банк», Інтернет-банкінг. </w:t>
      </w:r>
    </w:p>
    <w:p w14:paraId="694105E9" w14:textId="77777777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="00362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всі форми безготівкових розрахунків: меморіальний ордер, платіжне доручення, платіжна вимога-доручення, платіжна вимога, розрахункові чеки, акредитив, інкасове доручення, векселі та банківські картки [14]. Але найпоширенішими є такі форми: платіжне  доручення, чек, платіжна вимога-доручення, що складає у 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відсотковому відношенні відповідно 96%,  2,86% та 1,14%  в структурі безготівкових розрахунк</w:t>
      </w:r>
      <w:r w:rsidR="00A1140B">
        <w:rPr>
          <w:rFonts w:ascii="Times New Roman" w:hAnsi="Times New Roman" w:cs="Times New Roman"/>
          <w:sz w:val="28"/>
          <w:szCs w:val="28"/>
          <w:lang w:val="uk-UA"/>
        </w:rPr>
        <w:t>ів за досліджуваний період (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362C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>рр.).</w:t>
      </w:r>
    </w:p>
    <w:p w14:paraId="7E8C9900" w14:textId="77777777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>Також аналіз виявив, що збільшення розрахунків з використанням платіжних доручень спостерігалося на протязі усього досліджуваного періоду; розрахунки із використанням платіжних вимог-доручень коливалися протягом всього періоду, найбільш</w:t>
      </w:r>
      <w:r w:rsidR="000C1438">
        <w:rPr>
          <w:rFonts w:ascii="Times New Roman" w:hAnsi="Times New Roman" w:cs="Times New Roman"/>
          <w:sz w:val="28"/>
          <w:szCs w:val="28"/>
          <w:lang w:val="uk-UA"/>
        </w:rPr>
        <w:t xml:space="preserve">ого значення вони досягли у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році; розрахунки із використанням </w:t>
      </w:r>
      <w:proofErr w:type="spellStart"/>
      <w:r w:rsidRPr="00FA4AE3">
        <w:rPr>
          <w:rFonts w:ascii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також мали тенденцію коливання - на початку аналізованого періоду було р</w:t>
      </w:r>
      <w:r w:rsidR="000C1438">
        <w:rPr>
          <w:rFonts w:ascii="Times New Roman" w:hAnsi="Times New Roman" w:cs="Times New Roman"/>
          <w:sz w:val="28"/>
          <w:szCs w:val="28"/>
          <w:lang w:val="uk-UA"/>
        </w:rPr>
        <w:t xml:space="preserve">ізке зростання показника,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році ві</w:t>
      </w:r>
      <w:r w:rsidR="000C1438">
        <w:rPr>
          <w:rFonts w:ascii="Times New Roman" w:hAnsi="Times New Roman" w:cs="Times New Roman"/>
          <w:sz w:val="28"/>
          <w:szCs w:val="28"/>
          <w:lang w:val="uk-UA"/>
        </w:rPr>
        <w:t xml:space="preserve">н починає зменшуватись, а в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FA4AE3">
        <w:rPr>
          <w:rFonts w:ascii="Times New Roman" w:hAnsi="Times New Roman" w:cs="Times New Roman"/>
          <w:sz w:val="28"/>
          <w:szCs w:val="28"/>
          <w:lang w:val="uk-UA"/>
        </w:rPr>
        <w:t xml:space="preserve"> році обсяги розрахунків чеками знову почали збільшуватись.</w:t>
      </w:r>
    </w:p>
    <w:p w14:paraId="72D6A1A3" w14:textId="77777777" w:rsidR="00FA4AE3" w:rsidRP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>Наведені графіки темпів росту та приросту показали, що найбільші коливання спостерігались при розрахунках платіжними вимогами-дорученнями.</w:t>
      </w:r>
    </w:p>
    <w:p w14:paraId="2F03E82C" w14:textId="77777777" w:rsidR="00FA4AE3" w:rsidRDefault="00FA4AE3" w:rsidP="00FA4AE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E3">
        <w:rPr>
          <w:rFonts w:ascii="Times New Roman" w:hAnsi="Times New Roman" w:cs="Times New Roman"/>
          <w:sz w:val="28"/>
          <w:szCs w:val="28"/>
          <w:lang w:val="uk-UA"/>
        </w:rPr>
        <w:t>З проведеного аналізу можна зробити висновки, що обіг досліджуваних платіжних документів не мав стабільної тенденції, показники мали як тенденцію збільшення, так і тенденцію зменшення.</w:t>
      </w:r>
    </w:p>
    <w:p w14:paraId="15EA6B80" w14:textId="598393C9" w:rsidR="00CF1A7F" w:rsidRPr="00CF1A7F" w:rsidRDefault="008A4C03" w:rsidP="00CF1A7F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F1A7F" w:rsidRPr="00CF1A7F">
        <w:rPr>
          <w:rFonts w:ascii="Times New Roman" w:hAnsi="Times New Roman" w:cs="Times New Roman"/>
          <w:sz w:val="28"/>
          <w:szCs w:val="28"/>
          <w:lang w:val="uk-UA"/>
        </w:rPr>
        <w:t>ейтинг привабливості банків серед населення. Банкам необхідно розвивати мережу філій і знижувати вартість послуг, які представляються, лише за такої умови буде отримано більший прибуток, розшириться коло клієнтів та підвищиться рівень довіри до банку</w:t>
      </w:r>
    </w:p>
    <w:p w14:paraId="5D2AD02F" w14:textId="4FDBAE55" w:rsidR="00CF1A7F" w:rsidRPr="00CF1A7F" w:rsidRDefault="00CF1A7F" w:rsidP="00CF1A7F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A7F">
        <w:rPr>
          <w:rFonts w:ascii="Times New Roman" w:hAnsi="Times New Roman" w:cs="Times New Roman"/>
          <w:sz w:val="28"/>
          <w:szCs w:val="28"/>
          <w:lang w:val="uk-UA"/>
        </w:rPr>
        <w:t xml:space="preserve">Щоб допомогти банку з’ясувати, яку кількість платіжних документів доцільно поміщати в один файл, розроблено математичну модель. В моделі розглядається ефективність  з огляду на ефективність роботи СЕП в цілому. </w:t>
      </w:r>
    </w:p>
    <w:p w14:paraId="4E818E3D" w14:textId="39BBCAAD" w:rsidR="00FA4AE3" w:rsidRDefault="00CF1A7F" w:rsidP="00CF1A7F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A7F">
        <w:rPr>
          <w:rFonts w:ascii="Times New Roman" w:hAnsi="Times New Roman" w:cs="Times New Roman"/>
          <w:sz w:val="28"/>
          <w:szCs w:val="28"/>
          <w:lang w:val="uk-UA"/>
        </w:rPr>
        <w:t xml:space="preserve">Одержані результати моделювання мають практичну цінність насамперед для </w:t>
      </w:r>
      <w:r w:rsidR="00EE53FD">
        <w:rPr>
          <w:rFonts w:ascii="Times New Roman" w:hAnsi="Times New Roman" w:cs="Times New Roman"/>
          <w:sz w:val="28"/>
          <w:szCs w:val="28"/>
          <w:lang w:val="uk-UA"/>
        </w:rPr>
        <w:t>АТ КБ «ПРИВАТБАНК»</w:t>
      </w:r>
      <w:r w:rsidRPr="00CF1A7F">
        <w:rPr>
          <w:rFonts w:ascii="Times New Roman" w:hAnsi="Times New Roman" w:cs="Times New Roman"/>
          <w:sz w:val="28"/>
          <w:szCs w:val="28"/>
          <w:lang w:val="uk-UA"/>
        </w:rPr>
        <w:t xml:space="preserve">, тому що модель будувалась на даних цього банку. </w:t>
      </w:r>
    </w:p>
    <w:p w14:paraId="33E5CD74" w14:textId="5F9FA2AA" w:rsidR="00595E25" w:rsidRPr="008A4C03" w:rsidRDefault="00CF1A7F" w:rsidP="008A4C03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A7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у банку</w:t>
      </w:r>
      <w:r w:rsidRPr="00CF1A7F">
        <w:rPr>
          <w:rFonts w:ascii="Times New Roman" w:hAnsi="Times New Roman" w:cs="Times New Roman"/>
          <w:sz w:val="28"/>
          <w:szCs w:val="28"/>
          <w:lang w:val="uk-UA"/>
        </w:rPr>
        <w:t xml:space="preserve"> буде належним чином здійснюватися заходи з охорони праці це не тільки поліпшить життя працівників, але й збільшить прибут</w:t>
      </w:r>
      <w:r>
        <w:rPr>
          <w:rFonts w:ascii="Times New Roman" w:hAnsi="Times New Roman" w:cs="Times New Roman"/>
          <w:sz w:val="28"/>
          <w:szCs w:val="28"/>
          <w:lang w:val="uk-UA"/>
        </w:rPr>
        <w:t>ок і продуктивність праці</w:t>
      </w:r>
      <w:r w:rsidRPr="00CF1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D9D904" w14:textId="745B2C0E" w:rsidR="00A53077" w:rsidRPr="00035617" w:rsidRDefault="00A53077" w:rsidP="00A53077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sectPr w:rsidR="00A53077" w:rsidRPr="00035617" w:rsidSect="00C66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E7AD" w14:textId="77777777" w:rsidR="00E7084A" w:rsidRDefault="00E7084A" w:rsidP="00E41780">
      <w:pPr>
        <w:spacing w:after="0" w:line="240" w:lineRule="auto"/>
      </w:pPr>
      <w:r>
        <w:separator/>
      </w:r>
    </w:p>
  </w:endnote>
  <w:endnote w:type="continuationSeparator" w:id="0">
    <w:p w14:paraId="582B32EA" w14:textId="77777777" w:rsidR="00E7084A" w:rsidRDefault="00E7084A" w:rsidP="00E4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904B" w14:textId="77777777" w:rsidR="00E7084A" w:rsidRDefault="00E7084A" w:rsidP="00E41780">
      <w:pPr>
        <w:spacing w:after="0" w:line="240" w:lineRule="auto"/>
      </w:pPr>
      <w:r>
        <w:separator/>
      </w:r>
    </w:p>
  </w:footnote>
  <w:footnote w:type="continuationSeparator" w:id="0">
    <w:p w14:paraId="3133CBF9" w14:textId="77777777" w:rsidR="00E7084A" w:rsidRDefault="00E7084A" w:rsidP="00E4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967446"/>
      <w:docPartObj>
        <w:docPartGallery w:val="Page Numbers (Top of Page)"/>
        <w:docPartUnique/>
      </w:docPartObj>
    </w:sdtPr>
    <w:sdtContent>
      <w:p w14:paraId="15BC2658" w14:textId="77777777" w:rsidR="00EE53FD" w:rsidRDefault="00EE53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A7">
          <w:rPr>
            <w:noProof/>
          </w:rPr>
          <w:t>7</w:t>
        </w:r>
        <w:r>
          <w:fldChar w:fldCharType="end"/>
        </w:r>
      </w:p>
    </w:sdtContent>
  </w:sdt>
  <w:p w14:paraId="6E17C7FF" w14:textId="77777777" w:rsidR="00EE53FD" w:rsidRDefault="00EE53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461042"/>
      <w:docPartObj>
        <w:docPartGallery w:val="Page Numbers (Top of Page)"/>
        <w:docPartUnique/>
      </w:docPartObj>
    </w:sdtPr>
    <w:sdtContent>
      <w:p w14:paraId="0B488A8D" w14:textId="77777777" w:rsidR="00EE53FD" w:rsidRDefault="00EE53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8A">
          <w:rPr>
            <w:noProof/>
          </w:rPr>
          <w:t>103</w:t>
        </w:r>
        <w:r>
          <w:fldChar w:fldCharType="end"/>
        </w:r>
      </w:p>
    </w:sdtContent>
  </w:sdt>
  <w:p w14:paraId="78F7EFBA" w14:textId="77777777" w:rsidR="00EE53FD" w:rsidRDefault="00EE53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788"/>
    <w:multiLevelType w:val="hybridMultilevel"/>
    <w:tmpl w:val="D2E2C39A"/>
    <w:lvl w:ilvl="0" w:tplc="D806143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46C8"/>
    <w:multiLevelType w:val="hybridMultilevel"/>
    <w:tmpl w:val="4B960B58"/>
    <w:lvl w:ilvl="0" w:tplc="7C321D16">
      <w:start w:val="1"/>
      <w:numFmt w:val="decimal"/>
      <w:pStyle w:val="3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D24FA1"/>
    <w:multiLevelType w:val="hybridMultilevel"/>
    <w:tmpl w:val="467C5A66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6DC"/>
    <w:multiLevelType w:val="hybridMultilevel"/>
    <w:tmpl w:val="439C0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73B75"/>
    <w:multiLevelType w:val="hybridMultilevel"/>
    <w:tmpl w:val="80A4BB24"/>
    <w:lvl w:ilvl="0" w:tplc="DC542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2E5025"/>
    <w:multiLevelType w:val="hybridMultilevel"/>
    <w:tmpl w:val="E5E8B8B4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390A"/>
    <w:multiLevelType w:val="hybridMultilevel"/>
    <w:tmpl w:val="FFFAE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618BC"/>
    <w:multiLevelType w:val="hybridMultilevel"/>
    <w:tmpl w:val="4C4C5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C61197"/>
    <w:multiLevelType w:val="hybridMultilevel"/>
    <w:tmpl w:val="97B23338"/>
    <w:lvl w:ilvl="0" w:tplc="78FA6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60C05"/>
    <w:multiLevelType w:val="hybridMultilevel"/>
    <w:tmpl w:val="7E88A276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7A17"/>
    <w:multiLevelType w:val="hybridMultilevel"/>
    <w:tmpl w:val="2130869A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7E5D"/>
    <w:multiLevelType w:val="hybridMultilevel"/>
    <w:tmpl w:val="8DC6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281A"/>
    <w:multiLevelType w:val="hybridMultilevel"/>
    <w:tmpl w:val="AFC494D0"/>
    <w:lvl w:ilvl="0" w:tplc="09B02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6F43D1"/>
    <w:multiLevelType w:val="hybridMultilevel"/>
    <w:tmpl w:val="DD24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354C"/>
    <w:multiLevelType w:val="hybridMultilevel"/>
    <w:tmpl w:val="AEF81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2F1608"/>
    <w:multiLevelType w:val="hybridMultilevel"/>
    <w:tmpl w:val="D58C04A2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0EA9"/>
    <w:multiLevelType w:val="hybridMultilevel"/>
    <w:tmpl w:val="2E2C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8465E0"/>
    <w:multiLevelType w:val="hybridMultilevel"/>
    <w:tmpl w:val="041CE0FC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50452"/>
    <w:multiLevelType w:val="hybridMultilevel"/>
    <w:tmpl w:val="BB80CE1E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B4266"/>
    <w:multiLevelType w:val="hybridMultilevel"/>
    <w:tmpl w:val="FAB47050"/>
    <w:lvl w:ilvl="0" w:tplc="D806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65E45"/>
    <w:multiLevelType w:val="hybridMultilevel"/>
    <w:tmpl w:val="32B0E8A6"/>
    <w:lvl w:ilvl="0" w:tplc="13FE5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FC50F5"/>
    <w:multiLevelType w:val="hybridMultilevel"/>
    <w:tmpl w:val="A2E26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6279A9"/>
    <w:multiLevelType w:val="hybridMultilevel"/>
    <w:tmpl w:val="39748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3D0A"/>
    <w:multiLevelType w:val="hybridMultilevel"/>
    <w:tmpl w:val="D7B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A5A79"/>
    <w:multiLevelType w:val="hybridMultilevel"/>
    <w:tmpl w:val="3DF68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2721D"/>
    <w:multiLevelType w:val="hybridMultilevel"/>
    <w:tmpl w:val="411A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5467A9"/>
    <w:multiLevelType w:val="hybridMultilevel"/>
    <w:tmpl w:val="F44A7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923185"/>
    <w:multiLevelType w:val="hybridMultilevel"/>
    <w:tmpl w:val="FCF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72A2A"/>
    <w:multiLevelType w:val="hybridMultilevel"/>
    <w:tmpl w:val="75D62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9475488">
    <w:abstractNumId w:val="4"/>
  </w:num>
  <w:num w:numId="2" w16cid:durableId="92938742">
    <w:abstractNumId w:val="22"/>
  </w:num>
  <w:num w:numId="3" w16cid:durableId="791633672">
    <w:abstractNumId w:val="19"/>
  </w:num>
  <w:num w:numId="4" w16cid:durableId="746339039">
    <w:abstractNumId w:val="25"/>
  </w:num>
  <w:num w:numId="5" w16cid:durableId="1737433885">
    <w:abstractNumId w:val="21"/>
  </w:num>
  <w:num w:numId="6" w16cid:durableId="1330718501">
    <w:abstractNumId w:val="15"/>
  </w:num>
  <w:num w:numId="7" w16cid:durableId="220679106">
    <w:abstractNumId w:val="28"/>
  </w:num>
  <w:num w:numId="8" w16cid:durableId="1152791869">
    <w:abstractNumId w:val="1"/>
  </w:num>
  <w:num w:numId="9" w16cid:durableId="1864132343">
    <w:abstractNumId w:val="11"/>
  </w:num>
  <w:num w:numId="10" w16cid:durableId="793018147">
    <w:abstractNumId w:val="3"/>
  </w:num>
  <w:num w:numId="11" w16cid:durableId="1111127229">
    <w:abstractNumId w:val="26"/>
  </w:num>
  <w:num w:numId="12" w16cid:durableId="1526943140">
    <w:abstractNumId w:val="14"/>
  </w:num>
  <w:num w:numId="13" w16cid:durableId="633871633">
    <w:abstractNumId w:val="7"/>
  </w:num>
  <w:num w:numId="14" w16cid:durableId="859855743">
    <w:abstractNumId w:val="6"/>
  </w:num>
  <w:num w:numId="15" w16cid:durableId="1611276210">
    <w:abstractNumId w:val="0"/>
  </w:num>
  <w:num w:numId="16" w16cid:durableId="2087846444">
    <w:abstractNumId w:val="8"/>
  </w:num>
  <w:num w:numId="17" w16cid:durableId="1908495330">
    <w:abstractNumId w:val="16"/>
  </w:num>
  <w:num w:numId="18" w16cid:durableId="1773434867">
    <w:abstractNumId w:val="10"/>
  </w:num>
  <w:num w:numId="19" w16cid:durableId="636884224">
    <w:abstractNumId w:val="5"/>
  </w:num>
  <w:num w:numId="20" w16cid:durableId="375131279">
    <w:abstractNumId w:val="18"/>
  </w:num>
  <w:num w:numId="21" w16cid:durableId="2008750614">
    <w:abstractNumId w:val="9"/>
  </w:num>
  <w:num w:numId="22" w16cid:durableId="1781342425">
    <w:abstractNumId w:val="17"/>
  </w:num>
  <w:num w:numId="23" w16cid:durableId="1178153161">
    <w:abstractNumId w:val="20"/>
  </w:num>
  <w:num w:numId="24" w16cid:durableId="1554581459">
    <w:abstractNumId w:val="12"/>
  </w:num>
  <w:num w:numId="25" w16cid:durableId="545290063">
    <w:abstractNumId w:val="27"/>
  </w:num>
  <w:num w:numId="26" w16cid:durableId="1687444302">
    <w:abstractNumId w:val="24"/>
  </w:num>
  <w:num w:numId="27" w16cid:durableId="1369719564">
    <w:abstractNumId w:val="2"/>
  </w:num>
  <w:num w:numId="28" w16cid:durableId="2035037379">
    <w:abstractNumId w:val="23"/>
  </w:num>
  <w:num w:numId="29" w16cid:durableId="29425677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8D"/>
    <w:rsid w:val="00006BB7"/>
    <w:rsid w:val="00015B81"/>
    <w:rsid w:val="0001622B"/>
    <w:rsid w:val="000209D4"/>
    <w:rsid w:val="00021178"/>
    <w:rsid w:val="0003131F"/>
    <w:rsid w:val="00032F0F"/>
    <w:rsid w:val="00033823"/>
    <w:rsid w:val="00035617"/>
    <w:rsid w:val="000361FB"/>
    <w:rsid w:val="000427A6"/>
    <w:rsid w:val="000428DD"/>
    <w:rsid w:val="00052C03"/>
    <w:rsid w:val="00074372"/>
    <w:rsid w:val="00074A80"/>
    <w:rsid w:val="00076AA3"/>
    <w:rsid w:val="0008105A"/>
    <w:rsid w:val="000823FF"/>
    <w:rsid w:val="0008489B"/>
    <w:rsid w:val="0008586F"/>
    <w:rsid w:val="00087A37"/>
    <w:rsid w:val="000A0FFA"/>
    <w:rsid w:val="000A1992"/>
    <w:rsid w:val="000B0770"/>
    <w:rsid w:val="000C1438"/>
    <w:rsid w:val="000C450D"/>
    <w:rsid w:val="000C4BEE"/>
    <w:rsid w:val="000C50AD"/>
    <w:rsid w:val="000C5B50"/>
    <w:rsid w:val="000C6814"/>
    <w:rsid w:val="000D0A37"/>
    <w:rsid w:val="000E0805"/>
    <w:rsid w:val="000E0FDF"/>
    <w:rsid w:val="000F4222"/>
    <w:rsid w:val="00102D9A"/>
    <w:rsid w:val="00103853"/>
    <w:rsid w:val="00117533"/>
    <w:rsid w:val="001248EC"/>
    <w:rsid w:val="00131935"/>
    <w:rsid w:val="00131ADC"/>
    <w:rsid w:val="00133019"/>
    <w:rsid w:val="001338AE"/>
    <w:rsid w:val="00143193"/>
    <w:rsid w:val="001464FC"/>
    <w:rsid w:val="00151526"/>
    <w:rsid w:val="00151924"/>
    <w:rsid w:val="00151EA6"/>
    <w:rsid w:val="00152E39"/>
    <w:rsid w:val="00153850"/>
    <w:rsid w:val="00155434"/>
    <w:rsid w:val="00166449"/>
    <w:rsid w:val="00170245"/>
    <w:rsid w:val="00173765"/>
    <w:rsid w:val="001761F8"/>
    <w:rsid w:val="0018113D"/>
    <w:rsid w:val="001814E3"/>
    <w:rsid w:val="001815C7"/>
    <w:rsid w:val="0018655E"/>
    <w:rsid w:val="00187017"/>
    <w:rsid w:val="00190BED"/>
    <w:rsid w:val="001924CD"/>
    <w:rsid w:val="00194878"/>
    <w:rsid w:val="0019517D"/>
    <w:rsid w:val="001B10D9"/>
    <w:rsid w:val="001B3E39"/>
    <w:rsid w:val="001B5823"/>
    <w:rsid w:val="001B5AB8"/>
    <w:rsid w:val="001C0A8E"/>
    <w:rsid w:val="001C1693"/>
    <w:rsid w:val="001C2CFA"/>
    <w:rsid w:val="001C357D"/>
    <w:rsid w:val="001C6BDA"/>
    <w:rsid w:val="001C7EE2"/>
    <w:rsid w:val="001D6BE4"/>
    <w:rsid w:val="001D7F29"/>
    <w:rsid w:val="001E5E72"/>
    <w:rsid w:val="001E62BF"/>
    <w:rsid w:val="001F0A9E"/>
    <w:rsid w:val="001F12C6"/>
    <w:rsid w:val="001F7BAF"/>
    <w:rsid w:val="002002D2"/>
    <w:rsid w:val="00203254"/>
    <w:rsid w:val="002051CE"/>
    <w:rsid w:val="002054F9"/>
    <w:rsid w:val="00205D29"/>
    <w:rsid w:val="00210587"/>
    <w:rsid w:val="002132C7"/>
    <w:rsid w:val="00213D09"/>
    <w:rsid w:val="00214821"/>
    <w:rsid w:val="002155E4"/>
    <w:rsid w:val="00226C0E"/>
    <w:rsid w:val="00227D70"/>
    <w:rsid w:val="00231AEE"/>
    <w:rsid w:val="0023654F"/>
    <w:rsid w:val="0024118D"/>
    <w:rsid w:val="00244217"/>
    <w:rsid w:val="002464AF"/>
    <w:rsid w:val="0025001E"/>
    <w:rsid w:val="0025381A"/>
    <w:rsid w:val="00261A34"/>
    <w:rsid w:val="0026568B"/>
    <w:rsid w:val="002656CE"/>
    <w:rsid w:val="00266F58"/>
    <w:rsid w:val="00267465"/>
    <w:rsid w:val="0027108D"/>
    <w:rsid w:val="00271C49"/>
    <w:rsid w:val="00272681"/>
    <w:rsid w:val="00272A0B"/>
    <w:rsid w:val="0027351D"/>
    <w:rsid w:val="00275752"/>
    <w:rsid w:val="0027687F"/>
    <w:rsid w:val="002812CA"/>
    <w:rsid w:val="0028290F"/>
    <w:rsid w:val="00292817"/>
    <w:rsid w:val="00293024"/>
    <w:rsid w:val="00293FB5"/>
    <w:rsid w:val="002978BD"/>
    <w:rsid w:val="002A50FD"/>
    <w:rsid w:val="002A763A"/>
    <w:rsid w:val="002B1642"/>
    <w:rsid w:val="002B243C"/>
    <w:rsid w:val="002B34CA"/>
    <w:rsid w:val="002B6E4E"/>
    <w:rsid w:val="002C3D6E"/>
    <w:rsid w:val="002C4D4F"/>
    <w:rsid w:val="002C4EBC"/>
    <w:rsid w:val="002D69F9"/>
    <w:rsid w:val="002E00B1"/>
    <w:rsid w:val="002E092E"/>
    <w:rsid w:val="002E3C0B"/>
    <w:rsid w:val="002F0EA4"/>
    <w:rsid w:val="002F13FD"/>
    <w:rsid w:val="002F37A7"/>
    <w:rsid w:val="002F4D42"/>
    <w:rsid w:val="002F6843"/>
    <w:rsid w:val="00300375"/>
    <w:rsid w:val="00306BC9"/>
    <w:rsid w:val="00311641"/>
    <w:rsid w:val="00311C9D"/>
    <w:rsid w:val="0031280D"/>
    <w:rsid w:val="00315751"/>
    <w:rsid w:val="003158BC"/>
    <w:rsid w:val="00321E1C"/>
    <w:rsid w:val="00322C32"/>
    <w:rsid w:val="00326752"/>
    <w:rsid w:val="00327336"/>
    <w:rsid w:val="003306F6"/>
    <w:rsid w:val="00334420"/>
    <w:rsid w:val="00335CF9"/>
    <w:rsid w:val="00337D3F"/>
    <w:rsid w:val="0034097F"/>
    <w:rsid w:val="00342A15"/>
    <w:rsid w:val="00344B9E"/>
    <w:rsid w:val="00344BC4"/>
    <w:rsid w:val="0035788E"/>
    <w:rsid w:val="00357CBC"/>
    <w:rsid w:val="00362CEC"/>
    <w:rsid w:val="00372003"/>
    <w:rsid w:val="0037224C"/>
    <w:rsid w:val="00372250"/>
    <w:rsid w:val="00373E83"/>
    <w:rsid w:val="003826B3"/>
    <w:rsid w:val="0038433D"/>
    <w:rsid w:val="00392737"/>
    <w:rsid w:val="00396ED1"/>
    <w:rsid w:val="003A60A4"/>
    <w:rsid w:val="003B2384"/>
    <w:rsid w:val="003C77A7"/>
    <w:rsid w:val="003D18D0"/>
    <w:rsid w:val="003D3FBF"/>
    <w:rsid w:val="003D53A1"/>
    <w:rsid w:val="003D58C8"/>
    <w:rsid w:val="003E02EA"/>
    <w:rsid w:val="003F3BF2"/>
    <w:rsid w:val="003F497F"/>
    <w:rsid w:val="003F5603"/>
    <w:rsid w:val="003F5E11"/>
    <w:rsid w:val="00400608"/>
    <w:rsid w:val="00400ED1"/>
    <w:rsid w:val="00410A52"/>
    <w:rsid w:val="00414728"/>
    <w:rsid w:val="00415EC4"/>
    <w:rsid w:val="00424400"/>
    <w:rsid w:val="0043090B"/>
    <w:rsid w:val="00444BE6"/>
    <w:rsid w:val="00457292"/>
    <w:rsid w:val="00457B19"/>
    <w:rsid w:val="00462AC7"/>
    <w:rsid w:val="00465E55"/>
    <w:rsid w:val="00470715"/>
    <w:rsid w:val="004727E1"/>
    <w:rsid w:val="0047440D"/>
    <w:rsid w:val="004746E2"/>
    <w:rsid w:val="004765A7"/>
    <w:rsid w:val="004820A8"/>
    <w:rsid w:val="00486A4A"/>
    <w:rsid w:val="00492833"/>
    <w:rsid w:val="00492B09"/>
    <w:rsid w:val="00497BE6"/>
    <w:rsid w:val="004A23AC"/>
    <w:rsid w:val="004A653C"/>
    <w:rsid w:val="004A7D90"/>
    <w:rsid w:val="004B4817"/>
    <w:rsid w:val="004B4BE3"/>
    <w:rsid w:val="004B5508"/>
    <w:rsid w:val="004C5128"/>
    <w:rsid w:val="004D0827"/>
    <w:rsid w:val="004D1424"/>
    <w:rsid w:val="004D6812"/>
    <w:rsid w:val="004E6059"/>
    <w:rsid w:val="004F075E"/>
    <w:rsid w:val="004F4356"/>
    <w:rsid w:val="004F6BAB"/>
    <w:rsid w:val="004F6F72"/>
    <w:rsid w:val="00503A0E"/>
    <w:rsid w:val="0050556A"/>
    <w:rsid w:val="00506E09"/>
    <w:rsid w:val="005111D7"/>
    <w:rsid w:val="00515A72"/>
    <w:rsid w:val="00521250"/>
    <w:rsid w:val="00523EB4"/>
    <w:rsid w:val="005255C2"/>
    <w:rsid w:val="00527BE8"/>
    <w:rsid w:val="00532937"/>
    <w:rsid w:val="00533205"/>
    <w:rsid w:val="00543A4B"/>
    <w:rsid w:val="00545677"/>
    <w:rsid w:val="00547FF7"/>
    <w:rsid w:val="005511AD"/>
    <w:rsid w:val="0055191A"/>
    <w:rsid w:val="005556DC"/>
    <w:rsid w:val="005577A4"/>
    <w:rsid w:val="0056029D"/>
    <w:rsid w:val="00563C96"/>
    <w:rsid w:val="0056670C"/>
    <w:rsid w:val="005706CF"/>
    <w:rsid w:val="00572729"/>
    <w:rsid w:val="0057296E"/>
    <w:rsid w:val="00576E5F"/>
    <w:rsid w:val="005867F5"/>
    <w:rsid w:val="0058725B"/>
    <w:rsid w:val="00591370"/>
    <w:rsid w:val="00591C9E"/>
    <w:rsid w:val="00595E25"/>
    <w:rsid w:val="00597A29"/>
    <w:rsid w:val="005A1EBE"/>
    <w:rsid w:val="005A22F5"/>
    <w:rsid w:val="005B23DD"/>
    <w:rsid w:val="005C1610"/>
    <w:rsid w:val="005C5639"/>
    <w:rsid w:val="005D4554"/>
    <w:rsid w:val="005D473A"/>
    <w:rsid w:val="005E56DA"/>
    <w:rsid w:val="005E7BAB"/>
    <w:rsid w:val="00601C02"/>
    <w:rsid w:val="00607E6F"/>
    <w:rsid w:val="006118CD"/>
    <w:rsid w:val="00613F59"/>
    <w:rsid w:val="00616F74"/>
    <w:rsid w:val="0062344B"/>
    <w:rsid w:val="00630C89"/>
    <w:rsid w:val="006336AE"/>
    <w:rsid w:val="0063508D"/>
    <w:rsid w:val="00635C8E"/>
    <w:rsid w:val="00642EF2"/>
    <w:rsid w:val="00643FF9"/>
    <w:rsid w:val="00646EA9"/>
    <w:rsid w:val="00650A6E"/>
    <w:rsid w:val="00656349"/>
    <w:rsid w:val="0066245B"/>
    <w:rsid w:val="006642B4"/>
    <w:rsid w:val="00671E7D"/>
    <w:rsid w:val="00680E89"/>
    <w:rsid w:val="006850F2"/>
    <w:rsid w:val="00687461"/>
    <w:rsid w:val="006933D8"/>
    <w:rsid w:val="0069521E"/>
    <w:rsid w:val="0069677A"/>
    <w:rsid w:val="00697819"/>
    <w:rsid w:val="006A06E0"/>
    <w:rsid w:val="006A195D"/>
    <w:rsid w:val="006A216E"/>
    <w:rsid w:val="006A2F32"/>
    <w:rsid w:val="006A696F"/>
    <w:rsid w:val="006A6A00"/>
    <w:rsid w:val="006B07B5"/>
    <w:rsid w:val="006B50A7"/>
    <w:rsid w:val="006B75F0"/>
    <w:rsid w:val="006C1234"/>
    <w:rsid w:val="006C1375"/>
    <w:rsid w:val="006D74B9"/>
    <w:rsid w:val="006E202E"/>
    <w:rsid w:val="006F0730"/>
    <w:rsid w:val="006F675A"/>
    <w:rsid w:val="00701016"/>
    <w:rsid w:val="007027FB"/>
    <w:rsid w:val="00706B8B"/>
    <w:rsid w:val="00713CE6"/>
    <w:rsid w:val="00720DFF"/>
    <w:rsid w:val="00726C2A"/>
    <w:rsid w:val="00742FD5"/>
    <w:rsid w:val="00753E07"/>
    <w:rsid w:val="00757465"/>
    <w:rsid w:val="00763ECF"/>
    <w:rsid w:val="007645F6"/>
    <w:rsid w:val="0076622B"/>
    <w:rsid w:val="00770067"/>
    <w:rsid w:val="00771DCC"/>
    <w:rsid w:val="00773AC5"/>
    <w:rsid w:val="007752AA"/>
    <w:rsid w:val="007969FA"/>
    <w:rsid w:val="0079708B"/>
    <w:rsid w:val="007A1601"/>
    <w:rsid w:val="007A2146"/>
    <w:rsid w:val="007A4DE1"/>
    <w:rsid w:val="007B7E58"/>
    <w:rsid w:val="007C4872"/>
    <w:rsid w:val="007C7772"/>
    <w:rsid w:val="007D34C5"/>
    <w:rsid w:val="007D3621"/>
    <w:rsid w:val="007D477C"/>
    <w:rsid w:val="007D4F46"/>
    <w:rsid w:val="007D54F8"/>
    <w:rsid w:val="007D56D0"/>
    <w:rsid w:val="007D5DB3"/>
    <w:rsid w:val="007E35FD"/>
    <w:rsid w:val="007E50F3"/>
    <w:rsid w:val="007E73EC"/>
    <w:rsid w:val="007F322B"/>
    <w:rsid w:val="007F6062"/>
    <w:rsid w:val="007F62EF"/>
    <w:rsid w:val="007F6D20"/>
    <w:rsid w:val="00800AC0"/>
    <w:rsid w:val="00800E0A"/>
    <w:rsid w:val="008013F6"/>
    <w:rsid w:val="00801945"/>
    <w:rsid w:val="00801D65"/>
    <w:rsid w:val="0080240F"/>
    <w:rsid w:val="008027FC"/>
    <w:rsid w:val="00803F5F"/>
    <w:rsid w:val="0080653E"/>
    <w:rsid w:val="00813E5E"/>
    <w:rsid w:val="0081668A"/>
    <w:rsid w:val="0082687E"/>
    <w:rsid w:val="008367A3"/>
    <w:rsid w:val="008467BF"/>
    <w:rsid w:val="0086075F"/>
    <w:rsid w:val="0087150A"/>
    <w:rsid w:val="00875B7B"/>
    <w:rsid w:val="0087647D"/>
    <w:rsid w:val="00891F83"/>
    <w:rsid w:val="00893D88"/>
    <w:rsid w:val="008A1F87"/>
    <w:rsid w:val="008A3409"/>
    <w:rsid w:val="008A4C03"/>
    <w:rsid w:val="008A6DA1"/>
    <w:rsid w:val="008A76A3"/>
    <w:rsid w:val="008B0312"/>
    <w:rsid w:val="008B3AF8"/>
    <w:rsid w:val="008B4170"/>
    <w:rsid w:val="008B6083"/>
    <w:rsid w:val="008B6A6E"/>
    <w:rsid w:val="008B7C6A"/>
    <w:rsid w:val="008C0919"/>
    <w:rsid w:val="008C29F2"/>
    <w:rsid w:val="008D046C"/>
    <w:rsid w:val="008D4AC8"/>
    <w:rsid w:val="008D6519"/>
    <w:rsid w:val="008D7BF9"/>
    <w:rsid w:val="008E0A1C"/>
    <w:rsid w:val="008E2080"/>
    <w:rsid w:val="008E7757"/>
    <w:rsid w:val="008F0C26"/>
    <w:rsid w:val="008F3B84"/>
    <w:rsid w:val="008F4D9E"/>
    <w:rsid w:val="00902F12"/>
    <w:rsid w:val="009050E6"/>
    <w:rsid w:val="00905B4C"/>
    <w:rsid w:val="00906161"/>
    <w:rsid w:val="00906311"/>
    <w:rsid w:val="00912A69"/>
    <w:rsid w:val="00915975"/>
    <w:rsid w:val="00925342"/>
    <w:rsid w:val="00925B3A"/>
    <w:rsid w:val="00926F6E"/>
    <w:rsid w:val="0092770D"/>
    <w:rsid w:val="009313EB"/>
    <w:rsid w:val="0093418F"/>
    <w:rsid w:val="009440C9"/>
    <w:rsid w:val="0094698A"/>
    <w:rsid w:val="00954A4E"/>
    <w:rsid w:val="00960911"/>
    <w:rsid w:val="00962FB8"/>
    <w:rsid w:val="0096556C"/>
    <w:rsid w:val="00966F25"/>
    <w:rsid w:val="009734CE"/>
    <w:rsid w:val="0097620D"/>
    <w:rsid w:val="009766FC"/>
    <w:rsid w:val="00984192"/>
    <w:rsid w:val="00986D43"/>
    <w:rsid w:val="00987846"/>
    <w:rsid w:val="00987FB2"/>
    <w:rsid w:val="009A0234"/>
    <w:rsid w:val="009A0ED6"/>
    <w:rsid w:val="009A3964"/>
    <w:rsid w:val="009A52B9"/>
    <w:rsid w:val="009B5357"/>
    <w:rsid w:val="009B5B6E"/>
    <w:rsid w:val="009B7CBB"/>
    <w:rsid w:val="009C27FC"/>
    <w:rsid w:val="009C52B2"/>
    <w:rsid w:val="009C75BA"/>
    <w:rsid w:val="009C76A8"/>
    <w:rsid w:val="009D3DD0"/>
    <w:rsid w:val="009D45C7"/>
    <w:rsid w:val="009D4E80"/>
    <w:rsid w:val="009F270D"/>
    <w:rsid w:val="009F5D30"/>
    <w:rsid w:val="00A0174C"/>
    <w:rsid w:val="00A0257B"/>
    <w:rsid w:val="00A1140B"/>
    <w:rsid w:val="00A16239"/>
    <w:rsid w:val="00A16752"/>
    <w:rsid w:val="00A1764F"/>
    <w:rsid w:val="00A216EA"/>
    <w:rsid w:val="00A25E56"/>
    <w:rsid w:val="00A3029C"/>
    <w:rsid w:val="00A33364"/>
    <w:rsid w:val="00A35376"/>
    <w:rsid w:val="00A4524F"/>
    <w:rsid w:val="00A53077"/>
    <w:rsid w:val="00A533FC"/>
    <w:rsid w:val="00A566B9"/>
    <w:rsid w:val="00A64C5D"/>
    <w:rsid w:val="00A70EF7"/>
    <w:rsid w:val="00A7156F"/>
    <w:rsid w:val="00A755E1"/>
    <w:rsid w:val="00A761F8"/>
    <w:rsid w:val="00A76E61"/>
    <w:rsid w:val="00A77F86"/>
    <w:rsid w:val="00A81CF9"/>
    <w:rsid w:val="00A82E53"/>
    <w:rsid w:val="00A83F08"/>
    <w:rsid w:val="00A853DD"/>
    <w:rsid w:val="00AA0783"/>
    <w:rsid w:val="00AB00F4"/>
    <w:rsid w:val="00AB3395"/>
    <w:rsid w:val="00AC0C55"/>
    <w:rsid w:val="00AC7314"/>
    <w:rsid w:val="00AC7C92"/>
    <w:rsid w:val="00AD287B"/>
    <w:rsid w:val="00AD4895"/>
    <w:rsid w:val="00AD6D8F"/>
    <w:rsid w:val="00AE017D"/>
    <w:rsid w:val="00AE185F"/>
    <w:rsid w:val="00AE3651"/>
    <w:rsid w:val="00AF5504"/>
    <w:rsid w:val="00B02A88"/>
    <w:rsid w:val="00B0500E"/>
    <w:rsid w:val="00B077FD"/>
    <w:rsid w:val="00B23FD0"/>
    <w:rsid w:val="00B366E8"/>
    <w:rsid w:val="00B3677F"/>
    <w:rsid w:val="00B456C2"/>
    <w:rsid w:val="00B458C3"/>
    <w:rsid w:val="00B474C8"/>
    <w:rsid w:val="00B47907"/>
    <w:rsid w:val="00B52A9C"/>
    <w:rsid w:val="00B54FF3"/>
    <w:rsid w:val="00B60812"/>
    <w:rsid w:val="00B6770E"/>
    <w:rsid w:val="00B75928"/>
    <w:rsid w:val="00B81D21"/>
    <w:rsid w:val="00B9069B"/>
    <w:rsid w:val="00B91D79"/>
    <w:rsid w:val="00B91F2C"/>
    <w:rsid w:val="00B937FB"/>
    <w:rsid w:val="00B94445"/>
    <w:rsid w:val="00BA027E"/>
    <w:rsid w:val="00BA0B03"/>
    <w:rsid w:val="00BA25DB"/>
    <w:rsid w:val="00BA2D18"/>
    <w:rsid w:val="00BA6A0B"/>
    <w:rsid w:val="00BB1F2F"/>
    <w:rsid w:val="00BB5C65"/>
    <w:rsid w:val="00BB6DA6"/>
    <w:rsid w:val="00BC0182"/>
    <w:rsid w:val="00BC2CFC"/>
    <w:rsid w:val="00BC3DD3"/>
    <w:rsid w:val="00BC4821"/>
    <w:rsid w:val="00BD2D36"/>
    <w:rsid w:val="00BD77AF"/>
    <w:rsid w:val="00BD7CAF"/>
    <w:rsid w:val="00BE0EDB"/>
    <w:rsid w:val="00BF432A"/>
    <w:rsid w:val="00C00887"/>
    <w:rsid w:val="00C01182"/>
    <w:rsid w:val="00C0188A"/>
    <w:rsid w:val="00C1512D"/>
    <w:rsid w:val="00C17251"/>
    <w:rsid w:val="00C241F5"/>
    <w:rsid w:val="00C2524F"/>
    <w:rsid w:val="00C26470"/>
    <w:rsid w:val="00C31BF4"/>
    <w:rsid w:val="00C32E35"/>
    <w:rsid w:val="00C343B1"/>
    <w:rsid w:val="00C357F1"/>
    <w:rsid w:val="00C4240D"/>
    <w:rsid w:val="00C436EB"/>
    <w:rsid w:val="00C43890"/>
    <w:rsid w:val="00C51130"/>
    <w:rsid w:val="00C52B41"/>
    <w:rsid w:val="00C533E0"/>
    <w:rsid w:val="00C61005"/>
    <w:rsid w:val="00C621BD"/>
    <w:rsid w:val="00C6571A"/>
    <w:rsid w:val="00C66471"/>
    <w:rsid w:val="00C679E6"/>
    <w:rsid w:val="00C67CE9"/>
    <w:rsid w:val="00C70AD5"/>
    <w:rsid w:val="00C7110A"/>
    <w:rsid w:val="00C727FD"/>
    <w:rsid w:val="00C74692"/>
    <w:rsid w:val="00C75FF3"/>
    <w:rsid w:val="00C84CCC"/>
    <w:rsid w:val="00C85476"/>
    <w:rsid w:val="00C92EAD"/>
    <w:rsid w:val="00C92F99"/>
    <w:rsid w:val="00C96CD7"/>
    <w:rsid w:val="00CA0D6B"/>
    <w:rsid w:val="00CB2C0B"/>
    <w:rsid w:val="00CB6DF0"/>
    <w:rsid w:val="00CB7AB2"/>
    <w:rsid w:val="00CC08B2"/>
    <w:rsid w:val="00CC489D"/>
    <w:rsid w:val="00CC6C88"/>
    <w:rsid w:val="00CC6F93"/>
    <w:rsid w:val="00CC7740"/>
    <w:rsid w:val="00CE51BE"/>
    <w:rsid w:val="00CE567D"/>
    <w:rsid w:val="00CF1A7F"/>
    <w:rsid w:val="00CF1EB1"/>
    <w:rsid w:val="00CF2497"/>
    <w:rsid w:val="00CF2F91"/>
    <w:rsid w:val="00D0164C"/>
    <w:rsid w:val="00D02A42"/>
    <w:rsid w:val="00D02D1B"/>
    <w:rsid w:val="00D0387B"/>
    <w:rsid w:val="00D047E2"/>
    <w:rsid w:val="00D065CF"/>
    <w:rsid w:val="00D12F80"/>
    <w:rsid w:val="00D136BA"/>
    <w:rsid w:val="00D20A8E"/>
    <w:rsid w:val="00D22A1A"/>
    <w:rsid w:val="00D25C6C"/>
    <w:rsid w:val="00D26476"/>
    <w:rsid w:val="00D26DF4"/>
    <w:rsid w:val="00D30FFB"/>
    <w:rsid w:val="00D32109"/>
    <w:rsid w:val="00D44BBA"/>
    <w:rsid w:val="00D4771B"/>
    <w:rsid w:val="00D52122"/>
    <w:rsid w:val="00D5325D"/>
    <w:rsid w:val="00D5326A"/>
    <w:rsid w:val="00D57C1C"/>
    <w:rsid w:val="00D6509B"/>
    <w:rsid w:val="00D7096F"/>
    <w:rsid w:val="00D758EB"/>
    <w:rsid w:val="00D91700"/>
    <w:rsid w:val="00DA2874"/>
    <w:rsid w:val="00DA6898"/>
    <w:rsid w:val="00DC0B20"/>
    <w:rsid w:val="00DC402D"/>
    <w:rsid w:val="00DD072B"/>
    <w:rsid w:val="00DD1CAD"/>
    <w:rsid w:val="00DD3F38"/>
    <w:rsid w:val="00DD76A9"/>
    <w:rsid w:val="00DD7EAD"/>
    <w:rsid w:val="00DE64CB"/>
    <w:rsid w:val="00DF5455"/>
    <w:rsid w:val="00DF7557"/>
    <w:rsid w:val="00E05B41"/>
    <w:rsid w:val="00E05C6D"/>
    <w:rsid w:val="00E075E2"/>
    <w:rsid w:val="00E10F07"/>
    <w:rsid w:val="00E111CC"/>
    <w:rsid w:val="00E22256"/>
    <w:rsid w:val="00E227AE"/>
    <w:rsid w:val="00E26EC6"/>
    <w:rsid w:val="00E325D7"/>
    <w:rsid w:val="00E3274C"/>
    <w:rsid w:val="00E32D1E"/>
    <w:rsid w:val="00E36814"/>
    <w:rsid w:val="00E3799C"/>
    <w:rsid w:val="00E41780"/>
    <w:rsid w:val="00E4188A"/>
    <w:rsid w:val="00E4247C"/>
    <w:rsid w:val="00E42A87"/>
    <w:rsid w:val="00E50C18"/>
    <w:rsid w:val="00E53016"/>
    <w:rsid w:val="00E54628"/>
    <w:rsid w:val="00E54F4A"/>
    <w:rsid w:val="00E577FE"/>
    <w:rsid w:val="00E60312"/>
    <w:rsid w:val="00E62BD7"/>
    <w:rsid w:val="00E7084A"/>
    <w:rsid w:val="00E7176F"/>
    <w:rsid w:val="00E74EE3"/>
    <w:rsid w:val="00E75ED3"/>
    <w:rsid w:val="00E86287"/>
    <w:rsid w:val="00E87C3D"/>
    <w:rsid w:val="00E92BBC"/>
    <w:rsid w:val="00EA06D2"/>
    <w:rsid w:val="00EA1BED"/>
    <w:rsid w:val="00EA2D65"/>
    <w:rsid w:val="00EA5234"/>
    <w:rsid w:val="00EA5333"/>
    <w:rsid w:val="00EA5716"/>
    <w:rsid w:val="00EA618A"/>
    <w:rsid w:val="00EC3A5C"/>
    <w:rsid w:val="00EC647D"/>
    <w:rsid w:val="00EC6EFD"/>
    <w:rsid w:val="00EC72CD"/>
    <w:rsid w:val="00ED0F7F"/>
    <w:rsid w:val="00ED6706"/>
    <w:rsid w:val="00ED7471"/>
    <w:rsid w:val="00EE4153"/>
    <w:rsid w:val="00EE53FD"/>
    <w:rsid w:val="00EF079E"/>
    <w:rsid w:val="00EF58FD"/>
    <w:rsid w:val="00EF68EC"/>
    <w:rsid w:val="00F0360D"/>
    <w:rsid w:val="00F04C4A"/>
    <w:rsid w:val="00F1096F"/>
    <w:rsid w:val="00F113E3"/>
    <w:rsid w:val="00F13A9A"/>
    <w:rsid w:val="00F16269"/>
    <w:rsid w:val="00F179DF"/>
    <w:rsid w:val="00F32905"/>
    <w:rsid w:val="00F33865"/>
    <w:rsid w:val="00F40F40"/>
    <w:rsid w:val="00F410C4"/>
    <w:rsid w:val="00F43FD6"/>
    <w:rsid w:val="00F44423"/>
    <w:rsid w:val="00F47D04"/>
    <w:rsid w:val="00F62924"/>
    <w:rsid w:val="00F65816"/>
    <w:rsid w:val="00F66E9F"/>
    <w:rsid w:val="00F70072"/>
    <w:rsid w:val="00F7064D"/>
    <w:rsid w:val="00F72085"/>
    <w:rsid w:val="00F725F1"/>
    <w:rsid w:val="00F72B6D"/>
    <w:rsid w:val="00F77267"/>
    <w:rsid w:val="00F8037B"/>
    <w:rsid w:val="00F81B67"/>
    <w:rsid w:val="00F84F9D"/>
    <w:rsid w:val="00F871E9"/>
    <w:rsid w:val="00F90325"/>
    <w:rsid w:val="00F928C7"/>
    <w:rsid w:val="00F9620C"/>
    <w:rsid w:val="00F96ADD"/>
    <w:rsid w:val="00F96DA0"/>
    <w:rsid w:val="00F9758A"/>
    <w:rsid w:val="00FA2363"/>
    <w:rsid w:val="00FA4AE3"/>
    <w:rsid w:val="00FA73C9"/>
    <w:rsid w:val="00FB4177"/>
    <w:rsid w:val="00FB56BB"/>
    <w:rsid w:val="00FB71B3"/>
    <w:rsid w:val="00FC2156"/>
    <w:rsid w:val="00FC277F"/>
    <w:rsid w:val="00FD1CB5"/>
    <w:rsid w:val="00FD48E3"/>
    <w:rsid w:val="00FD4931"/>
    <w:rsid w:val="00FD6965"/>
    <w:rsid w:val="00FD7B55"/>
    <w:rsid w:val="00FE20AA"/>
    <w:rsid w:val="00FE5AF4"/>
    <w:rsid w:val="00FF0B4F"/>
    <w:rsid w:val="00FF1287"/>
    <w:rsid w:val="00FF3A76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C291"/>
  <w15:docId w15:val="{22FCD99C-7C73-4D23-91E4-1BD3EAB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56C2"/>
    <w:pPr>
      <w:keepNext/>
      <w:shd w:val="clear" w:color="auto" w:fill="FFFFFF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color w:val="008080"/>
      <w:spacing w:val="-2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456C2"/>
    <w:pPr>
      <w:keepNext/>
      <w:shd w:val="clear" w:color="auto" w:fill="FFFFFF"/>
      <w:spacing w:before="192" w:after="0" w:line="360" w:lineRule="auto"/>
      <w:ind w:firstLine="720"/>
      <w:outlineLvl w:val="1"/>
    </w:pPr>
    <w:rPr>
      <w:rFonts w:ascii="Times New Roman" w:eastAsia="Times New Roman" w:hAnsi="Times New Roman" w:cs="Times New Roman"/>
      <w:color w:val="008080"/>
      <w:spacing w:val="-3"/>
      <w:sz w:val="28"/>
      <w:szCs w:val="24"/>
      <w:lang w:val="uk-UA" w:eastAsia="ru-RU"/>
    </w:rPr>
  </w:style>
  <w:style w:type="paragraph" w:styleId="30">
    <w:name w:val="heading 3"/>
    <w:basedOn w:val="a"/>
    <w:next w:val="a"/>
    <w:link w:val="31"/>
    <w:uiPriority w:val="99"/>
    <w:qFormat/>
    <w:rsid w:val="00B456C2"/>
    <w:pPr>
      <w:keepNext/>
      <w:pBdr>
        <w:bottom w:val="single" w:sz="8" w:space="1" w:color="auto"/>
      </w:pBdr>
      <w:shd w:val="clear" w:color="auto" w:fill="FFFFFF"/>
      <w:spacing w:after="0" w:line="360" w:lineRule="auto"/>
      <w:ind w:right="22" w:firstLine="720"/>
      <w:outlineLvl w:val="2"/>
    </w:pPr>
    <w:rPr>
      <w:rFonts w:ascii="Times New Roman" w:eastAsia="Times New Roman" w:hAnsi="Times New Roman" w:cs="Times New Roman"/>
      <w:color w:val="008080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B456C2"/>
    <w:pPr>
      <w:keepNext/>
      <w:pBdr>
        <w:bottom w:val="single" w:sz="8" w:space="31" w:color="auto"/>
      </w:pBdr>
      <w:shd w:val="clear" w:color="auto" w:fill="FFFFFF"/>
      <w:spacing w:after="0" w:line="360" w:lineRule="auto"/>
      <w:ind w:right="22" w:firstLine="720"/>
      <w:jc w:val="right"/>
      <w:outlineLvl w:val="3"/>
    </w:pPr>
    <w:rPr>
      <w:rFonts w:ascii="Times New Roman" w:eastAsia="Times New Roman" w:hAnsi="Times New Roman" w:cs="Times New Roman"/>
      <w:color w:val="008080"/>
      <w:spacing w:val="-8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B456C2"/>
    <w:pPr>
      <w:keepNext/>
      <w:framePr w:h="3542" w:hSpace="38" w:vSpace="58" w:wrap="auto" w:vAnchor="text" w:hAnchor="page" w:x="2783" w:y="167" w:anchorLock="1"/>
      <w:shd w:val="clear" w:color="auto" w:fill="FFFFFF"/>
      <w:spacing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color w:val="008080"/>
      <w:spacing w:val="-9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B456C2"/>
    <w:pPr>
      <w:keepNext/>
      <w:shd w:val="clear" w:color="auto" w:fill="FFFFFF"/>
      <w:spacing w:after="0" w:line="360" w:lineRule="auto"/>
      <w:ind w:left="518" w:firstLine="720"/>
      <w:jc w:val="center"/>
      <w:outlineLvl w:val="5"/>
    </w:pPr>
    <w:rPr>
      <w:rFonts w:ascii="Times New Roman" w:eastAsia="Times New Roman" w:hAnsi="Times New Roman" w:cs="Times New Roman"/>
      <w:color w:val="008080"/>
      <w:spacing w:val="-12"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B456C2"/>
    <w:pPr>
      <w:keepNext/>
      <w:shd w:val="clear" w:color="auto" w:fill="FFFFFF"/>
      <w:spacing w:after="0" w:line="360" w:lineRule="auto"/>
      <w:outlineLvl w:val="6"/>
    </w:pPr>
    <w:rPr>
      <w:rFonts w:ascii="Times New Roman" w:eastAsia="Times New Roman" w:hAnsi="Times New Roman" w:cs="Times New Roman"/>
      <w:color w:val="008080"/>
      <w:spacing w:val="-9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B456C2"/>
    <w:pPr>
      <w:keepNext/>
      <w:shd w:val="clear" w:color="auto" w:fill="FFFFFF"/>
      <w:spacing w:before="86" w:after="0" w:line="360" w:lineRule="auto"/>
      <w:ind w:left="562"/>
      <w:jc w:val="center"/>
      <w:outlineLvl w:val="7"/>
    </w:pPr>
    <w:rPr>
      <w:rFonts w:ascii="Times New Roman" w:eastAsia="Times New Roman" w:hAnsi="Times New Roman" w:cs="Times New Roman"/>
      <w:color w:val="008080"/>
      <w:sz w:val="28"/>
      <w:szCs w:val="24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B456C2"/>
    <w:pPr>
      <w:keepNext/>
      <w:shd w:val="clear" w:color="auto" w:fill="FFFFFF"/>
      <w:spacing w:before="288" w:after="0" w:line="360" w:lineRule="auto"/>
      <w:ind w:left="398"/>
      <w:jc w:val="center"/>
      <w:outlineLvl w:val="8"/>
    </w:pPr>
    <w:rPr>
      <w:rFonts w:ascii="Times New Roman" w:eastAsia="Times New Roman" w:hAnsi="Times New Roman" w:cs="Times New Roman"/>
      <w:color w:val="00808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60812"/>
  </w:style>
  <w:style w:type="paragraph" w:styleId="a7">
    <w:name w:val="header"/>
    <w:basedOn w:val="a"/>
    <w:link w:val="a8"/>
    <w:uiPriority w:val="99"/>
    <w:unhideWhenUsed/>
    <w:rsid w:val="00E4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780"/>
  </w:style>
  <w:style w:type="paragraph" w:styleId="a9">
    <w:name w:val="footer"/>
    <w:basedOn w:val="a"/>
    <w:link w:val="aa"/>
    <w:uiPriority w:val="99"/>
    <w:unhideWhenUsed/>
    <w:rsid w:val="00E4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80"/>
  </w:style>
  <w:style w:type="paragraph" w:styleId="HTML">
    <w:name w:val="HTML Preformatted"/>
    <w:basedOn w:val="a"/>
    <w:link w:val="HTML0"/>
    <w:uiPriority w:val="99"/>
    <w:unhideWhenUsed/>
    <w:rsid w:val="00C172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7251"/>
    <w:rPr>
      <w:rFonts w:ascii="Consolas" w:hAnsi="Consolas" w:cs="Consolas"/>
      <w:sz w:val="20"/>
      <w:szCs w:val="20"/>
    </w:rPr>
  </w:style>
  <w:style w:type="table" w:styleId="ab">
    <w:name w:val="Table Grid"/>
    <w:basedOn w:val="a1"/>
    <w:uiPriority w:val="59"/>
    <w:rsid w:val="00CC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A3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456C2"/>
    <w:rPr>
      <w:rFonts w:ascii="Times New Roman" w:eastAsia="Times New Roman" w:hAnsi="Times New Roman" w:cs="Times New Roman"/>
      <w:color w:val="008080"/>
      <w:spacing w:val="-2"/>
      <w:sz w:val="28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456C2"/>
    <w:rPr>
      <w:rFonts w:ascii="Times New Roman" w:eastAsia="Times New Roman" w:hAnsi="Times New Roman" w:cs="Times New Roman"/>
      <w:color w:val="008080"/>
      <w:spacing w:val="-3"/>
      <w:sz w:val="28"/>
      <w:szCs w:val="24"/>
      <w:shd w:val="clear" w:color="auto" w:fill="FFFFFF"/>
      <w:lang w:val="uk-UA" w:eastAsia="ru-RU"/>
    </w:rPr>
  </w:style>
  <w:style w:type="character" w:customStyle="1" w:styleId="31">
    <w:name w:val="Заголовок 3 Знак"/>
    <w:basedOn w:val="a0"/>
    <w:link w:val="30"/>
    <w:uiPriority w:val="99"/>
    <w:rsid w:val="00B456C2"/>
    <w:rPr>
      <w:rFonts w:ascii="Times New Roman" w:eastAsia="Times New Roman" w:hAnsi="Times New Roman" w:cs="Times New Roman"/>
      <w:color w:val="008080"/>
      <w:sz w:val="28"/>
      <w:szCs w:val="24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456C2"/>
    <w:rPr>
      <w:rFonts w:ascii="Times New Roman" w:eastAsia="Times New Roman" w:hAnsi="Times New Roman" w:cs="Times New Roman"/>
      <w:color w:val="008080"/>
      <w:spacing w:val="-8"/>
      <w:sz w:val="28"/>
      <w:szCs w:val="24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B456C2"/>
    <w:rPr>
      <w:rFonts w:ascii="Times New Roman" w:eastAsia="Times New Roman" w:hAnsi="Times New Roman" w:cs="Times New Roman"/>
      <w:color w:val="008080"/>
      <w:spacing w:val="-9"/>
      <w:sz w:val="28"/>
      <w:szCs w:val="24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B456C2"/>
    <w:rPr>
      <w:rFonts w:ascii="Times New Roman" w:eastAsia="Times New Roman" w:hAnsi="Times New Roman" w:cs="Times New Roman"/>
      <w:color w:val="008080"/>
      <w:spacing w:val="-12"/>
      <w:sz w:val="28"/>
      <w:szCs w:val="24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B456C2"/>
    <w:rPr>
      <w:rFonts w:ascii="Times New Roman" w:eastAsia="Times New Roman" w:hAnsi="Times New Roman" w:cs="Times New Roman"/>
      <w:color w:val="008080"/>
      <w:spacing w:val="-9"/>
      <w:sz w:val="28"/>
      <w:szCs w:val="24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B456C2"/>
    <w:rPr>
      <w:rFonts w:ascii="Times New Roman" w:eastAsia="Times New Roman" w:hAnsi="Times New Roman" w:cs="Times New Roman"/>
      <w:color w:val="008080"/>
      <w:sz w:val="28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B456C2"/>
    <w:rPr>
      <w:rFonts w:ascii="Times New Roman" w:eastAsia="Times New Roman" w:hAnsi="Times New Roman" w:cs="Times New Roman"/>
      <w:color w:val="008080"/>
      <w:sz w:val="28"/>
      <w:szCs w:val="24"/>
      <w:shd w:val="clear" w:color="auto" w:fill="FFFFFF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456C2"/>
  </w:style>
  <w:style w:type="character" w:styleId="ac">
    <w:name w:val="page number"/>
    <w:basedOn w:val="a0"/>
    <w:uiPriority w:val="99"/>
    <w:rsid w:val="00B456C2"/>
    <w:rPr>
      <w:rFonts w:cs="Times New Roman"/>
    </w:rPr>
  </w:style>
  <w:style w:type="paragraph" w:styleId="ad">
    <w:name w:val="Body Text Indent"/>
    <w:basedOn w:val="a"/>
    <w:link w:val="ae"/>
    <w:uiPriority w:val="99"/>
    <w:rsid w:val="00B456C2"/>
    <w:pPr>
      <w:shd w:val="clear" w:color="auto" w:fill="FFFFFF"/>
      <w:spacing w:before="1922" w:after="0" w:line="360" w:lineRule="auto"/>
      <w:ind w:left="670" w:firstLine="720"/>
      <w:jc w:val="center"/>
    </w:pPr>
    <w:rPr>
      <w:rFonts w:ascii="Times New Roman" w:eastAsia="Times New Roman" w:hAnsi="Times New Roman" w:cs="Times New Roman"/>
      <w:b/>
      <w:i/>
      <w:color w:val="008080"/>
      <w:w w:val="102"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456C2"/>
    <w:rPr>
      <w:rFonts w:ascii="Times New Roman" w:eastAsia="Times New Roman" w:hAnsi="Times New Roman" w:cs="Times New Roman"/>
      <w:b/>
      <w:i/>
      <w:color w:val="008080"/>
      <w:w w:val="102"/>
      <w:sz w:val="28"/>
      <w:szCs w:val="24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uiPriority w:val="99"/>
    <w:rsid w:val="00B456C2"/>
    <w:pPr>
      <w:widowControl w:val="0"/>
      <w:shd w:val="clear" w:color="auto" w:fill="FFFFFF"/>
      <w:spacing w:before="5" w:after="0" w:line="360" w:lineRule="auto"/>
      <w:ind w:right="-1" w:firstLine="822"/>
      <w:jc w:val="both"/>
    </w:pPr>
    <w:rPr>
      <w:rFonts w:ascii="Times New Roman" w:eastAsia="Times New Roman" w:hAnsi="Times New Roman" w:cs="Times New Roman"/>
      <w:color w:val="008080"/>
      <w:spacing w:val="-13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56C2"/>
    <w:rPr>
      <w:rFonts w:ascii="Times New Roman" w:eastAsia="Times New Roman" w:hAnsi="Times New Roman" w:cs="Times New Roman"/>
      <w:color w:val="008080"/>
      <w:spacing w:val="-13"/>
      <w:sz w:val="28"/>
      <w:szCs w:val="24"/>
      <w:shd w:val="clear" w:color="auto" w:fill="FFFFFF"/>
      <w:lang w:val="uk-UA" w:eastAsia="ru-RU"/>
    </w:rPr>
  </w:style>
  <w:style w:type="paragraph" w:styleId="af">
    <w:name w:val="Block Text"/>
    <w:basedOn w:val="a"/>
    <w:uiPriority w:val="99"/>
    <w:rsid w:val="00B456C2"/>
    <w:pPr>
      <w:widowControl w:val="0"/>
      <w:shd w:val="clear" w:color="auto" w:fill="FFFFFF"/>
      <w:overflowPunct w:val="0"/>
      <w:autoSpaceDE w:val="0"/>
      <w:autoSpaceDN w:val="0"/>
      <w:adjustRightInd w:val="0"/>
      <w:spacing w:before="43" w:after="0" w:line="499" w:lineRule="exact"/>
      <w:ind w:left="10" w:right="47"/>
      <w:textAlignment w:val="baseline"/>
    </w:pPr>
    <w:rPr>
      <w:rFonts w:ascii="Times New Roman" w:eastAsia="Times New Roman" w:hAnsi="Times New Roman" w:cs="Times New Roman"/>
      <w:color w:val="000000"/>
      <w:spacing w:val="-19"/>
      <w:sz w:val="31"/>
      <w:szCs w:val="20"/>
      <w:lang w:val="uk-UA" w:eastAsia="ru-RU"/>
    </w:rPr>
  </w:style>
  <w:style w:type="paragraph" w:styleId="32">
    <w:name w:val="Body Text Indent 3"/>
    <w:basedOn w:val="a"/>
    <w:link w:val="33"/>
    <w:uiPriority w:val="99"/>
    <w:rsid w:val="00B456C2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8080"/>
      <w:sz w:val="28"/>
      <w:szCs w:val="20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456C2"/>
    <w:rPr>
      <w:rFonts w:ascii="Times New Roman" w:eastAsia="Times New Roman" w:hAnsi="Times New Roman" w:cs="Times New Roman"/>
      <w:color w:val="008080"/>
      <w:sz w:val="28"/>
      <w:szCs w:val="20"/>
      <w:lang w:val="uk-UA" w:eastAsia="ru-RU"/>
    </w:rPr>
  </w:style>
  <w:style w:type="paragraph" w:styleId="af0">
    <w:name w:val="Title"/>
    <w:basedOn w:val="a"/>
    <w:link w:val="af1"/>
    <w:uiPriority w:val="99"/>
    <w:qFormat/>
    <w:rsid w:val="00B456C2"/>
    <w:pPr>
      <w:shd w:val="clear" w:color="auto" w:fill="FFFFFF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color w:val="008080"/>
      <w:spacing w:val="-9"/>
      <w:sz w:val="28"/>
      <w:szCs w:val="24"/>
      <w:lang w:val="uk-UA" w:eastAsia="ru-RU"/>
    </w:rPr>
  </w:style>
  <w:style w:type="character" w:customStyle="1" w:styleId="af1">
    <w:name w:val="Заголовок Знак"/>
    <w:basedOn w:val="a0"/>
    <w:link w:val="af0"/>
    <w:uiPriority w:val="99"/>
    <w:rsid w:val="00B456C2"/>
    <w:rPr>
      <w:rFonts w:ascii="Times New Roman" w:eastAsia="Times New Roman" w:hAnsi="Times New Roman" w:cs="Times New Roman"/>
      <w:color w:val="008080"/>
      <w:spacing w:val="-9"/>
      <w:sz w:val="28"/>
      <w:szCs w:val="24"/>
      <w:shd w:val="clear" w:color="auto" w:fill="FFFFFF"/>
      <w:lang w:val="uk-UA" w:eastAsia="ru-RU"/>
    </w:rPr>
  </w:style>
  <w:style w:type="paragraph" w:styleId="af2">
    <w:name w:val="Body Text"/>
    <w:basedOn w:val="a"/>
    <w:link w:val="af3"/>
    <w:uiPriority w:val="99"/>
    <w:rsid w:val="00B456C2"/>
    <w:pPr>
      <w:shd w:val="clear" w:color="auto" w:fill="FFFFFF"/>
      <w:spacing w:before="221" w:after="0" w:line="360" w:lineRule="auto"/>
      <w:ind w:right="14"/>
      <w:jc w:val="center"/>
    </w:pPr>
    <w:rPr>
      <w:rFonts w:ascii="Times New Roman" w:eastAsia="Times New Roman" w:hAnsi="Times New Roman" w:cs="Times New Roman"/>
      <w:color w:val="008080"/>
      <w:spacing w:val="-6"/>
      <w:sz w:val="28"/>
      <w:szCs w:val="24"/>
      <w:lang w:val="uk-UA" w:eastAsia="ru-RU"/>
    </w:rPr>
  </w:style>
  <w:style w:type="character" w:customStyle="1" w:styleId="af3">
    <w:name w:val="Основной текст Знак"/>
    <w:basedOn w:val="a0"/>
    <w:link w:val="af2"/>
    <w:uiPriority w:val="99"/>
    <w:rsid w:val="00B456C2"/>
    <w:rPr>
      <w:rFonts w:ascii="Times New Roman" w:eastAsia="Times New Roman" w:hAnsi="Times New Roman" w:cs="Times New Roman"/>
      <w:color w:val="008080"/>
      <w:spacing w:val="-6"/>
      <w:sz w:val="28"/>
      <w:szCs w:val="24"/>
      <w:shd w:val="clear" w:color="auto" w:fill="FFFFFF"/>
      <w:lang w:val="uk-UA" w:eastAsia="ru-RU"/>
    </w:rPr>
  </w:style>
  <w:style w:type="paragraph" w:styleId="23">
    <w:name w:val="Body Text 2"/>
    <w:basedOn w:val="a"/>
    <w:link w:val="24"/>
    <w:uiPriority w:val="99"/>
    <w:rsid w:val="00B456C2"/>
    <w:pPr>
      <w:widowControl w:val="0"/>
      <w:shd w:val="clear" w:color="auto" w:fill="FFFFFF"/>
      <w:spacing w:after="0" w:line="360" w:lineRule="auto"/>
      <w:ind w:left="142" w:firstLine="1648"/>
    </w:pPr>
    <w:rPr>
      <w:rFonts w:ascii="Times New Roman" w:eastAsia="Times New Roman" w:hAnsi="Times New Roman" w:cs="Times New Roman"/>
      <w:color w:val="008080"/>
      <w:sz w:val="28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uiPriority w:val="99"/>
    <w:rsid w:val="00B456C2"/>
    <w:rPr>
      <w:rFonts w:ascii="Times New Roman" w:eastAsia="Times New Roman" w:hAnsi="Times New Roman" w:cs="Times New Roman"/>
      <w:color w:val="008080"/>
      <w:sz w:val="28"/>
      <w:szCs w:val="24"/>
      <w:shd w:val="clear" w:color="auto" w:fill="FFFFFF"/>
      <w:lang w:val="uk-UA" w:eastAsia="ru-RU"/>
    </w:rPr>
  </w:style>
  <w:style w:type="paragraph" w:styleId="af4">
    <w:name w:val="Document Map"/>
    <w:basedOn w:val="a"/>
    <w:link w:val="af5"/>
    <w:uiPriority w:val="99"/>
    <w:semiHidden/>
    <w:rsid w:val="00B456C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456C2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6">
    <w:name w:val="caption"/>
    <w:basedOn w:val="a"/>
    <w:next w:val="a"/>
    <w:uiPriority w:val="99"/>
    <w:qFormat/>
    <w:rsid w:val="00B456C2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3"/>
    <w:basedOn w:val="a"/>
    <w:link w:val="35"/>
    <w:uiPriority w:val="99"/>
    <w:rsid w:val="00B456C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008080"/>
      <w:sz w:val="28"/>
      <w:szCs w:val="20"/>
      <w:lang w:val="uk-UA" w:eastAsia="ru-RU"/>
    </w:rPr>
  </w:style>
  <w:style w:type="character" w:customStyle="1" w:styleId="35">
    <w:name w:val="Основной текст 3 Знак"/>
    <w:basedOn w:val="a0"/>
    <w:link w:val="34"/>
    <w:uiPriority w:val="99"/>
    <w:rsid w:val="00B456C2"/>
    <w:rPr>
      <w:rFonts w:ascii="Times New Roman" w:eastAsia="Times New Roman" w:hAnsi="Times New Roman" w:cs="Times New Roman"/>
      <w:color w:val="008080"/>
      <w:sz w:val="28"/>
      <w:szCs w:val="20"/>
      <w:lang w:val="uk-UA" w:eastAsia="ru-RU"/>
    </w:rPr>
  </w:style>
  <w:style w:type="paragraph" w:customStyle="1" w:styleId="FR1">
    <w:name w:val="FR1"/>
    <w:uiPriority w:val="99"/>
    <w:rsid w:val="00B456C2"/>
    <w:pPr>
      <w:spacing w:before="340" w:after="0" w:line="240" w:lineRule="auto"/>
      <w:ind w:left="520" w:right="3800"/>
    </w:pPr>
    <w:rPr>
      <w:rFonts w:ascii="Arial" w:eastAsia="Times New Roman" w:hAnsi="Arial" w:cs="Times New Roman"/>
      <w:i/>
      <w:sz w:val="16"/>
      <w:szCs w:val="20"/>
      <w:lang w:val="uk-UA" w:eastAsia="ru-RU"/>
    </w:rPr>
  </w:style>
  <w:style w:type="paragraph" w:customStyle="1" w:styleId="Web">
    <w:name w:val="Обычный (Web)"/>
    <w:basedOn w:val="a"/>
    <w:uiPriority w:val="99"/>
    <w:rsid w:val="00B456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Plain Text"/>
    <w:basedOn w:val="a"/>
    <w:link w:val="af8"/>
    <w:uiPriority w:val="99"/>
    <w:rsid w:val="00B456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B456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List Bullet 3"/>
    <w:basedOn w:val="a"/>
    <w:autoRedefine/>
    <w:uiPriority w:val="99"/>
    <w:rsid w:val="00B456C2"/>
    <w:pPr>
      <w:keepLines/>
      <w:spacing w:before="60" w:after="4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List Number 3"/>
    <w:basedOn w:val="a"/>
    <w:uiPriority w:val="99"/>
    <w:rsid w:val="00B456C2"/>
    <w:pPr>
      <w:keepLines/>
      <w:numPr>
        <w:numId w:val="8"/>
      </w:numPr>
      <w:tabs>
        <w:tab w:val="num" w:pos="720"/>
      </w:tabs>
      <w:spacing w:before="60" w:after="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chart" Target="charts/chart3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chart" Target="charts/chart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Структура безготівкових розрахунків в ПАТ КБ "ПРИВАТБАНК"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безготівкових розрахунків в ПАТ "Банк "Київська Русь"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платіжне доручення</c:v>
                </c:pt>
                <c:pt idx="1">
                  <c:v>платіжна вимога-доручення</c:v>
                </c:pt>
                <c:pt idx="2">
                  <c:v>чеки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1.1399999999999999</c:v>
                </c:pt>
                <c:pt idx="2">
                  <c:v>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5-40DD-B1D7-4EA645504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Абсолютний приріст (базовий)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2012р.</c:v>
                </c:pt>
                <c:pt idx="1">
                  <c:v>2013р.</c:v>
                </c:pt>
                <c:pt idx="2">
                  <c:v>2014р.</c:v>
                </c:pt>
                <c:pt idx="3">
                  <c:v>2015р.</c:v>
                </c:pt>
                <c:pt idx="4">
                  <c:v>2016р.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5685</c:v>
                </c:pt>
                <c:pt idx="2">
                  <c:v>8175</c:v>
                </c:pt>
                <c:pt idx="3">
                  <c:v>10650</c:v>
                </c:pt>
                <c:pt idx="4">
                  <c:v>16875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C-4CD8-ABA0-2D9312CF5D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Абсолютний приріст (ланцюговий)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2012р.</c:v>
                </c:pt>
                <c:pt idx="1">
                  <c:v>2013р.</c:v>
                </c:pt>
                <c:pt idx="2">
                  <c:v>2014р.</c:v>
                </c:pt>
                <c:pt idx="3">
                  <c:v>2015р.</c:v>
                </c:pt>
                <c:pt idx="4">
                  <c:v>2016р.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5685</c:v>
                </c:pt>
                <c:pt idx="2">
                  <c:v>2490</c:v>
                </c:pt>
                <c:pt idx="3">
                  <c:v>2475</c:v>
                </c:pt>
                <c:pt idx="4">
                  <c:v>6225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FC-4CD8-ABA0-2D9312CF5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483136"/>
        <c:axId val="264730816"/>
      </c:areaChart>
      <c:catAx>
        <c:axId val="227483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4730816"/>
        <c:crosses val="autoZero"/>
        <c:auto val="1"/>
        <c:lblAlgn val="ctr"/>
        <c:lblOffset val="100"/>
        <c:noMultiLvlLbl val="0"/>
      </c:catAx>
      <c:valAx>
        <c:axId val="26473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83136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Абсолютний базовий приріст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-135</c:v>
                </c:pt>
                <c:pt idx="2">
                  <c:v>-45</c:v>
                </c:pt>
                <c:pt idx="3">
                  <c:v>585</c:v>
                </c:pt>
                <c:pt idx="4">
                  <c:v>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4-41A5-BEFF-0CE2EE8A63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Абсолютний ланцюговий приріст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-135</c:v>
                </c:pt>
                <c:pt idx="2">
                  <c:v>90</c:v>
                </c:pt>
                <c:pt idx="3">
                  <c:v>630</c:v>
                </c:pt>
                <c:pt idx="4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E4-41A5-BEFF-0CE2EE8A6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446784"/>
        <c:axId val="287684800"/>
      </c:areaChart>
      <c:catAx>
        <c:axId val="227446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7684800"/>
        <c:crosses val="autoZero"/>
        <c:auto val="1"/>
        <c:lblAlgn val="ctr"/>
        <c:lblOffset val="100"/>
        <c:noMultiLvlLbl val="0"/>
      </c:catAx>
      <c:valAx>
        <c:axId val="2876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46784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Абсолютний базовий приріст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-75</c:v>
                </c:pt>
                <c:pt idx="2">
                  <c:v>195</c:v>
                </c:pt>
                <c:pt idx="3">
                  <c:v>150</c:v>
                </c:pt>
                <c:pt idx="4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4A-4981-92AA-C9038A655C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Абсолютний ланцюговий приріст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-75</c:v>
                </c:pt>
                <c:pt idx="2">
                  <c:v>270</c:v>
                </c:pt>
                <c:pt idx="3">
                  <c:v>-45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4A-4981-92AA-C9038A655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448320"/>
        <c:axId val="293883264"/>
      </c:areaChart>
      <c:catAx>
        <c:axId val="227448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3883264"/>
        <c:crosses val="autoZero"/>
        <c:auto val="1"/>
        <c:lblAlgn val="ctr"/>
        <c:lblOffset val="100"/>
        <c:noMultiLvlLbl val="0"/>
      </c:catAx>
      <c:valAx>
        <c:axId val="29388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48320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 росту платіжних доручень,%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104.82</c:v>
                </c:pt>
                <c:pt idx="2">
                  <c:v>106.94</c:v>
                </c:pt>
                <c:pt idx="3">
                  <c:v>109.04</c:v>
                </c:pt>
                <c:pt idx="4">
                  <c:v>114.32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AE-46F0-868D-3D895593DA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росту платіжних вимог-доручень,%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89.29</c:v>
                </c:pt>
                <c:pt idx="2">
                  <c:v>96.43</c:v>
                </c:pt>
                <c:pt idx="3">
                  <c:v>146.43</c:v>
                </c:pt>
                <c:pt idx="4">
                  <c:v>160.71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AE-46F0-868D-3D895593DA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 росту розрахункових чеків,%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97.83</c:v>
                </c:pt>
                <c:pt idx="2">
                  <c:v>105.65</c:v>
                </c:pt>
                <c:pt idx="3">
                  <c:v>104.35</c:v>
                </c:pt>
                <c:pt idx="4">
                  <c:v>106.52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AE-46F0-868D-3D895593D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456512"/>
        <c:axId val="293885568"/>
      </c:lineChart>
      <c:catAx>
        <c:axId val="2274565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93885568"/>
        <c:crosses val="autoZero"/>
        <c:auto val="1"/>
        <c:lblAlgn val="ctr"/>
        <c:lblOffset val="100"/>
        <c:noMultiLvlLbl val="0"/>
      </c:catAx>
      <c:valAx>
        <c:axId val="2938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5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Темпи приросту платіжних доручень,%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4.82</c:v>
                </c:pt>
                <c:pt idx="2">
                  <c:v>6.94</c:v>
                </c:pt>
                <c:pt idx="3">
                  <c:v>9.0399999999999991</c:v>
                </c:pt>
                <c:pt idx="4">
                  <c:v>14.32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E4-43DD-81D7-58B76A1A0D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Темпи приросту платіжних вимог-доручень,%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-10.71</c:v>
                </c:pt>
                <c:pt idx="2">
                  <c:v>-3.57</c:v>
                </c:pt>
                <c:pt idx="3">
                  <c:v>46.43</c:v>
                </c:pt>
                <c:pt idx="4">
                  <c:v>60.71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E4-43DD-81D7-58B76A1A0D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Темпи приросту розрахункових чеків,%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2008р.</c:v>
                </c:pt>
                <c:pt idx="1">
                  <c:v>2009р.</c:v>
                </c:pt>
                <c:pt idx="2">
                  <c:v>2010р.</c:v>
                </c:pt>
                <c:pt idx="3">
                  <c:v>2011р.</c:v>
                </c:pt>
                <c:pt idx="4">
                  <c:v>2012р.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-2.17</c:v>
                </c:pt>
                <c:pt idx="2">
                  <c:v>5.65</c:v>
                </c:pt>
                <c:pt idx="3">
                  <c:v>4.3499999999999996</c:v>
                </c:pt>
                <c:pt idx="4">
                  <c:v>6.52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E4-43DD-81D7-58B76A1A0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458560"/>
        <c:axId val="296652160"/>
      </c:lineChart>
      <c:catAx>
        <c:axId val="2274585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96652160"/>
        <c:crosses val="autoZero"/>
        <c:auto val="1"/>
        <c:lblAlgn val="ctr"/>
        <c:lblOffset val="100"/>
        <c:noMultiLvlLbl val="0"/>
      </c:catAx>
      <c:valAx>
        <c:axId val="2966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5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0.09722</cdr:x>
      <cdr:y>0.93155</cdr:y>
    </cdr:from>
    <cdr:to>
      <cdr:x>0.63194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33400" y="3048000"/>
          <a:ext cx="2933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2014          2015          2016             2017         2018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0.08977</cdr:x>
      <cdr:y>0.75389</cdr:y>
    </cdr:from>
    <cdr:to>
      <cdr:x>0.62837</cdr:x>
      <cdr:y>0.86293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6250" y="2305050"/>
          <a:ext cx="28575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2014         2015          2016           2017         2018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0.07986</cdr:x>
      <cdr:y>0.69643</cdr:y>
    </cdr:from>
    <cdr:to>
      <cdr:x>0.65278</cdr:x>
      <cdr:y>0.80357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38150" y="2228850"/>
          <a:ext cx="31432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2014          2015            2016</a:t>
          </a:r>
          <a:r>
            <a:rPr lang="uk-UA" sz="1100" baseline="0"/>
            <a:t>            2017           2018</a:t>
          </a:r>
          <a:endParaRPr lang="uk-UA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0.06076</cdr:x>
      <cdr:y>0.9375</cdr:y>
    </cdr:from>
    <cdr:to>
      <cdr:x>0.63368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33375" y="3000375"/>
          <a:ext cx="31432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0.06424</cdr:x>
      <cdr:y>0.9352</cdr:y>
    </cdr:from>
    <cdr:to>
      <cdr:x>0.65972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52425" y="3135538"/>
          <a:ext cx="3267075" cy="2172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 2014</a:t>
          </a:r>
          <a:r>
            <a:rPr lang="uk-UA" sz="1100" baseline="0"/>
            <a:t>           2015</a:t>
          </a:r>
          <a:r>
            <a:rPr lang="uk-UA" sz="1100"/>
            <a:t>              2016             2017         2018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0.07292</cdr:x>
      <cdr:y>0.7619</cdr:y>
    </cdr:from>
    <cdr:to>
      <cdr:x>0.63021</cdr:x>
      <cdr:y>0.86012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00050" y="2438400"/>
          <a:ext cx="30575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2014         2015            2016</a:t>
          </a:r>
          <a:r>
            <a:rPr lang="uk-UA" sz="1100" baseline="0"/>
            <a:t>           2017           2018</a:t>
          </a:r>
          <a:endParaRPr lang="uk-UA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DBD3-29AC-4405-B8D7-258B4F7C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33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Манухіна Марта Юріївна</cp:lastModifiedBy>
  <cp:revision>93</cp:revision>
  <dcterms:created xsi:type="dcterms:W3CDTF">2014-02-14T19:26:00Z</dcterms:created>
  <dcterms:modified xsi:type="dcterms:W3CDTF">2024-12-17T19:48:00Z</dcterms:modified>
</cp:coreProperties>
</file>