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2146"/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70"/>
        <w:gridCol w:w="2800"/>
        <w:gridCol w:w="3354"/>
      </w:tblGrid>
      <w:tr w:rsidR="00F96EEC" w:rsidRPr="00403125" w14:paraId="577E14D9" w14:textId="77777777" w:rsidTr="00484B4E">
        <w:trPr>
          <w:trHeight w:val="381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2B46C" w14:textId="77777777" w:rsidR="00F96EEC" w:rsidRPr="00403125" w:rsidRDefault="00F96EEC" w:rsidP="00484B4E">
            <w:pPr>
              <w:rPr>
                <w:noProof/>
              </w:rPr>
            </w:pPr>
            <w:bookmarkStart w:id="0" w:name="_Hlk116895481"/>
            <w:r w:rsidRPr="00403125">
              <w:rPr>
                <w:noProof/>
              </w:rPr>
              <w:t>Силабус курсу:</w:t>
            </w:r>
          </w:p>
        </w:tc>
        <w:tc>
          <w:tcPr>
            <w:tcW w:w="328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05087" w14:textId="77777777" w:rsidR="00F96EEC" w:rsidRPr="00403125" w:rsidRDefault="00F96EEC" w:rsidP="00484B4E">
            <w:pPr>
              <w:rPr>
                <w:noProof/>
              </w:rPr>
            </w:pPr>
            <w:r w:rsidRPr="00403125">
              <w:rPr>
                <w:noProof/>
                <w:lang w:val="ru-RU"/>
              </w:rPr>
              <w:drawing>
                <wp:inline distT="0" distB="0" distL="0" distR="0" wp14:anchorId="7216DE19" wp14:editId="725346B6">
                  <wp:extent cx="2047875" cy="12096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EEC" w:rsidRPr="00403125" w14:paraId="01F3503F" w14:textId="77777777" w:rsidTr="00484B4E">
        <w:trPr>
          <w:trHeight w:val="1382"/>
        </w:trPr>
        <w:tc>
          <w:tcPr>
            <w:tcW w:w="56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29F74" w14:textId="77777777" w:rsidR="00F96EEC" w:rsidRPr="00403125" w:rsidRDefault="00F96EEC" w:rsidP="00484B4E">
            <w:pPr>
              <w:rPr>
                <w:b/>
                <w:noProof/>
              </w:rPr>
            </w:pPr>
          </w:p>
          <w:p w14:paraId="68DBD7B7" w14:textId="2BE2BCBD" w:rsidR="00F96EEC" w:rsidRPr="00403125" w:rsidRDefault="00F96EEC" w:rsidP="00484B4E">
            <w:pPr>
              <w:rPr>
                <w:b/>
                <w:bCs/>
                <w:noProof/>
                <w:sz w:val="24"/>
                <w:szCs w:val="24"/>
                <w:lang w:val="uk-UA"/>
              </w:rPr>
            </w:pPr>
            <w:r w:rsidRPr="007A7452">
              <w:rPr>
                <w:b/>
                <w:bCs/>
                <w:sz w:val="24"/>
                <w:szCs w:val="24"/>
                <w:lang w:val="uk-UA"/>
              </w:rPr>
              <w:t>«</w:t>
            </w:r>
            <w:bookmarkStart w:id="1" w:name="_Hlk128826096"/>
            <w:r>
              <w:rPr>
                <w:b/>
                <w:bCs/>
                <w:sz w:val="24"/>
                <w:szCs w:val="24"/>
                <w:lang w:val="uk-UA"/>
              </w:rPr>
              <w:t>Сучасні м</w:t>
            </w:r>
            <w:r w:rsidRPr="007A7452">
              <w:rPr>
                <w:b/>
                <w:bCs/>
                <w:sz w:val="24"/>
                <w:szCs w:val="24"/>
                <w:lang w:val="uk-UA"/>
              </w:rPr>
              <w:t xml:space="preserve">етоди </w:t>
            </w:r>
            <w:bookmarkEnd w:id="1"/>
            <w:r>
              <w:rPr>
                <w:b/>
                <w:bCs/>
                <w:sz w:val="24"/>
                <w:szCs w:val="24"/>
                <w:lang w:val="uk-UA"/>
              </w:rPr>
              <w:t>контролю транскордонних інфекцій тварин, птиці та людей</w:t>
            </w:r>
            <w:r w:rsidRPr="007A7452">
              <w:rPr>
                <w:b/>
                <w:bCs/>
                <w:sz w:val="24"/>
                <w:szCs w:val="24"/>
                <w:lang w:val="uk-UA"/>
              </w:rPr>
              <w:t>»</w:t>
            </w:r>
          </w:p>
        </w:tc>
        <w:tc>
          <w:tcPr>
            <w:tcW w:w="328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F789F" w14:textId="77777777" w:rsidR="00F96EEC" w:rsidRPr="00403125" w:rsidRDefault="00F96EEC" w:rsidP="00484B4E">
            <w:pPr>
              <w:rPr>
                <w:noProof/>
              </w:rPr>
            </w:pPr>
          </w:p>
        </w:tc>
      </w:tr>
      <w:tr w:rsidR="00F96EEC" w:rsidRPr="00403125" w14:paraId="58907B67" w14:textId="77777777" w:rsidTr="00484B4E">
        <w:trPr>
          <w:trHeight w:val="406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5A2440" w14:textId="77777777" w:rsidR="00F96EEC" w:rsidRPr="00403125" w:rsidRDefault="00F96EEC" w:rsidP="00484B4E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Ступінь вищої освіти:</w:t>
            </w:r>
          </w:p>
        </w:tc>
        <w:tc>
          <w:tcPr>
            <w:tcW w:w="61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DA144" w14:textId="77777777" w:rsidR="00F96EEC" w:rsidRPr="00403125" w:rsidRDefault="00F96EEC" w:rsidP="00484B4E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Доктор філософії</w:t>
            </w:r>
          </w:p>
        </w:tc>
      </w:tr>
      <w:tr w:rsidR="00F96EEC" w:rsidRPr="00403125" w14:paraId="202AB878" w14:textId="77777777" w:rsidTr="00484B4E">
        <w:trPr>
          <w:trHeight w:val="406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B061F" w14:textId="77777777" w:rsidR="00F96EEC" w:rsidRPr="00403125" w:rsidRDefault="00F96EEC" w:rsidP="00484B4E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 xml:space="preserve">Спеціальність: 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695BA" w14:textId="77777777" w:rsidR="00F96EEC" w:rsidRPr="00403125" w:rsidRDefault="00F96EEC" w:rsidP="00484B4E">
            <w:pPr>
              <w:rPr>
                <w:noProof/>
              </w:rPr>
            </w:pPr>
            <w:r w:rsidRPr="00403125">
              <w:rPr>
                <w:noProof/>
                <w:u w:val="single"/>
                <w:lang w:val="uk-UA"/>
              </w:rPr>
              <w:t>211  Ветеринарна медицина</w:t>
            </w:r>
          </w:p>
        </w:tc>
      </w:tr>
      <w:tr w:rsidR="00F96EEC" w:rsidRPr="00403125" w14:paraId="0C269BCD" w14:textId="77777777" w:rsidTr="00484B4E">
        <w:trPr>
          <w:trHeight w:val="419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F39A67" w14:textId="77777777" w:rsidR="00F96EEC" w:rsidRPr="00403125" w:rsidRDefault="00F96EEC" w:rsidP="00484B4E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Рік підготовки: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72DD9" w14:textId="2FBB1391" w:rsidR="00F96EEC" w:rsidRPr="00403125" w:rsidRDefault="0096025E" w:rsidP="00484B4E">
            <w:pPr>
              <w:rPr>
                <w:noProof/>
              </w:rPr>
            </w:pPr>
            <w:r>
              <w:rPr>
                <w:noProof/>
                <w:lang w:val="uk-UA"/>
              </w:rPr>
              <w:t>2</w:t>
            </w:r>
            <w:r w:rsidR="00F96EEC" w:rsidRPr="00403125">
              <w:rPr>
                <w:noProof/>
                <w:u w:val="single"/>
                <w:lang w:val="uk-UA"/>
              </w:rPr>
              <w:t xml:space="preserve"> , семестр  </w:t>
            </w:r>
            <w:r>
              <w:rPr>
                <w:noProof/>
                <w:u w:val="single"/>
                <w:lang w:val="uk-UA"/>
              </w:rPr>
              <w:t>3</w:t>
            </w:r>
          </w:p>
        </w:tc>
      </w:tr>
      <w:tr w:rsidR="00F96EEC" w:rsidRPr="00403125" w14:paraId="7A4CA687" w14:textId="77777777" w:rsidTr="00484B4E">
        <w:trPr>
          <w:trHeight w:val="394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C344" w14:textId="77777777" w:rsidR="00F96EEC" w:rsidRPr="00403125" w:rsidRDefault="00F96EEC" w:rsidP="00484B4E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Семестр викладання: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D6DF99" w14:textId="3CFC7042" w:rsidR="00F96EEC" w:rsidRPr="00403125" w:rsidRDefault="0096025E" w:rsidP="00484B4E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осінь</w:t>
            </w:r>
          </w:p>
        </w:tc>
      </w:tr>
      <w:tr w:rsidR="00F96EEC" w:rsidRPr="00403125" w14:paraId="730E5E74" w14:textId="77777777" w:rsidTr="00484B4E">
        <w:trPr>
          <w:trHeight w:val="406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80DA" w14:textId="77777777" w:rsidR="00F96EEC" w:rsidRPr="00403125" w:rsidRDefault="00F96EEC" w:rsidP="00484B4E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Кількість кредитів ЄКТС: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65161E" w14:textId="24830F8A" w:rsidR="00F96EEC" w:rsidRPr="00403125" w:rsidRDefault="0096025E" w:rsidP="00484B4E">
            <w:pPr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4</w:t>
            </w:r>
          </w:p>
        </w:tc>
      </w:tr>
      <w:tr w:rsidR="00F96EEC" w:rsidRPr="00403125" w14:paraId="76B6BA0B" w14:textId="77777777" w:rsidTr="00484B4E">
        <w:trPr>
          <w:trHeight w:val="406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7504" w14:textId="77777777" w:rsidR="00F96EEC" w:rsidRPr="00403125" w:rsidRDefault="00F96EEC" w:rsidP="00484B4E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Мова(-и) викладання: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CB16" w14:textId="77777777" w:rsidR="00F96EEC" w:rsidRPr="00403125" w:rsidRDefault="00F96EEC" w:rsidP="00484B4E">
            <w:pPr>
              <w:rPr>
                <w:noProof/>
              </w:rPr>
            </w:pPr>
            <w:r w:rsidRPr="00403125">
              <w:rPr>
                <w:noProof/>
              </w:rPr>
              <w:t>українська</w:t>
            </w:r>
          </w:p>
        </w:tc>
      </w:tr>
      <w:tr w:rsidR="00F96EEC" w:rsidRPr="00403125" w14:paraId="46E117DA" w14:textId="77777777" w:rsidTr="00484B4E">
        <w:trPr>
          <w:trHeight w:val="641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0C3AE5" w14:textId="77777777" w:rsidR="00F96EEC" w:rsidRPr="00403125" w:rsidRDefault="00F96EEC" w:rsidP="00484B4E">
            <w:pPr>
              <w:rPr>
                <w:b/>
                <w:i/>
                <w:noProof/>
              </w:rPr>
            </w:pPr>
            <w:r w:rsidRPr="00403125">
              <w:rPr>
                <w:b/>
                <w:i/>
                <w:noProof/>
              </w:rPr>
              <w:t>Вид семестрового контролю</w:t>
            </w: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3C499D" w14:textId="77777777" w:rsidR="00F96EEC" w:rsidRPr="00403125" w:rsidRDefault="00F96EEC" w:rsidP="00484B4E">
            <w:pPr>
              <w:rPr>
                <w:noProof/>
                <w:lang w:val="uk-UA"/>
              </w:rPr>
            </w:pPr>
            <w:r w:rsidRPr="00403125">
              <w:rPr>
                <w:noProof/>
                <w:lang w:val="uk-UA"/>
              </w:rPr>
              <w:t>іспит</w:t>
            </w:r>
          </w:p>
        </w:tc>
      </w:tr>
      <w:tr w:rsidR="00F96EEC" w:rsidRPr="00403125" w14:paraId="582A8400" w14:textId="77777777" w:rsidTr="00484B4E">
        <w:trPr>
          <w:trHeight w:val="641"/>
        </w:trPr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CDDF0" w14:textId="77777777" w:rsidR="00F96EEC" w:rsidRPr="00403125" w:rsidRDefault="00F96EEC" w:rsidP="00484B4E">
            <w:pPr>
              <w:rPr>
                <w:b/>
                <w:i/>
                <w:noProof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BB0E90" w14:textId="77777777" w:rsidR="00F96EEC" w:rsidRPr="00403125" w:rsidRDefault="00F96EEC" w:rsidP="00484B4E">
            <w:pPr>
              <w:rPr>
                <w:noProof/>
                <w:lang w:val="uk-UA"/>
              </w:rPr>
            </w:pPr>
          </w:p>
        </w:tc>
      </w:tr>
      <w:bookmarkEnd w:id="0"/>
    </w:tbl>
    <w:p w14:paraId="27ADC912" w14:textId="77777777" w:rsidR="00081757" w:rsidRDefault="00081757"/>
    <w:p w14:paraId="5F52E7C8" w14:textId="77777777" w:rsidR="004C09DC" w:rsidRDefault="004C09DC"/>
    <w:p w14:paraId="3E3C979D" w14:textId="77777777" w:rsidR="004C09DC" w:rsidRDefault="004C09DC"/>
    <w:p w14:paraId="2053CACF" w14:textId="77777777" w:rsidR="004C09DC" w:rsidRDefault="004C09DC"/>
    <w:p w14:paraId="6B1BF254" w14:textId="77777777" w:rsidR="004C09DC" w:rsidRDefault="004C09DC"/>
    <w:p w14:paraId="05678638" w14:textId="77777777" w:rsidR="004C09DC" w:rsidRDefault="004C09DC"/>
    <w:p w14:paraId="3A08745E" w14:textId="77777777" w:rsidR="004C09DC" w:rsidRDefault="004C09DC"/>
    <w:p w14:paraId="4AEE02EA" w14:textId="77777777" w:rsidR="004C09DC" w:rsidRDefault="004C09DC"/>
    <w:p w14:paraId="21C4F4DA" w14:textId="77777777" w:rsidR="004C09DC" w:rsidRDefault="004C09DC"/>
    <w:p w14:paraId="31B5EB9E" w14:textId="77777777" w:rsidR="004C09DC" w:rsidRDefault="004C09DC"/>
    <w:p w14:paraId="0E970563" w14:textId="77777777" w:rsidR="004C09DC" w:rsidRDefault="004C09DC"/>
    <w:p w14:paraId="3A50A05C" w14:textId="77777777" w:rsidR="004C09DC" w:rsidRDefault="004C09DC"/>
    <w:p w14:paraId="15DCC49A" w14:textId="77777777" w:rsidR="004C09DC" w:rsidRDefault="004C09DC"/>
    <w:p w14:paraId="2D1FC855" w14:textId="77777777" w:rsidR="004C09DC" w:rsidRDefault="004C09DC"/>
    <w:p w14:paraId="5D0062C1" w14:textId="77777777" w:rsidR="004C09DC" w:rsidRDefault="004C09DC"/>
    <w:p w14:paraId="1B62015D" w14:textId="77777777" w:rsidR="004C09DC" w:rsidRDefault="004C09DC"/>
    <w:p w14:paraId="025DD3BD" w14:textId="77777777" w:rsidR="004C09DC" w:rsidRDefault="004C09DC"/>
    <w:p w14:paraId="1DF5A1E4" w14:textId="77777777" w:rsidR="004C09DC" w:rsidRDefault="004C09DC"/>
    <w:tbl>
      <w:tblPr>
        <w:tblpPr w:leftFromText="180" w:rightFromText="180" w:vertAnchor="text" w:horzAnchor="margin" w:tblpY="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98"/>
        <w:gridCol w:w="260"/>
        <w:gridCol w:w="1913"/>
        <w:gridCol w:w="260"/>
        <w:gridCol w:w="1272"/>
        <w:gridCol w:w="667"/>
        <w:gridCol w:w="259"/>
        <w:gridCol w:w="2126"/>
      </w:tblGrid>
      <w:tr w:rsidR="004C09DC" w:rsidRPr="004C09DC" w14:paraId="0B66F9A5" w14:textId="77777777" w:rsidTr="00484B4E">
        <w:tc>
          <w:tcPr>
            <w:tcW w:w="63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0C90D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4C09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lastRenderedPageBreak/>
              <w:t xml:space="preserve">                                             Автор курсу та лектор:</w:t>
            </w:r>
          </w:p>
          <w:p w14:paraId="327DB70A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3C0C5" w14:textId="77777777" w:rsidR="004C09DC" w:rsidRPr="004C09DC" w:rsidRDefault="004C09DC" w:rsidP="004C09DC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09DC" w:rsidRPr="004C09DC" w14:paraId="47F384A3" w14:textId="77777777" w:rsidTr="00484B4E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83EBA3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C0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д.в.н</w:t>
            </w:r>
            <w:proofErr w:type="spellEnd"/>
            <w:r w:rsidRPr="004C0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., проф., Наливайко Людмила Іванівна</w:t>
            </w:r>
          </w:p>
        </w:tc>
      </w:tr>
      <w:tr w:rsidR="004C09DC" w:rsidRPr="004C09DC" w14:paraId="417FC8A1" w14:textId="77777777" w:rsidTr="00484B4E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34326F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C09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4C09DC" w:rsidRPr="004C09DC" w14:paraId="72974B8D" w14:textId="77777777" w:rsidTr="00484B4E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0AF70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09D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професор кафедри здоров’я тварин і екології</w:t>
            </w:r>
          </w:p>
        </w:tc>
      </w:tr>
      <w:tr w:rsidR="004C09DC" w:rsidRPr="004C09DC" w14:paraId="28A8DABA" w14:textId="77777777" w:rsidTr="00484B4E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13A67B2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C09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посада</w:t>
            </w:r>
          </w:p>
        </w:tc>
      </w:tr>
      <w:tr w:rsidR="004C09DC" w:rsidRPr="004C09DC" w14:paraId="694728AE" w14:textId="77777777" w:rsidTr="00484B4E">
        <w:tc>
          <w:tcPr>
            <w:tcW w:w="2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DBDAD9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C09DC">
              <w:rPr>
                <w:rFonts w:ascii="Tahoma" w:eastAsia="Calibri" w:hAnsi="Tahoma" w:cs="Tahoma"/>
                <w:lang w:val="uk-UA"/>
              </w:rPr>
              <w:t>l.nalyvaiko@lgnau.edu.ua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67A966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DA7D8E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4C09DC">
              <w:rPr>
                <w:rFonts w:ascii="Times New Roman" w:eastAsia="Times New Roman" w:hAnsi="Times New Roman" w:cs="Times New Roman"/>
                <w:lang w:val="en-US"/>
              </w:rPr>
              <w:t>+38-0</w:t>
            </w:r>
            <w:r w:rsidRPr="004C09DC">
              <w:rPr>
                <w:rFonts w:ascii="Times New Roman" w:eastAsia="Times New Roman" w:hAnsi="Times New Roman" w:cs="Times New Roman"/>
                <w:lang w:val="uk-UA"/>
              </w:rPr>
              <w:t>95</w:t>
            </w:r>
            <w:r w:rsidRPr="004C09DC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C09DC">
              <w:rPr>
                <w:rFonts w:ascii="Times New Roman" w:eastAsia="Times New Roman" w:hAnsi="Times New Roman" w:cs="Times New Roman"/>
                <w:lang w:val="uk-UA"/>
              </w:rPr>
              <w:t>299</w:t>
            </w:r>
            <w:r w:rsidRPr="004C09DC">
              <w:rPr>
                <w:rFonts w:ascii="Times New Roman" w:eastAsia="Times New Roman" w:hAnsi="Times New Roman" w:cs="Times New Roman"/>
                <w:lang w:val="en-US"/>
              </w:rPr>
              <w:t>-</w:t>
            </w:r>
            <w:r w:rsidRPr="004C09DC">
              <w:rPr>
                <w:rFonts w:ascii="Times New Roman" w:eastAsia="Times New Roman" w:hAnsi="Times New Roman" w:cs="Times New Roman"/>
                <w:lang w:val="uk-UA"/>
              </w:rPr>
              <w:t>55-59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0F7FB5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EA33BC3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388F2B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D92AAE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C09DC" w:rsidRPr="004C09DC" w14:paraId="0B2F06CA" w14:textId="77777777" w:rsidTr="00484B4E">
        <w:tc>
          <w:tcPr>
            <w:tcW w:w="25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9F08263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C09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електронна адреса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C6EE60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B3AD9E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C09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телефон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70F3" w14:textId="77777777" w:rsidR="004C09DC" w:rsidRPr="004C09DC" w:rsidRDefault="004C09DC" w:rsidP="004C0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9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B1D8FE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C09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месенджер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DE6363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97A203" w14:textId="77777777" w:rsidR="004C09DC" w:rsidRPr="004C09DC" w:rsidRDefault="004C09DC" w:rsidP="004C09D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</w:pPr>
            <w:r w:rsidRPr="004C09DC">
              <w:rPr>
                <w:rFonts w:ascii="Times New Roman" w:eastAsia="Times New Roman" w:hAnsi="Times New Roman" w:cs="Times New Roman"/>
                <w:sz w:val="16"/>
                <w:szCs w:val="16"/>
                <w:lang w:val="uk-UA"/>
              </w:rPr>
              <w:t>консультації</w:t>
            </w:r>
          </w:p>
        </w:tc>
      </w:tr>
    </w:tbl>
    <w:p w14:paraId="6ED99957" w14:textId="77777777" w:rsidR="004C09DC" w:rsidRDefault="004C09DC"/>
    <w:tbl>
      <w:tblPr>
        <w:tblpPr w:leftFromText="180" w:rightFromText="180" w:vertAnchor="page" w:horzAnchor="margin" w:tblpY="37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32"/>
        <w:gridCol w:w="271"/>
        <w:gridCol w:w="2025"/>
        <w:gridCol w:w="271"/>
        <w:gridCol w:w="1340"/>
        <w:gridCol w:w="709"/>
        <w:gridCol w:w="270"/>
        <w:gridCol w:w="2237"/>
      </w:tblGrid>
      <w:tr w:rsidR="004C09DC" w:rsidRPr="004C09DC" w14:paraId="5C57F86E" w14:textId="77777777" w:rsidTr="00484B4E">
        <w:tc>
          <w:tcPr>
            <w:tcW w:w="6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86190" w14:textId="77777777" w:rsidR="004C09DC" w:rsidRPr="004C09DC" w:rsidRDefault="004C09DC" w:rsidP="004C09DC">
            <w:pPr>
              <w:rPr>
                <w:lang w:val="uk-UA"/>
              </w:rPr>
            </w:pPr>
            <w:r w:rsidRPr="004C09DC">
              <w:rPr>
                <w:b/>
                <w:i/>
                <w:lang w:val="uk-UA"/>
              </w:rPr>
              <w:t>Викладач практичних занять:*</w:t>
            </w: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38F94" w14:textId="77777777" w:rsidR="004C09DC" w:rsidRPr="004C09DC" w:rsidRDefault="004C09DC" w:rsidP="004C09DC">
            <w:pPr>
              <w:rPr>
                <w:lang w:val="uk-UA"/>
              </w:rPr>
            </w:pPr>
          </w:p>
        </w:tc>
      </w:tr>
      <w:tr w:rsidR="004C09DC" w:rsidRPr="004C09DC" w14:paraId="4D97C0BE" w14:textId="77777777" w:rsidTr="00484B4E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E281BB" w14:textId="77777777" w:rsidR="004C09DC" w:rsidRPr="004C09DC" w:rsidRDefault="004C09DC" w:rsidP="004C09DC">
            <w:pPr>
              <w:rPr>
                <w:lang w:val="uk-UA"/>
              </w:rPr>
            </w:pPr>
          </w:p>
        </w:tc>
      </w:tr>
      <w:tr w:rsidR="004C09DC" w:rsidRPr="004C09DC" w14:paraId="52A3DE8A" w14:textId="77777777" w:rsidTr="00484B4E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1CA22BF" w14:textId="77777777" w:rsidR="004C09DC" w:rsidRPr="004C09DC" w:rsidRDefault="004C09DC" w:rsidP="004C09DC">
            <w:pPr>
              <w:rPr>
                <w:lang w:val="uk-UA"/>
              </w:rPr>
            </w:pPr>
            <w:r w:rsidRPr="004C09DC">
              <w:rPr>
                <w:lang w:val="uk-UA"/>
              </w:rPr>
              <w:t>вчений ступінь, вчене звання, прізвище, ім’я та по-батькові</w:t>
            </w:r>
          </w:p>
        </w:tc>
      </w:tr>
      <w:tr w:rsidR="004C09DC" w:rsidRPr="004C09DC" w14:paraId="7135ACE6" w14:textId="77777777" w:rsidTr="00484B4E">
        <w:tc>
          <w:tcPr>
            <w:tcW w:w="93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39D3636" w14:textId="77777777" w:rsidR="004C09DC" w:rsidRPr="004C09DC" w:rsidRDefault="004C09DC" w:rsidP="004C09DC">
            <w:pPr>
              <w:rPr>
                <w:lang w:val="uk-UA"/>
              </w:rPr>
            </w:pPr>
          </w:p>
        </w:tc>
      </w:tr>
      <w:tr w:rsidR="004C09DC" w:rsidRPr="004C09DC" w14:paraId="5F2F1FD7" w14:textId="77777777" w:rsidTr="00484B4E">
        <w:tc>
          <w:tcPr>
            <w:tcW w:w="93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336FA5A" w14:textId="77777777" w:rsidR="004C09DC" w:rsidRPr="004C09DC" w:rsidRDefault="004C09DC" w:rsidP="004C09DC">
            <w:pPr>
              <w:rPr>
                <w:lang w:val="uk-UA"/>
              </w:rPr>
            </w:pPr>
            <w:r w:rsidRPr="004C09DC">
              <w:rPr>
                <w:lang w:val="uk-UA"/>
              </w:rPr>
              <w:t>посада</w:t>
            </w:r>
          </w:p>
        </w:tc>
      </w:tr>
      <w:tr w:rsidR="004C09DC" w:rsidRPr="004C09DC" w14:paraId="15FC8DD2" w14:textId="77777777" w:rsidTr="00484B4E"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E57072" w14:textId="77777777" w:rsidR="004C09DC" w:rsidRPr="004C09DC" w:rsidRDefault="004C09DC" w:rsidP="004C09DC">
            <w:pPr>
              <w:rPr>
                <w:lang w:val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178A1F" w14:textId="77777777" w:rsidR="004C09DC" w:rsidRPr="004C09DC" w:rsidRDefault="004C09DC" w:rsidP="004C09DC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01AB6C1" w14:textId="77777777" w:rsidR="004C09DC" w:rsidRPr="004C09DC" w:rsidRDefault="004C09DC" w:rsidP="004C09DC">
            <w:pPr>
              <w:rPr>
                <w:lang w:val="en-US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1EEBD" w14:textId="77777777" w:rsidR="004C09DC" w:rsidRPr="004C09DC" w:rsidRDefault="004C09DC" w:rsidP="004C09DC">
            <w:pPr>
              <w:rPr>
                <w:lang w:val="uk-UA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590C6B1" w14:textId="77777777" w:rsidR="004C09DC" w:rsidRPr="004C09DC" w:rsidRDefault="004C09DC" w:rsidP="004C09DC">
            <w:pPr>
              <w:rPr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233BDC" w14:textId="77777777" w:rsidR="004C09DC" w:rsidRPr="004C09DC" w:rsidRDefault="004C09DC" w:rsidP="004C09DC">
            <w:pPr>
              <w:rPr>
                <w:lang w:val="uk-UA"/>
              </w:rPr>
            </w:pPr>
          </w:p>
        </w:tc>
        <w:tc>
          <w:tcPr>
            <w:tcW w:w="2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BC2C4E" w14:textId="77777777" w:rsidR="004C09DC" w:rsidRPr="004C09DC" w:rsidRDefault="004C09DC" w:rsidP="004C09DC">
            <w:pPr>
              <w:rPr>
                <w:lang w:val="uk-UA"/>
              </w:rPr>
            </w:pPr>
          </w:p>
        </w:tc>
      </w:tr>
      <w:tr w:rsidR="004C09DC" w:rsidRPr="004C09DC" w14:paraId="2DFB5CD8" w14:textId="77777777" w:rsidTr="00484B4E">
        <w:tc>
          <w:tcPr>
            <w:tcW w:w="22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D970D5" w14:textId="77777777" w:rsidR="004C09DC" w:rsidRPr="004C09DC" w:rsidRDefault="004C09DC" w:rsidP="004C09DC">
            <w:pPr>
              <w:rPr>
                <w:lang w:val="uk-UA"/>
              </w:rPr>
            </w:pPr>
            <w:r w:rsidRPr="004C09DC">
              <w:rPr>
                <w:lang w:val="uk-UA"/>
              </w:rPr>
              <w:t>електронна адреса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A500D" w14:textId="77777777" w:rsidR="004C09DC" w:rsidRPr="004C09DC" w:rsidRDefault="004C09DC" w:rsidP="004C09DC">
            <w:pPr>
              <w:rPr>
                <w:lang w:val="uk-UA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6DF72A" w14:textId="77777777" w:rsidR="004C09DC" w:rsidRPr="004C09DC" w:rsidRDefault="004C09DC" w:rsidP="004C09DC">
            <w:pPr>
              <w:rPr>
                <w:lang w:val="uk-UA"/>
              </w:rPr>
            </w:pPr>
            <w:r w:rsidRPr="004C09DC">
              <w:rPr>
                <w:lang w:val="uk-UA"/>
              </w:rPr>
              <w:t>телефон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AFC439" w14:textId="77777777" w:rsidR="004C09DC" w:rsidRPr="004C09DC" w:rsidRDefault="004C09DC" w:rsidP="004C09DC">
            <w:pPr>
              <w:rPr>
                <w:lang w:val="uk-UA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07A0DD" w14:textId="77777777" w:rsidR="004C09DC" w:rsidRPr="004C09DC" w:rsidRDefault="004C09DC" w:rsidP="004C09DC">
            <w:pPr>
              <w:rPr>
                <w:lang w:val="uk-UA"/>
              </w:rPr>
            </w:pPr>
            <w:r w:rsidRPr="004C09DC">
              <w:rPr>
                <w:lang w:val="uk-UA"/>
              </w:rPr>
              <w:t>месенджер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3162C" w14:textId="77777777" w:rsidR="004C09DC" w:rsidRPr="004C09DC" w:rsidRDefault="004C09DC" w:rsidP="004C09DC">
            <w:pPr>
              <w:rPr>
                <w:lang w:val="uk-UA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6698A9" w14:textId="77777777" w:rsidR="004C09DC" w:rsidRPr="004C09DC" w:rsidRDefault="004C09DC" w:rsidP="004C09DC">
            <w:pPr>
              <w:rPr>
                <w:lang w:val="uk-UA"/>
              </w:rPr>
            </w:pPr>
            <w:r w:rsidRPr="004C09DC">
              <w:rPr>
                <w:lang w:val="uk-UA"/>
              </w:rPr>
              <w:t>консультації</w:t>
            </w:r>
          </w:p>
        </w:tc>
      </w:tr>
    </w:tbl>
    <w:p w14:paraId="22EE292D" w14:textId="77777777" w:rsidR="004C09DC" w:rsidRDefault="004C09DC"/>
    <w:p w14:paraId="4D6B5495" w14:textId="77777777" w:rsidR="004C09DC" w:rsidRPr="008B65C6" w:rsidRDefault="004C09DC" w:rsidP="004C09DC">
      <w:pPr>
        <w:rPr>
          <w:i/>
          <w:lang w:val="uk-UA"/>
        </w:rPr>
      </w:pPr>
      <w:r w:rsidRPr="008B65C6">
        <w:rPr>
          <w:lang w:val="uk-UA"/>
        </w:rPr>
        <w:t xml:space="preserve">* </w:t>
      </w:r>
      <w:r w:rsidRPr="008B65C6">
        <w:rPr>
          <w:i/>
          <w:lang w:val="uk-UA"/>
        </w:rPr>
        <w:t xml:space="preserve">– 1) дані підрозділи вносяться до </w:t>
      </w:r>
      <w:proofErr w:type="spellStart"/>
      <w:r w:rsidRPr="008B65C6">
        <w:rPr>
          <w:i/>
          <w:lang w:val="uk-UA"/>
        </w:rPr>
        <w:t>силабусу</w:t>
      </w:r>
      <w:proofErr w:type="spellEnd"/>
      <w:r w:rsidRPr="008B65C6">
        <w:rPr>
          <w:i/>
          <w:lang w:val="uk-UA"/>
        </w:rPr>
        <w:t xml:space="preserve"> в разі, якщо практичні та (або) лабораторні заняття проводить інший викладач, котрий не є автором курсу та лектором; 2) припустимо змінювати назву підрозділу на </w:t>
      </w:r>
      <w:r w:rsidRPr="008B65C6">
        <w:rPr>
          <w:b/>
          <w:i/>
          <w:lang w:val="uk-UA"/>
        </w:rPr>
        <w:t>«Викладач лабораторних та практичних занять:»</w:t>
      </w:r>
      <w:r w:rsidRPr="008B65C6">
        <w:rPr>
          <w:i/>
          <w:lang w:val="uk-UA"/>
        </w:rPr>
        <w:t>, якщо лабораторні та практичні заняття проводить один викладач, котрий не є автором курсу та лектором.</w:t>
      </w:r>
    </w:p>
    <w:p w14:paraId="6B7B781A" w14:textId="77777777" w:rsidR="004C09DC" w:rsidRDefault="004C09DC">
      <w:pPr>
        <w:rPr>
          <w:lang w:val="uk-UA"/>
        </w:rPr>
      </w:pPr>
    </w:p>
    <w:p w14:paraId="6468AC50" w14:textId="77777777" w:rsidR="004C09DC" w:rsidRDefault="004C09DC">
      <w:pPr>
        <w:rPr>
          <w:lang w:val="uk-UA"/>
        </w:rPr>
      </w:pPr>
    </w:p>
    <w:p w14:paraId="162F620E" w14:textId="77777777" w:rsidR="004C09DC" w:rsidRDefault="004C09DC">
      <w:pPr>
        <w:rPr>
          <w:lang w:val="uk-UA"/>
        </w:rPr>
      </w:pPr>
    </w:p>
    <w:p w14:paraId="28DC5704" w14:textId="77777777" w:rsidR="004C09DC" w:rsidRDefault="004C09DC">
      <w:pPr>
        <w:rPr>
          <w:lang w:val="uk-UA"/>
        </w:rPr>
      </w:pPr>
    </w:p>
    <w:p w14:paraId="17DAE9D6" w14:textId="77777777" w:rsidR="004C09DC" w:rsidRDefault="004C09DC">
      <w:pPr>
        <w:rPr>
          <w:lang w:val="uk-UA"/>
        </w:rPr>
      </w:pPr>
    </w:p>
    <w:p w14:paraId="4FE4335C" w14:textId="77777777" w:rsidR="004C09DC" w:rsidRDefault="004C09DC">
      <w:pPr>
        <w:rPr>
          <w:lang w:val="uk-UA"/>
        </w:rPr>
      </w:pPr>
    </w:p>
    <w:p w14:paraId="297B55FF" w14:textId="77777777" w:rsidR="004C09DC" w:rsidRDefault="004C09DC">
      <w:pPr>
        <w:rPr>
          <w:lang w:val="uk-UA"/>
        </w:rPr>
      </w:pPr>
    </w:p>
    <w:p w14:paraId="17C5DEFC" w14:textId="77777777" w:rsidR="004C09DC" w:rsidRDefault="004C09DC">
      <w:pPr>
        <w:rPr>
          <w:lang w:val="uk-UA"/>
        </w:rPr>
      </w:pPr>
    </w:p>
    <w:p w14:paraId="5D2B6B62" w14:textId="77777777" w:rsidR="004C09DC" w:rsidRDefault="004C09DC">
      <w:pPr>
        <w:rPr>
          <w:lang w:val="uk-UA"/>
        </w:rPr>
      </w:pPr>
    </w:p>
    <w:p w14:paraId="15707E61" w14:textId="77777777" w:rsidR="004C09DC" w:rsidRDefault="004C09DC">
      <w:pPr>
        <w:rPr>
          <w:lang w:val="uk-UA"/>
        </w:rPr>
      </w:pPr>
    </w:p>
    <w:p w14:paraId="65929E07" w14:textId="77777777" w:rsidR="004C09DC" w:rsidRDefault="004C09DC">
      <w:pPr>
        <w:rPr>
          <w:lang w:val="uk-UA"/>
        </w:rPr>
      </w:pPr>
    </w:p>
    <w:p w14:paraId="61B98A22" w14:textId="77777777" w:rsidR="004C09DC" w:rsidRDefault="004C09DC">
      <w:pPr>
        <w:rPr>
          <w:lang w:val="uk-UA"/>
        </w:rPr>
      </w:pPr>
    </w:p>
    <w:p w14:paraId="4698A786" w14:textId="77777777" w:rsidR="004C09DC" w:rsidRDefault="004C09DC">
      <w:pPr>
        <w:rPr>
          <w:lang w:val="uk-UA"/>
        </w:rPr>
      </w:pPr>
    </w:p>
    <w:p w14:paraId="13D651E3" w14:textId="77777777" w:rsidR="004C09DC" w:rsidRDefault="004C09DC">
      <w:pPr>
        <w:rPr>
          <w:lang w:val="uk-UA"/>
        </w:rPr>
      </w:pPr>
    </w:p>
    <w:p w14:paraId="28C1A811" w14:textId="77777777" w:rsidR="004C09DC" w:rsidRDefault="004C09DC">
      <w:pPr>
        <w:rPr>
          <w:lang w:val="uk-UA"/>
        </w:rPr>
      </w:pPr>
    </w:p>
    <w:p w14:paraId="7815FC49" w14:textId="77777777" w:rsidR="00441034" w:rsidRDefault="00441034" w:rsidP="00441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</w:pPr>
      <w:r w:rsidRPr="004F4EE9">
        <w:rPr>
          <w:rFonts w:ascii="Times New Roman" w:eastAsia="Times New Roman" w:hAnsi="Times New Roman" w:cs="Times New Roman"/>
          <w:b/>
          <w:color w:val="17365D"/>
          <w:sz w:val="24"/>
          <w:szCs w:val="24"/>
          <w:lang w:val="uk-UA" w:eastAsia="ru-RU"/>
        </w:rPr>
        <w:lastRenderedPageBreak/>
        <w:t>Анотація курсу</w:t>
      </w:r>
    </w:p>
    <w:p w14:paraId="069706E4" w14:textId="77777777" w:rsidR="004C09DC" w:rsidRDefault="004C09DC">
      <w:pPr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98"/>
        <w:gridCol w:w="6557"/>
      </w:tblGrid>
      <w:tr w:rsidR="00441034" w:rsidRPr="009939DB" w14:paraId="0981A597" w14:textId="77777777" w:rsidTr="00484B4E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1346A" w14:textId="77777777" w:rsidR="00441034" w:rsidRPr="009939DB" w:rsidRDefault="00441034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bookmarkStart w:id="2" w:name="_Hlk116895732"/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B89A" w14:textId="77777777" w:rsidR="00441034" w:rsidRDefault="00441034" w:rsidP="0048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410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«Сучасні методи контролю транскордонних інфекцій тварин, птиці та людей» є підготовка високо-кваліфікованих фахівців у формуванні уявлень про теоретичні основи і практичні знання з інфекційних </w:t>
            </w:r>
            <w:proofErr w:type="spellStart"/>
            <w:r w:rsidRPr="004410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4410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сільськогосподарських тварин, птиці та людини, про епізоотологічні закономірності виникнення, прояви і поширення інфекційних </w:t>
            </w:r>
            <w:proofErr w:type="spellStart"/>
            <w:r w:rsidRPr="004410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хвороб</w:t>
            </w:r>
            <w:proofErr w:type="spellEnd"/>
            <w:r w:rsidRPr="0044103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лабораторні методі діагностики емерджентних захворювань, що виникли і отримали поширення в світі за останній час.</w:t>
            </w:r>
          </w:p>
          <w:p w14:paraId="61C2CEBA" w14:textId="7CB8ECAD" w:rsidR="00441034" w:rsidRPr="009939DB" w:rsidRDefault="00441034" w:rsidP="00484B4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7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41034" w:rsidRPr="009939DB" w14:paraId="485ED2DF" w14:textId="77777777" w:rsidTr="00484B4E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A5A89" w14:textId="77777777" w:rsidR="00441034" w:rsidRPr="009939DB" w:rsidRDefault="00441034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01AF5" w14:textId="5C24D07F" w:rsidR="00441034" w:rsidRPr="001D7A15" w:rsidRDefault="00441034" w:rsidP="00484B4E">
            <w:pPr>
              <w:tabs>
                <w:tab w:val="left" w:pos="0"/>
                <w:tab w:val="left" w:pos="36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Знати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 </w:t>
            </w: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7A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/>
              </w:rPr>
              <w:t>володіти</w:t>
            </w: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1D7A1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/>
              </w:rPr>
              <w:t xml:space="preserve"> методологією наукових досліджень у галузі ветеринарної медицини, виявляти і розв’язувати наукові задачі та практичні проблеми з використанням та глибоким переосмисленням наявних і створенням нових цілісних знань, висувати гіпотези та генерувати нові ідеї щодо освітньої діяльності, а також здійснювати діагностику, лікування та профілактику патологій заразної етіології та збереження довкілля.</w:t>
            </w:r>
          </w:p>
          <w:p w14:paraId="2D86CCAC" w14:textId="77777777" w:rsidR="00441034" w:rsidRPr="00385EC6" w:rsidRDefault="00441034" w:rsidP="0048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EC6">
              <w:rPr>
                <w:rFonts w:ascii="Times New Roman" w:eastAsia="Times New Roman" w:hAnsi="Times New Roman" w:cs="Times New Roman"/>
                <w:sz w:val="24"/>
                <w:szCs w:val="24"/>
                <w:lang w:val="uk-UA" w:bidi="uk-UA"/>
              </w:rPr>
              <w:t>.</w:t>
            </w:r>
          </w:p>
          <w:p w14:paraId="6C05630D" w14:textId="77777777" w:rsidR="00441034" w:rsidRDefault="00441034" w:rsidP="00484B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Вміти: </w:t>
            </w:r>
          </w:p>
          <w:p w14:paraId="2766A7A5" w14:textId="4430E424" w:rsidR="00441034" w:rsidRPr="00441034" w:rsidRDefault="00441034" w:rsidP="00441034">
            <w:pPr>
              <w:pStyle w:val="a3"/>
              <w:numPr>
                <w:ilvl w:val="0"/>
                <w:numId w:val="1"/>
              </w:numPr>
              <w:spacing w:after="0"/>
              <w:ind w:left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-</w:t>
            </w:r>
            <w:r w:rsidRPr="00441034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володіти сучасними передовими концептуальними та методологічними знаннями і уміннями, необхідними для виконання науково-дослідницької та/або професійної діяльності за спеціальністю «Ветеринарна медицина»;</w:t>
            </w:r>
          </w:p>
          <w:p w14:paraId="283A3D05" w14:textId="51F255DB" w:rsidR="00441034" w:rsidRPr="00441034" w:rsidRDefault="00441034" w:rsidP="00441034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 w:rsidRPr="0044103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здійснювати організацію практичних і лабораторних досліджень з ветеринарної медицини відповідно до вимог безпеки життєдіяльності й охорони праці; </w:t>
            </w:r>
          </w:p>
          <w:p w14:paraId="5D43C35E" w14:textId="58D48E45" w:rsidR="00441034" w:rsidRDefault="00441034" w:rsidP="00484B4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п</w:t>
            </w:r>
            <w:r w:rsidRPr="00F744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рофесійно</w:t>
            </w:r>
            <w:proofErr w:type="spellEnd"/>
            <w:r w:rsidRPr="00F744C5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 xml:space="preserve"> презентувати результати своїх досліджень на вітчизняних та міжнародних наукових конференціях, семінарах, мати досвід практичного використання іноземної мови у науковій, інноваційній та педагогічній діяльності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;</w:t>
            </w:r>
          </w:p>
          <w:p w14:paraId="0BAAC77A" w14:textId="6D62D37E" w:rsidR="00441034" w:rsidRPr="003E7D00" w:rsidRDefault="00441034" w:rsidP="00484B4E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-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р</w:t>
            </w:r>
            <w:r w:rsidRPr="00254A9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uk-UA"/>
              </w:rPr>
              <w:t>озуміти шляхи впровадження результатів наукових досліджень з ветеринарної медицини у виробництво, навчальний процес та науку</w:t>
            </w:r>
          </w:p>
          <w:p w14:paraId="31B358B5" w14:textId="77777777" w:rsidR="00441034" w:rsidRPr="009939DB" w:rsidRDefault="00441034" w:rsidP="00484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441034" w:rsidRPr="009939DB" w14:paraId="0A75A661" w14:textId="77777777" w:rsidTr="00484B4E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C9AE9" w14:textId="77777777" w:rsidR="00441034" w:rsidRPr="009939DB" w:rsidRDefault="00441034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9939D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FDE0B" w14:textId="6E50FC0E" w:rsidR="00441034" w:rsidRPr="006F4090" w:rsidRDefault="00441034" w:rsidP="00484B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Інфекційні хвороби тварин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птиці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людини</w:t>
            </w:r>
          </w:p>
          <w:p w14:paraId="64D64082" w14:textId="77777777" w:rsidR="00441034" w:rsidRPr="009939DB" w:rsidRDefault="00441034" w:rsidP="00484B4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2"/>
    </w:tbl>
    <w:p w14:paraId="7A915906" w14:textId="77777777" w:rsidR="00441034" w:rsidRDefault="00441034">
      <w:pPr>
        <w:rPr>
          <w:lang w:val="uk-UA"/>
        </w:rPr>
      </w:pPr>
    </w:p>
    <w:p w14:paraId="18200679" w14:textId="77777777" w:rsidR="004C09DC" w:rsidRDefault="004C09DC">
      <w:pPr>
        <w:rPr>
          <w:lang w:val="uk-UA"/>
        </w:rPr>
      </w:pPr>
    </w:p>
    <w:p w14:paraId="1B056E08" w14:textId="77777777" w:rsidR="004C09DC" w:rsidRDefault="004C09DC">
      <w:pPr>
        <w:rPr>
          <w:lang w:val="uk-UA"/>
        </w:rPr>
      </w:pPr>
    </w:p>
    <w:p w14:paraId="4A583230" w14:textId="77777777" w:rsidR="004C09DC" w:rsidRDefault="004C09DC">
      <w:pPr>
        <w:rPr>
          <w:lang w:val="uk-UA"/>
        </w:rPr>
      </w:pPr>
    </w:p>
    <w:p w14:paraId="359231CF" w14:textId="77777777" w:rsidR="004C09DC" w:rsidRDefault="004C09DC">
      <w:pPr>
        <w:rPr>
          <w:lang w:val="uk-UA"/>
        </w:rPr>
      </w:pPr>
    </w:p>
    <w:p w14:paraId="0AC0054A" w14:textId="77777777" w:rsidR="004C09DC" w:rsidRDefault="004C09DC">
      <w:pPr>
        <w:rPr>
          <w:lang w:val="uk-UA"/>
        </w:rPr>
      </w:pPr>
    </w:p>
    <w:p w14:paraId="6C12D45D" w14:textId="77777777" w:rsidR="004C09DC" w:rsidRDefault="004C09DC">
      <w:pPr>
        <w:rPr>
          <w:lang w:val="uk-UA"/>
        </w:rPr>
      </w:pPr>
    </w:p>
    <w:p w14:paraId="606BC689" w14:textId="77777777" w:rsidR="004C09DC" w:rsidRDefault="004C09DC">
      <w:pPr>
        <w:rPr>
          <w:lang w:val="uk-UA"/>
        </w:rPr>
      </w:pPr>
    </w:p>
    <w:p w14:paraId="07D99F0F" w14:textId="77777777" w:rsidR="00370259" w:rsidRPr="00D6071F" w:rsidRDefault="00370259" w:rsidP="00370259">
      <w:pPr>
        <w:jc w:val="center"/>
        <w:rPr>
          <w:rFonts w:ascii="Times New Roman" w:hAnsi="Times New Roman" w:cs="Times New Roman"/>
          <w:b/>
          <w:lang w:val="uk-UA"/>
        </w:rPr>
      </w:pPr>
      <w:r w:rsidRPr="00D6071F">
        <w:rPr>
          <w:rFonts w:ascii="Times New Roman" w:hAnsi="Times New Roman" w:cs="Times New Roman"/>
          <w:b/>
          <w:lang w:val="uk-UA"/>
        </w:rPr>
        <w:lastRenderedPageBreak/>
        <w:t>Мета курсу (набуті компетентності)</w:t>
      </w:r>
    </w:p>
    <w:p w14:paraId="42B7BD6B" w14:textId="77777777" w:rsidR="00370259" w:rsidRPr="00D6071F" w:rsidRDefault="00370259" w:rsidP="00370259">
      <w:pPr>
        <w:ind w:firstLine="720"/>
        <w:rPr>
          <w:rFonts w:ascii="Times New Roman" w:hAnsi="Times New Roman" w:cs="Times New Roman"/>
          <w:lang w:val="uk-UA"/>
        </w:rPr>
      </w:pPr>
      <w:r w:rsidRPr="00D6071F">
        <w:rPr>
          <w:rFonts w:ascii="Times New Roman" w:hAnsi="Times New Roman" w:cs="Times New Roman"/>
          <w:lang w:val="uk-UA"/>
        </w:rPr>
        <w:t xml:space="preserve">В наслідок вивчення даного навчального курсу здобувач вищої освіти набуде наступних </w:t>
      </w:r>
      <w:proofErr w:type="spellStart"/>
      <w:r w:rsidRPr="00D6071F">
        <w:rPr>
          <w:rFonts w:ascii="Times New Roman" w:hAnsi="Times New Roman" w:cs="Times New Roman"/>
          <w:lang w:val="uk-UA"/>
        </w:rPr>
        <w:t>компетентностей</w:t>
      </w:r>
      <w:proofErr w:type="spellEnd"/>
      <w:r w:rsidRPr="00D6071F">
        <w:rPr>
          <w:rFonts w:ascii="Times New Roman" w:hAnsi="Times New Roman" w:cs="Times New Roman"/>
          <w:lang w:val="uk-UA"/>
        </w:rPr>
        <w:t>:</w:t>
      </w:r>
    </w:p>
    <w:p w14:paraId="538BC315" w14:textId="77777777" w:rsidR="00370259" w:rsidRPr="00DB79C4" w:rsidRDefault="00370259" w:rsidP="00370259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bookmarkStart w:id="3" w:name="_Hlk144807656"/>
      <w:r w:rsidRPr="00DB79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ПРН1. Знати і </w:t>
      </w:r>
      <w:proofErr w:type="spellStart"/>
      <w:r w:rsidRPr="00DB79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грамотно</w:t>
      </w:r>
      <w:proofErr w:type="spellEnd"/>
      <w:r w:rsidRPr="00DB79C4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використовувати термінологію ветеринарної медицини.</w:t>
      </w:r>
    </w:p>
    <w:p w14:paraId="33C7DC3D" w14:textId="77777777" w:rsidR="00370259" w:rsidRPr="00DB79C4" w:rsidRDefault="00370259" w:rsidP="00370259">
      <w:pPr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79C4">
        <w:rPr>
          <w:rFonts w:ascii="Times New Roman" w:hAnsi="Times New Roman" w:cs="Times New Roman"/>
          <w:sz w:val="26"/>
          <w:szCs w:val="26"/>
          <w:lang w:val="uk-UA"/>
        </w:rPr>
        <w:t xml:space="preserve">ПРН4. Збирати анамнестичні дані під час реєстрації та обстеження тварин, приймати рішення щодо вибору ефективних методів діагностики, лікування та профілактики </w:t>
      </w:r>
      <w:proofErr w:type="spellStart"/>
      <w:r w:rsidRPr="00DB79C4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DB79C4">
        <w:rPr>
          <w:rFonts w:ascii="Times New Roman" w:hAnsi="Times New Roman" w:cs="Times New Roman"/>
          <w:sz w:val="26"/>
          <w:szCs w:val="26"/>
          <w:lang w:val="uk-UA"/>
        </w:rPr>
        <w:t xml:space="preserve"> тварин.</w:t>
      </w:r>
    </w:p>
    <w:p w14:paraId="1558E14F" w14:textId="77777777" w:rsidR="00370259" w:rsidRPr="00DB79C4" w:rsidRDefault="00370259" w:rsidP="00370259">
      <w:pPr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79C4">
        <w:rPr>
          <w:rFonts w:ascii="Times New Roman" w:hAnsi="Times New Roman" w:cs="Times New Roman"/>
          <w:sz w:val="26"/>
          <w:szCs w:val="26"/>
          <w:lang w:val="uk-UA"/>
        </w:rPr>
        <w:t xml:space="preserve">ПРН6. Розробляти карантинні та оздоровчі заходи, методи терапії, профілактики, діагностики та лікування </w:t>
      </w:r>
      <w:proofErr w:type="spellStart"/>
      <w:r w:rsidRPr="00DB79C4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DB79C4">
        <w:rPr>
          <w:rFonts w:ascii="Times New Roman" w:hAnsi="Times New Roman" w:cs="Times New Roman"/>
          <w:sz w:val="26"/>
          <w:szCs w:val="26"/>
          <w:lang w:val="uk-UA"/>
        </w:rPr>
        <w:t xml:space="preserve"> різної етіології.</w:t>
      </w:r>
    </w:p>
    <w:p w14:paraId="0DC862AD" w14:textId="77777777" w:rsidR="00370259" w:rsidRPr="00DB79C4" w:rsidRDefault="00370259" w:rsidP="00370259">
      <w:pPr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79C4">
        <w:rPr>
          <w:rFonts w:ascii="Times New Roman" w:hAnsi="Times New Roman" w:cs="Times New Roman"/>
          <w:sz w:val="26"/>
          <w:szCs w:val="26"/>
          <w:lang w:val="uk-UA"/>
        </w:rPr>
        <w:t xml:space="preserve">ПРН8. Здійснювати моніторинг причин поширення </w:t>
      </w:r>
      <w:proofErr w:type="spellStart"/>
      <w:r w:rsidRPr="00DB79C4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DB79C4">
        <w:rPr>
          <w:rFonts w:ascii="Times New Roman" w:hAnsi="Times New Roman" w:cs="Times New Roman"/>
          <w:sz w:val="26"/>
          <w:szCs w:val="26"/>
          <w:lang w:val="uk-UA"/>
        </w:rPr>
        <w:t xml:space="preserve"> різної етіології та біологічного забруднення довкілля відходами тваринництва, а також матеріалами та засобами ветеринарного призначення.</w:t>
      </w:r>
    </w:p>
    <w:p w14:paraId="5B7E4B8E" w14:textId="77777777" w:rsidR="00370259" w:rsidRPr="00DB79C4" w:rsidRDefault="00370259" w:rsidP="00370259">
      <w:pPr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79C4">
        <w:rPr>
          <w:rFonts w:ascii="Times New Roman" w:hAnsi="Times New Roman" w:cs="Times New Roman"/>
          <w:sz w:val="26"/>
          <w:szCs w:val="26"/>
          <w:lang w:val="uk-UA"/>
        </w:rPr>
        <w:t xml:space="preserve">ПРН9. </w:t>
      </w:r>
      <w:bookmarkStart w:id="4" w:name="_Hlk144730804"/>
      <w:r w:rsidRPr="00DB79C4">
        <w:rPr>
          <w:rFonts w:ascii="Times New Roman" w:hAnsi="Times New Roman" w:cs="Times New Roman"/>
          <w:sz w:val="26"/>
          <w:szCs w:val="26"/>
          <w:lang w:val="uk-UA"/>
        </w:rPr>
        <w:t xml:space="preserve">Розробляти заходи, спрямовані на захист населення від </w:t>
      </w:r>
      <w:proofErr w:type="spellStart"/>
      <w:r w:rsidRPr="00DB79C4">
        <w:rPr>
          <w:rFonts w:ascii="Times New Roman" w:hAnsi="Times New Roman" w:cs="Times New Roman"/>
          <w:sz w:val="26"/>
          <w:szCs w:val="26"/>
          <w:lang w:val="uk-UA"/>
        </w:rPr>
        <w:t>хвороб</w:t>
      </w:r>
      <w:proofErr w:type="spellEnd"/>
      <w:r w:rsidRPr="00DB79C4">
        <w:rPr>
          <w:rFonts w:ascii="Times New Roman" w:hAnsi="Times New Roman" w:cs="Times New Roman"/>
          <w:sz w:val="26"/>
          <w:szCs w:val="26"/>
          <w:lang w:val="uk-UA"/>
        </w:rPr>
        <w:t>, спільних для тварин і людей.</w:t>
      </w:r>
    </w:p>
    <w:p w14:paraId="17257615" w14:textId="77777777" w:rsidR="00370259" w:rsidRPr="00DB79C4" w:rsidRDefault="00370259" w:rsidP="00370259">
      <w:pPr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79C4">
        <w:rPr>
          <w:rFonts w:ascii="Times New Roman" w:hAnsi="Times New Roman"/>
          <w:sz w:val="26"/>
          <w:szCs w:val="26"/>
          <w:lang w:val="uk-UA"/>
        </w:rPr>
        <w:t>ПРН11. Узагальнювати та аналізувати інформацію щодо ефективності роботи ветеринарних фахівців різного підпорядкування.</w:t>
      </w:r>
    </w:p>
    <w:p w14:paraId="132FC1E6" w14:textId="77777777" w:rsidR="00370259" w:rsidRPr="00DB79C4" w:rsidRDefault="00370259" w:rsidP="00370259">
      <w:pPr>
        <w:spacing w:after="0" w:line="276" w:lineRule="auto"/>
        <w:ind w:left="-142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DB79C4">
        <w:rPr>
          <w:rFonts w:ascii="Times New Roman" w:hAnsi="Times New Roman" w:cs="Times New Roman"/>
          <w:sz w:val="26"/>
          <w:szCs w:val="26"/>
          <w:lang w:val="uk-UA"/>
        </w:rPr>
        <w:t>ПРН18. Здійснювати облікову звітність під час фахової діяльності.</w:t>
      </w:r>
    </w:p>
    <w:bookmarkEnd w:id="4"/>
    <w:p w14:paraId="2A2E45DC" w14:textId="77777777" w:rsidR="00370259" w:rsidRPr="00DB79C4" w:rsidRDefault="00370259" w:rsidP="00370259">
      <w:pPr>
        <w:rPr>
          <w:sz w:val="26"/>
          <w:szCs w:val="26"/>
          <w:lang w:val="uk-UA"/>
        </w:rPr>
      </w:pPr>
    </w:p>
    <w:bookmarkEnd w:id="3"/>
    <w:p w14:paraId="29CBE2D2" w14:textId="77777777" w:rsidR="00370259" w:rsidRDefault="00370259">
      <w:pPr>
        <w:rPr>
          <w:lang w:val="uk-UA"/>
        </w:rPr>
      </w:pPr>
    </w:p>
    <w:p w14:paraId="213BA28E" w14:textId="77777777" w:rsidR="004C09DC" w:rsidRPr="004C09DC" w:rsidRDefault="004C09DC">
      <w:pPr>
        <w:rPr>
          <w:lang w:val="uk-UA"/>
        </w:rPr>
      </w:pPr>
    </w:p>
    <w:p w14:paraId="317E5230" w14:textId="77777777" w:rsidR="004C09DC" w:rsidRDefault="004C09DC"/>
    <w:p w14:paraId="37F07402" w14:textId="77777777" w:rsidR="004C09DC" w:rsidRDefault="004C09DC"/>
    <w:p w14:paraId="5FAED1D6" w14:textId="77777777" w:rsidR="004C09DC" w:rsidRDefault="004C09DC"/>
    <w:p w14:paraId="4A0182F5" w14:textId="77777777" w:rsidR="004C09DC" w:rsidRDefault="004C09DC"/>
    <w:p w14:paraId="422EC952" w14:textId="77777777" w:rsidR="00370259" w:rsidRDefault="00370259"/>
    <w:p w14:paraId="55523E7C" w14:textId="77777777" w:rsidR="00370259" w:rsidRDefault="00370259"/>
    <w:p w14:paraId="1A099A53" w14:textId="77777777" w:rsidR="00370259" w:rsidRDefault="00370259"/>
    <w:p w14:paraId="1FF06DEB" w14:textId="77777777" w:rsidR="00370259" w:rsidRDefault="00370259"/>
    <w:p w14:paraId="7FE069E1" w14:textId="77777777" w:rsidR="00370259" w:rsidRDefault="00370259"/>
    <w:p w14:paraId="55EE1C97" w14:textId="77777777" w:rsidR="00370259" w:rsidRDefault="00370259"/>
    <w:p w14:paraId="632E1C2B" w14:textId="77777777" w:rsidR="00370259" w:rsidRDefault="00370259"/>
    <w:p w14:paraId="1F5BB66D" w14:textId="77777777" w:rsidR="00370259" w:rsidRDefault="00370259"/>
    <w:p w14:paraId="633D8AF8" w14:textId="77777777" w:rsidR="00370259" w:rsidRDefault="00370259"/>
    <w:p w14:paraId="3A098799" w14:textId="77777777" w:rsidR="00370259" w:rsidRDefault="00370259"/>
    <w:p w14:paraId="1A6783ED" w14:textId="77777777" w:rsidR="00370259" w:rsidRDefault="00370259"/>
    <w:p w14:paraId="08E1A2AA" w14:textId="77777777" w:rsidR="00370259" w:rsidRDefault="00370259"/>
    <w:p w14:paraId="66634141" w14:textId="77777777" w:rsidR="00F51B0A" w:rsidRDefault="00F51B0A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  <w:r w:rsidRPr="00FE66BC"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  <w:lastRenderedPageBreak/>
        <w:t>СТРУКТУРА КУРСУ</w:t>
      </w:r>
    </w:p>
    <w:p w14:paraId="5F56F9BA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395"/>
        <w:gridCol w:w="1275"/>
        <w:gridCol w:w="3805"/>
        <w:gridCol w:w="1972"/>
      </w:tblGrid>
      <w:tr w:rsidR="004248C2" w:rsidRPr="00B87432" w14:paraId="166F9837" w14:textId="77777777" w:rsidTr="00484B4E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14:paraId="7F787E06" w14:textId="77777777" w:rsidR="004248C2" w:rsidRPr="00B87432" w:rsidRDefault="004248C2" w:rsidP="00484B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№</w:t>
            </w:r>
          </w:p>
        </w:tc>
        <w:tc>
          <w:tcPr>
            <w:tcW w:w="2395" w:type="dxa"/>
            <w:shd w:val="clear" w:color="auto" w:fill="ECE1FF"/>
            <w:vAlign w:val="center"/>
          </w:tcPr>
          <w:p w14:paraId="4C87A830" w14:textId="77777777" w:rsidR="004248C2" w:rsidRPr="00B87432" w:rsidRDefault="004248C2" w:rsidP="00484B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275" w:type="dxa"/>
            <w:shd w:val="clear" w:color="auto" w:fill="ECE1FF"/>
            <w:vAlign w:val="center"/>
          </w:tcPr>
          <w:p w14:paraId="0B4C0498" w14:textId="77777777" w:rsidR="004248C2" w:rsidRPr="00B87432" w:rsidRDefault="004248C2" w:rsidP="00484B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Години (Л/ЛБ/ПЗ)</w:t>
            </w:r>
          </w:p>
          <w:p w14:paraId="7E58F5CF" w14:textId="77777777" w:rsidR="004248C2" w:rsidRPr="00B87432" w:rsidRDefault="004248C2" w:rsidP="00484B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за формами навчання</w:t>
            </w:r>
          </w:p>
        </w:tc>
        <w:tc>
          <w:tcPr>
            <w:tcW w:w="3805" w:type="dxa"/>
            <w:shd w:val="clear" w:color="auto" w:fill="ECE1FF"/>
            <w:vAlign w:val="center"/>
          </w:tcPr>
          <w:p w14:paraId="35DB080D" w14:textId="77777777" w:rsidR="004248C2" w:rsidRPr="00B87432" w:rsidRDefault="004248C2" w:rsidP="00484B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14:paraId="2ED0AC52" w14:textId="77777777" w:rsidR="004248C2" w:rsidRPr="00B87432" w:rsidRDefault="004248C2" w:rsidP="00484B4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Інструменти і завдання</w:t>
            </w:r>
          </w:p>
        </w:tc>
      </w:tr>
      <w:tr w:rsidR="004248C2" w:rsidRPr="00B87432" w14:paraId="7958953C" w14:textId="77777777" w:rsidTr="004248C2">
        <w:trPr>
          <w:trHeight w:val="2097"/>
        </w:trPr>
        <w:tc>
          <w:tcPr>
            <w:tcW w:w="407" w:type="dxa"/>
            <w:shd w:val="clear" w:color="auto" w:fill="auto"/>
          </w:tcPr>
          <w:p w14:paraId="522F21F6" w14:textId="77777777" w:rsidR="004248C2" w:rsidRPr="00B87432" w:rsidRDefault="004248C2" w:rsidP="004248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7536CC1B" w14:textId="216EF4B6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85535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Тема 1 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Загрози інфекцій та алгоритм протидії транскордонним хворобам тварин</w:t>
            </w:r>
          </w:p>
        </w:tc>
        <w:tc>
          <w:tcPr>
            <w:tcW w:w="1275" w:type="dxa"/>
            <w:shd w:val="clear" w:color="auto" w:fill="auto"/>
          </w:tcPr>
          <w:p w14:paraId="52411DAC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271C1EAF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2/0/2</w:t>
            </w:r>
          </w:p>
          <w:p w14:paraId="7CD1F92F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1E518992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39176581" w14:textId="208CDD7C" w:rsidR="004248C2" w:rsidRPr="00B87432" w:rsidRDefault="004248C2" w:rsidP="004248C2">
            <w:pPr>
              <w:spacing w:after="0" w:line="240" w:lineRule="auto"/>
              <w:ind w:firstLine="6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 xml:space="preserve">етіологія та еволюція хвороби, її поширення у світі;   епізоотологічні особливості; імунологічні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характерис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-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тики збудника;  клінічні ознаки хвороби; патологічні зміни в організмі зумовлені патогеном; діагностика: польова, диференційна та лабораторна тощо).</w:t>
            </w:r>
            <w:r w:rsidRPr="004248C2">
              <w:rPr>
                <w:rFonts w:ascii="Calibri" w:eastAsia="Times New Roman" w:hAnsi="Calibri" w:cs="Times New Roman"/>
                <w:b/>
                <w:bCs/>
                <w:color w:val="000000"/>
                <w:kern w:val="24"/>
                <w:sz w:val="20"/>
                <w:szCs w:val="20"/>
                <w:lang w:val="uk-UA" w:eastAsia="ru-RU"/>
              </w:rPr>
              <w:t xml:space="preserve"> 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Міжнародна класифікація  заразних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хвороб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тварин.</w:t>
            </w:r>
          </w:p>
        </w:tc>
        <w:tc>
          <w:tcPr>
            <w:tcW w:w="1972" w:type="dxa"/>
            <w:shd w:val="clear" w:color="auto" w:fill="auto"/>
          </w:tcPr>
          <w:p w14:paraId="519DD9EF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2FBE7806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390F3B9F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  <w:p w14:paraId="186F1A81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248C2" w:rsidRPr="00B87432" w14:paraId="5D37462D" w14:textId="77777777" w:rsidTr="00484B4E">
        <w:trPr>
          <w:trHeight w:val="1154"/>
        </w:trPr>
        <w:tc>
          <w:tcPr>
            <w:tcW w:w="407" w:type="dxa"/>
            <w:shd w:val="clear" w:color="auto" w:fill="auto"/>
          </w:tcPr>
          <w:p w14:paraId="56621ED9" w14:textId="77777777" w:rsidR="004248C2" w:rsidRPr="00B87432" w:rsidRDefault="004248C2" w:rsidP="004248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D465502" w14:textId="2FFD7BF2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 2.</w:t>
            </w:r>
            <w:r w:rsidRPr="00DE681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val="uk-UA" w:eastAsia="ru-RU"/>
              </w:rPr>
              <w:t xml:space="preserve"> 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Транскордонні хвороби бактеріальної етіології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E37EFF6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22FDA016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76F33F29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CCAF98F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5B876E83" w14:textId="2B771E72" w:rsidR="004248C2" w:rsidRPr="00B87432" w:rsidRDefault="004248C2" w:rsidP="0042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сибірка, туберкульоз, бруцельоз, псевдотуберкульоз, паратуберкульоз).</w:t>
            </w:r>
            <w:r w:rsidRPr="004248C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uk-UA" w:eastAsia="ru-RU"/>
              </w:rPr>
              <w:t xml:space="preserve"> 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 w:eastAsia="ru-RU"/>
              </w:rPr>
              <w:t>Загальне в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изначення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хвороб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етіологічний фактор, епізоотологія та епідеміологія, патогенез, клінічні ознаки, патологоанатомічні зміни, діагностика та лікувальні заходи)</w:t>
            </w:r>
          </w:p>
        </w:tc>
        <w:tc>
          <w:tcPr>
            <w:tcW w:w="1972" w:type="dxa"/>
            <w:shd w:val="clear" w:color="auto" w:fill="auto"/>
          </w:tcPr>
          <w:p w14:paraId="75A77E9D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35B143DF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6C859F25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4248C2" w:rsidRPr="00B87432" w14:paraId="5BB8AD82" w14:textId="77777777" w:rsidTr="00484B4E">
        <w:tc>
          <w:tcPr>
            <w:tcW w:w="407" w:type="dxa"/>
            <w:shd w:val="clear" w:color="auto" w:fill="auto"/>
          </w:tcPr>
          <w:p w14:paraId="2C8C1061" w14:textId="77777777" w:rsidR="004248C2" w:rsidRPr="00B87432" w:rsidRDefault="004248C2" w:rsidP="004248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145D1F86" w14:textId="4000F316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A2F4B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Тема 3.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bookmarkStart w:id="5" w:name="_Hlk50099175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Транскордонні емерджентні </w:t>
            </w:r>
            <w:bookmarkEnd w:id="5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хвороби вірусної етіології</w:t>
            </w:r>
          </w:p>
        </w:tc>
        <w:tc>
          <w:tcPr>
            <w:tcW w:w="1275" w:type="dxa"/>
            <w:shd w:val="clear" w:color="auto" w:fill="auto"/>
          </w:tcPr>
          <w:p w14:paraId="538F19B1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33D9761D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38951612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4A7C7AB8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247CB7F1" w14:textId="0AE2FB46" w:rsidR="004248C2" w:rsidRPr="00B87432" w:rsidRDefault="004248C2" w:rsidP="0042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ящур, сказ, віспа, чума ВРХ, контагіозна плевропневмонія ВРХ, чума дрібних жуйних, катаральна гарячка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овець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(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блутанг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), везикулярний стоматит, лихоманка долини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Ріфт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,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ефемерна лихоманка великої рогатої худоби,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губчастоподібна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енцефалопатія (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пріони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), </w:t>
            </w:r>
            <w:r w:rsidRPr="0042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лихоманка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Шмалленберга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 xml:space="preserve">, хвороба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Бунговано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uk-UA"/>
              </w:rPr>
              <w:t>,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«атипова пневмонія»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).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Визначення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етіологія,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епізо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о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гія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епідеміологія, патогенез, клінічні ознаки, патологоанатомічні зміни, лабораторна та диференційна діагностика, заходи боротьби і профілактики.</w:t>
            </w:r>
          </w:p>
        </w:tc>
        <w:tc>
          <w:tcPr>
            <w:tcW w:w="1972" w:type="dxa"/>
            <w:shd w:val="clear" w:color="auto" w:fill="auto"/>
          </w:tcPr>
          <w:p w14:paraId="5FA95CE2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7F5D3D1D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36FE7AC5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4248C2" w:rsidRPr="00B87432" w14:paraId="46D594C6" w14:textId="77777777" w:rsidTr="00484B4E">
        <w:tc>
          <w:tcPr>
            <w:tcW w:w="407" w:type="dxa"/>
            <w:shd w:val="clear" w:color="auto" w:fill="auto"/>
          </w:tcPr>
          <w:p w14:paraId="56E53B2D" w14:textId="77777777" w:rsidR="004248C2" w:rsidRPr="00B87432" w:rsidRDefault="004248C2" w:rsidP="004248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331C1D37" w14:textId="13E06CEB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Тема 4. 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Транскордонні хвороби коней</w:t>
            </w:r>
          </w:p>
        </w:tc>
        <w:tc>
          <w:tcPr>
            <w:tcW w:w="1275" w:type="dxa"/>
            <w:shd w:val="clear" w:color="auto" w:fill="auto"/>
          </w:tcPr>
          <w:p w14:paraId="5899A816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19D23D6B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4/0/4</w:t>
            </w:r>
          </w:p>
          <w:p w14:paraId="318AFB27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3BD1D35F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7BA6B2EF" w14:textId="13B07CE7" w:rsidR="004248C2" w:rsidRPr="00B87432" w:rsidRDefault="004248C2" w:rsidP="0042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(сап, інфекційна анемія (ІНАН), грип, венесуельський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енцефаломієліт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гарячка західного Нілу). 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Визначення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етіологія, епізоотологія та епідеміологія, патогенез, клінічні ознаки, патолого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ана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томічні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зміни, лабораторна та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диферен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ційна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діагностика, заходи боротьби і про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філактики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  <w:tc>
          <w:tcPr>
            <w:tcW w:w="1972" w:type="dxa"/>
            <w:shd w:val="clear" w:color="auto" w:fill="auto"/>
          </w:tcPr>
          <w:p w14:paraId="452B6958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2D752BD0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031E920C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4248C2" w:rsidRPr="00B87432" w14:paraId="689C86C9" w14:textId="77777777" w:rsidTr="00484B4E">
        <w:tc>
          <w:tcPr>
            <w:tcW w:w="407" w:type="dxa"/>
            <w:shd w:val="clear" w:color="auto" w:fill="auto"/>
          </w:tcPr>
          <w:p w14:paraId="0AB9558A" w14:textId="77777777" w:rsidR="004248C2" w:rsidRPr="00B87432" w:rsidRDefault="004248C2" w:rsidP="004248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3133EF1" w14:textId="10269CDC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07677A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5. </w:t>
            </w: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Транскордонні хвороби свиней</w:t>
            </w:r>
          </w:p>
        </w:tc>
        <w:tc>
          <w:tcPr>
            <w:tcW w:w="1275" w:type="dxa"/>
            <w:shd w:val="clear" w:color="auto" w:fill="auto"/>
          </w:tcPr>
          <w:p w14:paraId="146252AF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1B0AC0B8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069025B8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6303B346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20015D72" w14:textId="2AA0D4E3" w:rsidR="004248C2" w:rsidRPr="00B87432" w:rsidRDefault="004248C2" w:rsidP="004248C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(класична чума, африканська чума, хвороба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Тешена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, грип,  везикулярна хвороба).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Визначення </w:t>
            </w:r>
            <w:proofErr w:type="spellStart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, етіологія, епізоотологія, патогенез, клінічні ознаки, патологоанатомічні зміни, лабораторна та диференційна діагностика, заходи боротьби і профілактики.</w:t>
            </w:r>
          </w:p>
        </w:tc>
        <w:tc>
          <w:tcPr>
            <w:tcW w:w="1972" w:type="dxa"/>
            <w:shd w:val="clear" w:color="auto" w:fill="auto"/>
          </w:tcPr>
          <w:p w14:paraId="6F6AB029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6AF4F540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527188DE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4248C2" w:rsidRPr="00B87432" w14:paraId="43B0BEC8" w14:textId="77777777" w:rsidTr="00484B4E">
        <w:tc>
          <w:tcPr>
            <w:tcW w:w="407" w:type="dxa"/>
            <w:shd w:val="clear" w:color="auto" w:fill="auto"/>
          </w:tcPr>
          <w:p w14:paraId="57EBBA90" w14:textId="77777777" w:rsidR="004248C2" w:rsidRPr="00B87432" w:rsidRDefault="004248C2" w:rsidP="004248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09611596" w14:textId="4EFB387A" w:rsidR="004248C2" w:rsidRPr="00FC426C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Тема </w:t>
            </w:r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6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4248C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4248C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Транскордонні емерджентні хвороби птиці</w:t>
            </w:r>
            <w:r w:rsidRPr="00FC426C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14:paraId="6C85C4DA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62DDC339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70974E6D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  <w:p w14:paraId="77A89AF0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4A7587FB" w14:textId="77777777" w:rsidR="004248C2" w:rsidRDefault="002E3F5E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(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ньюкаслська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хвороба, грип птиці, інфекційний бурсит, чума качок).  </w:t>
            </w:r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Визначення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етіологія,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епізоото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логія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патогенез, клінічні ознаки,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патоло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гоанатомічні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зміни, лабораторна та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дифе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ренційна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діагностика, заходи боротьби і профілактики.</w:t>
            </w:r>
          </w:p>
          <w:p w14:paraId="1A4CE665" w14:textId="2D2CE4C3" w:rsidR="002E3F5E" w:rsidRPr="00B87432" w:rsidRDefault="002E3F5E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1972" w:type="dxa"/>
            <w:shd w:val="clear" w:color="auto" w:fill="auto"/>
          </w:tcPr>
          <w:p w14:paraId="132F7840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1F24F4A3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67C9CC55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4248C2" w:rsidRPr="00B87432" w14:paraId="3C6B9424" w14:textId="77777777" w:rsidTr="00484B4E">
        <w:tc>
          <w:tcPr>
            <w:tcW w:w="407" w:type="dxa"/>
            <w:shd w:val="clear" w:color="auto" w:fill="auto"/>
          </w:tcPr>
          <w:p w14:paraId="6E93D9B1" w14:textId="77777777" w:rsidR="004248C2" w:rsidRPr="00B87432" w:rsidRDefault="004248C2" w:rsidP="004248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39134FBD" w14:textId="62B4595A" w:rsidR="004248C2" w:rsidRPr="00FC426C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FC426C">
              <w:rPr>
                <w:rFonts w:ascii="Times New Roman" w:hAnsi="Times New Roman" w:cs="Times New Roman"/>
                <w:b/>
                <w:bCs/>
                <w:lang w:val="uk-UA"/>
              </w:rPr>
              <w:t>Тема 7</w:t>
            </w:r>
            <w:r w:rsidRPr="00FC426C">
              <w:rPr>
                <w:rFonts w:ascii="Times New Roman" w:hAnsi="Times New Roman" w:cs="Times New Roman"/>
                <w:lang w:val="uk-UA"/>
              </w:rPr>
              <w:t xml:space="preserve">. </w:t>
            </w:r>
            <w:r w:rsidR="002E3F5E" w:rsidRPr="002E3F5E">
              <w:rPr>
                <w:rFonts w:ascii="Times New Roman" w:hAnsi="Times New Roman" w:cs="Times New Roman"/>
                <w:iCs/>
                <w:lang w:val="uk-UA"/>
              </w:rPr>
              <w:t>Хвороби хутрових звірів</w:t>
            </w:r>
          </w:p>
        </w:tc>
        <w:tc>
          <w:tcPr>
            <w:tcW w:w="1275" w:type="dxa"/>
            <w:shd w:val="clear" w:color="auto" w:fill="auto"/>
          </w:tcPr>
          <w:p w14:paraId="34E6E9FD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19AB7112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611D7111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4187757D" w14:textId="5A5A2E92" w:rsidR="004248C2" w:rsidRPr="00B7751A" w:rsidRDefault="002E3F5E" w:rsidP="002E3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(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псевдомоноз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 норок, алеутська хвороба, вірусна геморагічна хвороба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кролів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 xml:space="preserve">, міксоматоз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кролів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).</w:t>
            </w:r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Визначення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етіологія, епізоотологія, патогенез, клінічні ознаки, патологоанатомічні зміни, лабораторна та диференційна діагностика, заходи боротьби і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профілак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тики.</w:t>
            </w:r>
          </w:p>
        </w:tc>
        <w:tc>
          <w:tcPr>
            <w:tcW w:w="1972" w:type="dxa"/>
            <w:shd w:val="clear" w:color="auto" w:fill="auto"/>
          </w:tcPr>
          <w:p w14:paraId="04B30DDC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64277568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58CFF15E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  <w:tr w:rsidR="004248C2" w:rsidRPr="00B87432" w14:paraId="6631B870" w14:textId="77777777" w:rsidTr="00484B4E">
        <w:tc>
          <w:tcPr>
            <w:tcW w:w="407" w:type="dxa"/>
            <w:shd w:val="clear" w:color="auto" w:fill="auto"/>
          </w:tcPr>
          <w:p w14:paraId="061EFFA0" w14:textId="77777777" w:rsidR="004248C2" w:rsidRPr="00B87432" w:rsidRDefault="004248C2" w:rsidP="004248C2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2395" w:type="dxa"/>
            <w:shd w:val="clear" w:color="auto" w:fill="auto"/>
          </w:tcPr>
          <w:p w14:paraId="6E4148BB" w14:textId="38E9D9F8" w:rsidR="004248C2" w:rsidRPr="002E3F5E" w:rsidRDefault="002E3F5E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2E3F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/>
              </w:rPr>
              <w:t xml:space="preserve">Тема 8. </w:t>
            </w:r>
            <w:r w:rsidRPr="002E3F5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val="uk-UA"/>
              </w:rPr>
              <w:t>Хвороби м’ясоїдних</w:t>
            </w:r>
          </w:p>
        </w:tc>
        <w:tc>
          <w:tcPr>
            <w:tcW w:w="1275" w:type="dxa"/>
            <w:shd w:val="clear" w:color="auto" w:fill="auto"/>
          </w:tcPr>
          <w:p w14:paraId="59902332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денна</w:t>
            </w:r>
          </w:p>
          <w:p w14:paraId="09A31959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4/0/2</w:t>
            </w:r>
          </w:p>
          <w:p w14:paraId="51101930" w14:textId="77777777" w:rsidR="004248C2" w:rsidRPr="00B87432" w:rsidRDefault="004248C2" w:rsidP="00484B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805" w:type="dxa"/>
            <w:shd w:val="clear" w:color="auto" w:fill="auto"/>
          </w:tcPr>
          <w:p w14:paraId="71A32691" w14:textId="1DDFBBED" w:rsidR="004248C2" w:rsidRPr="00342726" w:rsidRDefault="002E3F5E" w:rsidP="002E3F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E3F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uk-UA"/>
              </w:rPr>
              <w:t>(чума м’ясоїдних, інфекційний гепатит).</w:t>
            </w:r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Визначення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хвороб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, етіологія, </w:t>
            </w:r>
            <w:proofErr w:type="spellStart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епізоо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тологія</w:t>
            </w:r>
            <w:proofErr w:type="spellEnd"/>
            <w:r w:rsidRPr="002E3F5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та епідеміологія, патогенез, клінічні ознаки, патологоанатомічні зміни, лабораторна та диференційна діагностика, заходи боротьби і профілактики.</w:t>
            </w:r>
          </w:p>
        </w:tc>
        <w:tc>
          <w:tcPr>
            <w:tcW w:w="1972" w:type="dxa"/>
            <w:shd w:val="clear" w:color="auto" w:fill="auto"/>
          </w:tcPr>
          <w:p w14:paraId="1B0B8A9B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Участь в обговоренні</w:t>
            </w:r>
          </w:p>
          <w:p w14:paraId="24D10E96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Тести</w:t>
            </w:r>
          </w:p>
          <w:p w14:paraId="032965C4" w14:textId="77777777" w:rsidR="004248C2" w:rsidRPr="00B87432" w:rsidRDefault="004248C2" w:rsidP="00484B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B87432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Індивідуальні завдання</w:t>
            </w:r>
          </w:p>
        </w:tc>
      </w:tr>
    </w:tbl>
    <w:p w14:paraId="2BC92869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6900D9B5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474F654D" w14:textId="77777777" w:rsidR="002E3F5E" w:rsidRPr="002E3F5E" w:rsidRDefault="002E3F5E" w:rsidP="002E3F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  <w:bookmarkStart w:id="6" w:name="_Hlk89341743"/>
      <w:r w:rsidRPr="002E3F5E"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  <w:t xml:space="preserve">Літературні джерела </w:t>
      </w:r>
    </w:p>
    <w:bookmarkEnd w:id="6"/>
    <w:p w14:paraId="668A837C" w14:textId="7777777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Грип птиці (епізоотологія, діагностика, профілактика). (2010). Під редакцією доктора ветеринарних наук, професора, академіка НААН України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Стегнія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Б.Т. Харків, 2010. 173 с.</w:t>
      </w:r>
    </w:p>
    <w:p w14:paraId="6AE310D3" w14:textId="7777777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Емерджентні інфекції птиці: грип та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Ньюкаслська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хвороба. Епізоотологія, моніторинг, діагностика та профілактика. (2012). За редакцією доктора ветеринарних   наук,   професора,   академіка   НААН   і   РАСГН Б.Т.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Стегнія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. Київ: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Аграр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. наука, 2012. 304 с. 155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іл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.</w:t>
      </w:r>
    </w:p>
    <w:p w14:paraId="24095442" w14:textId="7777777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Макаров В.В.,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Грубый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В.А.,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Сухарев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О.И. и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др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. (2012). Список МЭБ и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трансграничные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инфекции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животных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: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учебное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пособие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. Владимир, ВНИИЗЖ, 2012. 162 с.</w:t>
      </w:r>
    </w:p>
    <w:p w14:paraId="14F22725" w14:textId="7777777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Недосєков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В.В., Мельник В.В., Макаров В.В. (2015). Транскордонні хвороби тварин з основами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стемпінг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-ауту: навчальний посібник. Херсон: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Грінь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Д.С., 2015. 336 с.</w:t>
      </w:r>
    </w:p>
    <w:p w14:paraId="28D46EA4" w14:textId="7777777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Корнієнко Л. Є., Наливайко Л. І.,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Недосєков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В. В. (2017) Інфекційні хвороби птиці : навчальний посібник. - Херсон :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Олді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-плюс , 2017. 528 с.</w:t>
      </w:r>
    </w:p>
    <w:p w14:paraId="78A545E4" w14:textId="7777777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Наливайко Л.І. , Палій А.П., Євстаф’єва В.О., Родіонова К.О.,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Івлева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О.В. (2019). Хвороби хутрових тварин: науково-методичний посібник.</w:t>
      </w:r>
      <w:r w:rsidRPr="002E3F5E">
        <w:rPr>
          <w:rFonts w:ascii="Times New Roman" w:eastAsia="Times New Roman" w:hAnsi="Times New Roman" w:cs="Times New Roman"/>
          <w:bCs/>
          <w:lang w:val="uk-UA" w:eastAsia="ru-RU"/>
        </w:rPr>
        <w:t> К.: Видавничий дім «Кондор», 2019.412 с.</w:t>
      </w:r>
    </w:p>
    <w:p w14:paraId="7777447F" w14:textId="7777777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Родіонова К.О., Палій А.П., Наливайко Л.І. (2019). Ветеринарна санітарія та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дезінфектологія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: термінологічний словник. Харків.: «Стиль-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Издат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», 2019. 123 с.</w:t>
      </w:r>
    </w:p>
    <w:p w14:paraId="358BA1F7" w14:textId="7777777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Папуги в нашій оселі [Текст]: наук.-метод.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посіб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./Л.І. Наливайко, Пархоменко Л.І., Палій А.П., Родіонова К.О.,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Івлева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О.В. –   Харків.: «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Міськ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друк»,:  2020. 167 с. - ISBN 978-617-7912-14-8</w:t>
      </w:r>
    </w:p>
    <w:p w14:paraId="48D154E0" w14:textId="77777777" w:rsid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K.О.Rodionova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A.P.Paliy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A.P.Palii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І.V.Yatsenko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T.I.Fotina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N.M.Bogatko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V.F.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Mohutova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L.I.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Nalyvayko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, O.V.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Ivleva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T.A.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Odyntsova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 (2020)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Effect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ultraviolet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irradiation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beef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carcass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yield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Ukrainian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Journal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Ecology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2020, 10(2), 410-415,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doi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: 10.15421/2020_118. UDC 619.5:6616-085.636.5</w:t>
      </w:r>
    </w:p>
    <w:p w14:paraId="65EC6E16" w14:textId="7D603507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K.О.Rodionova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A.P.Paliy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A.P.Palii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І.V.Yatsenko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T.I.Fotina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N.M.Bogatko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V.F.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Mohutova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L.I.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Nalyvayko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O.V.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Ivleva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T.A.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Odyntsova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 (2020)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Effect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ultraviolet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irradiation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beef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carcass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yield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Ukrainian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Journal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Ecology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2020, 10(2), 410-415,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doi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: 10.15421/2020_118. UDC 619.5:6616-085.636.5</w:t>
      </w:r>
    </w:p>
    <w:p w14:paraId="1B301BED" w14:textId="6EDF48A6" w:rsidR="002E3F5E" w:rsidRPr="002E3F5E" w:rsidRDefault="002E3F5E" w:rsidP="002E3F5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Lyudmyla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Nalyvayko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Kateryna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Rodionova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Svitlana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Pankova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Natalia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Shomina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Oleg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Katerynych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Mariia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Khimych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. (2021). “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Comparative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characteristics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eggs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chickens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domestic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and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foreign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selection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in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their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diverse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age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”.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Potravinarstvo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Slovak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Journal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Food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Sciences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, vol.15, 2021, p. 245-253  https:// doi.org /10.5219/1501  SSN 1337-0960 (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on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>line</w:t>
      </w:r>
      <w:proofErr w:type="spellEnd"/>
      <w:r w:rsidRPr="002E3F5E">
        <w:rPr>
          <w:rFonts w:ascii="Times New Roman" w:eastAsia="Times New Roman" w:hAnsi="Times New Roman" w:cs="Times New Roman"/>
          <w:bCs/>
          <w:lang w:val="uk-UA" w:eastAsia="ru-RU"/>
        </w:rPr>
        <w:t xml:space="preserve">)  </w:t>
      </w:r>
    </w:p>
    <w:p w14:paraId="62CE943F" w14:textId="77777777" w:rsidR="004248C2" w:rsidRPr="002E3F5E" w:rsidRDefault="004248C2" w:rsidP="002E3F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3A1256D4" w14:textId="77777777" w:rsidR="00CF5202" w:rsidRPr="00CF5202" w:rsidRDefault="00CF5202" w:rsidP="00CF520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Додаткові: </w:t>
      </w:r>
    </w:p>
    <w:p w14:paraId="6C99D8CE" w14:textId="77777777" w:rsidR="00CF5202" w:rsidRPr="00CF5202" w:rsidRDefault="00CF5202" w:rsidP="00CF5202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CF5202">
        <w:rPr>
          <w:rFonts w:ascii="Times New Roman" w:eastAsia="Times New Roman" w:hAnsi="Times New Roman" w:cs="Times New Roman"/>
          <w:bCs/>
          <w:lang w:val="uk-UA" w:eastAsia="ru-RU"/>
        </w:rPr>
        <w:t>1.</w:t>
      </w:r>
      <w:r w:rsidRPr="00CF5202">
        <w:rPr>
          <w:rFonts w:ascii="Times New Roman" w:eastAsia="Times New Roman" w:hAnsi="Times New Roman" w:cs="Times New Roman"/>
          <w:bCs/>
          <w:lang w:val="uk-UA" w:eastAsia="ru-RU"/>
        </w:rPr>
        <w:tab/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Практическое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руководство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по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биологической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безопасности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в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лабораторных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условиях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[текст] //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Изд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-е 3-е,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рус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. – ВОЗ. – 2004. – 190 с. </w:t>
      </w:r>
    </w:p>
    <w:p w14:paraId="651F5636" w14:textId="77777777" w:rsidR="00CF5202" w:rsidRPr="00CF5202" w:rsidRDefault="00CF5202" w:rsidP="00CF520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CF5202">
        <w:rPr>
          <w:rFonts w:ascii="Times New Roman" w:eastAsia="Times New Roman" w:hAnsi="Times New Roman" w:cs="Times New Roman"/>
          <w:bCs/>
          <w:lang w:val="uk-UA" w:eastAsia="ru-RU"/>
        </w:rPr>
        <w:t>2.</w:t>
      </w:r>
      <w:r w:rsidRPr="00CF5202">
        <w:rPr>
          <w:rFonts w:ascii="Times New Roman" w:eastAsia="Times New Roman" w:hAnsi="Times New Roman" w:cs="Times New Roman"/>
          <w:bCs/>
          <w:lang w:val="uk-UA" w:eastAsia="ru-RU"/>
        </w:rPr>
        <w:tab/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International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Classification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of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Diseases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[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text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] // 3rd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Edition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(ICD-O-3). – WHO. – 2000. – 67 p. </w:t>
      </w:r>
    </w:p>
    <w:p w14:paraId="7E3B4DB9" w14:textId="299D52D7" w:rsidR="00CF5202" w:rsidRPr="00CF5202" w:rsidRDefault="00CF5202" w:rsidP="00CF5202">
      <w:p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CF5202">
        <w:rPr>
          <w:rFonts w:ascii="Times New Roman" w:eastAsia="Times New Roman" w:hAnsi="Times New Roman" w:cs="Times New Roman"/>
          <w:bCs/>
          <w:lang w:val="uk-UA" w:eastAsia="ru-RU"/>
        </w:rPr>
        <w:lastRenderedPageBreak/>
        <w:t>3.</w:t>
      </w:r>
      <w:r w:rsidRPr="00CF5202">
        <w:rPr>
          <w:rFonts w:ascii="Times New Roman" w:eastAsia="Times New Roman" w:hAnsi="Times New Roman" w:cs="Times New Roman"/>
          <w:bCs/>
          <w:lang w:val="uk-UA" w:eastAsia="ru-RU"/>
        </w:rPr>
        <w:tab/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Global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Biosafety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and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Biosecurity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: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Taking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Action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[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text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] //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Math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. IFBA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building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meeting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Bangkok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lang w:val="uk-UA" w:eastAsia="ru-RU"/>
        </w:rPr>
        <w:t xml:space="preserve"> 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Thailand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, 15-17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February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2011. –117 p. </w:t>
      </w:r>
    </w:p>
    <w:p w14:paraId="4421B8EE" w14:textId="67E7FA6C" w:rsidR="00CF5202" w:rsidRDefault="00CF5202" w:rsidP="00CF520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CF5202">
        <w:rPr>
          <w:rFonts w:ascii="Times New Roman" w:eastAsia="Times New Roman" w:hAnsi="Times New Roman" w:cs="Times New Roman"/>
          <w:bCs/>
          <w:lang w:val="uk-UA" w:eastAsia="ru-RU"/>
        </w:rPr>
        <w:t>4.</w:t>
      </w:r>
      <w:r>
        <w:rPr>
          <w:rFonts w:ascii="Times New Roman" w:eastAsia="Times New Roman" w:hAnsi="Times New Roman" w:cs="Times New Roman"/>
          <w:bCs/>
          <w:lang w:val="uk-UA" w:eastAsia="ru-RU"/>
        </w:rPr>
        <w:t xml:space="preserve"> 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Sciences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and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Diseases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Surveillance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Review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[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text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] // CBEP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Meeting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Proc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.,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Garmisch-Partenkinchen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,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Germany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, 14-17 </w:t>
      </w:r>
      <w:proofErr w:type="spellStart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>March</w:t>
      </w:r>
      <w:proofErr w:type="spellEnd"/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 2011. – 108 p.</w:t>
      </w:r>
    </w:p>
    <w:p w14:paraId="1BC8F81D" w14:textId="77777777" w:rsidR="00CF5202" w:rsidRPr="00CF5202" w:rsidRDefault="00CF5202" w:rsidP="00CF520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5CC04CB7" w14:textId="77777777" w:rsidR="00CF5202" w:rsidRPr="00CF5202" w:rsidRDefault="00CF5202" w:rsidP="00CF5202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bookmarkStart w:id="7" w:name="_Hlk75522148"/>
      <w:bookmarkStart w:id="8" w:name="_Hlk89344215"/>
      <w:bookmarkEnd w:id="7"/>
      <w:r w:rsidRPr="00CF5202">
        <w:rPr>
          <w:rFonts w:ascii="Times New Roman" w:eastAsia="Times New Roman" w:hAnsi="Times New Roman" w:cs="Times New Roman"/>
          <w:b/>
          <w:bCs/>
          <w:lang w:val="uk-UA" w:eastAsia="ru-RU"/>
        </w:rPr>
        <w:t>Електронні ресурси</w:t>
      </w:r>
    </w:p>
    <w:bookmarkEnd w:id="8"/>
    <w:p w14:paraId="584BE28B" w14:textId="025A02D3" w:rsidR="00CF5202" w:rsidRPr="00CF5202" w:rsidRDefault="00CF5202" w:rsidP="00CF5202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1. Література бібліотеки </w:t>
      </w:r>
      <w:r>
        <w:rPr>
          <w:rFonts w:ascii="Times New Roman" w:eastAsia="Times New Roman" w:hAnsi="Times New Roman" w:cs="Times New Roman"/>
          <w:bCs/>
          <w:lang w:val="uk-UA" w:eastAsia="ru-RU"/>
        </w:rPr>
        <w:t>СН</w:t>
      </w:r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bCs/>
          <w:lang w:val="uk-UA" w:eastAsia="ru-RU"/>
        </w:rPr>
        <w:t xml:space="preserve">ім. В. Даля </w:t>
      </w:r>
      <w:r w:rsidRPr="00CF5202">
        <w:rPr>
          <w:rFonts w:ascii="Times New Roman" w:eastAsia="Times New Roman" w:hAnsi="Times New Roman" w:cs="Times New Roman"/>
          <w:bCs/>
          <w:lang w:val="uk-UA" w:eastAsia="ru-RU"/>
        </w:rPr>
        <w:t xml:space="preserve">та Електронного ресурсу навчально-методичного забезпечення </w:t>
      </w:r>
      <w:r>
        <w:rPr>
          <w:rFonts w:ascii="Times New Roman" w:eastAsia="Times New Roman" w:hAnsi="Times New Roman" w:cs="Times New Roman"/>
          <w:bCs/>
          <w:lang w:val="uk-UA" w:eastAsia="ru-RU"/>
        </w:rPr>
        <w:t>С</w:t>
      </w:r>
      <w:r w:rsidRPr="00CF5202">
        <w:rPr>
          <w:rFonts w:ascii="Times New Roman" w:eastAsia="Times New Roman" w:hAnsi="Times New Roman" w:cs="Times New Roman"/>
          <w:bCs/>
          <w:lang w:val="uk-UA" w:eastAsia="ru-RU"/>
        </w:rPr>
        <w:t>НУ.</w:t>
      </w:r>
    </w:p>
    <w:p w14:paraId="723ED512" w14:textId="77777777" w:rsidR="00CF5202" w:rsidRPr="00CF5202" w:rsidRDefault="00CF5202" w:rsidP="00CF5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  <w:r w:rsidRPr="00CF5202">
        <w:rPr>
          <w:rFonts w:ascii="Times New Roman" w:eastAsia="Times New Roman" w:hAnsi="Times New Roman" w:cs="Times New Roman"/>
          <w:bCs/>
          <w:lang w:val="uk-UA" w:eastAsia="ru-RU"/>
        </w:rPr>
        <w:t>2. Інтернет-ресурси.</w:t>
      </w:r>
    </w:p>
    <w:p w14:paraId="49A48E57" w14:textId="77777777" w:rsidR="004248C2" w:rsidRPr="002E3F5E" w:rsidRDefault="004248C2" w:rsidP="00CF520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0AA8AE74" w14:textId="77777777" w:rsidR="004248C2" w:rsidRPr="002E3F5E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6BA4A265" w14:textId="77777777" w:rsidR="00CB35DE" w:rsidRDefault="00CB35DE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CB35DE">
        <w:rPr>
          <w:rFonts w:ascii="Times New Roman" w:eastAsia="Times New Roman" w:hAnsi="Times New Roman" w:cs="Times New Roman"/>
          <w:b/>
          <w:bCs/>
          <w:lang w:val="uk-UA" w:eastAsia="ru-RU"/>
        </w:rPr>
        <w:t>Шкала оцінювання студентів:</w:t>
      </w:r>
    </w:p>
    <w:p w14:paraId="6B11CB56" w14:textId="77777777" w:rsidR="00E72DE5" w:rsidRDefault="00E72DE5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1357"/>
        <w:gridCol w:w="3168"/>
        <w:gridCol w:w="2835"/>
      </w:tblGrid>
      <w:tr w:rsidR="00E72DE5" w:rsidRPr="00E72DE5" w14:paraId="129A429B" w14:textId="77777777" w:rsidTr="00484B4E">
        <w:trPr>
          <w:trHeight w:val="450"/>
        </w:trPr>
        <w:tc>
          <w:tcPr>
            <w:tcW w:w="2279" w:type="dxa"/>
            <w:vMerge w:val="restart"/>
            <w:vAlign w:val="center"/>
          </w:tcPr>
          <w:p w14:paraId="487CBF9B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vAlign w:val="center"/>
          </w:tcPr>
          <w:p w14:paraId="74CF6623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Оцінка ECTS</w:t>
            </w:r>
          </w:p>
        </w:tc>
        <w:tc>
          <w:tcPr>
            <w:tcW w:w="6003" w:type="dxa"/>
            <w:gridSpan w:val="2"/>
            <w:vAlign w:val="center"/>
          </w:tcPr>
          <w:p w14:paraId="538E3BD5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Оцінка за національною шкалою</w:t>
            </w:r>
          </w:p>
        </w:tc>
      </w:tr>
      <w:tr w:rsidR="00E72DE5" w:rsidRPr="00E72DE5" w14:paraId="57399AE2" w14:textId="77777777" w:rsidTr="00484B4E">
        <w:trPr>
          <w:trHeight w:val="450"/>
        </w:trPr>
        <w:tc>
          <w:tcPr>
            <w:tcW w:w="2279" w:type="dxa"/>
            <w:vMerge/>
            <w:vAlign w:val="center"/>
          </w:tcPr>
          <w:p w14:paraId="42FA012F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  <w:tc>
          <w:tcPr>
            <w:tcW w:w="1357" w:type="dxa"/>
            <w:vMerge/>
            <w:vAlign w:val="center"/>
          </w:tcPr>
          <w:p w14:paraId="0C0C4FDA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  <w:tc>
          <w:tcPr>
            <w:tcW w:w="3168" w:type="dxa"/>
            <w:vAlign w:val="center"/>
          </w:tcPr>
          <w:p w14:paraId="4F6027A0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Екзаменаційна оцінка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6DCFF44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Залік</w:t>
            </w:r>
          </w:p>
        </w:tc>
      </w:tr>
      <w:tr w:rsidR="00E72DE5" w:rsidRPr="00E72DE5" w14:paraId="3106F0BD" w14:textId="77777777" w:rsidTr="00484B4E">
        <w:tc>
          <w:tcPr>
            <w:tcW w:w="2279" w:type="dxa"/>
          </w:tcPr>
          <w:p w14:paraId="57F7BF5E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90-100</w:t>
            </w:r>
          </w:p>
        </w:tc>
        <w:tc>
          <w:tcPr>
            <w:tcW w:w="1357" w:type="dxa"/>
            <w:vAlign w:val="center"/>
          </w:tcPr>
          <w:p w14:paraId="56756F3C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А</w:t>
            </w:r>
          </w:p>
        </w:tc>
        <w:tc>
          <w:tcPr>
            <w:tcW w:w="3168" w:type="dxa"/>
          </w:tcPr>
          <w:p w14:paraId="723934D3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відмінно</w:t>
            </w:r>
          </w:p>
        </w:tc>
        <w:tc>
          <w:tcPr>
            <w:tcW w:w="2835" w:type="dxa"/>
            <w:vMerge w:val="restart"/>
          </w:tcPr>
          <w:p w14:paraId="17AC6F4D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  <w:p w14:paraId="4D369F22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  <w:p w14:paraId="4383C41A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зараховано</w:t>
            </w:r>
          </w:p>
        </w:tc>
      </w:tr>
      <w:tr w:rsidR="00E72DE5" w:rsidRPr="00E72DE5" w14:paraId="10C452A9" w14:textId="77777777" w:rsidTr="00484B4E">
        <w:trPr>
          <w:trHeight w:val="194"/>
        </w:trPr>
        <w:tc>
          <w:tcPr>
            <w:tcW w:w="2279" w:type="dxa"/>
          </w:tcPr>
          <w:p w14:paraId="724E4D96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82-89</w:t>
            </w:r>
          </w:p>
        </w:tc>
        <w:tc>
          <w:tcPr>
            <w:tcW w:w="1357" w:type="dxa"/>
            <w:vAlign w:val="center"/>
          </w:tcPr>
          <w:p w14:paraId="410365E8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В</w:t>
            </w:r>
          </w:p>
        </w:tc>
        <w:tc>
          <w:tcPr>
            <w:tcW w:w="3168" w:type="dxa"/>
            <w:vMerge w:val="restart"/>
            <w:vAlign w:val="center"/>
          </w:tcPr>
          <w:p w14:paraId="3A695D35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добре</w:t>
            </w:r>
          </w:p>
        </w:tc>
        <w:tc>
          <w:tcPr>
            <w:tcW w:w="2835" w:type="dxa"/>
            <w:vMerge/>
          </w:tcPr>
          <w:p w14:paraId="7729919E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</w:tr>
      <w:tr w:rsidR="00E72DE5" w:rsidRPr="00E72DE5" w14:paraId="50A210DC" w14:textId="77777777" w:rsidTr="00484B4E">
        <w:tc>
          <w:tcPr>
            <w:tcW w:w="2279" w:type="dxa"/>
          </w:tcPr>
          <w:p w14:paraId="56A3E566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74-81</w:t>
            </w:r>
          </w:p>
        </w:tc>
        <w:tc>
          <w:tcPr>
            <w:tcW w:w="1357" w:type="dxa"/>
            <w:vAlign w:val="center"/>
          </w:tcPr>
          <w:p w14:paraId="68A4693F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С</w:t>
            </w:r>
          </w:p>
        </w:tc>
        <w:tc>
          <w:tcPr>
            <w:tcW w:w="3168" w:type="dxa"/>
            <w:vMerge/>
            <w:vAlign w:val="center"/>
          </w:tcPr>
          <w:p w14:paraId="06668502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  <w:tc>
          <w:tcPr>
            <w:tcW w:w="2835" w:type="dxa"/>
            <w:vMerge/>
          </w:tcPr>
          <w:p w14:paraId="26095F84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</w:tr>
      <w:tr w:rsidR="00E72DE5" w:rsidRPr="00E72DE5" w14:paraId="577BFDB7" w14:textId="77777777" w:rsidTr="00484B4E">
        <w:tc>
          <w:tcPr>
            <w:tcW w:w="2279" w:type="dxa"/>
          </w:tcPr>
          <w:p w14:paraId="746DB3D1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64-73</w:t>
            </w:r>
          </w:p>
        </w:tc>
        <w:tc>
          <w:tcPr>
            <w:tcW w:w="1357" w:type="dxa"/>
            <w:vAlign w:val="center"/>
          </w:tcPr>
          <w:p w14:paraId="2F984858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D</w:t>
            </w:r>
          </w:p>
        </w:tc>
        <w:tc>
          <w:tcPr>
            <w:tcW w:w="3168" w:type="dxa"/>
            <w:vMerge w:val="restart"/>
            <w:vAlign w:val="center"/>
          </w:tcPr>
          <w:p w14:paraId="001C35B5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задовільно</w:t>
            </w:r>
          </w:p>
        </w:tc>
        <w:tc>
          <w:tcPr>
            <w:tcW w:w="2835" w:type="dxa"/>
            <w:vMerge/>
          </w:tcPr>
          <w:p w14:paraId="55451D25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</w:tr>
      <w:tr w:rsidR="00E72DE5" w:rsidRPr="00E72DE5" w14:paraId="55F58B0D" w14:textId="77777777" w:rsidTr="00484B4E">
        <w:tc>
          <w:tcPr>
            <w:tcW w:w="2279" w:type="dxa"/>
          </w:tcPr>
          <w:p w14:paraId="4AC14593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60-63</w:t>
            </w:r>
          </w:p>
        </w:tc>
        <w:tc>
          <w:tcPr>
            <w:tcW w:w="1357" w:type="dxa"/>
            <w:vAlign w:val="center"/>
          </w:tcPr>
          <w:p w14:paraId="7396E80C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 xml:space="preserve">Е </w:t>
            </w:r>
          </w:p>
        </w:tc>
        <w:tc>
          <w:tcPr>
            <w:tcW w:w="3168" w:type="dxa"/>
            <w:vMerge/>
          </w:tcPr>
          <w:p w14:paraId="7F5117C8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  <w:tc>
          <w:tcPr>
            <w:tcW w:w="2835" w:type="dxa"/>
            <w:vMerge/>
          </w:tcPr>
          <w:p w14:paraId="650A4492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</w:p>
        </w:tc>
      </w:tr>
      <w:tr w:rsidR="00E72DE5" w:rsidRPr="00E72DE5" w14:paraId="2840E64C" w14:textId="77777777" w:rsidTr="00484B4E">
        <w:tc>
          <w:tcPr>
            <w:tcW w:w="2279" w:type="dxa"/>
          </w:tcPr>
          <w:p w14:paraId="47E44EC9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35-59</w:t>
            </w:r>
          </w:p>
        </w:tc>
        <w:tc>
          <w:tcPr>
            <w:tcW w:w="1357" w:type="dxa"/>
          </w:tcPr>
          <w:p w14:paraId="1CAF3F6D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FX</w:t>
            </w:r>
          </w:p>
        </w:tc>
        <w:tc>
          <w:tcPr>
            <w:tcW w:w="3168" w:type="dxa"/>
          </w:tcPr>
          <w:p w14:paraId="0A20FA3D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незадовільно з можливістю повторного складання</w:t>
            </w:r>
          </w:p>
        </w:tc>
        <w:tc>
          <w:tcPr>
            <w:tcW w:w="2835" w:type="dxa"/>
          </w:tcPr>
          <w:p w14:paraId="2E2CAE22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відповів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ніж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50%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тестів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. Не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знає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матеріалу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поточної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теми, не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може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побудувати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логіч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-</w:t>
            </w:r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ну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відповідь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Під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час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відпо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-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віді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демонстрації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прак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-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тичних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навичок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робить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значні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грубі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proofErr w:type="gram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помилки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Творче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завдання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вико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-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нав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03211C22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не зараховано з можливістю повторного складання</w:t>
            </w:r>
          </w:p>
        </w:tc>
      </w:tr>
      <w:tr w:rsidR="00E72DE5" w:rsidRPr="00E72DE5" w14:paraId="06961E17" w14:textId="77777777" w:rsidTr="00484B4E">
        <w:tc>
          <w:tcPr>
            <w:tcW w:w="2279" w:type="dxa"/>
          </w:tcPr>
          <w:p w14:paraId="5CCFAFF3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1-34</w:t>
            </w:r>
          </w:p>
        </w:tc>
        <w:tc>
          <w:tcPr>
            <w:tcW w:w="1357" w:type="dxa"/>
          </w:tcPr>
          <w:p w14:paraId="269DF2EB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F</w:t>
            </w:r>
          </w:p>
        </w:tc>
        <w:tc>
          <w:tcPr>
            <w:tcW w:w="3168" w:type="dxa"/>
          </w:tcPr>
          <w:p w14:paraId="147CDB98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незадовільно з обов’язковим повторним вивченням дисципліни</w:t>
            </w:r>
          </w:p>
        </w:tc>
        <w:tc>
          <w:tcPr>
            <w:tcW w:w="2835" w:type="dxa"/>
          </w:tcPr>
          <w:p w14:paraId="15010EDE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Студент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відповів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менше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ніж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50%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тестів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. Не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відповідає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додаткові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запитання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, не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розуміє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матеріалу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Творче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завдання</w:t>
            </w:r>
            <w:proofErr w:type="spellEnd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 xml:space="preserve"> не </w:t>
            </w:r>
            <w:proofErr w:type="spellStart"/>
            <w:r w:rsidRPr="00E72DE5">
              <w:rPr>
                <w:rFonts w:ascii="Times New Roman" w:eastAsia="Times New Roman" w:hAnsi="Times New Roman" w:cs="Times New Roman"/>
                <w:lang w:eastAsia="ru-RU"/>
              </w:rPr>
              <w:t>виконав</w:t>
            </w:r>
            <w:proofErr w:type="spellEnd"/>
          </w:p>
          <w:p w14:paraId="64A41A69" w14:textId="77777777" w:rsidR="00E72DE5" w:rsidRPr="00E72DE5" w:rsidRDefault="00E72DE5" w:rsidP="00E72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uk-UA" w:eastAsia="ru-RU" w:bidi="uk-UA"/>
              </w:rPr>
            </w:pPr>
            <w:r w:rsidRPr="00E72DE5">
              <w:rPr>
                <w:rFonts w:ascii="Times New Roman" w:eastAsia="Times New Roman" w:hAnsi="Times New Roman" w:cs="Times New Roman"/>
                <w:lang w:val="uk-UA" w:eastAsia="ru-RU" w:bidi="uk-UA"/>
              </w:rPr>
              <w:t>Не зараховано з обов’язковим повторним вивченням дисципліни</w:t>
            </w:r>
          </w:p>
        </w:tc>
      </w:tr>
    </w:tbl>
    <w:p w14:paraId="7481BBFC" w14:textId="77777777" w:rsidR="00E72DE5" w:rsidRDefault="00E72DE5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69FE61D2" w14:textId="77777777" w:rsidR="00E72DE5" w:rsidRPr="006147EF" w:rsidRDefault="00E72DE5" w:rsidP="00E72DE5">
      <w:pPr>
        <w:jc w:val="center"/>
      </w:pPr>
      <w:r w:rsidRPr="00BB34F0">
        <w:rPr>
          <w:rFonts w:ascii="Times New Roman" w:hAnsi="Times New Roman" w:cs="Times New Roman"/>
          <w:b/>
          <w:lang w:val="uk-UA"/>
        </w:rPr>
        <w:t>Рекомендована література</w:t>
      </w:r>
    </w:p>
    <w:p w14:paraId="4FD16CB8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Ветеринарна мікробіологія /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Скибіцький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В.Г., Власенко В.В., Козловська Г.В.,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Ібатулліна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Ф.Ж.,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Ташута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С.Г., Мельник М.В. / К.: ТОВ «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Дорадо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>-Друк», 2012. – 367 с.</w:t>
      </w:r>
    </w:p>
    <w:p w14:paraId="3044A084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Красочко, П.А.,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Якубовский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, М.П., Красочко, И.А.,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Лысенко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, А.П.,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Еремец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, В.И. &amp; Прудников, В.С. (2008).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Иммунокоррекция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клинической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ветеринарной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медицине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Минск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Техноперспектива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>.</w:t>
      </w:r>
    </w:p>
    <w:p w14:paraId="53CEC157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Калініна О.С. Ветеринарна вірусологія: Підручник. / О.С. Калініна, І.І.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Панікар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, В.Г.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Скибіцький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>. — К.: Вища освіта, 2004. — 432 с.</w:t>
      </w:r>
    </w:p>
    <w:p w14:paraId="3DDC1B32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Яблонська О. В. Ветеринарна мікробіологія: навчальний посібник / О. В. Яблонська, Т. В. Мазур, Ф. Ж.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Ібатулліна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— К.: ТОВ «НВП «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Інтерсервіс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>», 2017.—432 с.</w:t>
      </w:r>
    </w:p>
    <w:p w14:paraId="400C18EB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72DE5">
        <w:rPr>
          <w:rFonts w:ascii="Times New Roman" w:eastAsia="Times New Roman" w:hAnsi="Times New Roman" w:cs="Times New Roman"/>
          <w:lang w:val="uk-UA" w:eastAsia="ru-RU"/>
        </w:rPr>
        <w:lastRenderedPageBreak/>
        <w:t xml:space="preserve">Методологія і методи наукових досліджень у тваринництві та ветеринарній медицині: Навчальний посібник. Друге видання / Укладачі: професор В.А.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Яблонський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>, професор О.В. Яблонська.—Київ: 2014.— 512 с.</w:t>
      </w:r>
    </w:p>
    <w:p w14:paraId="2B24BB5A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Ски6іцький В.Г. Практикум з ветеринарної вірусології. / Ски6іцький В.Г.,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Панікар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І.І., Ткаченко О.А та ін. — К.: Вища освіта, 2005.</w:t>
      </w:r>
    </w:p>
    <w:p w14:paraId="3B342637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Ташута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С.Г. Курс лекцій з ветеринарної вірусології: Навчальний посібник. / С.Г.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Ташута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>. — К.: «ФОП Нагорна І.Л.», 2010. — 401 с.</w:t>
      </w:r>
    </w:p>
    <w:p w14:paraId="5AAAE080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Влізло В. В. Лабораторні методи досліджень у біології, тваринництві та ветеринарній медицині : довідник / В. В. Влізло, Р. С. Федорук, І. Б.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Ратич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та ін.; за ред. В. В. Влізла. — Львів : СПОЛОМ, 2012. — 764 с.</w:t>
      </w:r>
    </w:p>
    <w:p w14:paraId="68736424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Головко, А.Н.,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Ушкалов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, В.А.,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Скрыпник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, В.Г. &amp;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Стегний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, Б.Т. и </w:t>
      </w:r>
      <w:proofErr w:type="spellStart"/>
      <w:r w:rsidRPr="00E72DE5">
        <w:rPr>
          <w:rFonts w:ascii="Times New Roman" w:eastAsia="Times New Roman" w:hAnsi="Times New Roman" w:cs="Times New Roman"/>
          <w:lang w:val="uk-UA" w:eastAsia="ru-RU"/>
        </w:rPr>
        <w:t>др</w:t>
      </w:r>
      <w:proofErr w:type="spellEnd"/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. (Ред.). (2007). </w:t>
      </w:r>
      <w:proofErr w:type="spellStart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Микробиологические</w:t>
      </w:r>
      <w:proofErr w:type="spellEnd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 xml:space="preserve"> и </w:t>
      </w:r>
      <w:proofErr w:type="spellStart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вирусологические</w:t>
      </w:r>
      <w:proofErr w:type="spellEnd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proofErr w:type="spellStart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методы</w:t>
      </w:r>
      <w:proofErr w:type="spellEnd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proofErr w:type="spellStart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исследования</w:t>
      </w:r>
      <w:proofErr w:type="spellEnd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 xml:space="preserve"> в </w:t>
      </w:r>
      <w:proofErr w:type="spellStart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ветеринарной</w:t>
      </w:r>
      <w:proofErr w:type="spellEnd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proofErr w:type="spellStart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медицине</w:t>
      </w:r>
      <w:proofErr w:type="spellEnd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 xml:space="preserve">: </w:t>
      </w:r>
      <w:proofErr w:type="spellStart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справочное</w:t>
      </w:r>
      <w:proofErr w:type="spellEnd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 xml:space="preserve"> </w:t>
      </w:r>
      <w:proofErr w:type="spellStart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пособие</w:t>
      </w:r>
      <w:proofErr w:type="spellEnd"/>
      <w:r w:rsidRPr="00E72DE5">
        <w:rPr>
          <w:rFonts w:ascii="Times New Roman" w:eastAsia="Times New Roman" w:hAnsi="Times New Roman" w:cs="Times New Roman"/>
          <w:iCs/>
          <w:lang w:val="uk-UA" w:eastAsia="ru-RU"/>
        </w:rPr>
        <w:t>. Х.: «НТМТ».</w:t>
      </w:r>
      <w:r w:rsidRPr="00E72DE5">
        <w:rPr>
          <w:rFonts w:ascii="Times New Roman" w:eastAsia="Times New Roman" w:hAnsi="Times New Roman" w:cs="Times New Roman"/>
          <w:iCs/>
          <w:lang w:val="en-US" w:eastAsia="ru-RU"/>
        </w:rPr>
        <w:t xml:space="preserve"> 512 C.</w:t>
      </w:r>
    </w:p>
    <w:p w14:paraId="2DD5AA85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E72DE5">
        <w:rPr>
          <w:rFonts w:ascii="Times New Roman" w:eastAsia="Times New Roman" w:hAnsi="Times New Roman" w:cs="Times New Roman"/>
          <w:lang w:val="en-US" w:eastAsia="ru-RU"/>
        </w:rPr>
        <w:t>Sachse, K. PCR detection of microbial pathogens: methods and protocols.</w:t>
      </w: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E72DE5">
        <w:rPr>
          <w:rFonts w:ascii="Times New Roman" w:eastAsia="Times New Roman" w:hAnsi="Times New Roman" w:cs="Times New Roman"/>
          <w:lang w:val="en-US" w:eastAsia="ru-RU"/>
        </w:rPr>
        <w:t xml:space="preserve">Methods in Molecular. </w:t>
      </w:r>
      <w:hyperlink r:id="rId6">
        <w:proofErr w:type="spellStart"/>
        <w:r w:rsidRPr="00E72DE5">
          <w:rPr>
            <w:rStyle w:val="a4"/>
            <w:rFonts w:ascii="Times New Roman" w:eastAsia="Times New Roman" w:hAnsi="Times New Roman" w:cs="Times New Roman"/>
            <w:lang w:val="en-US" w:eastAsia="ru-RU"/>
          </w:rPr>
          <w:t>Kaderali</w:t>
        </w:r>
        <w:proofErr w:type="spellEnd"/>
        <w:r w:rsidRPr="00E72DE5">
          <w:rPr>
            <w:rStyle w:val="a4"/>
            <w:rFonts w:ascii="Times New Roman" w:eastAsia="Times New Roman" w:hAnsi="Times New Roman" w:cs="Times New Roman"/>
            <w:lang w:val="en-US" w:eastAsia="ru-RU"/>
          </w:rPr>
          <w:t>, L</w:t>
        </w:r>
      </w:hyperlink>
      <w:r w:rsidRPr="00E72DE5">
        <w:rPr>
          <w:rFonts w:ascii="Times New Roman" w:eastAsia="Times New Roman" w:hAnsi="Times New Roman" w:cs="Times New Roman"/>
          <w:lang w:val="en-US" w:eastAsia="ru-RU"/>
        </w:rPr>
        <w:t xml:space="preserve">. Primer design for multiplexed genotyping /L. </w:t>
      </w:r>
      <w:hyperlink r:id="rId7">
        <w:proofErr w:type="spellStart"/>
        <w:r w:rsidRPr="00E72DE5">
          <w:rPr>
            <w:rStyle w:val="a4"/>
            <w:rFonts w:ascii="Times New Roman" w:eastAsia="Times New Roman" w:hAnsi="Times New Roman" w:cs="Times New Roman"/>
            <w:lang w:val="ru-RU" w:eastAsia="ru-RU"/>
          </w:rPr>
          <w:t>Kaderali</w:t>
        </w:r>
        <w:proofErr w:type="spellEnd"/>
        <w:r w:rsidRPr="00E72DE5">
          <w:rPr>
            <w:rStyle w:val="a4"/>
            <w:rFonts w:ascii="Times New Roman" w:eastAsia="Times New Roman" w:hAnsi="Times New Roman" w:cs="Times New Roman"/>
            <w:lang w:val="ru-RU" w:eastAsia="ru-RU"/>
          </w:rPr>
          <w:t xml:space="preserve"> // </w:t>
        </w:r>
      </w:hyperlink>
      <w:hyperlink r:id="rId8">
        <w:proofErr w:type="spellStart"/>
        <w:r w:rsidRPr="00E72DE5">
          <w:rPr>
            <w:rStyle w:val="a4"/>
            <w:rFonts w:ascii="Times New Roman" w:eastAsia="Times New Roman" w:hAnsi="Times New Roman" w:cs="Times New Roman"/>
            <w:lang w:val="ru-RU" w:eastAsia="ru-RU"/>
          </w:rPr>
          <w:t>Methods</w:t>
        </w:r>
        <w:proofErr w:type="spellEnd"/>
        <w:r w:rsidRPr="00E72DE5">
          <w:rPr>
            <w:rStyle w:val="a4"/>
            <w:rFonts w:ascii="Times New Roman" w:eastAsia="Times New Roman" w:hAnsi="Times New Roman" w:cs="Times New Roman"/>
            <w:lang w:val="ru-RU" w:eastAsia="ru-RU"/>
          </w:rPr>
          <w:t xml:space="preserve"> </w:t>
        </w:r>
        <w:proofErr w:type="spellStart"/>
        <w:r w:rsidRPr="00E72DE5">
          <w:rPr>
            <w:rStyle w:val="a4"/>
            <w:rFonts w:ascii="Times New Roman" w:eastAsia="Times New Roman" w:hAnsi="Times New Roman" w:cs="Times New Roman"/>
            <w:lang w:val="ru-RU" w:eastAsia="ru-RU"/>
          </w:rPr>
          <w:t>Mol</w:t>
        </w:r>
        <w:proofErr w:type="spellEnd"/>
        <w:r w:rsidRPr="00E72DE5">
          <w:rPr>
            <w:rStyle w:val="a4"/>
            <w:rFonts w:ascii="Times New Roman" w:eastAsia="Times New Roman" w:hAnsi="Times New Roman" w:cs="Times New Roman"/>
            <w:lang w:val="ru-RU" w:eastAsia="ru-RU"/>
          </w:rPr>
          <w:t xml:space="preserve">. </w:t>
        </w:r>
        <w:proofErr w:type="spellStart"/>
        <w:r w:rsidRPr="00E72DE5">
          <w:rPr>
            <w:rStyle w:val="a4"/>
            <w:rFonts w:ascii="Times New Roman" w:eastAsia="Times New Roman" w:hAnsi="Times New Roman" w:cs="Times New Roman"/>
            <w:lang w:val="ru-RU" w:eastAsia="ru-RU"/>
          </w:rPr>
          <w:t>Biol</w:t>
        </w:r>
        <w:proofErr w:type="spellEnd"/>
        <w:r w:rsidRPr="00E72DE5">
          <w:rPr>
            <w:rStyle w:val="a4"/>
            <w:rFonts w:ascii="Times New Roman" w:eastAsia="Times New Roman" w:hAnsi="Times New Roman" w:cs="Times New Roman"/>
            <w:lang w:val="ru-RU" w:eastAsia="ru-RU"/>
          </w:rPr>
          <w:t xml:space="preserve">. </w:t>
        </w:r>
      </w:hyperlink>
      <w:r w:rsidRPr="00E72DE5">
        <w:rPr>
          <w:rFonts w:ascii="Times New Roman" w:eastAsia="Times New Roman" w:hAnsi="Times New Roman" w:cs="Times New Roman"/>
          <w:lang w:val="ru-RU" w:eastAsia="ru-RU"/>
        </w:rPr>
        <w:t xml:space="preserve">– 2007. – </w:t>
      </w:r>
      <w:proofErr w:type="spellStart"/>
      <w:r w:rsidRPr="00E72DE5">
        <w:rPr>
          <w:rFonts w:ascii="Times New Roman" w:eastAsia="Times New Roman" w:hAnsi="Times New Roman" w:cs="Times New Roman"/>
          <w:lang w:val="ru-RU" w:eastAsia="ru-RU"/>
        </w:rPr>
        <w:t>Vol</w:t>
      </w:r>
      <w:proofErr w:type="spellEnd"/>
      <w:r w:rsidRPr="00E72DE5">
        <w:rPr>
          <w:rFonts w:ascii="Times New Roman" w:eastAsia="Times New Roman" w:hAnsi="Times New Roman" w:cs="Times New Roman"/>
          <w:lang w:val="ru-RU" w:eastAsia="ru-RU"/>
        </w:rPr>
        <w:t>. 402. – P. 269–286.</w:t>
      </w:r>
    </w:p>
    <w:p w14:paraId="78FB8A4D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72DE5">
        <w:rPr>
          <w:rFonts w:ascii="Times New Roman" w:eastAsia="Times New Roman" w:hAnsi="Times New Roman" w:cs="Times New Roman"/>
          <w:lang w:val="en-US" w:eastAsia="ru-RU"/>
        </w:rPr>
        <w:t xml:space="preserve">Multiplex PCR: optimization and application in diagnostic virology / E.M. </w:t>
      </w:r>
      <w:hyperlink r:id="rId9">
        <w:proofErr w:type="spellStart"/>
        <w:r w:rsidRPr="00E72DE5">
          <w:rPr>
            <w:rStyle w:val="a4"/>
            <w:rFonts w:ascii="Times New Roman" w:eastAsia="Times New Roman" w:hAnsi="Times New Roman" w:cs="Times New Roman"/>
            <w:lang w:val="en-US" w:eastAsia="ru-RU"/>
          </w:rPr>
          <w:t>Elnifro</w:t>
        </w:r>
        <w:proofErr w:type="spellEnd"/>
        <w:r w:rsidRPr="00E72DE5">
          <w:rPr>
            <w:rStyle w:val="a4"/>
            <w:rFonts w:ascii="Times New Roman" w:eastAsia="Times New Roman" w:hAnsi="Times New Roman" w:cs="Times New Roman"/>
            <w:lang w:val="en-US" w:eastAsia="ru-RU"/>
          </w:rPr>
          <w:t xml:space="preserve"> [et al.] </w:t>
        </w:r>
      </w:hyperlink>
      <w:r w:rsidRPr="00E72DE5">
        <w:rPr>
          <w:rFonts w:ascii="Times New Roman" w:eastAsia="Times New Roman" w:hAnsi="Times New Roman" w:cs="Times New Roman"/>
          <w:lang w:val="en-US" w:eastAsia="ru-RU"/>
        </w:rPr>
        <w:t xml:space="preserve">// Clin. </w:t>
      </w:r>
      <w:proofErr w:type="spellStart"/>
      <w:r w:rsidRPr="00E72DE5">
        <w:rPr>
          <w:rFonts w:ascii="Times New Roman" w:eastAsia="Times New Roman" w:hAnsi="Times New Roman" w:cs="Times New Roman"/>
          <w:lang w:val="en-US" w:eastAsia="ru-RU"/>
        </w:rPr>
        <w:t>Microbiol</w:t>
      </w:r>
      <w:proofErr w:type="spellEnd"/>
      <w:r w:rsidRPr="00E72DE5">
        <w:rPr>
          <w:rFonts w:ascii="Times New Roman" w:eastAsia="Times New Roman" w:hAnsi="Times New Roman" w:cs="Times New Roman"/>
          <w:lang w:val="en-US" w:eastAsia="ru-RU"/>
        </w:rPr>
        <w:t>. Rev. – 2000. – Vol. 13, № 4. – P. 559–570.</w:t>
      </w:r>
    </w:p>
    <w:p w14:paraId="64F5B1F1" w14:textId="77777777" w:rsidR="00E72DE5" w:rsidRPr="00E72DE5" w:rsidRDefault="00E72DE5" w:rsidP="00E72DE5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E72DE5">
        <w:rPr>
          <w:rFonts w:ascii="Times New Roman" w:eastAsia="Times New Roman" w:hAnsi="Times New Roman" w:cs="Times New Roman"/>
          <w:lang w:val="en-US" w:eastAsia="ru-RU"/>
        </w:rPr>
        <w:t>Viljoen, G.J. Molecular Diagnostic PCR Handbook /G.J. Viljoen//</w:t>
      </w:r>
      <w:r w:rsidRPr="00E72DE5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E72DE5">
        <w:rPr>
          <w:rFonts w:ascii="Times New Roman" w:eastAsia="Times New Roman" w:hAnsi="Times New Roman" w:cs="Times New Roman"/>
          <w:lang w:val="en-US" w:eastAsia="ru-RU"/>
        </w:rPr>
        <w:t>Methods in Molecular Biology. – 2005. – Vol. 92 – P. 345.</w:t>
      </w:r>
    </w:p>
    <w:p w14:paraId="5BC88F47" w14:textId="06AEBB09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ru-RU" w:eastAsia="ru-RU"/>
        </w:rPr>
      </w:pPr>
      <w:r w:rsidRPr="00F316B8">
        <w:rPr>
          <w:rFonts w:ascii="Times New Roman" w:eastAsia="Times New Roman" w:hAnsi="Times New Roman" w:cs="Times New Roman"/>
          <w:lang w:val="ru-RU" w:eastAsia="ru-RU"/>
        </w:rPr>
        <w:t>1</w:t>
      </w:r>
      <w:r>
        <w:rPr>
          <w:rFonts w:ascii="Times New Roman" w:eastAsia="Times New Roman" w:hAnsi="Times New Roman" w:cs="Times New Roman"/>
          <w:lang w:val="ru-RU" w:eastAsia="ru-RU"/>
        </w:rPr>
        <w:t>3</w:t>
      </w:r>
      <w:r w:rsidRPr="00F316B8">
        <w:rPr>
          <w:rFonts w:ascii="Times New Roman" w:eastAsia="Times New Roman" w:hAnsi="Times New Roman" w:cs="Times New Roman"/>
          <w:lang w:val="ru-RU" w:eastAsia="ru-RU"/>
        </w:rPr>
        <w:t>.</w:t>
      </w:r>
      <w:r w:rsidRPr="00F316B8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Грип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птиці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(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епізоотологія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діагностика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профілактика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). (2010).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Під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редакцією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доктора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ветеринарних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наук,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професора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академіка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НААН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України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Стегнія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Б.Т.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Харків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>, 2010. 173 с.</w:t>
      </w:r>
    </w:p>
    <w:p w14:paraId="382D773A" w14:textId="2E80FD96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14</w:t>
      </w:r>
      <w:r w:rsidRPr="00F316B8">
        <w:rPr>
          <w:rFonts w:ascii="Times New Roman" w:eastAsia="Times New Roman" w:hAnsi="Times New Roman" w:cs="Times New Roman"/>
          <w:lang w:val="ru-RU" w:eastAsia="ru-RU"/>
        </w:rPr>
        <w:t>.</w:t>
      </w:r>
      <w:r w:rsidRPr="00F316B8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Емерджентні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інфекції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птиці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грип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Ньюкаслська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хвороба.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Епізоотологія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моніторинг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діагностика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профілактика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. (2012). За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редакцією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доктора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ветеринарних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  </w:t>
      </w:r>
      <w:proofErr w:type="gramStart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наук,   </w:t>
      </w:r>
      <w:proofErr w:type="spellStart"/>
      <w:proofErr w:type="gramEnd"/>
      <w:r w:rsidRPr="00F316B8">
        <w:rPr>
          <w:rFonts w:ascii="Times New Roman" w:eastAsia="Times New Roman" w:hAnsi="Times New Roman" w:cs="Times New Roman"/>
          <w:lang w:val="ru-RU" w:eastAsia="ru-RU"/>
        </w:rPr>
        <w:t>професора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,  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академіка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  НААН   і   РАСГН Б.Т.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Стегнія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.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Київ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Аграр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. наука, 2012. 304 с. 155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іл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>.</w:t>
      </w:r>
    </w:p>
    <w:p w14:paraId="4343BD25" w14:textId="6E9E7672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15</w:t>
      </w:r>
      <w:r w:rsidRPr="00F316B8">
        <w:rPr>
          <w:rFonts w:ascii="Times New Roman" w:eastAsia="Times New Roman" w:hAnsi="Times New Roman" w:cs="Times New Roman"/>
          <w:lang w:val="ru-RU" w:eastAsia="ru-RU"/>
        </w:rPr>
        <w:t>.</w:t>
      </w:r>
      <w:r w:rsidRPr="00F316B8">
        <w:rPr>
          <w:rFonts w:ascii="Times New Roman" w:eastAsia="Times New Roman" w:hAnsi="Times New Roman" w:cs="Times New Roman"/>
          <w:lang w:val="ru-RU" w:eastAsia="ru-RU"/>
        </w:rPr>
        <w:tab/>
        <w:t>Макаров В.В., Грубый В.А., Сухарев О.И. и др. (2012). Список МЭБ и трансграничные инфекции животных: учебное пособие. Владимир, ВНИИЗЖ, 2012. 162 с.</w:t>
      </w:r>
    </w:p>
    <w:p w14:paraId="18BBFC73" w14:textId="4123091F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16</w:t>
      </w:r>
      <w:r w:rsidRPr="00F316B8">
        <w:rPr>
          <w:rFonts w:ascii="Times New Roman" w:eastAsia="Times New Roman" w:hAnsi="Times New Roman" w:cs="Times New Roman"/>
          <w:lang w:val="ru-RU" w:eastAsia="ru-RU"/>
        </w:rPr>
        <w:t>.</w:t>
      </w:r>
      <w:r w:rsidRPr="00F316B8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Недосєков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В.В., Мельник В.В., Макаров В.В. (2015).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Транскордонні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хвороби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тварин з основами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стемпінг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-ауту: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навчальний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посібник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. Херсон: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Грінь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Д.С., 2015. 336 с.</w:t>
      </w:r>
    </w:p>
    <w:p w14:paraId="7ED0909B" w14:textId="382BBE42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17</w:t>
      </w:r>
      <w:r w:rsidRPr="00F316B8">
        <w:rPr>
          <w:rFonts w:ascii="Times New Roman" w:eastAsia="Times New Roman" w:hAnsi="Times New Roman" w:cs="Times New Roman"/>
          <w:lang w:val="ru-RU" w:eastAsia="ru-RU"/>
        </w:rPr>
        <w:t>.</w:t>
      </w:r>
      <w:r w:rsidRPr="00F316B8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Корнієнко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Л. Є., Наливайко Л. І.,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Недосєков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В. В. (2017)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Інфекційні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хвороби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proofErr w:type="gramStart"/>
      <w:r w:rsidRPr="00F316B8">
        <w:rPr>
          <w:rFonts w:ascii="Times New Roman" w:eastAsia="Times New Roman" w:hAnsi="Times New Roman" w:cs="Times New Roman"/>
          <w:lang w:val="ru-RU" w:eastAsia="ru-RU"/>
        </w:rPr>
        <w:t>птиці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:</w:t>
      </w:r>
      <w:proofErr w:type="gram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навчальний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посібник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. - </w:t>
      </w:r>
      <w:proofErr w:type="gramStart"/>
      <w:r w:rsidRPr="00F316B8">
        <w:rPr>
          <w:rFonts w:ascii="Times New Roman" w:eastAsia="Times New Roman" w:hAnsi="Times New Roman" w:cs="Times New Roman"/>
          <w:lang w:val="ru-RU" w:eastAsia="ru-RU"/>
        </w:rPr>
        <w:t>Херсон :</w:t>
      </w:r>
      <w:proofErr w:type="gram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Олді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>-плюс , 2017. 528 с.</w:t>
      </w:r>
    </w:p>
    <w:p w14:paraId="2248796E" w14:textId="3D0CF49C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ru-RU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18</w:t>
      </w:r>
      <w:r w:rsidRPr="00F316B8">
        <w:rPr>
          <w:rFonts w:ascii="Times New Roman" w:eastAsia="Times New Roman" w:hAnsi="Times New Roman" w:cs="Times New Roman"/>
          <w:lang w:val="ru-RU" w:eastAsia="ru-RU"/>
        </w:rPr>
        <w:t>.</w:t>
      </w:r>
      <w:r w:rsidRPr="00F316B8">
        <w:rPr>
          <w:rFonts w:ascii="Times New Roman" w:eastAsia="Times New Roman" w:hAnsi="Times New Roman" w:cs="Times New Roman"/>
          <w:lang w:val="ru-RU" w:eastAsia="ru-RU"/>
        </w:rPr>
        <w:tab/>
        <w:t xml:space="preserve">Наливайко </w:t>
      </w:r>
      <w:proofErr w:type="gramStart"/>
      <w:r w:rsidRPr="00F316B8">
        <w:rPr>
          <w:rFonts w:ascii="Times New Roman" w:eastAsia="Times New Roman" w:hAnsi="Times New Roman" w:cs="Times New Roman"/>
          <w:lang w:val="ru-RU" w:eastAsia="ru-RU"/>
        </w:rPr>
        <w:t>Л.І. ,</w:t>
      </w:r>
      <w:proofErr w:type="gram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Палій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А.П.,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Євстаф’єва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В.О.,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Родіонова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К.О.,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Івлева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О.В. (2019).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Хвороби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хутрових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тварин: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науково-методичний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посібник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. К.: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Видавничий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дім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«Кондор», 2019. 412 с.</w:t>
      </w:r>
    </w:p>
    <w:p w14:paraId="4ABC69FA" w14:textId="02D406A4" w:rsidR="00E72DE5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lang w:val="ru-RU" w:eastAsia="ru-RU"/>
        </w:rPr>
        <w:t>19</w:t>
      </w:r>
      <w:r w:rsidRPr="00F316B8">
        <w:rPr>
          <w:rFonts w:ascii="Times New Roman" w:eastAsia="Times New Roman" w:hAnsi="Times New Roman" w:cs="Times New Roman"/>
          <w:lang w:val="ru-RU" w:eastAsia="ru-RU"/>
        </w:rPr>
        <w:t>.</w:t>
      </w:r>
      <w:r w:rsidRPr="00F316B8">
        <w:rPr>
          <w:rFonts w:ascii="Times New Roman" w:eastAsia="Times New Roman" w:hAnsi="Times New Roman" w:cs="Times New Roman"/>
          <w:lang w:val="ru-RU" w:eastAsia="ru-RU"/>
        </w:rPr>
        <w:tab/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Родіонова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К.О.,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Палій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А.П., Наливайко Л.І. (2019).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Ветеринарна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санітарія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та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дезінфектологія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: </w:t>
      </w:r>
      <w:proofErr w:type="spellStart"/>
      <w:r w:rsidRPr="00F316B8">
        <w:rPr>
          <w:rFonts w:ascii="Times New Roman" w:eastAsia="Times New Roman" w:hAnsi="Times New Roman" w:cs="Times New Roman"/>
          <w:lang w:val="ru-RU" w:eastAsia="ru-RU"/>
        </w:rPr>
        <w:t>термінологічний</w:t>
      </w:r>
      <w:proofErr w:type="spellEnd"/>
      <w:r w:rsidRPr="00F316B8">
        <w:rPr>
          <w:rFonts w:ascii="Times New Roman" w:eastAsia="Times New Roman" w:hAnsi="Times New Roman" w:cs="Times New Roman"/>
          <w:lang w:val="ru-RU" w:eastAsia="ru-RU"/>
        </w:rPr>
        <w:t xml:space="preserve"> словник. </w:t>
      </w:r>
      <w:proofErr w:type="spellStart"/>
      <w:r w:rsidRPr="00F316B8">
        <w:rPr>
          <w:rFonts w:ascii="Times New Roman" w:eastAsia="Times New Roman" w:hAnsi="Times New Roman" w:cs="Times New Roman"/>
          <w:lang w:val="en-US" w:eastAsia="ru-RU"/>
        </w:rPr>
        <w:t>Харків</w:t>
      </w:r>
      <w:proofErr w:type="spellEnd"/>
      <w:r w:rsidRPr="00F316B8">
        <w:rPr>
          <w:rFonts w:ascii="Times New Roman" w:eastAsia="Times New Roman" w:hAnsi="Times New Roman" w:cs="Times New Roman"/>
          <w:lang w:val="en-US" w:eastAsia="ru-RU"/>
        </w:rPr>
        <w:t>.: «</w:t>
      </w:r>
      <w:proofErr w:type="spellStart"/>
      <w:r w:rsidRPr="00F316B8">
        <w:rPr>
          <w:rFonts w:ascii="Times New Roman" w:eastAsia="Times New Roman" w:hAnsi="Times New Roman" w:cs="Times New Roman"/>
          <w:lang w:val="en-US" w:eastAsia="ru-RU"/>
        </w:rPr>
        <w:t>Стиль-Издат</w:t>
      </w:r>
      <w:proofErr w:type="spellEnd"/>
      <w:r w:rsidRPr="00F316B8">
        <w:rPr>
          <w:rFonts w:ascii="Times New Roman" w:eastAsia="Times New Roman" w:hAnsi="Times New Roman" w:cs="Times New Roman"/>
          <w:lang w:val="en-US" w:eastAsia="ru-RU"/>
        </w:rPr>
        <w:t>», 2019. 123 с.</w:t>
      </w:r>
    </w:p>
    <w:p w14:paraId="2F4C23EA" w14:textId="3FAFE71B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20.</w:t>
      </w:r>
      <w:r w:rsidRPr="00F316B8">
        <w:rPr>
          <w:rFonts w:ascii="Times New Roman" w:eastAsia="Times New Roman" w:hAnsi="Times New Roman" w:cs="Times New Roman"/>
          <w:lang w:val="uk-UA" w:eastAsia="ru-RU"/>
        </w:rPr>
        <w:tab/>
        <w:t xml:space="preserve">Папуги в нашій оселі [Текст]: наук.-метод.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посіб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./Л.І. Наливайко, Пархоменко Л.І., Палій А.П., Родіонова К.О.,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Івлева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О.В. –   Харків.: «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Міськ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друк»,:  2020. 167 с. - ISBN 978-617-7912-14-8</w:t>
      </w:r>
    </w:p>
    <w:p w14:paraId="170A8DFE" w14:textId="289F3D82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21</w:t>
      </w:r>
      <w:r w:rsidRPr="00F316B8">
        <w:rPr>
          <w:rFonts w:ascii="Times New Roman" w:eastAsia="Times New Roman" w:hAnsi="Times New Roman" w:cs="Times New Roman"/>
          <w:lang w:val="uk-UA" w:eastAsia="ru-RU"/>
        </w:rPr>
        <w:t>.</w:t>
      </w:r>
      <w:r w:rsidRPr="00F316B8">
        <w:rPr>
          <w:rFonts w:ascii="Times New Roman" w:eastAsia="Times New Roman" w:hAnsi="Times New Roman" w:cs="Times New Roman"/>
          <w:lang w:val="uk-UA" w:eastAsia="ru-RU"/>
        </w:rPr>
        <w:tab/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K.О.Rodionova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A.P.Paliy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A.P.Palii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І.V.Yatsenko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T.I.Fotina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N.M.Bogatko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V.F.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Mohutova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L.I.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Nalyvayko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, O.V.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Ivleva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T.A.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Odyntsova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 (2020)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Effect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ultraviolet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irradiation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beef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carcass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yield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Ukrainian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Journal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Ecology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2020, 10(2), 410-415,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doi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>: 10.15421/2020_118. UDC 619.5:6616-085.636.5</w:t>
      </w:r>
    </w:p>
    <w:p w14:paraId="0AF615C7" w14:textId="47F489A6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22</w:t>
      </w:r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K.О.Rodionova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A.P.Paliy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A.P.Palii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І.V.Yatsenko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T.I.Fotina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N.M.Bogatko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V.F.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Mohutova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L.I.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Nalyvayko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O.V.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Ivleva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T.A.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Odyntsova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 (2020)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Effect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ultraviolet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irradiation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beef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carcass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yield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Ukrainian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Journal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Ecology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2020, 10(2), 410-415,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doi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>: 10.15421/2020_118. UDC 619.5:6616-085.636.5</w:t>
      </w:r>
    </w:p>
    <w:p w14:paraId="65460177" w14:textId="43A17B2B" w:rsid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lang w:val="uk-UA" w:eastAsia="ru-RU"/>
        </w:rPr>
        <w:t>23</w:t>
      </w:r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Lyudmyla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Nalyvayko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Kateryna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Rodionova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Svitlana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Pankova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Natalia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Shomina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Oleg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Katerynych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Mariia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Khimych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>. (2021). “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Comparative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characteristics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eggs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chickens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domestic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and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foreign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selection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in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their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diverse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age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”.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Potravinarstvo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Slovak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Journal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Food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Sciences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>, vol.15, 2021, p. 245-253  https:// doi.org /10.5219/1501  SSN 1337-0960 (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line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)  </w:t>
      </w:r>
    </w:p>
    <w:p w14:paraId="666240F3" w14:textId="77777777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7742CA37" w14:textId="77777777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F316B8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Додаткові: </w:t>
      </w:r>
    </w:p>
    <w:p w14:paraId="58549D09" w14:textId="77777777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316B8">
        <w:rPr>
          <w:rFonts w:ascii="Times New Roman" w:eastAsia="Times New Roman" w:hAnsi="Times New Roman" w:cs="Times New Roman"/>
          <w:lang w:val="uk-UA" w:eastAsia="ru-RU"/>
        </w:rPr>
        <w:t>1.</w:t>
      </w:r>
      <w:r w:rsidRPr="00F316B8">
        <w:rPr>
          <w:rFonts w:ascii="Times New Roman" w:eastAsia="Times New Roman" w:hAnsi="Times New Roman" w:cs="Times New Roman"/>
          <w:lang w:val="uk-UA" w:eastAsia="ru-RU"/>
        </w:rPr>
        <w:tab/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Практическое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руководство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по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биологической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безопасности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в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лабораторных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условиях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[текст] //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Изд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-е 3-е,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рус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. – ВОЗ. – 2004. – 190 с. </w:t>
      </w:r>
    </w:p>
    <w:p w14:paraId="41194241" w14:textId="77777777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316B8">
        <w:rPr>
          <w:rFonts w:ascii="Times New Roman" w:eastAsia="Times New Roman" w:hAnsi="Times New Roman" w:cs="Times New Roman"/>
          <w:lang w:val="uk-UA" w:eastAsia="ru-RU"/>
        </w:rPr>
        <w:t>2.</w:t>
      </w:r>
      <w:r w:rsidRPr="00F316B8">
        <w:rPr>
          <w:rFonts w:ascii="Times New Roman" w:eastAsia="Times New Roman" w:hAnsi="Times New Roman" w:cs="Times New Roman"/>
          <w:lang w:val="uk-UA" w:eastAsia="ru-RU"/>
        </w:rPr>
        <w:tab/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International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Classification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Diseases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[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text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] // 3rd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Edition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(ICD-O-3). – WHO. – 2000. – 67 p. </w:t>
      </w:r>
    </w:p>
    <w:p w14:paraId="010F853E" w14:textId="77777777" w:rsidR="00F316B8" w:rsidRPr="00F316B8" w:rsidRDefault="00F316B8" w:rsidP="00F316B8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316B8">
        <w:rPr>
          <w:rFonts w:ascii="Times New Roman" w:eastAsia="Times New Roman" w:hAnsi="Times New Roman" w:cs="Times New Roman"/>
          <w:lang w:val="uk-UA" w:eastAsia="ru-RU"/>
        </w:rPr>
        <w:t>3.</w:t>
      </w:r>
      <w:r w:rsidRPr="00F316B8">
        <w:rPr>
          <w:rFonts w:ascii="Times New Roman" w:eastAsia="Times New Roman" w:hAnsi="Times New Roman" w:cs="Times New Roman"/>
          <w:lang w:val="uk-UA" w:eastAsia="ru-RU"/>
        </w:rPr>
        <w:tab/>
        <w:t xml:space="preserve"> 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Global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Biosafety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and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Biosecurity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: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Taking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Action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[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text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] //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Math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. IFBA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building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meeting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Bangkok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Thailand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15-17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February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2011. –117 p. </w:t>
      </w:r>
    </w:p>
    <w:p w14:paraId="4B7755E4" w14:textId="2A35AD5E" w:rsidR="00F316B8" w:rsidRPr="00F316B8" w:rsidRDefault="00F316B8" w:rsidP="002721DC">
      <w:p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F316B8">
        <w:rPr>
          <w:rFonts w:ascii="Times New Roman" w:eastAsia="Times New Roman" w:hAnsi="Times New Roman" w:cs="Times New Roman"/>
          <w:lang w:val="uk-UA" w:eastAsia="ru-RU"/>
        </w:rPr>
        <w:lastRenderedPageBreak/>
        <w:t>4.</w:t>
      </w:r>
      <w:r w:rsidRPr="00F316B8">
        <w:rPr>
          <w:rFonts w:ascii="Times New Roman" w:eastAsia="Times New Roman" w:hAnsi="Times New Roman" w:cs="Times New Roman"/>
          <w:lang w:val="uk-UA" w:eastAsia="ru-RU"/>
        </w:rPr>
        <w:tab/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Sciences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and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Diseases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Surveillance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Review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[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text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] // CBEP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Meeting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Proc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.,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Garmisch-Partenkinchen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Germany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, 14-17 </w:t>
      </w:r>
      <w:proofErr w:type="spellStart"/>
      <w:r w:rsidRPr="00F316B8">
        <w:rPr>
          <w:rFonts w:ascii="Times New Roman" w:eastAsia="Times New Roman" w:hAnsi="Times New Roman" w:cs="Times New Roman"/>
          <w:lang w:val="uk-UA" w:eastAsia="ru-RU"/>
        </w:rPr>
        <w:t>March</w:t>
      </w:r>
      <w:proofErr w:type="spellEnd"/>
      <w:r w:rsidRPr="00F316B8">
        <w:rPr>
          <w:rFonts w:ascii="Times New Roman" w:eastAsia="Times New Roman" w:hAnsi="Times New Roman" w:cs="Times New Roman"/>
          <w:lang w:val="uk-UA" w:eastAsia="ru-RU"/>
        </w:rPr>
        <w:t xml:space="preserve"> 2011. – 108 p.</w:t>
      </w:r>
    </w:p>
    <w:p w14:paraId="300B23D9" w14:textId="77777777" w:rsidR="00E72DE5" w:rsidRPr="00F316B8" w:rsidRDefault="00E72DE5" w:rsidP="00E72DE5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1B45DF18" w14:textId="77777777" w:rsidR="002721DC" w:rsidRPr="002721DC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721DC">
        <w:rPr>
          <w:rFonts w:ascii="Times New Roman" w:eastAsia="Times New Roman" w:hAnsi="Times New Roman" w:cs="Times New Roman"/>
          <w:b/>
          <w:bCs/>
          <w:lang w:val="uk-UA" w:eastAsia="ru-RU"/>
        </w:rPr>
        <w:t>Інформаційні ресурси</w:t>
      </w:r>
    </w:p>
    <w:p w14:paraId="628C6393" w14:textId="77777777" w:rsidR="002721DC" w:rsidRPr="002721DC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721DC">
        <w:rPr>
          <w:rFonts w:ascii="Times New Roman" w:eastAsia="Times New Roman" w:hAnsi="Times New Roman" w:cs="Times New Roman"/>
          <w:lang w:val="uk-UA" w:eastAsia="ru-RU"/>
        </w:rPr>
        <w:t>1.</w:t>
      </w:r>
      <w:r w:rsidRPr="002721DC">
        <w:rPr>
          <w:rFonts w:ascii="Times New Roman" w:eastAsia="Times New Roman" w:hAnsi="Times New Roman" w:cs="Times New Roman"/>
          <w:lang w:val="uk-UA" w:eastAsia="ru-RU"/>
        </w:rPr>
        <w:tab/>
        <w:t>http://vet.in.ua/ — Ветеринарний інформаційний ресурс України/ Імунобіологічні препарати.</w:t>
      </w:r>
    </w:p>
    <w:p w14:paraId="3ED4DFA9" w14:textId="77777777" w:rsidR="002721DC" w:rsidRPr="002721DC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721DC">
        <w:rPr>
          <w:rFonts w:ascii="Times New Roman" w:eastAsia="Times New Roman" w:hAnsi="Times New Roman" w:cs="Times New Roman"/>
          <w:lang w:val="uk-UA" w:eastAsia="ru-RU"/>
        </w:rPr>
        <w:t>2.</w:t>
      </w:r>
      <w:r w:rsidRPr="002721DC">
        <w:rPr>
          <w:rFonts w:ascii="Times New Roman" w:eastAsia="Times New Roman" w:hAnsi="Times New Roman" w:cs="Times New Roman"/>
          <w:lang w:val="uk-UA" w:eastAsia="ru-RU"/>
        </w:rPr>
        <w:tab/>
        <w:t>http://veterinaryvirology.com/</w:t>
      </w:r>
    </w:p>
    <w:p w14:paraId="07952765" w14:textId="77777777" w:rsidR="002721DC" w:rsidRPr="002721DC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721DC">
        <w:rPr>
          <w:rFonts w:ascii="Times New Roman" w:eastAsia="Times New Roman" w:hAnsi="Times New Roman" w:cs="Times New Roman"/>
          <w:lang w:val="uk-UA" w:eastAsia="ru-RU"/>
        </w:rPr>
        <w:t>3.</w:t>
      </w:r>
      <w:r w:rsidRPr="002721DC">
        <w:rPr>
          <w:rFonts w:ascii="Times New Roman" w:eastAsia="Times New Roman" w:hAnsi="Times New Roman" w:cs="Times New Roman"/>
          <w:lang w:val="uk-UA" w:eastAsia="ru-RU"/>
        </w:rPr>
        <w:tab/>
        <w:t xml:space="preserve">http://www.virology.net/big_virology/bvdiseaselist.html. </w:t>
      </w:r>
      <w:proofErr w:type="spellStart"/>
      <w:r w:rsidRPr="002721DC">
        <w:rPr>
          <w:rFonts w:ascii="Times New Roman" w:eastAsia="Times New Roman" w:hAnsi="Times New Roman" w:cs="Times New Roman"/>
          <w:lang w:val="uk-UA" w:eastAsia="ru-RU"/>
        </w:rPr>
        <w:t>Тhe</w:t>
      </w:r>
      <w:proofErr w:type="spellEnd"/>
      <w:r w:rsidRPr="002721D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2721DC">
        <w:rPr>
          <w:rFonts w:ascii="Times New Roman" w:eastAsia="Times New Roman" w:hAnsi="Times New Roman" w:cs="Times New Roman"/>
          <w:lang w:val="uk-UA" w:eastAsia="ru-RU"/>
        </w:rPr>
        <w:t>Big</w:t>
      </w:r>
      <w:proofErr w:type="spellEnd"/>
      <w:r w:rsidRPr="002721DC">
        <w:rPr>
          <w:rFonts w:ascii="Times New Roman" w:eastAsia="Times New Roman" w:hAnsi="Times New Roman" w:cs="Times New Roman"/>
          <w:lang w:val="uk-UA" w:eastAsia="ru-RU"/>
        </w:rPr>
        <w:t xml:space="preserve"> Picture </w:t>
      </w:r>
      <w:proofErr w:type="spellStart"/>
      <w:r w:rsidRPr="002721DC">
        <w:rPr>
          <w:rFonts w:ascii="Times New Roman" w:eastAsia="Times New Roman" w:hAnsi="Times New Roman" w:cs="Times New Roman"/>
          <w:lang w:val="uk-UA" w:eastAsia="ru-RU"/>
        </w:rPr>
        <w:t>Book</w:t>
      </w:r>
      <w:proofErr w:type="spellEnd"/>
      <w:r w:rsidRPr="002721D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2721DC">
        <w:rPr>
          <w:rFonts w:ascii="Times New Roman" w:eastAsia="Times New Roman" w:hAnsi="Times New Roman" w:cs="Times New Roman"/>
          <w:lang w:val="uk-UA" w:eastAsia="ru-RU"/>
        </w:rPr>
        <w:t>of</w:t>
      </w:r>
      <w:proofErr w:type="spellEnd"/>
      <w:r w:rsidRPr="002721DC">
        <w:rPr>
          <w:rFonts w:ascii="Times New Roman" w:eastAsia="Times New Roman" w:hAnsi="Times New Roman" w:cs="Times New Roman"/>
          <w:lang w:val="uk-UA" w:eastAsia="ru-RU"/>
        </w:rPr>
        <w:t xml:space="preserve"> </w:t>
      </w:r>
      <w:proofErr w:type="spellStart"/>
      <w:r w:rsidRPr="002721DC">
        <w:rPr>
          <w:rFonts w:ascii="Times New Roman" w:eastAsia="Times New Roman" w:hAnsi="Times New Roman" w:cs="Times New Roman"/>
          <w:lang w:val="uk-UA" w:eastAsia="ru-RU"/>
        </w:rPr>
        <w:t>Viruses</w:t>
      </w:r>
      <w:proofErr w:type="spellEnd"/>
    </w:p>
    <w:p w14:paraId="00150EBC" w14:textId="77777777" w:rsidR="002721DC" w:rsidRPr="002721DC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721DC">
        <w:rPr>
          <w:rFonts w:ascii="Times New Roman" w:eastAsia="Times New Roman" w:hAnsi="Times New Roman" w:cs="Times New Roman"/>
          <w:lang w:val="uk-UA" w:eastAsia="ru-RU"/>
        </w:rPr>
        <w:t>4.</w:t>
      </w:r>
      <w:r w:rsidRPr="002721DC">
        <w:rPr>
          <w:rFonts w:ascii="Times New Roman" w:eastAsia="Times New Roman" w:hAnsi="Times New Roman" w:cs="Times New Roman"/>
          <w:lang w:val="uk-UA" w:eastAsia="ru-RU"/>
        </w:rPr>
        <w:tab/>
        <w:t>http://www.virology.net/</w:t>
      </w:r>
    </w:p>
    <w:p w14:paraId="42E2E8E3" w14:textId="77777777" w:rsidR="002721DC" w:rsidRPr="002721DC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721DC">
        <w:rPr>
          <w:rFonts w:ascii="Times New Roman" w:eastAsia="Times New Roman" w:hAnsi="Times New Roman" w:cs="Times New Roman"/>
          <w:lang w:val="uk-UA" w:eastAsia="ru-RU"/>
        </w:rPr>
        <w:t>5.</w:t>
      </w:r>
      <w:r w:rsidRPr="002721DC">
        <w:rPr>
          <w:rFonts w:ascii="Times New Roman" w:eastAsia="Times New Roman" w:hAnsi="Times New Roman" w:cs="Times New Roman"/>
          <w:lang w:val="uk-UA" w:eastAsia="ru-RU"/>
        </w:rPr>
        <w:tab/>
        <w:t>http://www.microbiologybook.org/book/virol-sta.htm</w:t>
      </w:r>
    </w:p>
    <w:p w14:paraId="160D14DA" w14:textId="77777777" w:rsidR="002721DC" w:rsidRPr="002721DC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721DC">
        <w:rPr>
          <w:rFonts w:ascii="Times New Roman" w:eastAsia="Times New Roman" w:hAnsi="Times New Roman" w:cs="Times New Roman"/>
          <w:lang w:val="uk-UA" w:eastAsia="ru-RU"/>
        </w:rPr>
        <w:t>6.</w:t>
      </w:r>
      <w:r w:rsidRPr="002721DC">
        <w:rPr>
          <w:rFonts w:ascii="Times New Roman" w:eastAsia="Times New Roman" w:hAnsi="Times New Roman" w:cs="Times New Roman"/>
          <w:lang w:val="uk-UA" w:eastAsia="ru-RU"/>
        </w:rPr>
        <w:tab/>
        <w:t>http://www.npblog.com.ua/index.php/biologiya/bakteriyi-v-zhitti-ljudini.html</w:t>
      </w:r>
    </w:p>
    <w:p w14:paraId="0EE59BC8" w14:textId="77777777" w:rsidR="002721DC" w:rsidRPr="002721DC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721DC">
        <w:rPr>
          <w:rFonts w:ascii="Times New Roman" w:eastAsia="Times New Roman" w:hAnsi="Times New Roman" w:cs="Times New Roman"/>
          <w:lang w:val="uk-UA" w:eastAsia="ru-RU"/>
        </w:rPr>
        <w:t>7.</w:t>
      </w:r>
      <w:r w:rsidRPr="002721DC">
        <w:rPr>
          <w:rFonts w:ascii="Times New Roman" w:eastAsia="Times New Roman" w:hAnsi="Times New Roman" w:cs="Times New Roman"/>
          <w:lang w:val="uk-UA" w:eastAsia="ru-RU"/>
        </w:rPr>
        <w:tab/>
        <w:t>http://www.ukrreferat.com/index.php?referat=10525</w:t>
      </w:r>
    </w:p>
    <w:p w14:paraId="14AC2FF4" w14:textId="1995FE0F" w:rsidR="00E72DE5" w:rsidRPr="00E72DE5" w:rsidRDefault="002721DC" w:rsidP="002721D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2721DC">
        <w:rPr>
          <w:rFonts w:ascii="Times New Roman" w:eastAsia="Times New Roman" w:hAnsi="Times New Roman" w:cs="Times New Roman"/>
          <w:lang w:val="uk-UA" w:eastAsia="ru-RU"/>
        </w:rPr>
        <w:t>8.</w:t>
      </w:r>
      <w:r w:rsidRPr="002721DC">
        <w:rPr>
          <w:rFonts w:ascii="Times New Roman" w:eastAsia="Times New Roman" w:hAnsi="Times New Roman" w:cs="Times New Roman"/>
          <w:lang w:val="uk-UA" w:eastAsia="ru-RU"/>
        </w:rPr>
        <w:tab/>
        <w:t>http://referatu.ucoz.ua/load/7-1-0-558</w:t>
      </w:r>
    </w:p>
    <w:p w14:paraId="3A822293" w14:textId="77777777" w:rsidR="00E72DE5" w:rsidRPr="00E72DE5" w:rsidRDefault="00E72DE5" w:rsidP="00E72DE5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050FAF78" w14:textId="77777777" w:rsidR="00E72DE5" w:rsidRPr="00E72DE5" w:rsidRDefault="00E72DE5" w:rsidP="00E72DE5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</w:p>
    <w:p w14:paraId="1F037D1F" w14:textId="77777777" w:rsidR="00E72DE5" w:rsidRDefault="00E72DE5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375AB57E" w14:textId="77777777" w:rsidR="00E72DE5" w:rsidRDefault="00E72DE5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21D0E108" w14:textId="77777777" w:rsidR="00E72DE5" w:rsidRDefault="00E72DE5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245DB643" w14:textId="77777777" w:rsidR="00E72DE5" w:rsidRDefault="00E72DE5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586064CB" w14:textId="77777777" w:rsidR="00E72DE5" w:rsidRDefault="00E72DE5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0E76C55D" w14:textId="77777777" w:rsidR="00E72DE5" w:rsidRPr="00CB35DE" w:rsidRDefault="00E72DE5" w:rsidP="00CB35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14:paraId="267B2E09" w14:textId="77777777" w:rsidR="004248C2" w:rsidRPr="002E3F5E" w:rsidRDefault="004248C2" w:rsidP="00CB35D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028FFED5" w14:textId="77777777" w:rsidR="004248C2" w:rsidRPr="002721DC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6EDB66AD" w14:textId="77777777" w:rsidR="004248C2" w:rsidRPr="002E3F5E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5D035E21" w14:textId="77777777" w:rsidR="004248C2" w:rsidRPr="002E3F5E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3A4629E5" w14:textId="77777777" w:rsidR="004248C2" w:rsidRPr="002E3F5E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uk-UA" w:eastAsia="ru-RU"/>
        </w:rPr>
      </w:pPr>
    </w:p>
    <w:p w14:paraId="20C28B03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7124FAC2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5FCA0390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299C5C44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18E6DB22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7A6ADE02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0B7504BB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66344428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4F661CFE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29522624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135F556A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363EE85B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02AEBF8F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262D2072" w14:textId="77777777" w:rsidR="004248C2" w:rsidRDefault="004248C2" w:rsidP="00F51B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7365D"/>
          <w:sz w:val="28"/>
          <w:szCs w:val="28"/>
          <w:lang w:val="uk-UA" w:eastAsia="ru-RU"/>
        </w:rPr>
      </w:pPr>
    </w:p>
    <w:p w14:paraId="0C872FF1" w14:textId="77777777" w:rsidR="00370259" w:rsidRDefault="00370259"/>
    <w:p w14:paraId="6E9E3E1C" w14:textId="77777777" w:rsidR="00370259" w:rsidRDefault="00370259"/>
    <w:p w14:paraId="6D0D5528" w14:textId="77777777" w:rsidR="00370259" w:rsidRDefault="00370259"/>
    <w:p w14:paraId="20BA91FC" w14:textId="77777777" w:rsidR="00370259" w:rsidRDefault="00370259"/>
    <w:p w14:paraId="1C9DBD6D" w14:textId="77777777" w:rsidR="00370259" w:rsidRDefault="00370259"/>
    <w:p w14:paraId="35C41883" w14:textId="77777777" w:rsidR="00370259" w:rsidRDefault="00370259"/>
    <w:p w14:paraId="2B0089F9" w14:textId="77777777" w:rsidR="00370259" w:rsidRDefault="00370259"/>
    <w:p w14:paraId="4C777B4B" w14:textId="77777777" w:rsidR="00370259" w:rsidRDefault="00370259"/>
    <w:p w14:paraId="09943A48" w14:textId="77777777" w:rsidR="00370259" w:rsidRDefault="00370259"/>
    <w:sectPr w:rsidR="00370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30FA"/>
    <w:multiLevelType w:val="hybridMultilevel"/>
    <w:tmpl w:val="6E983C7C"/>
    <w:lvl w:ilvl="0" w:tplc="BA3ACFAC">
      <w:start w:val="1"/>
      <w:numFmt w:val="decimal"/>
      <w:lvlText w:val="%1."/>
      <w:lvlJc w:val="left"/>
      <w:pPr>
        <w:ind w:left="424" w:hanging="42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4A84F8DC">
      <w:numFmt w:val="bullet"/>
      <w:lvlText w:val="•"/>
      <w:lvlJc w:val="left"/>
      <w:pPr>
        <w:ind w:left="658" w:hanging="424"/>
      </w:pPr>
      <w:rPr>
        <w:rFonts w:hint="default"/>
        <w:lang w:val="uk-UA" w:eastAsia="en-US" w:bidi="ar-SA"/>
      </w:rPr>
    </w:lvl>
    <w:lvl w:ilvl="2" w:tplc="CF48A590">
      <w:numFmt w:val="bullet"/>
      <w:lvlText w:val="•"/>
      <w:lvlJc w:val="left"/>
      <w:pPr>
        <w:ind w:left="1623" w:hanging="424"/>
      </w:pPr>
      <w:rPr>
        <w:rFonts w:hint="default"/>
        <w:lang w:val="uk-UA" w:eastAsia="en-US" w:bidi="ar-SA"/>
      </w:rPr>
    </w:lvl>
    <w:lvl w:ilvl="3" w:tplc="EDB0F77C">
      <w:numFmt w:val="bullet"/>
      <w:lvlText w:val="•"/>
      <w:lvlJc w:val="left"/>
      <w:pPr>
        <w:ind w:left="2588" w:hanging="424"/>
      </w:pPr>
      <w:rPr>
        <w:rFonts w:hint="default"/>
        <w:lang w:val="uk-UA" w:eastAsia="en-US" w:bidi="ar-SA"/>
      </w:rPr>
    </w:lvl>
    <w:lvl w:ilvl="4" w:tplc="EC0ADE64">
      <w:numFmt w:val="bullet"/>
      <w:lvlText w:val="•"/>
      <w:lvlJc w:val="left"/>
      <w:pPr>
        <w:ind w:left="3553" w:hanging="424"/>
      </w:pPr>
      <w:rPr>
        <w:rFonts w:hint="default"/>
        <w:lang w:val="uk-UA" w:eastAsia="en-US" w:bidi="ar-SA"/>
      </w:rPr>
    </w:lvl>
    <w:lvl w:ilvl="5" w:tplc="4A925190">
      <w:numFmt w:val="bullet"/>
      <w:lvlText w:val="•"/>
      <w:lvlJc w:val="left"/>
      <w:pPr>
        <w:ind w:left="4518" w:hanging="424"/>
      </w:pPr>
      <w:rPr>
        <w:rFonts w:hint="default"/>
        <w:lang w:val="uk-UA" w:eastAsia="en-US" w:bidi="ar-SA"/>
      </w:rPr>
    </w:lvl>
    <w:lvl w:ilvl="6" w:tplc="641872D0">
      <w:numFmt w:val="bullet"/>
      <w:lvlText w:val="•"/>
      <w:lvlJc w:val="left"/>
      <w:pPr>
        <w:ind w:left="5482" w:hanging="424"/>
      </w:pPr>
      <w:rPr>
        <w:rFonts w:hint="default"/>
        <w:lang w:val="uk-UA" w:eastAsia="en-US" w:bidi="ar-SA"/>
      </w:rPr>
    </w:lvl>
    <w:lvl w:ilvl="7" w:tplc="02FCF8DC">
      <w:numFmt w:val="bullet"/>
      <w:lvlText w:val="•"/>
      <w:lvlJc w:val="left"/>
      <w:pPr>
        <w:ind w:left="6447" w:hanging="424"/>
      </w:pPr>
      <w:rPr>
        <w:rFonts w:hint="default"/>
        <w:lang w:val="uk-UA" w:eastAsia="en-US" w:bidi="ar-SA"/>
      </w:rPr>
    </w:lvl>
    <w:lvl w:ilvl="8" w:tplc="D8641BCA">
      <w:numFmt w:val="bullet"/>
      <w:lvlText w:val="•"/>
      <w:lvlJc w:val="left"/>
      <w:pPr>
        <w:ind w:left="7412" w:hanging="424"/>
      </w:pPr>
      <w:rPr>
        <w:rFonts w:hint="default"/>
        <w:lang w:val="uk-UA" w:eastAsia="en-US" w:bidi="ar-SA"/>
      </w:rPr>
    </w:lvl>
  </w:abstractNum>
  <w:abstractNum w:abstractNumId="1" w15:restartNumberingAfterBreak="0">
    <w:nsid w:val="19B902BE"/>
    <w:multiLevelType w:val="hybridMultilevel"/>
    <w:tmpl w:val="BD82C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ADE64BD"/>
    <w:multiLevelType w:val="hybridMultilevel"/>
    <w:tmpl w:val="C1C2E6A2"/>
    <w:lvl w:ilvl="0" w:tplc="E2A6B45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51314">
    <w:abstractNumId w:val="3"/>
  </w:num>
  <w:num w:numId="2" w16cid:durableId="391268926">
    <w:abstractNumId w:val="2"/>
  </w:num>
  <w:num w:numId="3" w16cid:durableId="711461904">
    <w:abstractNumId w:val="0"/>
  </w:num>
  <w:num w:numId="4" w16cid:durableId="746928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C9"/>
    <w:rsid w:val="000625C9"/>
    <w:rsid w:val="00081757"/>
    <w:rsid w:val="002721DC"/>
    <w:rsid w:val="002E3F5E"/>
    <w:rsid w:val="00370259"/>
    <w:rsid w:val="004248C2"/>
    <w:rsid w:val="00441034"/>
    <w:rsid w:val="004C09DC"/>
    <w:rsid w:val="0096025E"/>
    <w:rsid w:val="00CB35DE"/>
    <w:rsid w:val="00CF5202"/>
    <w:rsid w:val="00E72DE5"/>
    <w:rsid w:val="00F316B8"/>
    <w:rsid w:val="00F51B0A"/>
    <w:rsid w:val="00F9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3B522"/>
  <w15:chartTrackingRefBased/>
  <w15:docId w15:val="{35CE832B-B597-4CF2-8A42-13155751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EEC"/>
    <w:rPr>
      <w:kern w:val="0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0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2DE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72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9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sites/entrez?Db=pubmed&amp;Cmd=Search&amp;Term=%22Kaderali%20L%22%5BAuthor%5D&amp;itool=EntrezSystem2.PEntrez.Pubmed.Pubmed_ResultsPanel.Pubmed_DiscoveryPanel.Pubmed_RVAbstract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sites/entrez?Db=pubmed&amp;Cmd=Search&amp;Term=%22Kaderali%20L%22%5BAuthor%5D&amp;itool=EntrezSystem2.PEntrez.Pubmed.Pubmed_ResultsPanel.Pubmed_DiscoveryPanel.Pubmed_RVAbstractPl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sites/entrez?Db=pubmed&amp;Cmd=Search&amp;Term=%22Kaderali%20L%22%5BAuthor%5D&amp;itool=EntrezSystem2.PEntrez.Pubmed.Pubmed_ResultsPanel.Pubmed_DiscoveryPanel.Pubmed_RVAbstractPlu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sites/entrez?Db=pubmed&amp;Cmd=Search&amp;Term=%22Elnifro%20EM%22%5BAuthor%5D&amp;itool=EntrezSystem2.PEntrez.Pubmed.Pubmed_ResultsPanel.Pubmed_DiscoveryPanel.Pubmed_RVAbstractPl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2616</Words>
  <Characters>14916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Наливайко</dc:creator>
  <cp:keywords/>
  <dc:description/>
  <cp:lastModifiedBy>1 Наливайко</cp:lastModifiedBy>
  <cp:revision>12</cp:revision>
  <dcterms:created xsi:type="dcterms:W3CDTF">2023-11-13T10:35:00Z</dcterms:created>
  <dcterms:modified xsi:type="dcterms:W3CDTF">2023-11-13T11:29:00Z</dcterms:modified>
</cp:coreProperties>
</file>