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E4DD" w14:textId="77777777" w:rsidR="00A6676B" w:rsidRPr="00EA6352" w:rsidRDefault="00A6676B" w:rsidP="00A6676B">
      <w:pPr>
        <w:jc w:val="both"/>
        <w:rPr>
          <w:sz w:val="22"/>
        </w:rPr>
      </w:pP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</w:p>
    <w:p w14:paraId="6E10F7E1" w14:textId="77777777" w:rsidR="00A6676B" w:rsidRPr="00EA6352" w:rsidRDefault="00A6676B" w:rsidP="00A6676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2962"/>
        <w:gridCol w:w="3354"/>
      </w:tblGrid>
      <w:tr w:rsidR="00A6676B" w:rsidRPr="00EA6352" w14:paraId="4EBA7867" w14:textId="77777777" w:rsidTr="003B75A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6DD9" w14:textId="77777777" w:rsidR="00A6676B" w:rsidRPr="00EA6352" w:rsidRDefault="00A6676B" w:rsidP="003B75AD">
            <w:pPr>
              <w:spacing w:line="276" w:lineRule="auto"/>
              <w:jc w:val="both"/>
              <w:rPr>
                <w:szCs w:val="24"/>
              </w:rPr>
            </w:pPr>
            <w:r w:rsidRPr="00EA6352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E218" w14:textId="77777777" w:rsidR="00A6676B" w:rsidRPr="00EA6352" w:rsidRDefault="00A6676B" w:rsidP="003B75AD">
            <w:pPr>
              <w:spacing w:line="276" w:lineRule="auto"/>
              <w:jc w:val="both"/>
              <w:rPr>
                <w:szCs w:val="24"/>
              </w:rPr>
            </w:pPr>
            <w:r w:rsidRPr="00EA6352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1795346D" wp14:editId="5208ED5F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6B" w:rsidRPr="00EA6352" w14:paraId="3F8C4A2F" w14:textId="77777777" w:rsidTr="003B75A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9DE68" w14:textId="77777777" w:rsidR="00A6676B" w:rsidRDefault="00A6676B" w:rsidP="003B75AD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C4FC8">
              <w:rPr>
                <w:b/>
                <w:bCs/>
                <w:szCs w:val="24"/>
              </w:rPr>
              <w:t>ПРОТИДІЯ КІБЕРНАСИЛЬСТВУ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9C63791" w14:textId="77777777" w:rsidR="00A6676B" w:rsidRPr="00FC4FC8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 w:rsidRPr="00FC4FC8">
              <w:rPr>
                <w:szCs w:val="24"/>
              </w:rPr>
              <w:t>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6BDA" w14:textId="77777777" w:rsidR="00A6676B" w:rsidRPr="00EA6352" w:rsidRDefault="00A6676B" w:rsidP="003B75A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A6676B" w:rsidRPr="00EA6352" w14:paraId="2FA521D3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CB90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C08AA" w14:textId="77777777" w:rsidR="00A6676B" w:rsidRPr="003131EA" w:rsidRDefault="00A6676B" w:rsidP="003B75AD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A6676B" w:rsidRPr="00EA6352" w14:paraId="378627EA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5ABD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9029E" w14:textId="2913B43F" w:rsidR="00A6676B" w:rsidRPr="00EA6352" w:rsidRDefault="00C94724" w:rsidP="003B75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A6676B" w:rsidRPr="00EA6352" w14:paraId="17011179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FE8C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30B30" w14:textId="7F46CC5D" w:rsidR="00A6676B" w:rsidRPr="007B4D15" w:rsidRDefault="00D412CF" w:rsidP="003B75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bookmarkStart w:id="0" w:name="_GoBack"/>
            <w:bookmarkEnd w:id="0"/>
            <w:r w:rsidR="00A6676B">
              <w:rPr>
                <w:szCs w:val="24"/>
              </w:rPr>
              <w:t>ий</w:t>
            </w:r>
          </w:p>
        </w:tc>
      </w:tr>
      <w:tr w:rsidR="00A6676B" w:rsidRPr="00EA6352" w14:paraId="225CFA74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80B0D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CBF20" w14:textId="77777777" w:rsidR="00A6676B" w:rsidRPr="007B4D15" w:rsidRDefault="00A6676B" w:rsidP="003B75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A6676B" w:rsidRPr="00EA6352" w14:paraId="55F1C802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0716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9B3C2" w14:textId="77777777" w:rsidR="00A6676B" w:rsidRPr="00EA6352" w:rsidRDefault="00A6676B" w:rsidP="003B75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6676B" w:rsidRPr="00EA6352" w14:paraId="6F742EFB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2C6D9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34FAC" w14:textId="77777777" w:rsidR="00A6676B" w:rsidRPr="00EA6352" w:rsidRDefault="00A6676B" w:rsidP="003B75AD">
            <w:pPr>
              <w:spacing w:line="276" w:lineRule="auto"/>
              <w:rPr>
                <w:szCs w:val="24"/>
              </w:rPr>
            </w:pPr>
            <w:r w:rsidRPr="00EA6352">
              <w:rPr>
                <w:szCs w:val="24"/>
              </w:rPr>
              <w:t>українська</w:t>
            </w:r>
          </w:p>
        </w:tc>
      </w:tr>
      <w:tr w:rsidR="00A6676B" w:rsidRPr="00EA6352" w14:paraId="3663A1C0" w14:textId="77777777" w:rsidTr="003B75A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478C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4A326" w14:textId="77777777" w:rsidR="00A6676B" w:rsidRPr="00EA6352" w:rsidRDefault="00A6676B" w:rsidP="003B75AD">
            <w:pPr>
              <w:spacing w:line="276" w:lineRule="auto"/>
              <w:rPr>
                <w:szCs w:val="24"/>
              </w:rPr>
            </w:pPr>
            <w:r w:rsidRPr="00EA6352">
              <w:rPr>
                <w:szCs w:val="24"/>
              </w:rPr>
              <w:t>залік</w:t>
            </w:r>
          </w:p>
        </w:tc>
      </w:tr>
    </w:tbl>
    <w:p w14:paraId="27411E64" w14:textId="77777777" w:rsidR="00A6676B" w:rsidRPr="00EA6352" w:rsidRDefault="00A6676B" w:rsidP="00A6676B">
      <w:pPr>
        <w:jc w:val="both"/>
        <w:rPr>
          <w:sz w:val="22"/>
        </w:rPr>
      </w:pPr>
    </w:p>
    <w:p w14:paraId="08379B6D" w14:textId="77777777" w:rsidR="00A6676B" w:rsidRPr="00EA6352" w:rsidRDefault="00A6676B" w:rsidP="00A6676B">
      <w:pPr>
        <w:jc w:val="both"/>
        <w:rPr>
          <w:sz w:val="22"/>
        </w:rPr>
      </w:pPr>
    </w:p>
    <w:p w14:paraId="585267CF" w14:textId="77777777" w:rsidR="00A6676B" w:rsidRPr="00EA6352" w:rsidRDefault="00A6676B" w:rsidP="00A6676B">
      <w:pPr>
        <w:jc w:val="both"/>
        <w:rPr>
          <w:sz w:val="22"/>
        </w:rPr>
      </w:pPr>
    </w:p>
    <w:p w14:paraId="6C65476A" w14:textId="77777777" w:rsidR="00A6676B" w:rsidRPr="00EA6352" w:rsidRDefault="00A6676B" w:rsidP="00A6676B">
      <w:pPr>
        <w:jc w:val="both"/>
        <w:rPr>
          <w:sz w:val="22"/>
        </w:rPr>
      </w:pPr>
    </w:p>
    <w:p w14:paraId="047197D6" w14:textId="77777777" w:rsidR="00A6676B" w:rsidRPr="00EA6352" w:rsidRDefault="00A6676B" w:rsidP="00A6676B">
      <w:pPr>
        <w:jc w:val="both"/>
        <w:rPr>
          <w:sz w:val="22"/>
        </w:rPr>
      </w:pPr>
    </w:p>
    <w:p w14:paraId="14DA96A1" w14:textId="77777777" w:rsidR="00A6676B" w:rsidRPr="00EA6352" w:rsidRDefault="00A6676B" w:rsidP="00A6676B">
      <w:pPr>
        <w:jc w:val="both"/>
        <w:rPr>
          <w:sz w:val="22"/>
        </w:rPr>
      </w:pPr>
    </w:p>
    <w:p w14:paraId="20D16692" w14:textId="77777777" w:rsidR="00A6676B" w:rsidRPr="00EA6352" w:rsidRDefault="00A6676B" w:rsidP="00A6676B">
      <w:pPr>
        <w:jc w:val="both"/>
        <w:rPr>
          <w:sz w:val="22"/>
        </w:rPr>
      </w:pPr>
    </w:p>
    <w:p w14:paraId="1C58BED7" w14:textId="77777777" w:rsidR="00A6676B" w:rsidRDefault="00A6676B" w:rsidP="00A6676B">
      <w:pPr>
        <w:jc w:val="both"/>
        <w:rPr>
          <w:sz w:val="22"/>
        </w:rPr>
      </w:pPr>
    </w:p>
    <w:p w14:paraId="139E02BE" w14:textId="77777777" w:rsidR="00A6676B" w:rsidRPr="00EA6352" w:rsidRDefault="00A6676B" w:rsidP="00A6676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65"/>
        <w:gridCol w:w="1958"/>
        <w:gridCol w:w="265"/>
        <w:gridCol w:w="1314"/>
        <w:gridCol w:w="690"/>
        <w:gridCol w:w="264"/>
        <w:gridCol w:w="2176"/>
      </w:tblGrid>
      <w:tr w:rsidR="00A6676B" w:rsidRPr="00EA6352" w14:paraId="2A1219F2" w14:textId="77777777" w:rsidTr="003B75A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F530" w14:textId="77777777" w:rsidR="00A6676B" w:rsidRPr="00EA6352" w:rsidRDefault="00A6676B" w:rsidP="003B75AD">
            <w:pPr>
              <w:jc w:val="both"/>
              <w:rPr>
                <w:szCs w:val="24"/>
              </w:rPr>
            </w:pPr>
            <w:r w:rsidRPr="00EA6352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F4D3" w14:textId="77777777" w:rsidR="00A6676B" w:rsidRPr="00EA6352" w:rsidRDefault="00A6676B" w:rsidP="003B75A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6676B" w:rsidRPr="00EA6352" w14:paraId="4FBDE185" w14:textId="77777777" w:rsidTr="003B75A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A23D8" w14:textId="58FD08E8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кандидат психологічних наук, доцент Сербін Юрій Вікторович</w:t>
            </w:r>
          </w:p>
        </w:tc>
      </w:tr>
      <w:tr w:rsidR="00A6676B" w:rsidRPr="00EA6352" w14:paraId="7FF7A904" w14:textId="77777777" w:rsidTr="003B75A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1932B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6676B" w:rsidRPr="00EA6352" w14:paraId="5B72AB4C" w14:textId="77777777" w:rsidTr="003B75A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BFAD5" w14:textId="56A372DE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психології та соціології</w:t>
            </w:r>
          </w:p>
        </w:tc>
      </w:tr>
      <w:tr w:rsidR="00A6676B" w:rsidRPr="00EA6352" w14:paraId="18F07A8B" w14:textId="77777777" w:rsidTr="003B75A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26E5B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посада</w:t>
            </w:r>
          </w:p>
        </w:tc>
      </w:tr>
      <w:tr w:rsidR="00A6676B" w:rsidRPr="00EA6352" w14:paraId="027AF6BC" w14:textId="77777777" w:rsidTr="003B75A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9E609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3E770C">
              <w:rPr>
                <w:szCs w:val="24"/>
              </w:rPr>
              <w:t>2000serbin@gmail.com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C24F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D1EC5" w14:textId="655BBDF8" w:rsidR="00A6676B" w:rsidRPr="007B4D15" w:rsidRDefault="00A6676B" w:rsidP="003B75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(050) 989-47-27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761C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9E477" w14:textId="49C4CDEA" w:rsidR="00A6676B" w:rsidRPr="00EA6352" w:rsidRDefault="00A6676B" w:rsidP="003B75AD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6676B">
              <w:rPr>
                <w:szCs w:val="24"/>
                <w:lang w:val="en-US"/>
              </w:rPr>
              <w:t>Viber</w:t>
            </w:r>
            <w:r w:rsidRPr="00A6676B"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E9054" w14:textId="77777777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3E452" w14:textId="7320C5DF" w:rsidR="00A6676B" w:rsidRPr="00A6676B" w:rsidRDefault="00C94724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A6676B" w:rsidRPr="00EA6352" w14:paraId="09297B68" w14:textId="77777777" w:rsidTr="003B75A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82EB6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E099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92E50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A002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14AC4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F31A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42B99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консультації</w:t>
            </w:r>
          </w:p>
        </w:tc>
      </w:tr>
    </w:tbl>
    <w:p w14:paraId="176FEAB3" w14:textId="77777777" w:rsidR="00A6676B" w:rsidRPr="00EA6352" w:rsidRDefault="00A6676B" w:rsidP="00A6676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65"/>
        <w:gridCol w:w="1958"/>
        <w:gridCol w:w="265"/>
        <w:gridCol w:w="1314"/>
        <w:gridCol w:w="690"/>
        <w:gridCol w:w="264"/>
        <w:gridCol w:w="2176"/>
      </w:tblGrid>
      <w:tr w:rsidR="00A6676B" w:rsidRPr="00EA6352" w14:paraId="26C1F031" w14:textId="77777777" w:rsidTr="003B75A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850F" w14:textId="77777777" w:rsidR="00A6676B" w:rsidRPr="00EA6352" w:rsidRDefault="00A6676B" w:rsidP="003B75AD">
            <w:pPr>
              <w:jc w:val="both"/>
              <w:rPr>
                <w:szCs w:val="24"/>
              </w:rPr>
            </w:pPr>
            <w:r w:rsidRPr="00EA6352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547B" w14:textId="77777777" w:rsidR="00A6676B" w:rsidRPr="00EA6352" w:rsidRDefault="00A6676B" w:rsidP="003B75A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6676B" w:rsidRPr="00EA6352" w14:paraId="18E6D3EA" w14:textId="77777777" w:rsidTr="003B75A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844DD" w14:textId="318D8EA2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кандидат психологічних наук, доцент Сербін Юрій Вікторович</w:t>
            </w:r>
          </w:p>
        </w:tc>
      </w:tr>
      <w:tr w:rsidR="00A6676B" w:rsidRPr="00EA6352" w14:paraId="77F8B5AE" w14:textId="77777777" w:rsidTr="003B75A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C74C6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6676B" w:rsidRPr="00EA6352" w14:paraId="1E1F0E3E" w14:textId="77777777" w:rsidTr="003B75A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EC7AE" w14:textId="37D3DD0F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психології та соціології</w:t>
            </w:r>
          </w:p>
        </w:tc>
      </w:tr>
      <w:tr w:rsidR="00A6676B" w:rsidRPr="00EA6352" w14:paraId="3DF15917" w14:textId="77777777" w:rsidTr="003B75A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2248F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посада</w:t>
            </w:r>
          </w:p>
        </w:tc>
      </w:tr>
      <w:tr w:rsidR="00A6676B" w:rsidRPr="00EA6352" w14:paraId="42D7E0A6" w14:textId="77777777" w:rsidTr="003B75A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3AAB5" w14:textId="3BE0FF15" w:rsidR="00A6676B" w:rsidRPr="00EA6352" w:rsidRDefault="00A6676B" w:rsidP="003B75AD">
            <w:pPr>
              <w:jc w:val="center"/>
              <w:rPr>
                <w:szCs w:val="24"/>
              </w:rPr>
            </w:pPr>
            <w:r w:rsidRPr="003E770C">
              <w:rPr>
                <w:szCs w:val="24"/>
              </w:rPr>
              <w:t>2000serbin@gmail.com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DC6A" w14:textId="77777777" w:rsidR="00A6676B" w:rsidRPr="007B4D15" w:rsidRDefault="00A6676B" w:rsidP="003B75AD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C8F52" w14:textId="67ED9494" w:rsidR="00A6676B" w:rsidRPr="007B4D15" w:rsidRDefault="00A6676B" w:rsidP="003B75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(050) 989-47-27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31B33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74845" w14:textId="7675390A" w:rsidR="00A6676B" w:rsidRPr="007B4D15" w:rsidRDefault="00A6676B" w:rsidP="003B75AD">
            <w:pPr>
              <w:spacing w:line="276" w:lineRule="auto"/>
              <w:jc w:val="center"/>
              <w:rPr>
                <w:szCs w:val="24"/>
              </w:rPr>
            </w:pPr>
            <w:r w:rsidRPr="00A6676B">
              <w:rPr>
                <w:szCs w:val="24"/>
                <w:lang w:val="en-US"/>
              </w:rPr>
              <w:t>Viber</w:t>
            </w:r>
            <w:r w:rsidRPr="00A6676B"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C699E" w14:textId="77777777" w:rsidR="00A6676B" w:rsidRPr="00EA6352" w:rsidRDefault="00A6676B" w:rsidP="003B75A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C911E" w14:textId="421349F6" w:rsidR="00A6676B" w:rsidRPr="00EA6352" w:rsidRDefault="00C94724" w:rsidP="003B7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A6676B" w:rsidRPr="00EA6352" w14:paraId="139F082E" w14:textId="77777777" w:rsidTr="003B75A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21559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D765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8EC13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5917" w14:textId="77777777" w:rsidR="00A6676B" w:rsidRPr="00EA6352" w:rsidRDefault="00A6676B" w:rsidP="003B7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78613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3BA7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04AB7" w14:textId="77777777" w:rsidR="00A6676B" w:rsidRPr="00EA6352" w:rsidRDefault="00A6676B" w:rsidP="003B75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консультації</w:t>
            </w:r>
          </w:p>
        </w:tc>
      </w:tr>
    </w:tbl>
    <w:p w14:paraId="57097AF1" w14:textId="77777777" w:rsidR="00A6676B" w:rsidRDefault="00A6676B" w:rsidP="00A6676B">
      <w:pPr>
        <w:jc w:val="both"/>
        <w:rPr>
          <w:szCs w:val="24"/>
        </w:rPr>
      </w:pPr>
    </w:p>
    <w:p w14:paraId="21BE4C2A" w14:textId="77777777" w:rsidR="00A6676B" w:rsidRDefault="00A6676B" w:rsidP="00A6676B">
      <w:pPr>
        <w:jc w:val="both"/>
        <w:rPr>
          <w:szCs w:val="24"/>
        </w:rPr>
      </w:pPr>
    </w:p>
    <w:p w14:paraId="1C7CAE38" w14:textId="77777777" w:rsidR="00A6676B" w:rsidRDefault="00A6676B" w:rsidP="00A6676B">
      <w:pPr>
        <w:jc w:val="both"/>
        <w:rPr>
          <w:szCs w:val="24"/>
        </w:rPr>
      </w:pPr>
    </w:p>
    <w:p w14:paraId="76344E57" w14:textId="77777777" w:rsidR="00A6676B" w:rsidRDefault="00A6676B" w:rsidP="00A6676B">
      <w:pPr>
        <w:jc w:val="both"/>
        <w:rPr>
          <w:szCs w:val="24"/>
        </w:rPr>
      </w:pPr>
    </w:p>
    <w:p w14:paraId="4FAE620E" w14:textId="77777777" w:rsidR="00A6676B" w:rsidRDefault="00A6676B" w:rsidP="00A6676B">
      <w:pPr>
        <w:jc w:val="both"/>
        <w:rPr>
          <w:szCs w:val="24"/>
        </w:rPr>
      </w:pPr>
    </w:p>
    <w:p w14:paraId="6FF49610" w14:textId="77777777" w:rsidR="00A6676B" w:rsidRDefault="00A6676B" w:rsidP="00A6676B">
      <w:pPr>
        <w:jc w:val="both"/>
        <w:rPr>
          <w:szCs w:val="24"/>
        </w:rPr>
      </w:pPr>
    </w:p>
    <w:p w14:paraId="6CF1BEE7" w14:textId="77777777" w:rsidR="00C94724" w:rsidRDefault="00C94724" w:rsidP="00A6676B">
      <w:pPr>
        <w:jc w:val="center"/>
        <w:rPr>
          <w:b/>
          <w:szCs w:val="24"/>
        </w:rPr>
      </w:pPr>
    </w:p>
    <w:p w14:paraId="4E625390" w14:textId="77777777" w:rsidR="00C94724" w:rsidRDefault="00C94724" w:rsidP="00A6676B">
      <w:pPr>
        <w:jc w:val="center"/>
        <w:rPr>
          <w:b/>
          <w:szCs w:val="24"/>
        </w:rPr>
      </w:pPr>
    </w:p>
    <w:p w14:paraId="69C25CF7" w14:textId="11358CAC" w:rsidR="00A6676B" w:rsidRPr="00EA6352" w:rsidRDefault="00A6676B" w:rsidP="00A6676B">
      <w:pPr>
        <w:jc w:val="center"/>
        <w:rPr>
          <w:szCs w:val="24"/>
        </w:rPr>
      </w:pPr>
      <w:r w:rsidRPr="00EA6352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3"/>
        <w:gridCol w:w="6552"/>
      </w:tblGrid>
      <w:tr w:rsidR="00A6676B" w:rsidRPr="00EA6352" w14:paraId="0839EE3D" w14:textId="77777777" w:rsidTr="003B75AD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5A34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Мета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5B01" w14:textId="589F1174" w:rsidR="00A6676B" w:rsidRPr="00EA6352" w:rsidRDefault="00A6676B" w:rsidP="003B75AD">
            <w:pPr>
              <w:jc w:val="both"/>
              <w:rPr>
                <w:color w:val="000000"/>
                <w:szCs w:val="24"/>
                <w:u w:val="single"/>
              </w:rPr>
            </w:pPr>
            <w:r w:rsidRPr="00EA6352">
              <w:rPr>
                <w:szCs w:val="24"/>
              </w:rPr>
              <w:t xml:space="preserve">засвоєння знань з </w:t>
            </w:r>
            <w:r>
              <w:rPr>
                <w:szCs w:val="24"/>
              </w:rPr>
              <w:t>дисципліни «Протидія кібернасильству»</w:t>
            </w:r>
            <w:r w:rsidRPr="00EA6352">
              <w:rPr>
                <w:szCs w:val="24"/>
              </w:rPr>
              <w:t xml:space="preserve"> для подальшого їх практичного використання; формування у здобувачів вищої освіти розуміння </w:t>
            </w:r>
            <w:r>
              <w:rPr>
                <w:szCs w:val="24"/>
              </w:rPr>
              <w:t>значення та різновидів кібернасильства</w:t>
            </w:r>
            <w:r w:rsidRPr="00EA6352">
              <w:rPr>
                <w:szCs w:val="24"/>
              </w:rPr>
              <w:t xml:space="preserve"> та навичок </w:t>
            </w:r>
            <w:r>
              <w:rPr>
                <w:szCs w:val="24"/>
              </w:rPr>
              <w:t xml:space="preserve">щодо виявлення та </w:t>
            </w:r>
            <w:r w:rsidRPr="00033EE6">
              <w:rPr>
                <w:szCs w:val="24"/>
              </w:rPr>
              <w:t>запобігання</w:t>
            </w:r>
            <w:r>
              <w:rPr>
                <w:szCs w:val="24"/>
              </w:rPr>
              <w:t xml:space="preserve"> кібернасильства</w:t>
            </w:r>
            <w:r w:rsidRPr="00EA6352">
              <w:rPr>
                <w:szCs w:val="24"/>
              </w:rPr>
              <w:t>.</w:t>
            </w:r>
          </w:p>
        </w:tc>
      </w:tr>
      <w:tr w:rsidR="00A6676B" w:rsidRPr="00EA6352" w14:paraId="6AF5CA04" w14:textId="77777777" w:rsidTr="003B75AD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4878" w14:textId="77777777" w:rsidR="00A6676B" w:rsidRPr="00EA6352" w:rsidRDefault="00A6676B" w:rsidP="003B75AD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B1C4" w14:textId="2C6440A8" w:rsidR="00A6676B" w:rsidRDefault="00A6676B" w:rsidP="001712A1">
            <w:pPr>
              <w:pStyle w:val="a3"/>
              <w:ind w:left="0"/>
              <w:jc w:val="both"/>
            </w:pPr>
            <w:r>
              <w:t>Знати:</w:t>
            </w:r>
          </w:p>
          <w:p w14:paraId="1D113F28" w14:textId="47C677F3" w:rsidR="00A6676B" w:rsidRPr="001712A1" w:rsidRDefault="00A40169" w:rsidP="001712A1">
            <w:pPr>
              <w:pStyle w:val="a3"/>
              <w:ind w:left="0"/>
              <w:jc w:val="both"/>
            </w:pPr>
            <w:r w:rsidRPr="001712A1">
              <w:t>- базові психологічні та соціальні категорії кібербезпеки особистості як частини інформаційної безпеки особистості;</w:t>
            </w:r>
          </w:p>
          <w:p w14:paraId="07A84018" w14:textId="77777777" w:rsidR="00AD5CEE" w:rsidRDefault="00C94724" w:rsidP="001712A1">
            <w:pPr>
              <w:pStyle w:val="a3"/>
              <w:ind w:left="0"/>
              <w:jc w:val="both"/>
            </w:pPr>
            <w:r>
              <w:t>- психологічн</w:t>
            </w:r>
            <w:r w:rsidR="00AD5CEE">
              <w:t>і</w:t>
            </w:r>
            <w:r>
              <w:t xml:space="preserve"> аспект</w:t>
            </w:r>
            <w:r w:rsidR="00AD5CEE">
              <w:t>и</w:t>
            </w:r>
            <w:r>
              <w:t xml:space="preserve"> взаємодії особистості з комп’ютерними та Інтернет-технологіями, міжособистісної взаємодії у віртуальному середовищі</w:t>
            </w:r>
            <w:r w:rsidR="00AD5CEE">
              <w:t>;</w:t>
            </w:r>
          </w:p>
          <w:p w14:paraId="3AA70B0D" w14:textId="77777777" w:rsidR="00AD5CEE" w:rsidRDefault="00C94724" w:rsidP="001712A1">
            <w:pPr>
              <w:pStyle w:val="a3"/>
              <w:ind w:left="0"/>
              <w:jc w:val="both"/>
            </w:pPr>
            <w:r>
              <w:t xml:space="preserve">- </w:t>
            </w:r>
            <w:r w:rsidR="00AD5CEE">
              <w:t xml:space="preserve">особливості випливу </w:t>
            </w:r>
            <w:r>
              <w:t xml:space="preserve">факторів віртуального середовища на людину у координатах: індивід, особистість, індивідуальність; </w:t>
            </w:r>
          </w:p>
          <w:p w14:paraId="5ABE8011" w14:textId="035171C5" w:rsidR="00AD5CEE" w:rsidRDefault="00C94724" w:rsidP="001712A1">
            <w:pPr>
              <w:pStyle w:val="a3"/>
              <w:ind w:left="0"/>
              <w:jc w:val="both"/>
            </w:pPr>
            <w:r>
              <w:t>- особливост</w:t>
            </w:r>
            <w:r w:rsidR="00AD5CEE">
              <w:t>і</w:t>
            </w:r>
            <w:r>
              <w:t xml:space="preserve"> спілкування, діяльності, взаємодії, комунікації у віртуальному просторі</w:t>
            </w:r>
            <w:r w:rsidR="00AD5CEE">
              <w:t>.</w:t>
            </w:r>
          </w:p>
          <w:p w14:paraId="2FDD41A8" w14:textId="093B5DE5" w:rsidR="00A6676B" w:rsidRDefault="00A6676B" w:rsidP="001712A1">
            <w:pPr>
              <w:pStyle w:val="a3"/>
              <w:ind w:left="0"/>
              <w:jc w:val="both"/>
            </w:pPr>
            <w:r>
              <w:t>Вміти:</w:t>
            </w:r>
          </w:p>
          <w:p w14:paraId="0BDE2501" w14:textId="49959300" w:rsidR="00735E0E" w:rsidRDefault="00A40169" w:rsidP="001712A1">
            <w:pPr>
              <w:pStyle w:val="a3"/>
              <w:ind w:left="0"/>
              <w:jc w:val="both"/>
            </w:pPr>
            <w:r w:rsidRPr="001712A1">
              <w:t xml:space="preserve">- </w:t>
            </w:r>
            <w:r w:rsidR="00735E0E">
              <w:t>а</w:t>
            </w:r>
            <w:r w:rsidR="00735E0E" w:rsidRPr="004946DC">
              <w:rPr>
                <w:szCs w:val="24"/>
              </w:rPr>
              <w:t>наліз</w:t>
            </w:r>
            <w:r w:rsidR="00735E0E">
              <w:rPr>
                <w:szCs w:val="24"/>
              </w:rPr>
              <w:t>увати</w:t>
            </w:r>
            <w:r w:rsidR="00735E0E" w:rsidRPr="004946DC">
              <w:rPr>
                <w:szCs w:val="24"/>
              </w:rPr>
              <w:t xml:space="preserve"> психологічних першоджерел</w:t>
            </w:r>
            <w:r w:rsidR="00735E0E">
              <w:rPr>
                <w:szCs w:val="24"/>
              </w:rPr>
              <w:t>а</w:t>
            </w:r>
            <w:r w:rsidR="00735E0E" w:rsidRPr="004946DC">
              <w:rPr>
                <w:szCs w:val="24"/>
              </w:rPr>
              <w:t xml:space="preserve"> (літератур</w:t>
            </w:r>
            <w:r w:rsidR="00735E0E">
              <w:rPr>
                <w:szCs w:val="24"/>
              </w:rPr>
              <w:t>у</w:t>
            </w:r>
            <w:r w:rsidR="00735E0E" w:rsidRPr="004946DC">
              <w:rPr>
                <w:szCs w:val="24"/>
              </w:rPr>
              <w:t>)</w:t>
            </w:r>
            <w:r w:rsidR="00735E0E">
              <w:rPr>
                <w:szCs w:val="24"/>
              </w:rPr>
              <w:t xml:space="preserve">, </w:t>
            </w:r>
            <w:r w:rsidR="00D412CF">
              <w:rPr>
                <w:szCs w:val="24"/>
              </w:rPr>
              <w:t>з</w:t>
            </w:r>
            <w:r w:rsidR="00D412CF" w:rsidRPr="004946DC">
              <w:rPr>
                <w:szCs w:val="24"/>
              </w:rPr>
              <w:t>бир</w:t>
            </w:r>
            <w:r w:rsidR="00D412CF">
              <w:rPr>
                <w:szCs w:val="24"/>
              </w:rPr>
              <w:t>ати</w:t>
            </w:r>
            <w:r w:rsidR="00735E0E" w:rsidRPr="004946DC">
              <w:rPr>
                <w:szCs w:val="24"/>
              </w:rPr>
              <w:t>, оброб</w:t>
            </w:r>
            <w:r w:rsidR="00735E0E">
              <w:rPr>
                <w:szCs w:val="24"/>
              </w:rPr>
              <w:t>ляти</w:t>
            </w:r>
            <w:r w:rsidR="00735E0E" w:rsidRPr="004946DC">
              <w:rPr>
                <w:szCs w:val="24"/>
              </w:rPr>
              <w:t xml:space="preserve"> та інтерпрет</w:t>
            </w:r>
            <w:r w:rsidR="00735E0E">
              <w:rPr>
                <w:szCs w:val="24"/>
              </w:rPr>
              <w:t>увати</w:t>
            </w:r>
            <w:r w:rsidR="00735E0E" w:rsidRPr="004946DC">
              <w:rPr>
                <w:szCs w:val="24"/>
              </w:rPr>
              <w:t xml:space="preserve"> психологічн</w:t>
            </w:r>
            <w:r w:rsidR="00735E0E">
              <w:rPr>
                <w:szCs w:val="24"/>
              </w:rPr>
              <w:t>у</w:t>
            </w:r>
            <w:r w:rsidR="00735E0E" w:rsidRPr="004946DC">
              <w:rPr>
                <w:szCs w:val="24"/>
              </w:rPr>
              <w:t xml:space="preserve"> інформаці</w:t>
            </w:r>
            <w:r w:rsidR="00735E0E">
              <w:rPr>
                <w:szCs w:val="24"/>
              </w:rPr>
              <w:t>ю</w:t>
            </w:r>
            <w:r w:rsidR="00735E0E" w:rsidRPr="004946DC">
              <w:rPr>
                <w:szCs w:val="24"/>
              </w:rPr>
              <w:t>;</w:t>
            </w:r>
          </w:p>
          <w:p w14:paraId="287C9FAC" w14:textId="3A5F65BC" w:rsidR="00A40169" w:rsidRDefault="00735E0E" w:rsidP="001712A1">
            <w:pPr>
              <w:pStyle w:val="a3"/>
              <w:ind w:left="0"/>
              <w:jc w:val="both"/>
            </w:pPr>
            <w:r>
              <w:t xml:space="preserve">- </w:t>
            </w:r>
            <w:r w:rsidR="00A40169" w:rsidRPr="001712A1">
              <w:t>використ</w:t>
            </w:r>
            <w:r w:rsidR="001712A1" w:rsidRPr="001712A1">
              <w:t>овувати</w:t>
            </w:r>
            <w:r w:rsidR="00A40169" w:rsidRPr="001712A1">
              <w:t xml:space="preserve"> основн</w:t>
            </w:r>
            <w:r w:rsidR="001712A1" w:rsidRPr="001712A1">
              <w:t>і</w:t>
            </w:r>
            <w:r w:rsidR="00A40169" w:rsidRPr="001712A1">
              <w:t xml:space="preserve"> елемент</w:t>
            </w:r>
            <w:r w:rsidR="001712A1" w:rsidRPr="001712A1">
              <w:t>и</w:t>
            </w:r>
            <w:r w:rsidR="00A40169" w:rsidRPr="001712A1">
              <w:t xml:space="preserve"> та принцип</w:t>
            </w:r>
            <w:r w:rsidR="001712A1" w:rsidRPr="001712A1">
              <w:t>и</w:t>
            </w:r>
            <w:r w:rsidR="00A40169" w:rsidRPr="001712A1">
              <w:t xml:space="preserve"> медіа-безпеки, механізми її забезпечення у життєдіяльності особистості;</w:t>
            </w:r>
          </w:p>
          <w:p w14:paraId="78CEB4CF" w14:textId="3AD86B05" w:rsidR="001B26D0" w:rsidRPr="001712A1" w:rsidRDefault="001B26D0" w:rsidP="001712A1">
            <w:pPr>
              <w:pStyle w:val="a3"/>
              <w:ind w:left="0"/>
              <w:jc w:val="both"/>
            </w:pPr>
            <w:r w:rsidRPr="001B26D0">
              <w:t>- пояснювати психічні явища, ідентифікувати психологічні проблеми та пропонувати шляхи їх розв’язання у кіберпросторі</w:t>
            </w:r>
            <w:r>
              <w:t>;</w:t>
            </w:r>
          </w:p>
          <w:p w14:paraId="28A92737" w14:textId="40F196A6" w:rsidR="001712A1" w:rsidRPr="001B26D0" w:rsidRDefault="001712A1" w:rsidP="001712A1">
            <w:pPr>
              <w:pStyle w:val="a3"/>
              <w:ind w:left="0"/>
              <w:jc w:val="both"/>
            </w:pPr>
            <w:r w:rsidRPr="001B26D0">
              <w:t>- самостійно аналізувати загроз</w:t>
            </w:r>
            <w:r w:rsidR="001B26D0" w:rsidRPr="001B26D0">
              <w:t>и</w:t>
            </w:r>
            <w:r w:rsidRPr="001B26D0">
              <w:t xml:space="preserve"> медіа-безпеки особистості; </w:t>
            </w:r>
          </w:p>
          <w:p w14:paraId="6F5D4FDB" w14:textId="520F74CC" w:rsidR="00735E0E" w:rsidRPr="001B26D0" w:rsidRDefault="00735E0E" w:rsidP="00735E0E">
            <w:pPr>
              <w:pStyle w:val="a3"/>
              <w:ind w:left="0"/>
              <w:jc w:val="both"/>
            </w:pPr>
            <w:r w:rsidRPr="001B26D0">
              <w:t>- вміти застосувати отримані знання і навички у конкретних ситуаціях</w:t>
            </w:r>
            <w:r w:rsidR="001B26D0">
              <w:t>;</w:t>
            </w:r>
          </w:p>
          <w:p w14:paraId="7032805C" w14:textId="1AB72E4E" w:rsidR="00A6676B" w:rsidRPr="004946DC" w:rsidRDefault="00735E0E" w:rsidP="001712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6676B" w:rsidRPr="004946DC">
              <w:rPr>
                <w:szCs w:val="24"/>
              </w:rPr>
              <w:t>аргументовано викла</w:t>
            </w:r>
            <w:r>
              <w:rPr>
                <w:szCs w:val="24"/>
              </w:rPr>
              <w:t>дати</w:t>
            </w:r>
            <w:r w:rsidR="00A6676B" w:rsidRPr="004946DC">
              <w:rPr>
                <w:szCs w:val="24"/>
              </w:rPr>
              <w:t xml:space="preserve"> власні погляди на </w:t>
            </w:r>
            <w:r w:rsidR="00A6676B" w:rsidRPr="004946DC">
              <w:rPr>
                <w:color w:val="000000" w:themeColor="text1"/>
                <w:szCs w:val="24"/>
              </w:rPr>
              <w:t>актуальні проблеми психології кібер</w:t>
            </w:r>
            <w:r>
              <w:rPr>
                <w:color w:val="000000" w:themeColor="text1"/>
                <w:szCs w:val="24"/>
              </w:rPr>
              <w:t>насильства</w:t>
            </w:r>
            <w:r w:rsidR="00A6676B" w:rsidRPr="004946DC">
              <w:rPr>
                <w:color w:val="000000" w:themeColor="text1"/>
                <w:szCs w:val="24"/>
              </w:rPr>
              <w:t>, аналізувати причини кібер</w:t>
            </w:r>
            <w:r>
              <w:rPr>
                <w:color w:val="000000" w:themeColor="text1"/>
                <w:szCs w:val="24"/>
              </w:rPr>
              <w:t>насильства</w:t>
            </w:r>
            <w:r w:rsidR="00A6676B" w:rsidRPr="004946DC">
              <w:rPr>
                <w:color w:val="000000" w:themeColor="text1"/>
                <w:szCs w:val="24"/>
              </w:rPr>
              <w:t xml:space="preserve"> та можливі небезпеки, які в</w:t>
            </w:r>
            <w:r>
              <w:rPr>
                <w:color w:val="000000" w:themeColor="text1"/>
                <w:szCs w:val="24"/>
              </w:rPr>
              <w:t xml:space="preserve">оно </w:t>
            </w:r>
            <w:r w:rsidR="00A6676B" w:rsidRPr="004946DC">
              <w:rPr>
                <w:color w:val="000000" w:themeColor="text1"/>
                <w:szCs w:val="24"/>
              </w:rPr>
              <w:t>несе</w:t>
            </w:r>
            <w:r w:rsidR="00A6676B" w:rsidRPr="004946DC">
              <w:rPr>
                <w:szCs w:val="24"/>
              </w:rPr>
              <w:t>;</w:t>
            </w:r>
          </w:p>
          <w:p w14:paraId="4CCB3D15" w14:textId="367B9527" w:rsidR="00A6676B" w:rsidRDefault="00735E0E" w:rsidP="001712A1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 д</w:t>
            </w:r>
            <w:r w:rsidR="00A6676B" w:rsidRPr="004946DC">
              <w:rPr>
                <w:color w:val="000000" w:themeColor="text1"/>
                <w:szCs w:val="24"/>
                <w:lang w:eastAsia="ru-RU"/>
              </w:rPr>
              <w:t>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      </w:r>
            <w:r w:rsidR="001B26D0">
              <w:rPr>
                <w:color w:val="000000" w:themeColor="text1"/>
                <w:szCs w:val="24"/>
                <w:lang w:eastAsia="ru-RU"/>
              </w:rPr>
              <w:t>;</w:t>
            </w:r>
          </w:p>
          <w:p w14:paraId="5E4923BD" w14:textId="299687CA" w:rsidR="004946DC" w:rsidRPr="001B26D0" w:rsidRDefault="001B26D0" w:rsidP="001B26D0">
            <w:pPr>
              <w:jc w:val="both"/>
              <w:rPr>
                <w:color w:val="000000" w:themeColor="text1"/>
                <w:szCs w:val="24"/>
                <w:lang w:eastAsia="ru-RU"/>
              </w:rPr>
            </w:pPr>
            <w:r w:rsidRPr="001B26D0">
              <w:rPr>
                <w:color w:val="000000" w:themeColor="text1"/>
                <w:szCs w:val="24"/>
                <w:lang w:eastAsia="ru-RU"/>
              </w:rPr>
              <w:t xml:space="preserve">- </w:t>
            </w:r>
            <w:r w:rsidRPr="001B26D0">
              <w:rPr>
                <w:color w:val="000000" w:themeColor="text1"/>
                <w:lang w:eastAsia="ru-RU"/>
              </w:rPr>
              <w:t>з</w:t>
            </w:r>
            <w:r w:rsidRPr="001B26D0">
              <w:t>дійснювати пошук інформації із використанням інформаційно-комунікаційних технологій для вирішення психологічних завдань у кіберпросторі.</w:t>
            </w:r>
          </w:p>
          <w:p w14:paraId="0B62DE46" w14:textId="6D9C8B3D" w:rsidR="00A6676B" w:rsidRPr="00EA6352" w:rsidRDefault="00A6676B" w:rsidP="001712A1">
            <w:pPr>
              <w:jc w:val="both"/>
              <w:rPr>
                <w:szCs w:val="24"/>
                <w:lang w:eastAsia="ru-RU"/>
              </w:rPr>
            </w:pPr>
          </w:p>
        </w:tc>
      </w:tr>
    </w:tbl>
    <w:p w14:paraId="7253EA32" w14:textId="77777777" w:rsidR="00A6676B" w:rsidRPr="00EA6352" w:rsidRDefault="00A6676B" w:rsidP="00A6676B">
      <w:pPr>
        <w:spacing w:line="276" w:lineRule="auto"/>
        <w:ind w:left="3119" w:hanging="3119"/>
        <w:jc w:val="center"/>
        <w:rPr>
          <w:b/>
          <w:szCs w:val="24"/>
        </w:rPr>
      </w:pPr>
      <w:r w:rsidRPr="00EA6352">
        <w:rPr>
          <w:b/>
          <w:szCs w:val="24"/>
        </w:rPr>
        <w:t>Мета курсу (набуті компетентності)</w:t>
      </w:r>
    </w:p>
    <w:p w14:paraId="184C6BFD" w14:textId="77777777" w:rsidR="00A6676B" w:rsidRPr="00EA6352" w:rsidRDefault="00A6676B" w:rsidP="00A6676B">
      <w:pPr>
        <w:spacing w:line="276" w:lineRule="auto"/>
        <w:ind w:firstLine="709"/>
        <w:jc w:val="both"/>
        <w:rPr>
          <w:szCs w:val="24"/>
        </w:rPr>
      </w:pPr>
      <w:r w:rsidRPr="00EA6352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46D78B12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14:paraId="55FF1A4A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2. </w:t>
      </w:r>
      <w:r w:rsidRPr="00EA6352">
        <w:rPr>
          <w:szCs w:val="24"/>
        </w:rPr>
        <w:t>Здатність розуміти та сприймати етичні норми поведінки відносно інших людей і відносно природи;</w:t>
      </w:r>
    </w:p>
    <w:p w14:paraId="36A0602D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3. Вирішувати етичні дилеми з опорою на норми закону, етичні принципи та загальнолюдські цінності. </w:t>
      </w:r>
    </w:p>
    <w:p w14:paraId="41966947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4. Здійснювати аналітичний пошук відповідної до сформульованої проблеми наукової інформації та оцінювати її за критеріями адекватності.</w:t>
      </w:r>
    </w:p>
    <w:p w14:paraId="425194D8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lastRenderedPageBreak/>
        <w:t xml:space="preserve">5. Здійснювати адаптацію та модифікацію існуючих наукових підходів і методів до конкретних ситуацій професійної діяльності. </w:t>
      </w:r>
    </w:p>
    <w:p w14:paraId="4EC80A52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їх розв’язання.</w:t>
      </w:r>
    </w:p>
    <w:p w14:paraId="6B40BC2F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6. Формулювати думку логічно, доступно, дискутувати,  обстоювати власну позицію, модифікувати висловлювання відповідно до культуральних особливостей співрозмовника.</w:t>
      </w:r>
    </w:p>
    <w:p w14:paraId="2D805375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7. Взаємодіяти, вступати у комунікацію, бути зрозумілим, толерантно ставитися до осіб, що мають інші культуральні чи гендерно-вікові відмінності.</w:t>
      </w:r>
    </w:p>
    <w:p w14:paraId="2F0E7710" w14:textId="77777777" w:rsidR="00A6676B" w:rsidRPr="00EA6352" w:rsidRDefault="00A6676B" w:rsidP="00A6676B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8.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14:paraId="7A6BCB76" w14:textId="77777777" w:rsidR="004946DC" w:rsidRDefault="004946DC" w:rsidP="00A6676B">
      <w:pPr>
        <w:jc w:val="both"/>
      </w:pPr>
    </w:p>
    <w:p w14:paraId="192F6DA6" w14:textId="77777777" w:rsidR="00A6676B" w:rsidRPr="00EA6352" w:rsidRDefault="00A6676B" w:rsidP="00A6676B">
      <w:pPr>
        <w:spacing w:line="276" w:lineRule="auto"/>
        <w:ind w:left="3119" w:hanging="3119"/>
        <w:jc w:val="center"/>
        <w:rPr>
          <w:b/>
          <w:szCs w:val="24"/>
        </w:rPr>
      </w:pPr>
      <w:r w:rsidRPr="00EA6352">
        <w:rPr>
          <w:b/>
          <w:szCs w:val="24"/>
        </w:rPr>
        <w:t>Структура курсу</w:t>
      </w:r>
    </w:p>
    <w:p w14:paraId="4B8E38D8" w14:textId="77777777" w:rsidR="00A6676B" w:rsidRPr="00EA6352" w:rsidRDefault="00A6676B" w:rsidP="00A6676B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A6676B" w:rsidRPr="00EA6352" w14:paraId="1D0CC0B9" w14:textId="77777777" w:rsidTr="003B75A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2A279182" w14:textId="77777777" w:rsidR="00A6676B" w:rsidRPr="00EA6352" w:rsidRDefault="00A6676B" w:rsidP="003B75AD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4B05F64D" w14:textId="77777777" w:rsidR="00A6676B" w:rsidRPr="00EA6352" w:rsidRDefault="00A6676B" w:rsidP="003B75AD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3EC6CC27" w14:textId="77777777" w:rsidR="00A6676B" w:rsidRPr="00EA6352" w:rsidRDefault="00A6676B" w:rsidP="003B75AD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6B92C863" w14:textId="77777777" w:rsidR="00A6676B" w:rsidRPr="00EA6352" w:rsidRDefault="00A6676B" w:rsidP="003B75AD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91E5E18" w14:textId="77777777" w:rsidR="00A6676B" w:rsidRPr="00EA6352" w:rsidRDefault="00A6676B" w:rsidP="003B75AD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Інструменти і завдання</w:t>
            </w:r>
          </w:p>
        </w:tc>
      </w:tr>
      <w:tr w:rsidR="00A6676B" w:rsidRPr="00EA6352" w14:paraId="35F655E6" w14:textId="77777777" w:rsidTr="003B75AD">
        <w:tc>
          <w:tcPr>
            <w:tcW w:w="407" w:type="dxa"/>
            <w:shd w:val="clear" w:color="auto" w:fill="auto"/>
          </w:tcPr>
          <w:p w14:paraId="0D4A3261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  <w:r w:rsidRPr="00EA6352">
              <w:rPr>
                <w:sz w:val="20"/>
              </w:rPr>
              <w:t>--</w:t>
            </w:r>
          </w:p>
        </w:tc>
        <w:tc>
          <w:tcPr>
            <w:tcW w:w="2536" w:type="dxa"/>
            <w:shd w:val="clear" w:color="auto" w:fill="auto"/>
          </w:tcPr>
          <w:p w14:paraId="727B7D6A" w14:textId="337CF08D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Теоретико-правовий аспек</w:t>
            </w:r>
            <w:r w:rsidR="00E429E4">
              <w:rPr>
                <w:szCs w:val="24"/>
              </w:rPr>
              <w:t>т</w:t>
            </w:r>
            <w:r w:rsidRPr="001B26D0">
              <w:rPr>
                <w:szCs w:val="24"/>
              </w:rPr>
              <w:t xml:space="preserve"> кібернасильства: поняття та зміст.</w:t>
            </w:r>
          </w:p>
          <w:p w14:paraId="068744F8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3D1D96" w14:textId="64B5691C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69DAEF7E" w14:textId="70FE6A33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  <w:lang w:val="en-US"/>
              </w:rPr>
              <w:t>4</w:t>
            </w:r>
            <w:r w:rsidRPr="001B26D0">
              <w:rPr>
                <w:szCs w:val="24"/>
              </w:rPr>
              <w:t>/0/</w:t>
            </w:r>
            <w:r w:rsidR="001B26D0" w:rsidRPr="001B26D0">
              <w:rPr>
                <w:szCs w:val="24"/>
              </w:rPr>
              <w:t>2</w:t>
            </w:r>
          </w:p>
          <w:p w14:paraId="40241C66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</w:p>
          <w:p w14:paraId="4462569D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0E6DA282" w14:textId="0BA18B8C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F00027C" w14:textId="77777777" w:rsidR="00A6676B" w:rsidRPr="001B26D0" w:rsidRDefault="00A6676B" w:rsidP="001B26D0">
            <w:pPr>
              <w:jc w:val="both"/>
              <w:rPr>
                <w:b/>
                <w:szCs w:val="24"/>
              </w:rPr>
            </w:pPr>
            <w:r w:rsidRPr="001B26D0">
              <w:rPr>
                <w:szCs w:val="24"/>
              </w:rPr>
              <w:t xml:space="preserve">Поняття «насильства», його різновиди. </w:t>
            </w:r>
            <w:r w:rsidRPr="001B26D0">
              <w:rPr>
                <w:color w:val="000000" w:themeColor="text1"/>
                <w:szCs w:val="24"/>
              </w:rPr>
              <w:t xml:space="preserve">Поняття  «кібербулінгу». </w:t>
            </w:r>
          </w:p>
          <w:p w14:paraId="5E6C1DCC" w14:textId="24B79FDF" w:rsidR="00A6676B" w:rsidRPr="001B26D0" w:rsidRDefault="00A6676B" w:rsidP="001B26D0">
            <w:pPr>
              <w:jc w:val="both"/>
              <w:rPr>
                <w:b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Різновиди небезпеки, яку несе кібербулінг.</w:t>
            </w:r>
            <w:r w:rsidRPr="001B26D0">
              <w:rPr>
                <w:b/>
                <w:szCs w:val="24"/>
                <w:lang w:val="ru-RU"/>
              </w:rPr>
              <w:t xml:space="preserve"> </w:t>
            </w:r>
            <w:r w:rsidRPr="001B26D0">
              <w:rPr>
                <w:color w:val="000000" w:themeColor="text1"/>
                <w:szCs w:val="24"/>
              </w:rPr>
              <w:t xml:space="preserve">Етапи виникнення кібербулінгу. Шляхи  виявлення кібербулінгу. </w:t>
            </w:r>
            <w:r w:rsidRPr="001B26D0">
              <w:rPr>
                <w:szCs w:val="24"/>
              </w:rPr>
              <w:t>Загальна типологізація кібербулінгу, як загрози психологічній та соціальній безпеці особистості.</w:t>
            </w:r>
            <w:r w:rsidRPr="00E429E4">
              <w:rPr>
                <w:b/>
                <w:szCs w:val="24"/>
              </w:rPr>
              <w:t xml:space="preserve"> </w:t>
            </w:r>
            <w:r w:rsidRPr="001B26D0">
              <w:rPr>
                <w:szCs w:val="24"/>
              </w:rPr>
              <w:t>Соціальні мережі, як простір кібербулінгу.</w:t>
            </w:r>
          </w:p>
        </w:tc>
        <w:tc>
          <w:tcPr>
            <w:tcW w:w="1972" w:type="dxa"/>
            <w:shd w:val="clear" w:color="auto" w:fill="auto"/>
          </w:tcPr>
          <w:p w14:paraId="74BFF146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0298064A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D36021A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  <w:p w14:paraId="3BFB6249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</w:tr>
      <w:tr w:rsidR="00A6676B" w:rsidRPr="00EA6352" w14:paraId="3DAC3446" w14:textId="77777777" w:rsidTr="003B75AD">
        <w:tc>
          <w:tcPr>
            <w:tcW w:w="407" w:type="dxa"/>
            <w:shd w:val="clear" w:color="auto" w:fill="auto"/>
          </w:tcPr>
          <w:p w14:paraId="464A280E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5EF7036" w14:textId="37E7050B" w:rsidR="00A6676B" w:rsidRPr="001B26D0" w:rsidRDefault="00A6676B" w:rsidP="001B26D0">
            <w:pPr>
              <w:shd w:val="clear" w:color="auto" w:fill="FFFFFF"/>
              <w:jc w:val="both"/>
              <w:outlineLvl w:val="2"/>
              <w:rPr>
                <w:szCs w:val="24"/>
              </w:rPr>
            </w:pPr>
            <w:r w:rsidRPr="001B26D0">
              <w:rPr>
                <w:color w:val="000000"/>
                <w:szCs w:val="24"/>
              </w:rPr>
              <w:t>Булінг</w:t>
            </w:r>
            <w:r w:rsidR="00E429E4">
              <w:rPr>
                <w:color w:val="000000"/>
                <w:szCs w:val="24"/>
              </w:rPr>
              <w:t xml:space="preserve"> </w:t>
            </w:r>
            <w:r w:rsidRPr="001B26D0">
              <w:rPr>
                <w:color w:val="000000"/>
                <w:szCs w:val="24"/>
              </w:rPr>
              <w:t>(кібербулінг) як явище, його форми та учасники</w:t>
            </w:r>
            <w:r w:rsidRPr="001B26D0">
              <w:rPr>
                <w:szCs w:val="24"/>
              </w:rPr>
              <w:t>.</w:t>
            </w:r>
          </w:p>
          <w:p w14:paraId="6DB09A43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6AAA30" w14:textId="28E7D0AD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320AD304" w14:textId="1E8E47F1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2/0/</w:t>
            </w:r>
            <w:r w:rsidR="001B26D0" w:rsidRPr="001B26D0">
              <w:rPr>
                <w:szCs w:val="24"/>
              </w:rPr>
              <w:t>1</w:t>
            </w:r>
          </w:p>
          <w:p w14:paraId="2128B9E1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</w:p>
          <w:p w14:paraId="326FBBDD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2B1AE398" w14:textId="0386DFEF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199FD62" w14:textId="77777777" w:rsidR="00A6676B" w:rsidRPr="001B26D0" w:rsidRDefault="00A6676B" w:rsidP="001B26D0">
            <w:pPr>
              <w:spacing w:after="200"/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Відмінність кібербулінгу від інших видів насильства. Форми булінгу за класифікацією Ненсі Виллард. Класифікація причин кібербулінгу.  Жертви булінгу.</w:t>
            </w:r>
          </w:p>
          <w:p w14:paraId="4B9A7729" w14:textId="77777777" w:rsidR="00A6676B" w:rsidRPr="001B26D0" w:rsidRDefault="00A6676B" w:rsidP="001B26D0">
            <w:pPr>
              <w:shd w:val="clear" w:color="auto" w:fill="FFFFFF"/>
              <w:jc w:val="both"/>
              <w:outlineLvl w:val="2"/>
              <w:rPr>
                <w:color w:val="000000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7FDA4292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7338E3B5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68847C94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3351ED09" w14:textId="77777777" w:rsidTr="003B75AD">
        <w:tc>
          <w:tcPr>
            <w:tcW w:w="407" w:type="dxa"/>
            <w:shd w:val="clear" w:color="auto" w:fill="auto"/>
          </w:tcPr>
          <w:p w14:paraId="125E3A99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3FAB8E7" w14:textId="77777777" w:rsidR="00A6676B" w:rsidRPr="001B26D0" w:rsidRDefault="00A6676B" w:rsidP="001B26D0">
            <w:pPr>
              <w:jc w:val="both"/>
              <w:rPr>
                <w:color w:val="000000" w:themeColor="text1"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Небезпека кібернасильства.</w:t>
            </w:r>
          </w:p>
          <w:p w14:paraId="04944E0A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41DA7" w14:textId="08D44873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102EF2F6" w14:textId="603D3C03" w:rsidR="00A6676B" w:rsidRPr="001B26D0" w:rsidRDefault="00A6676B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2/0/</w:t>
            </w:r>
            <w:r w:rsidRPr="001B26D0">
              <w:rPr>
                <w:szCs w:val="24"/>
                <w:lang w:val="en-US"/>
              </w:rPr>
              <w:t>2</w:t>
            </w:r>
          </w:p>
          <w:p w14:paraId="441A165F" w14:textId="77777777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</w:p>
          <w:p w14:paraId="5EE49355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48827A1F" w14:textId="01F5036B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093E2B5" w14:textId="563B7966" w:rsidR="00A6676B" w:rsidRPr="001B26D0" w:rsidRDefault="00E429E4" w:rsidP="001B26D0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6676B" w:rsidRPr="001B26D0">
              <w:rPr>
                <w:szCs w:val="24"/>
              </w:rPr>
              <w:t>собливості і форми прояву кібернасильства.</w:t>
            </w:r>
            <w:r w:rsidR="00A6676B" w:rsidRPr="001B26D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У</w:t>
            </w:r>
            <w:r w:rsidR="00A6676B" w:rsidRPr="001B26D0">
              <w:rPr>
                <w:szCs w:val="24"/>
              </w:rPr>
              <w:t>часники кібернасильства.</w:t>
            </w:r>
            <w:r w:rsidR="00A6676B" w:rsidRPr="001B26D0">
              <w:rPr>
                <w:szCs w:val="24"/>
                <w:lang w:val="ru-RU"/>
              </w:rPr>
              <w:t xml:space="preserve"> </w:t>
            </w:r>
            <w:r w:rsidR="00A6676B" w:rsidRPr="001B26D0">
              <w:rPr>
                <w:szCs w:val="24"/>
              </w:rPr>
              <w:t>Наслідки кібернасильства.</w:t>
            </w:r>
            <w:r w:rsidR="00A6676B" w:rsidRPr="001B26D0">
              <w:rPr>
                <w:szCs w:val="24"/>
                <w:lang w:val="ru-RU"/>
              </w:rPr>
              <w:t xml:space="preserve"> </w:t>
            </w:r>
            <w:r w:rsidR="00A6676B" w:rsidRPr="001B26D0">
              <w:rPr>
                <w:szCs w:val="24"/>
              </w:rPr>
              <w:t>Значення кібербулінгу для жертви та агресора.</w:t>
            </w:r>
          </w:p>
          <w:p w14:paraId="546D25BA" w14:textId="77777777" w:rsidR="00A6676B" w:rsidRPr="001B26D0" w:rsidRDefault="00A6676B" w:rsidP="001B26D0">
            <w:pPr>
              <w:shd w:val="clear" w:color="auto" w:fill="FFFFFF"/>
              <w:jc w:val="both"/>
              <w:outlineLvl w:val="2"/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7A4D2097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7BE840C1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8092EB7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6D8AB137" w14:textId="77777777" w:rsidTr="003B75AD">
        <w:tc>
          <w:tcPr>
            <w:tcW w:w="407" w:type="dxa"/>
            <w:shd w:val="clear" w:color="auto" w:fill="auto"/>
          </w:tcPr>
          <w:p w14:paraId="68FF41D7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38DD190" w14:textId="7FE43AEE" w:rsidR="00A6676B" w:rsidRPr="001B26D0" w:rsidRDefault="00A6676B" w:rsidP="001B26D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B26D0">
              <w:rPr>
                <w:szCs w:val="24"/>
              </w:rPr>
              <w:t xml:space="preserve">Причини та явища, </w:t>
            </w:r>
            <w:r w:rsidR="001B26D0" w:rsidRPr="001B26D0">
              <w:rPr>
                <w:szCs w:val="24"/>
              </w:rPr>
              <w:t xml:space="preserve">що </w:t>
            </w:r>
            <w:r w:rsidRPr="001B26D0">
              <w:rPr>
                <w:szCs w:val="24"/>
              </w:rPr>
              <w:t>сприя</w:t>
            </w:r>
            <w:r w:rsidR="001B26D0" w:rsidRPr="001B26D0">
              <w:rPr>
                <w:szCs w:val="24"/>
              </w:rPr>
              <w:t xml:space="preserve">ють </w:t>
            </w:r>
            <w:r w:rsidRPr="001B26D0">
              <w:rPr>
                <w:szCs w:val="24"/>
              </w:rPr>
              <w:t>кібербулінгу</w:t>
            </w:r>
            <w:r w:rsidRPr="001B26D0">
              <w:rPr>
                <w:color w:val="000000" w:themeColor="text1"/>
                <w:szCs w:val="24"/>
              </w:rPr>
              <w:t>.</w:t>
            </w:r>
          </w:p>
          <w:p w14:paraId="12AD4FD7" w14:textId="77777777" w:rsidR="00A6676B" w:rsidRPr="001B26D0" w:rsidRDefault="00A6676B" w:rsidP="001B26D0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C618F5" w14:textId="6567B24A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479E1F45" w14:textId="52EC214B" w:rsidR="00A6676B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4</w:t>
            </w:r>
            <w:r w:rsidR="00A6676B" w:rsidRPr="001B26D0">
              <w:rPr>
                <w:szCs w:val="24"/>
              </w:rPr>
              <w:t>/0/</w:t>
            </w:r>
            <w:r w:rsidRPr="001B26D0">
              <w:rPr>
                <w:szCs w:val="24"/>
              </w:rPr>
              <w:t>1</w:t>
            </w:r>
          </w:p>
          <w:p w14:paraId="7A91F64C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</w:p>
          <w:p w14:paraId="4CA2C376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1DDCAC5F" w14:textId="1B315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5CD7401" w14:textId="096E5058" w:rsidR="00A6676B" w:rsidRPr="001B26D0" w:rsidRDefault="00A6676B" w:rsidP="001B26D0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Перелік основних причин к</w:t>
            </w:r>
            <w:r w:rsidR="00E429E4">
              <w:rPr>
                <w:color w:val="000000" w:themeColor="text1"/>
                <w:szCs w:val="24"/>
              </w:rPr>
              <w:t>і</w:t>
            </w:r>
            <w:r w:rsidRPr="001B26D0">
              <w:rPr>
                <w:color w:val="000000" w:themeColor="text1"/>
                <w:szCs w:val="24"/>
              </w:rPr>
              <w:t>бербулінгу.</w:t>
            </w:r>
            <w:r w:rsidRPr="001B26D0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B26D0">
              <w:rPr>
                <w:color w:val="000000" w:themeColor="text1"/>
                <w:szCs w:val="24"/>
              </w:rPr>
              <w:t>Сприятливі умови для прояву кібербулінгу</w:t>
            </w:r>
            <w:r w:rsidRPr="001B26D0">
              <w:rPr>
                <w:color w:val="000000"/>
                <w:szCs w:val="24"/>
              </w:rPr>
              <w:t>.</w:t>
            </w:r>
          </w:p>
          <w:p w14:paraId="25E82CBF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570961D1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1DFA853D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2ED647BC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6149614F" w14:textId="77777777" w:rsidTr="003B75AD">
        <w:tc>
          <w:tcPr>
            <w:tcW w:w="407" w:type="dxa"/>
            <w:shd w:val="clear" w:color="auto" w:fill="auto"/>
          </w:tcPr>
          <w:p w14:paraId="7CBD747A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B2A62EF" w14:textId="77777777" w:rsidR="00A6676B" w:rsidRPr="001B26D0" w:rsidRDefault="00A6676B" w:rsidP="001B26D0">
            <w:pPr>
              <w:jc w:val="both"/>
              <w:rPr>
                <w:color w:val="000000" w:themeColor="text1"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Рольова структура кібербулінгу.</w:t>
            </w:r>
          </w:p>
          <w:p w14:paraId="742232FA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5D8535" w14:textId="0E21D0A8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7F7DD69B" w14:textId="562FA86F" w:rsidR="00A6676B" w:rsidRPr="001B26D0" w:rsidRDefault="00A6676B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2/0/</w:t>
            </w:r>
            <w:r w:rsidRPr="001B26D0">
              <w:rPr>
                <w:szCs w:val="24"/>
                <w:lang w:val="en-US"/>
              </w:rPr>
              <w:t>2</w:t>
            </w:r>
          </w:p>
          <w:p w14:paraId="7F5AD1D1" w14:textId="77777777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</w:p>
          <w:p w14:paraId="5A3048F1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5F0A9DF3" w14:textId="096B35DF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55A5A4E" w14:textId="54E6E272" w:rsidR="00A6676B" w:rsidRPr="001B26D0" w:rsidRDefault="00A6676B" w:rsidP="001B26D0">
            <w:pPr>
              <w:jc w:val="both"/>
              <w:rPr>
                <w:color w:val="000000" w:themeColor="text1"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Характеристика жер</w:t>
            </w:r>
            <w:r w:rsidR="00E429E4">
              <w:rPr>
                <w:color w:val="000000" w:themeColor="text1"/>
                <w:szCs w:val="24"/>
              </w:rPr>
              <w:t>т</w:t>
            </w:r>
            <w:r w:rsidRPr="001B26D0">
              <w:rPr>
                <w:color w:val="000000" w:themeColor="text1"/>
                <w:szCs w:val="24"/>
              </w:rPr>
              <w:t>ви, хамелеона та спостерігача у структурі кібербулінгу.</w:t>
            </w:r>
          </w:p>
          <w:p w14:paraId="664732CF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54750C2F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296150E0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5686723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14CE1720" w14:textId="77777777" w:rsidTr="003B75AD">
        <w:tc>
          <w:tcPr>
            <w:tcW w:w="407" w:type="dxa"/>
            <w:shd w:val="clear" w:color="auto" w:fill="auto"/>
          </w:tcPr>
          <w:p w14:paraId="57270B5C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FEBA556" w14:textId="388A158B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Булінг у закладі освіти.</w:t>
            </w:r>
          </w:p>
        </w:tc>
        <w:tc>
          <w:tcPr>
            <w:tcW w:w="1134" w:type="dxa"/>
            <w:shd w:val="clear" w:color="auto" w:fill="auto"/>
          </w:tcPr>
          <w:p w14:paraId="5686E52A" w14:textId="5F48152F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02C7BB12" w14:textId="424E7262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  <w:lang w:val="en-US"/>
              </w:rPr>
              <w:t>4</w:t>
            </w:r>
            <w:r w:rsidRPr="001B26D0">
              <w:rPr>
                <w:szCs w:val="24"/>
              </w:rPr>
              <w:t>/0/</w:t>
            </w:r>
            <w:r w:rsidR="001B26D0" w:rsidRPr="001B26D0">
              <w:rPr>
                <w:szCs w:val="24"/>
              </w:rPr>
              <w:t>1</w:t>
            </w:r>
          </w:p>
          <w:p w14:paraId="61820DF0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</w:p>
          <w:p w14:paraId="555D8D8C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5E3290B5" w14:textId="010C1A24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4E65FFF" w14:textId="24693F14" w:rsidR="00A6676B" w:rsidRPr="001B26D0" w:rsidRDefault="00A6676B" w:rsidP="001B26D0">
            <w:pPr>
              <w:spacing w:after="200"/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Можливі причини кібербулінгу  у навчальному закладі. Наслідки впливу кібербулінгу на учнів і студентську молодь. Шляхи захисту від кібербулінгу.</w:t>
            </w:r>
            <w:r w:rsidRPr="001B26D0">
              <w:rPr>
                <w:szCs w:val="24"/>
                <w:lang w:val="en-US"/>
              </w:rPr>
              <w:t xml:space="preserve"> </w:t>
            </w:r>
            <w:r w:rsidRPr="001B26D0">
              <w:rPr>
                <w:szCs w:val="24"/>
              </w:rPr>
              <w:t>Міжнародний досвід боротьби з кібербулінгом</w:t>
            </w:r>
            <w:r w:rsidR="00E429E4">
              <w:rPr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24FD9739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2F9F3A87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0A951833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68989E53" w14:textId="77777777" w:rsidTr="003B75AD">
        <w:tc>
          <w:tcPr>
            <w:tcW w:w="407" w:type="dxa"/>
            <w:shd w:val="clear" w:color="auto" w:fill="auto"/>
          </w:tcPr>
          <w:p w14:paraId="4159DBC0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F502646" w14:textId="77777777" w:rsidR="00A6676B" w:rsidRPr="001B26D0" w:rsidRDefault="00A6676B" w:rsidP="001B26D0">
            <w:pPr>
              <w:jc w:val="both"/>
              <w:rPr>
                <w:color w:val="000000" w:themeColor="text1"/>
                <w:szCs w:val="24"/>
              </w:rPr>
            </w:pPr>
            <w:r w:rsidRPr="001B26D0">
              <w:rPr>
                <w:color w:val="000000" w:themeColor="text1"/>
                <w:szCs w:val="24"/>
              </w:rPr>
              <w:t>Кібернасильство як причина самогубств.</w:t>
            </w:r>
          </w:p>
          <w:p w14:paraId="30D916E2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215F40" w14:textId="6687DFF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134FB292" w14:textId="6B6191C0" w:rsidR="00A6676B" w:rsidRPr="001B26D0" w:rsidRDefault="00A6676B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2/0/</w:t>
            </w:r>
            <w:r w:rsidRPr="001B26D0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7382560A" w14:textId="77777777" w:rsidR="00A6676B" w:rsidRPr="001B26D0" w:rsidRDefault="00A6676B" w:rsidP="001B26D0">
            <w:pPr>
              <w:spacing w:after="200"/>
              <w:jc w:val="both"/>
              <w:rPr>
                <w:szCs w:val="24"/>
              </w:rPr>
            </w:pPr>
            <w:r w:rsidRPr="001B26D0">
              <w:rPr>
                <w:szCs w:val="24"/>
              </w:rPr>
              <w:t xml:space="preserve">Теоретико-методологічний аналіз проблеми залучення підлітків до груп смерті. Віртуальні групи смерті. «Синій Кіт» та моральні паніки: антрополого-психіатричний підхід. </w:t>
            </w:r>
          </w:p>
        </w:tc>
        <w:tc>
          <w:tcPr>
            <w:tcW w:w="1972" w:type="dxa"/>
            <w:shd w:val="clear" w:color="auto" w:fill="auto"/>
          </w:tcPr>
          <w:p w14:paraId="6A2BB704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2A18F82F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AF5F3D9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5AE8CA4F" w14:textId="77777777" w:rsidTr="003B75AD">
        <w:tc>
          <w:tcPr>
            <w:tcW w:w="407" w:type="dxa"/>
            <w:shd w:val="clear" w:color="auto" w:fill="auto"/>
          </w:tcPr>
          <w:p w14:paraId="41FED5D5" w14:textId="77777777" w:rsidR="00A6676B" w:rsidRPr="00B80667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85E13A2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  <w:r w:rsidRPr="001B26D0">
              <w:rPr>
                <w:color w:val="000000"/>
                <w:szCs w:val="24"/>
              </w:rPr>
              <w:t>Сексуальний грумінг, як різновид кібернасильства.</w:t>
            </w:r>
          </w:p>
          <w:p w14:paraId="7C242416" w14:textId="77777777" w:rsidR="00A6676B" w:rsidRPr="001B26D0" w:rsidRDefault="00A6676B" w:rsidP="001B26D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22A0EC" w14:textId="15F4472D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007E10CC" w14:textId="05A7E5AC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2/0/</w:t>
            </w:r>
            <w:r w:rsidR="001B26D0" w:rsidRPr="001B26D0">
              <w:rPr>
                <w:szCs w:val="24"/>
              </w:rPr>
              <w:t>1</w:t>
            </w:r>
          </w:p>
          <w:p w14:paraId="498AFCAF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</w:p>
          <w:p w14:paraId="740CA64E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118951F6" w14:textId="2454EB49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C1A087B" w14:textId="4CE2D913" w:rsidR="00A6676B" w:rsidRPr="006840A2" w:rsidRDefault="00A6676B" w:rsidP="001B26D0">
            <w:pPr>
              <w:spacing w:after="200"/>
              <w:jc w:val="both"/>
              <w:rPr>
                <w:color w:val="000000"/>
                <w:szCs w:val="24"/>
              </w:rPr>
            </w:pPr>
            <w:r w:rsidRPr="001B26D0">
              <w:rPr>
                <w:szCs w:val="24"/>
              </w:rPr>
              <w:t>Сексуальний грумінг.</w:t>
            </w:r>
            <w:r w:rsidRPr="001B26D0">
              <w:rPr>
                <w:color w:val="000000"/>
                <w:szCs w:val="24"/>
              </w:rPr>
              <w:t xml:space="preserve"> </w:t>
            </w:r>
            <w:r w:rsidRPr="001B26D0">
              <w:rPr>
                <w:szCs w:val="24"/>
              </w:rPr>
              <w:t>Реакція дітей та підлітків на сексуальний онлайн грумінг. Роль та участь батьків в процесі кібергрумінга.</w:t>
            </w:r>
          </w:p>
        </w:tc>
        <w:tc>
          <w:tcPr>
            <w:tcW w:w="1972" w:type="dxa"/>
            <w:shd w:val="clear" w:color="auto" w:fill="auto"/>
          </w:tcPr>
          <w:p w14:paraId="6DC446C6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1DDC0FF2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E5C6DB0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71077653" w14:textId="77777777" w:rsidTr="003B75AD">
        <w:tc>
          <w:tcPr>
            <w:tcW w:w="407" w:type="dxa"/>
            <w:shd w:val="clear" w:color="auto" w:fill="auto"/>
          </w:tcPr>
          <w:p w14:paraId="2FA61C94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2A3387A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  <w:r w:rsidRPr="001B26D0">
              <w:rPr>
                <w:szCs w:val="24"/>
              </w:rPr>
              <w:t>Визначення шляхів боротьби з кібернасильством.</w:t>
            </w:r>
          </w:p>
        </w:tc>
        <w:tc>
          <w:tcPr>
            <w:tcW w:w="1134" w:type="dxa"/>
            <w:shd w:val="clear" w:color="auto" w:fill="auto"/>
          </w:tcPr>
          <w:p w14:paraId="65F67142" w14:textId="2CC45C49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1ABA6A94" w14:textId="575B55C6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2/0/</w:t>
            </w:r>
            <w:r w:rsidR="001B26D0" w:rsidRPr="001B26D0">
              <w:rPr>
                <w:szCs w:val="24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7C976376" w14:textId="77777777" w:rsidR="00A6676B" w:rsidRPr="001B26D0" w:rsidRDefault="00A6676B" w:rsidP="001B26D0">
            <w:pPr>
              <w:spacing w:after="200"/>
              <w:jc w:val="both"/>
              <w:rPr>
                <w:b/>
                <w:szCs w:val="24"/>
              </w:rPr>
            </w:pPr>
            <w:r w:rsidRPr="001B26D0">
              <w:rPr>
                <w:szCs w:val="24"/>
              </w:rPr>
              <w:t>Що робити, якщо ви стали жертвою інтернет-травлі.</w:t>
            </w:r>
            <w:r w:rsidRPr="001B26D0">
              <w:rPr>
                <w:b/>
                <w:szCs w:val="24"/>
                <w:lang w:val="ru-RU"/>
              </w:rPr>
              <w:t xml:space="preserve"> </w:t>
            </w:r>
            <w:r w:rsidRPr="001B26D0">
              <w:rPr>
                <w:szCs w:val="24"/>
              </w:rPr>
              <w:t>Дитячо-батьківські відносини і кібербулінг.</w:t>
            </w:r>
            <w:r w:rsidRPr="001B26D0">
              <w:rPr>
                <w:b/>
                <w:szCs w:val="24"/>
                <w:lang w:val="ru-RU"/>
              </w:rPr>
              <w:t xml:space="preserve"> </w:t>
            </w:r>
            <w:r w:rsidRPr="001B26D0">
              <w:rPr>
                <w:szCs w:val="24"/>
              </w:rPr>
              <w:t>Як захиститись від кібербулінгу?</w:t>
            </w:r>
          </w:p>
          <w:p w14:paraId="56CFB2CE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790B7C4C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48AC6C4A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19C33651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  <w:tr w:rsidR="00A6676B" w:rsidRPr="00EA6352" w14:paraId="3565F6AA" w14:textId="77777777" w:rsidTr="003B75AD">
        <w:tc>
          <w:tcPr>
            <w:tcW w:w="407" w:type="dxa"/>
            <w:shd w:val="clear" w:color="auto" w:fill="auto"/>
          </w:tcPr>
          <w:p w14:paraId="46533122" w14:textId="77777777" w:rsidR="00A6676B" w:rsidRPr="00EA6352" w:rsidRDefault="00A6676B" w:rsidP="003B75AD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090BD3F" w14:textId="6ACE6FD1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  <w:r w:rsidRPr="001B26D0">
              <w:rPr>
                <w:color w:val="000000"/>
                <w:szCs w:val="24"/>
              </w:rPr>
              <w:t>Пропозиції щодо забезпечення психологічної та соціальної безпеки.</w:t>
            </w:r>
          </w:p>
          <w:p w14:paraId="4BB8CFD6" w14:textId="77777777" w:rsidR="00A6676B" w:rsidRPr="001B26D0" w:rsidRDefault="00A6676B" w:rsidP="001B26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EFF7CD" w14:textId="2AAB98C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денна</w:t>
            </w:r>
          </w:p>
          <w:p w14:paraId="17A027E7" w14:textId="0415371D" w:rsidR="00A6676B" w:rsidRPr="001B26D0" w:rsidRDefault="00A6676B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  <w:lang w:val="en-US"/>
              </w:rPr>
              <w:t>4</w:t>
            </w:r>
            <w:r w:rsidRPr="001B26D0">
              <w:rPr>
                <w:szCs w:val="24"/>
              </w:rPr>
              <w:t>/0/</w:t>
            </w:r>
            <w:r w:rsidR="001B26D0" w:rsidRPr="001B26D0">
              <w:rPr>
                <w:szCs w:val="24"/>
              </w:rPr>
              <w:t>1</w:t>
            </w:r>
          </w:p>
          <w:p w14:paraId="67C4535B" w14:textId="77777777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</w:p>
          <w:p w14:paraId="71BEBB46" w14:textId="77777777" w:rsidR="001B26D0" w:rsidRPr="001B26D0" w:rsidRDefault="001B26D0" w:rsidP="001B26D0">
            <w:pPr>
              <w:jc w:val="center"/>
              <w:rPr>
                <w:szCs w:val="24"/>
              </w:rPr>
            </w:pPr>
            <w:r w:rsidRPr="001B26D0">
              <w:rPr>
                <w:szCs w:val="24"/>
              </w:rPr>
              <w:t>заочна</w:t>
            </w:r>
          </w:p>
          <w:p w14:paraId="0C0A1632" w14:textId="3D2357E1" w:rsidR="001B26D0" w:rsidRPr="001B26D0" w:rsidRDefault="001B26D0" w:rsidP="001B26D0">
            <w:pPr>
              <w:jc w:val="center"/>
              <w:rPr>
                <w:szCs w:val="24"/>
                <w:lang w:val="en-US"/>
              </w:rPr>
            </w:pPr>
            <w:r w:rsidRPr="001B26D0">
              <w:rPr>
                <w:szCs w:val="24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A0225BF" w14:textId="035278EF" w:rsidR="00A6676B" w:rsidRPr="001B26D0" w:rsidRDefault="00A6676B" w:rsidP="001B26D0">
            <w:pPr>
              <w:shd w:val="clear" w:color="auto" w:fill="FFFFFF"/>
              <w:spacing w:after="200"/>
              <w:jc w:val="both"/>
              <w:outlineLvl w:val="2"/>
              <w:rPr>
                <w:b/>
                <w:szCs w:val="24"/>
              </w:rPr>
            </w:pPr>
            <w:r w:rsidRPr="001B26D0">
              <w:rPr>
                <w:szCs w:val="24"/>
              </w:rPr>
              <w:t>Як повинні реагувати батьки у ситуації кібернасильства над їх дитиною. Що можливо зробити для захисту від кібернасильства.</w:t>
            </w:r>
            <w:r w:rsidRPr="001B26D0">
              <w:rPr>
                <w:szCs w:val="24"/>
                <w:lang w:val="ru-RU"/>
              </w:rPr>
              <w:t xml:space="preserve"> </w:t>
            </w:r>
            <w:r w:rsidRPr="001B26D0">
              <w:rPr>
                <w:szCs w:val="24"/>
              </w:rPr>
              <w:t>Поради батькам, як передбачити кібернасильство.</w:t>
            </w:r>
          </w:p>
        </w:tc>
        <w:tc>
          <w:tcPr>
            <w:tcW w:w="1972" w:type="dxa"/>
            <w:shd w:val="clear" w:color="auto" w:fill="auto"/>
          </w:tcPr>
          <w:p w14:paraId="3F6F0952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Участь в обговоренні</w:t>
            </w:r>
          </w:p>
          <w:p w14:paraId="21C56F39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Тести</w:t>
            </w:r>
          </w:p>
          <w:p w14:paraId="2E48AEC8" w14:textId="77777777" w:rsidR="00A6676B" w:rsidRPr="001B26D0" w:rsidRDefault="00A6676B" w:rsidP="001B26D0">
            <w:pPr>
              <w:jc w:val="both"/>
              <w:rPr>
                <w:szCs w:val="24"/>
              </w:rPr>
            </w:pPr>
            <w:r w:rsidRPr="001B26D0">
              <w:rPr>
                <w:szCs w:val="24"/>
              </w:rPr>
              <w:t>Індивідуальні завдання</w:t>
            </w:r>
          </w:p>
        </w:tc>
      </w:tr>
    </w:tbl>
    <w:p w14:paraId="23B4A097" w14:textId="77777777" w:rsidR="00A6676B" w:rsidRPr="00EA6352" w:rsidRDefault="00A6676B" w:rsidP="00A6676B">
      <w:pPr>
        <w:rPr>
          <w:szCs w:val="24"/>
        </w:rPr>
      </w:pPr>
    </w:p>
    <w:p w14:paraId="6381899C" w14:textId="77777777" w:rsidR="00A6676B" w:rsidRPr="006840A2" w:rsidRDefault="00A6676B" w:rsidP="00A6676B">
      <w:pPr>
        <w:spacing w:line="276" w:lineRule="auto"/>
        <w:jc w:val="center"/>
        <w:rPr>
          <w:b/>
          <w:szCs w:val="24"/>
        </w:rPr>
      </w:pPr>
      <w:r w:rsidRPr="006840A2">
        <w:rPr>
          <w:b/>
          <w:szCs w:val="24"/>
        </w:rPr>
        <w:t>Рекомендована література</w:t>
      </w:r>
    </w:p>
    <w:p w14:paraId="7B890DD2" w14:textId="77777777" w:rsidR="00A6676B" w:rsidRPr="006840A2" w:rsidRDefault="00A6676B" w:rsidP="00A6676B">
      <w:pPr>
        <w:suppressAutoHyphens/>
        <w:rPr>
          <w:b/>
          <w:szCs w:val="24"/>
          <w:lang w:eastAsia="ru-RU"/>
        </w:rPr>
      </w:pPr>
      <w:r w:rsidRPr="006840A2">
        <w:rPr>
          <w:b/>
          <w:szCs w:val="24"/>
          <w:lang w:eastAsia="ru-RU"/>
        </w:rPr>
        <w:t>Базова література:</w:t>
      </w:r>
    </w:p>
    <w:p w14:paraId="2B56F4A7" w14:textId="0790CE39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1. Доктрина інформаційної безпеки України : Указ Президента України від 25.02.2017 р. № 47/2017 // Офіційний вісник Президента України. – 2017. – № 5. – С. 15. – Ст. 102. </w:t>
      </w:r>
      <w:hyperlink r:id="rId6" w:history="1">
        <w:r w:rsidRPr="006840A2">
          <w:rPr>
            <w:rStyle w:val="a6"/>
            <w:szCs w:val="24"/>
          </w:rPr>
          <w:t>https://www.president.gov.ua/documents/472017-21374</w:t>
        </w:r>
      </w:hyperlink>
      <w:r w:rsidRPr="006840A2">
        <w:rPr>
          <w:szCs w:val="24"/>
        </w:rPr>
        <w:t xml:space="preserve"> </w:t>
      </w:r>
    </w:p>
    <w:p w14:paraId="2162DC4B" w14:textId="0C71511E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2. Про основні засади забезпечення кібербезпеки України: Закон України від 05.10.2017 р. № 2163-VIII. URL: </w:t>
      </w:r>
      <w:hyperlink r:id="rId7" w:anchor="Text" w:history="1">
        <w:r w:rsidRPr="006840A2">
          <w:rPr>
            <w:rStyle w:val="a6"/>
            <w:szCs w:val="24"/>
          </w:rPr>
          <w:t>https://zakon.rada.gov.ua/laws/show/2163-19#Text</w:t>
        </w:r>
      </w:hyperlink>
      <w:r w:rsidRPr="006840A2">
        <w:rPr>
          <w:szCs w:val="24"/>
        </w:rPr>
        <w:t xml:space="preserve"> </w:t>
      </w:r>
    </w:p>
    <w:p w14:paraId="5A6C58F8" w14:textId="3974A2E5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3. Стратегія кібербезпеки України : Указ Президента України від 15.03.2016 р. № 96/2016// Офіційний вісник України. – 2016. – № 23. – С. 69. – Ст. 899. </w:t>
      </w:r>
      <w:hyperlink r:id="rId8" w:history="1">
        <w:r w:rsidRPr="006840A2">
          <w:rPr>
            <w:rStyle w:val="a6"/>
            <w:szCs w:val="24"/>
          </w:rPr>
          <w:t>https://zakon.rada.gov.ua/laws/show/96/2016#Text</w:t>
        </w:r>
      </w:hyperlink>
      <w:r w:rsidRPr="006840A2">
        <w:rPr>
          <w:szCs w:val="24"/>
        </w:rPr>
        <w:t xml:space="preserve"> </w:t>
      </w:r>
    </w:p>
    <w:p w14:paraId="0E925A2E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4. Бурячок В. Л. Інформаційний та кіберпростори: проблеми безпеки, методи та засоби боротьби. [Посібник]. / В. Л. Бурячок, С.В.Толюпа, В.В.Семко, Л.В.Бурячок, П.М.Складанний Н.В. Лукова-Чуйко – К. : ДУТ - КНУ, 2016. – 178 с. </w:t>
      </w:r>
    </w:p>
    <w:p w14:paraId="7F58EB5F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5. Бурячок, В. Л. Інформаційна та кібербезпека: соціотехнічний аспект: підручник / [В. Л. Бурячок, В. Б. Толубко, В. О. Хорошко, С. В. Толюпа]; за заг. ред. д-ра техн. наук, професора В. Б. Толубка.— К.: ДУТ, 2015. – 288 с. </w:t>
      </w:r>
    </w:p>
    <w:p w14:paraId="740886E3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lastRenderedPageBreak/>
        <w:t xml:space="preserve">6. Кавун С. В. Інформаційна безпека. Навчальний посібник / С. В. Кавун, В. В. Носов, О. В. Манжай. — Харків: Вид. ХНЕУ, 2008. – 352 с. </w:t>
      </w:r>
    </w:p>
    <w:p w14:paraId="51CBE5F9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7. Словник термінів з кібербезпеки / За загальною редакцією Копана О.В., Скулиша Є.Д. –К. : ВБ «Аванпост-Прим». – 2012. – 214 c. </w:t>
      </w:r>
    </w:p>
    <w:p w14:paraId="0C3952D3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8. Інформаційна безпека держави : підручник / [ В.М. Петрик, М.М. Присяжнюк, Д.С. Мельник та ін. ] ; в 2 т. – Т.1. / за аг. ред.. В.В. Остроухова. – К. : ДНУ «Книжкова палата Україна», 2016. – 264 с. </w:t>
      </w:r>
    </w:p>
    <w:p w14:paraId="29AEAF76" w14:textId="77777777" w:rsidR="00E429E4" w:rsidRPr="006840A2" w:rsidRDefault="00E429E4" w:rsidP="006840A2">
      <w:pPr>
        <w:suppressAutoHyphens/>
        <w:ind w:firstLine="709"/>
        <w:jc w:val="both"/>
        <w:rPr>
          <w:szCs w:val="24"/>
        </w:rPr>
      </w:pPr>
      <w:r w:rsidRPr="006840A2">
        <w:rPr>
          <w:szCs w:val="24"/>
        </w:rPr>
        <w:t xml:space="preserve">9. Дудатьєв А. В.Захист комп’ютерних мереж. Теорія та практика. Навчальний посібник / Дудатьєв А. В., Войтович О. П., Каплун В. А. – Вінниця ВНТУ, 2010. – 219 с. </w:t>
      </w:r>
    </w:p>
    <w:p w14:paraId="5976BD41" w14:textId="0E2B2ECA" w:rsidR="00A6676B" w:rsidRPr="006840A2" w:rsidRDefault="00E429E4" w:rsidP="006840A2">
      <w:pPr>
        <w:suppressAutoHyphens/>
        <w:ind w:firstLine="709"/>
        <w:jc w:val="both"/>
        <w:rPr>
          <w:b/>
          <w:color w:val="000000"/>
          <w:szCs w:val="24"/>
          <w:lang w:eastAsia="ru-RU"/>
        </w:rPr>
      </w:pPr>
      <w:r w:rsidRPr="006840A2">
        <w:rPr>
          <w:szCs w:val="24"/>
        </w:rPr>
        <w:t>10. Гулак Г.М., Гринь А.К., Мельник С.В. Методологія захисту інформації: навчально-методичний посібник. – К.: Видавництво НА СБ України, 2015. – 251 с.</w:t>
      </w:r>
    </w:p>
    <w:p w14:paraId="24D44D94" w14:textId="77777777" w:rsidR="006840A2" w:rsidRDefault="006840A2" w:rsidP="006840A2">
      <w:pPr>
        <w:suppressAutoHyphens/>
        <w:ind w:firstLine="709"/>
        <w:jc w:val="both"/>
        <w:rPr>
          <w:b/>
          <w:color w:val="000000"/>
          <w:szCs w:val="24"/>
          <w:lang w:eastAsia="ru-RU"/>
        </w:rPr>
      </w:pPr>
    </w:p>
    <w:p w14:paraId="3B474C4B" w14:textId="23EA6367" w:rsidR="00A6676B" w:rsidRPr="006840A2" w:rsidRDefault="00A6676B" w:rsidP="006840A2">
      <w:pPr>
        <w:suppressAutoHyphens/>
        <w:ind w:firstLine="708"/>
        <w:jc w:val="both"/>
        <w:rPr>
          <w:color w:val="000000"/>
          <w:szCs w:val="24"/>
          <w:lang w:eastAsia="ru-RU"/>
        </w:rPr>
      </w:pPr>
      <w:r w:rsidRPr="006840A2">
        <w:rPr>
          <w:b/>
          <w:color w:val="000000"/>
          <w:szCs w:val="24"/>
          <w:lang w:eastAsia="ru-RU"/>
        </w:rPr>
        <w:t>Додаткові рекомендовані джерела</w:t>
      </w:r>
      <w:r w:rsidR="006840A2">
        <w:rPr>
          <w:b/>
          <w:color w:val="000000"/>
          <w:szCs w:val="24"/>
          <w:lang w:eastAsia="ru-RU"/>
        </w:rPr>
        <w:t>:</w:t>
      </w:r>
    </w:p>
    <w:p w14:paraId="79BE5341" w14:textId="77777777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 xml:space="preserve">Про кіберзлочинність : Конвенція Ради Європи від 23.11.01 р. № 994- 575. https://zakon.rada.gov.ua/laws/show/994_575#Text </w:t>
      </w:r>
    </w:p>
    <w:p w14:paraId="1D859EE2" w14:textId="77FF9AB9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>Закон України «Про захист інформації в інформаційно</w:t>
      </w:r>
      <w:r w:rsidR="006840A2">
        <w:rPr>
          <w:szCs w:val="24"/>
        </w:rPr>
        <w:t xml:space="preserve"> </w:t>
      </w:r>
      <w:r w:rsidRPr="006840A2">
        <w:rPr>
          <w:szCs w:val="24"/>
        </w:rPr>
        <w:t xml:space="preserve">телекомунікаційних системах» https://zakon.rada.gov.ua/laws/show/80/94-%D0%B2%D1%80#Text </w:t>
      </w:r>
    </w:p>
    <w:p w14:paraId="45CBBEF0" w14:textId="77777777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 xml:space="preserve">Інформаційна безпека держави : підручник / [ В.М. Петрик, М.М. 4 Присяжнюк, Д.С. Мельник та ін. ] ; в 2 т. – Т.1. / за аг. ред.. В.В. Остроухова. – К. : ДНУ «Книжкова палата Україна», 2016. – 264 с. </w:t>
      </w:r>
    </w:p>
    <w:p w14:paraId="7E390D61" w14:textId="77777777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 xml:space="preserve">Законодавчі основи забезпечення інформаційної безпеки України: наукова доповідь / Пилипчук В.Г., Корж І.Ф., Петришин О.В., Савінова Н.А., Фурашев В.М. (За заг. ред. Пилипчука В.Г.) – К: НДІІП НАПрН України, 2014. – 60 с. </w:t>
      </w:r>
    </w:p>
    <w:p w14:paraId="39465412" w14:textId="57F89F2E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>Бурячок В.Л., Толюпа С.В., Аносов А.О., Козачок В.А., Чуйко Н.В. Системний аналіз та прийняття рішень в інформаційній безпеці: підручник. /В.Л. Бурячок, С.В. Толюпа, А.О. Аносов, В.А. Козачок, Н.В. Лукова-Чуйко/ –</w:t>
      </w:r>
      <w:r w:rsidR="006840A2">
        <w:rPr>
          <w:szCs w:val="24"/>
        </w:rPr>
        <w:t xml:space="preserve"> </w:t>
      </w:r>
      <w:r w:rsidRPr="006840A2">
        <w:rPr>
          <w:szCs w:val="24"/>
        </w:rPr>
        <w:t xml:space="preserve">К.:ДУТ, 2015. – 345 с. </w:t>
      </w:r>
    </w:p>
    <w:p w14:paraId="2931A131" w14:textId="77777777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 xml:space="preserve">Богуш В.М., Довидьков О.А., Кривуца В.Г. Теоретичні основи захищених інформаційних технологій. Навч. посібник. – К.: ДУІКТ, 2010. – 454 с. </w:t>
      </w:r>
    </w:p>
    <w:p w14:paraId="3B6B92BC" w14:textId="2A32BBE8" w:rsidR="00E429E4" w:rsidRPr="006840A2" w:rsidRDefault="00E429E4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szCs w:val="24"/>
        </w:rPr>
        <w:t>Русин Б.П. Біометрична аутентифікація та криптографічний захист / Б.П. Ру-син, Я.Ю. Варецький. – Львів: «Коло», 2007. – 287 с.</w:t>
      </w:r>
    </w:p>
    <w:p w14:paraId="39469F61" w14:textId="28E90785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Aizenkot D</w:t>
      </w:r>
      <w:r w:rsidRPr="006840A2">
        <w:rPr>
          <w:color w:val="000000" w:themeColor="text1"/>
          <w:szCs w:val="24"/>
          <w:lang w:val="en-US" w:eastAsia="ru-RU"/>
        </w:rPr>
        <w:t>. Cyberbullying in WhatsApp Classroom Groups among Children and Adolescents: Exposure and Victimization // The Eurasia Proceedings of Educational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 xml:space="preserve"> Social Sciences (EPESS). </w:t>
      </w:r>
      <w:r w:rsidRPr="006840A2">
        <w:rPr>
          <w:color w:val="000000" w:themeColor="text1"/>
          <w:szCs w:val="24"/>
          <w:lang w:eastAsia="ru-RU"/>
        </w:rPr>
        <w:t>2018. Vol. 10. P. 1—10.</w:t>
      </w:r>
    </w:p>
    <w:p w14:paraId="655D26AD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Appel M., Stiglbauer B., Batinic B.,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Holtz P. (2014). Internet use and verbal aggression: The moderating role of parents and peers. </w:t>
      </w:r>
      <w:r w:rsidRPr="006840A2">
        <w:rPr>
          <w:i/>
          <w:iCs/>
          <w:color w:val="000000" w:themeColor="text1"/>
          <w:szCs w:val="24"/>
          <w:lang w:eastAsia="ru-RU"/>
        </w:rPr>
        <w:t>Computers in Human Behavior</w:t>
      </w:r>
      <w:r w:rsidRPr="006840A2">
        <w:rPr>
          <w:color w:val="000000" w:themeColor="text1"/>
          <w:szCs w:val="24"/>
          <w:lang w:eastAsia="ru-RU"/>
        </w:rPr>
        <w:t>, 33, 235–241. doi: 10. 1016/j. chb. 2014. 01. 007.</w:t>
      </w:r>
    </w:p>
    <w:p w14:paraId="41A19DE7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Are cyberbullies less empathic? Adolescents’ cyberbullying behavior and empathic responsiveness / G. Steffgen [et al.] // Cyberpsychol Behav Soc Netw. 2011. </w:t>
      </w:r>
      <w:r w:rsidRPr="006840A2">
        <w:rPr>
          <w:color w:val="000000" w:themeColor="text1"/>
          <w:szCs w:val="24"/>
          <w:lang w:eastAsia="ru-RU"/>
        </w:rPr>
        <w:t>Vol. 14. № 11. P. 643—648.</w:t>
      </w:r>
    </w:p>
    <w:p w14:paraId="703385B3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Allison, K. R.,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Bussey, K. (2016). Cyber-bystanding in context: A review of the literature on witnesses’ responses to cyberbullying. </w:t>
      </w:r>
      <w:r w:rsidRPr="006840A2">
        <w:rPr>
          <w:i/>
          <w:iCs/>
          <w:color w:val="000000" w:themeColor="text1"/>
          <w:szCs w:val="24"/>
          <w:lang w:eastAsia="ru-RU"/>
        </w:rPr>
        <w:t>Children and Youth Services Review</w:t>
      </w:r>
      <w:r w:rsidRPr="006840A2">
        <w:rPr>
          <w:color w:val="000000" w:themeColor="text1"/>
          <w:szCs w:val="24"/>
          <w:lang w:eastAsia="ru-RU"/>
        </w:rPr>
        <w:t>, 65, 183–194. 10. 1016/j. childyouth. 2016. 03. 026.</w:t>
      </w:r>
    </w:p>
    <w:p w14:paraId="3D392BFA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Barlett, C., Coyne S.M</w:t>
      </w:r>
      <w:r w:rsidRPr="006840A2">
        <w:rPr>
          <w:color w:val="000000" w:themeColor="text1"/>
          <w:szCs w:val="24"/>
          <w:lang w:val="en-US" w:eastAsia="ru-RU"/>
        </w:rPr>
        <w:t>. A meta-analysis of sex differences in cyber-bullying behavior: The moderating role of age // Aggressive Behavior. 2014. Vol. 40. № 5. P. 474—488.</w:t>
      </w:r>
    </w:p>
    <w:p w14:paraId="5558FCC5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Baldry A.C., Farrington D.F., Sorrentino A. (2015). «Am I at risk of cyberbullying»? A narrative review and conceptual framework for research on risk of cyberbullying and cybervictimization: The risk and needs assessment approach. </w:t>
      </w:r>
      <w:r w:rsidRPr="006840A2">
        <w:rPr>
          <w:i/>
          <w:iCs/>
          <w:color w:val="000000" w:themeColor="text1"/>
          <w:szCs w:val="24"/>
          <w:lang w:eastAsia="ru-RU"/>
        </w:rPr>
        <w:t>Aggression and Violent Behavior</w:t>
      </w:r>
      <w:r w:rsidRPr="006840A2">
        <w:rPr>
          <w:color w:val="000000" w:themeColor="text1"/>
          <w:szCs w:val="24"/>
          <w:lang w:eastAsia="ru-RU"/>
        </w:rPr>
        <w:t>, 23, 36–51. doi: 10. 1016/j. avb. 2015. 05. 014.</w:t>
      </w:r>
    </w:p>
    <w:p w14:paraId="51E6016F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lastRenderedPageBreak/>
        <w:t>Berson I.R. </w:t>
      </w:r>
      <w:r w:rsidRPr="006840A2">
        <w:rPr>
          <w:color w:val="000000" w:themeColor="text1"/>
          <w:szCs w:val="24"/>
          <w:lang w:val="en-US" w:eastAsia="ru-RU"/>
        </w:rPr>
        <w:t xml:space="preserve">Grooming cybervictims: The psychosocial effects of online exploitation for youth // Journal of School Violence. </w:t>
      </w:r>
      <w:r w:rsidRPr="006840A2">
        <w:rPr>
          <w:color w:val="000000" w:themeColor="text1"/>
          <w:szCs w:val="24"/>
          <w:lang w:eastAsia="ru-RU"/>
        </w:rPr>
        <w:t>2003. Т. 2. P. 5—18. doi:10.1300/J202v02n01_02</w:t>
      </w:r>
    </w:p>
    <w:p w14:paraId="7FD1E06D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Bandura A. (1985). Social foundations of thought and action: A social cognitive theory. </w:t>
      </w:r>
      <w:r w:rsidRPr="006840A2">
        <w:rPr>
          <w:color w:val="000000" w:themeColor="text1"/>
          <w:szCs w:val="24"/>
          <w:lang w:eastAsia="ru-RU"/>
        </w:rPr>
        <w:t>Englewood Cliff s, NJ: Prentice-Hall, Inc, 544.</w:t>
      </w:r>
    </w:p>
    <w:p w14:paraId="319BC563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Barlinska, J., Szuster, A.,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Winiewski, M. (2013). Cyberbullying among adolescent bystanders: Role of the communication medium, form of violence, and empathy. </w:t>
      </w:r>
      <w:r w:rsidRPr="006840A2">
        <w:rPr>
          <w:i/>
          <w:iCs/>
          <w:color w:val="000000" w:themeColor="text1"/>
          <w:szCs w:val="24"/>
          <w:lang w:val="en-US" w:eastAsia="ru-RU"/>
        </w:rPr>
        <w:t>Journal of Community &amp; Applied Social Psychology</w:t>
      </w:r>
      <w:r w:rsidRPr="006840A2">
        <w:rPr>
          <w:color w:val="000000" w:themeColor="text1"/>
          <w:szCs w:val="24"/>
          <w:lang w:val="en-US" w:eastAsia="ru-RU"/>
        </w:rPr>
        <w:t xml:space="preserve">, 23, 37–Retrieved from: https://doi. org/10. </w:t>
      </w:r>
      <w:r w:rsidRPr="006840A2">
        <w:rPr>
          <w:color w:val="000000" w:themeColor="text1"/>
          <w:szCs w:val="24"/>
          <w:lang w:eastAsia="ru-RU"/>
        </w:rPr>
        <w:t>1002/casp. 2137. (accessed 02. 06. 2019).</w:t>
      </w:r>
    </w:p>
    <w:p w14:paraId="3FF03052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Bauman S. (2015). Types of Cyberbullying. Cyberbullying: What Counselors Need to Know, 53–58. </w:t>
      </w:r>
      <w:r w:rsidRPr="006840A2">
        <w:rPr>
          <w:color w:val="000000" w:themeColor="text1"/>
          <w:szCs w:val="24"/>
          <w:lang w:eastAsia="ru-RU"/>
        </w:rPr>
        <w:t>10. 1002/9781119221685. ch4.</w:t>
      </w:r>
    </w:p>
    <w:p w14:paraId="7C7A8CF5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Bauman S., Underwood M. K., Card, N. (2013). Definitions: Another perspective and a proposal for beginning with cyberaggression. In S. Bauman, J. Walker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 xml:space="preserve"> D. Cross (Eds.), Principles of cyberbullying research: Definitions, measures, and methodology. </w:t>
      </w:r>
      <w:r w:rsidRPr="006840A2">
        <w:rPr>
          <w:color w:val="000000" w:themeColor="text1"/>
          <w:szCs w:val="24"/>
          <w:lang w:eastAsia="ru-RU"/>
        </w:rPr>
        <w:t>New York, NY: Routledge, 41–46. 10. 4324/9780203084601.</w:t>
      </w:r>
    </w:p>
    <w:p w14:paraId="047E84AD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Cyberbullying: e discriminant factors among cyberbullies, cybervictims, and cyberbully-victims in a Czech adolescent sample / Bayraktar F. [et al.] </w:t>
      </w:r>
      <w:r w:rsidRPr="006840A2">
        <w:rPr>
          <w:i/>
          <w:iCs/>
          <w:color w:val="000000" w:themeColor="text1"/>
          <w:szCs w:val="24"/>
          <w:lang w:val="en-US" w:eastAsia="ru-RU"/>
        </w:rPr>
        <w:t>// </w:t>
      </w:r>
      <w:r w:rsidRPr="006840A2">
        <w:rPr>
          <w:color w:val="000000" w:themeColor="text1"/>
          <w:szCs w:val="24"/>
          <w:lang w:val="en-US" w:eastAsia="ru-RU"/>
        </w:rPr>
        <w:t>Journal of Interpersonal Violence. 2014. Vol. 30. № 18. P. 1—25.</w:t>
      </w:r>
    </w:p>
    <w:p w14:paraId="04B48318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Campbell A.M. </w:t>
      </w:r>
      <w:r w:rsidRPr="006840A2">
        <w:rPr>
          <w:color w:val="000000" w:themeColor="text1"/>
          <w:szCs w:val="24"/>
          <w:lang w:val="en-US" w:eastAsia="ru-RU"/>
        </w:rPr>
        <w:t xml:space="preserve">False faces and broken lives: An exploratory study of the interaction behaviors used by male sex offenders in relating to victims // Journal of Language and Social Psychology. </w:t>
      </w:r>
      <w:r w:rsidRPr="006840A2">
        <w:rPr>
          <w:color w:val="000000" w:themeColor="text1"/>
          <w:szCs w:val="24"/>
          <w:lang w:eastAsia="ru-RU"/>
        </w:rPr>
        <w:t>2009. Т. 28. P. 428—440. doi:10.1177/0261927X09341948</w:t>
      </w:r>
    </w:p>
    <w:p w14:paraId="1C15E392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Craig, W.,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Pepler, D. J. (1997). Observations of bullying and victimization in the schoolyard.</w:t>
      </w:r>
    </w:p>
    <w:p w14:paraId="2F6DEA96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Chibbaro J. S. School counselors and the cyber bully: Interventions and implications. </w:t>
      </w:r>
      <w:r w:rsidRPr="006840A2">
        <w:rPr>
          <w:color w:val="000000" w:themeColor="text1"/>
          <w:szCs w:val="24"/>
          <w:lang w:eastAsia="ru-RU"/>
        </w:rPr>
        <w:t>Professional School Counseling. 2007. Pp. 65–68.</w:t>
      </w:r>
    </w:p>
    <w:p w14:paraId="26CD4C98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Calvete E., Orue I., Estévez A., Villardón L.,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Padilla P. (2010). Cyberbullying in adolescents: Modalities and aggressors’ profile.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Computers in Human Behavior</w:t>
      </w:r>
      <w:r w:rsidRPr="006840A2">
        <w:rPr>
          <w:color w:val="000000" w:themeColor="text1"/>
          <w:szCs w:val="24"/>
          <w:lang w:val="en-US" w:eastAsia="ru-RU"/>
        </w:rPr>
        <w:t xml:space="preserve">, 26, 1128–1135. doi: 10. </w:t>
      </w:r>
      <w:r w:rsidRPr="006840A2">
        <w:rPr>
          <w:color w:val="000000" w:themeColor="text1"/>
          <w:szCs w:val="24"/>
          <w:lang w:eastAsia="ru-RU"/>
        </w:rPr>
        <w:t>1016/j. chb. 2010. 03. 017.</w:t>
      </w:r>
    </w:p>
    <w:p w14:paraId="2D001D5D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Caravita S., Colombo B., Stefanelli S.,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Zigliani R. (2016). Emotional, psychophysiological and behavioral responses elicited by the exposition to cyberbullying situations: Two experimental studies. </w:t>
      </w:r>
      <w:r w:rsidRPr="006840A2">
        <w:rPr>
          <w:i/>
          <w:iCs/>
          <w:color w:val="000000" w:themeColor="text1"/>
          <w:szCs w:val="24"/>
          <w:lang w:eastAsia="ru-RU"/>
        </w:rPr>
        <w:t>Psicología Educativa</w:t>
      </w:r>
      <w:r w:rsidRPr="006840A2">
        <w:rPr>
          <w:color w:val="000000" w:themeColor="text1"/>
          <w:szCs w:val="24"/>
          <w:lang w:eastAsia="ru-RU"/>
        </w:rPr>
        <w:t>, 22(1), 49–59. doi: 10. 1016/j. pse. 2016. 02. 003.</w:t>
      </w:r>
    </w:p>
    <w:p w14:paraId="787350D3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Cooper, J., Kapur, N., Webb, R., Lawlor, M., Guthrie, E., Mackway-Jones, K.,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Appleby, L. (2005). Suicide After Deliberate Self-Harm: A 4</w:t>
      </w:r>
      <w:r w:rsidRPr="006840A2">
        <w:rPr>
          <w:color w:val="000000" w:themeColor="text1"/>
          <w:szCs w:val="24"/>
          <w:lang w:val="en-US" w:eastAsia="ru-RU"/>
        </w:rPr>
        <w:noBreakHyphen/>
        <w:t>Year Cohort Study. </w:t>
      </w:r>
      <w:r w:rsidRPr="006840A2">
        <w:rPr>
          <w:i/>
          <w:iCs/>
          <w:color w:val="000000" w:themeColor="text1"/>
          <w:szCs w:val="24"/>
          <w:lang w:val="en-US" w:eastAsia="ru-RU"/>
        </w:rPr>
        <w:t>American Journal of Psychiatry</w:t>
      </w:r>
      <w:r w:rsidRPr="006840A2">
        <w:rPr>
          <w:color w:val="000000" w:themeColor="text1"/>
          <w:szCs w:val="24"/>
          <w:lang w:val="en-US" w:eastAsia="ru-RU"/>
        </w:rPr>
        <w:t xml:space="preserve">, 162(2), 297–303. doi:10. </w:t>
      </w:r>
      <w:r w:rsidRPr="006840A2">
        <w:rPr>
          <w:color w:val="000000" w:themeColor="text1"/>
          <w:szCs w:val="24"/>
          <w:lang w:eastAsia="ru-RU"/>
        </w:rPr>
        <w:t>1176/appi. ajp. 162. 2. 297.</w:t>
      </w:r>
    </w:p>
    <w:p w14:paraId="7AF098E6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Coping with Cyberbullying: Final Report. </w:t>
      </w:r>
      <w:r w:rsidRPr="006840A2">
        <w:rPr>
          <w:color w:val="000000" w:themeColor="text1"/>
          <w:szCs w:val="24"/>
          <w:lang w:eastAsia="ru-RU"/>
        </w:rPr>
        <w:t>S. Perren</w:t>
      </w:r>
      <w:r w:rsidRPr="006840A2">
        <w:rPr>
          <w:i/>
          <w:iCs/>
          <w:color w:val="000000" w:themeColor="text1"/>
          <w:szCs w:val="24"/>
          <w:lang w:eastAsia="ru-RU"/>
        </w:rPr>
        <w:t>&amp;</w:t>
      </w:r>
      <w:r w:rsidRPr="006840A2">
        <w:rPr>
          <w:color w:val="000000" w:themeColor="text1"/>
          <w:szCs w:val="24"/>
          <w:lang w:eastAsia="ru-RU"/>
        </w:rPr>
        <w:t>COSTWG5 group, 05. 09. 2012.</w:t>
      </w:r>
    </w:p>
    <w:p w14:paraId="7B269F45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Cyberbullying Research Center, Report 2007–2016 Retrieved from: https://cyberbullying. org/summary-of-our-cyberbullying-research (accessed: 03. </w:t>
      </w:r>
      <w:r w:rsidRPr="006840A2">
        <w:rPr>
          <w:color w:val="000000" w:themeColor="text1"/>
          <w:szCs w:val="24"/>
          <w:lang w:eastAsia="ru-RU"/>
        </w:rPr>
        <w:t>04. 2019).</w:t>
      </w:r>
    </w:p>
    <w:p w14:paraId="13B913AE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DeSmet, A., Bastiaensens, S., Van Cleemput, K., Poels, K., Vandebosch, H., Cardon, G.,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De Bourdeaudhuij, I. (2016). Deciding whether to look after them, to like it, or leave it: A multidimensional analysis of predictors of positive and negative bystander behavior in cyberbullying among adolescents. </w:t>
      </w:r>
      <w:r w:rsidRPr="006840A2">
        <w:rPr>
          <w:i/>
          <w:iCs/>
          <w:color w:val="000000" w:themeColor="text1"/>
          <w:szCs w:val="24"/>
          <w:lang w:eastAsia="ru-RU"/>
        </w:rPr>
        <w:t>Computers in Human Behavior</w:t>
      </w:r>
      <w:r w:rsidRPr="006840A2">
        <w:rPr>
          <w:color w:val="000000" w:themeColor="text1"/>
          <w:szCs w:val="24"/>
          <w:lang w:eastAsia="ru-RU"/>
        </w:rPr>
        <w:t>, 57, 398–415. doi. 10. 1016/j. chb. 2015. 12. 051.</w:t>
      </w:r>
    </w:p>
    <w:p w14:paraId="3E34A632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DeSmet, A., Bastiaensens, S., Van Cleemput, K., Poels, K., Vandebosch, H.,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De Bourdeaudhuij, I. (2012). Mobilizing bystanders of cyberbullying: An exploratory study into behavioural determinants of defending the victim. In B. K. Wiederhold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G. Riva (Eds.), </w:t>
      </w:r>
      <w:r w:rsidRPr="006840A2">
        <w:rPr>
          <w:i/>
          <w:iCs/>
          <w:color w:val="000000" w:themeColor="text1"/>
          <w:szCs w:val="24"/>
          <w:lang w:val="en-US" w:eastAsia="ru-RU"/>
        </w:rPr>
        <w:t>Annual review of cybertherapy and telemedicine 2012: Advanced technologies in the behavioral, social and neurosciences</w:t>
      </w:r>
      <w:r w:rsidRPr="006840A2">
        <w:rPr>
          <w:color w:val="000000" w:themeColor="text1"/>
          <w:szCs w:val="24"/>
          <w:lang w:val="en-US" w:eastAsia="ru-RU"/>
        </w:rPr>
        <w:t xml:space="preserve">, 58–63. </w:t>
      </w:r>
      <w:r w:rsidRPr="006840A2">
        <w:rPr>
          <w:color w:val="000000" w:themeColor="text1"/>
          <w:szCs w:val="24"/>
          <w:lang w:eastAsia="ru-RU"/>
        </w:rPr>
        <w:t>Amsterdam: IOS Press BV. doi: 10. 3233/978–1</w:t>
      </w:r>
      <w:r w:rsidRPr="006840A2">
        <w:rPr>
          <w:color w:val="000000" w:themeColor="text1"/>
          <w:szCs w:val="24"/>
          <w:lang w:eastAsia="ru-RU"/>
        </w:rPr>
        <w:noBreakHyphen/>
        <w:t>61499121–2</w:t>
      </w:r>
      <w:r w:rsidRPr="006840A2">
        <w:rPr>
          <w:color w:val="000000" w:themeColor="text1"/>
          <w:szCs w:val="24"/>
          <w:lang w:eastAsia="ru-RU"/>
        </w:rPr>
        <w:noBreakHyphen/>
        <w:t>58.</w:t>
      </w:r>
    </w:p>
    <w:p w14:paraId="04D8978C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lastRenderedPageBreak/>
        <w:t>Outcome evaluation results of school-based cybersafety promotion and cyberbullying prevention intervention for middle school students / A. Roberto [et al.] // Health Communication. 2014</w:t>
      </w:r>
    </w:p>
    <w:p w14:paraId="043A7F00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Mean Birds: Detecting Aggression and Bullying on Twitter / D. Chatzakou [et al.] </w:t>
      </w:r>
      <w:r w:rsidRPr="006840A2">
        <w:rPr>
          <w:i/>
          <w:iCs/>
          <w:color w:val="000000" w:themeColor="text1"/>
          <w:szCs w:val="24"/>
          <w:lang w:val="en-US" w:eastAsia="ru-RU"/>
        </w:rPr>
        <w:t>// </w:t>
      </w:r>
      <w:r w:rsidRPr="006840A2">
        <w:rPr>
          <w:color w:val="000000" w:themeColor="text1"/>
          <w:szCs w:val="24"/>
          <w:lang w:val="en-US" w:eastAsia="ru-RU"/>
        </w:rPr>
        <w:t xml:space="preserve">Proceedings of the 2017 ACM on web science conference. </w:t>
      </w:r>
      <w:r w:rsidRPr="006840A2">
        <w:rPr>
          <w:color w:val="000000" w:themeColor="text1"/>
          <w:szCs w:val="24"/>
          <w:lang w:eastAsia="ru-RU"/>
        </w:rPr>
        <w:t>New York: ACM, 2017. P. 13—22</w:t>
      </w:r>
    </w:p>
    <w:p w14:paraId="5326CBC3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High school students’ perceptions of motivations for cyberbullying: an exploratory study / K. Varjas [et al.] </w:t>
      </w:r>
      <w:r w:rsidRPr="006840A2">
        <w:rPr>
          <w:i/>
          <w:iCs/>
          <w:color w:val="000000" w:themeColor="text1"/>
          <w:szCs w:val="24"/>
          <w:lang w:val="en-US" w:eastAsia="ru-RU"/>
        </w:rPr>
        <w:t>// </w:t>
      </w:r>
      <w:r w:rsidRPr="006840A2">
        <w:rPr>
          <w:color w:val="000000" w:themeColor="text1"/>
          <w:szCs w:val="24"/>
          <w:lang w:val="en-US" w:eastAsia="ru-RU"/>
        </w:rPr>
        <w:t>Western Journal of Emergency Medicine. 2010. Vol. 11. № 3. P. 269—273.</w:t>
      </w:r>
    </w:p>
    <w:p w14:paraId="1263CA7D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Kim Y.S., Koh Y.J., Leventhal B</w:t>
      </w:r>
      <w:r w:rsidRPr="006840A2">
        <w:rPr>
          <w:color w:val="000000" w:themeColor="text1"/>
          <w:szCs w:val="24"/>
          <w:lang w:val="en-US" w:eastAsia="ru-RU"/>
        </w:rPr>
        <w:t>. School bullying and suicidal risk in Korean middle school students // Pediatrics. 2019. Vol. 115. № 2. P. 357—363.</w:t>
      </w:r>
    </w:p>
    <w:p w14:paraId="195BDE4D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Mean Birds: Detecting Aggression and Bullying on Twitter / D. Chatzakou [et al.] </w:t>
      </w:r>
      <w:r w:rsidRPr="006840A2">
        <w:rPr>
          <w:i/>
          <w:iCs/>
          <w:color w:val="000000" w:themeColor="text1"/>
          <w:szCs w:val="24"/>
          <w:lang w:val="en-US" w:eastAsia="ru-RU"/>
        </w:rPr>
        <w:t>// </w:t>
      </w:r>
      <w:r w:rsidRPr="006840A2">
        <w:rPr>
          <w:color w:val="000000" w:themeColor="text1"/>
          <w:szCs w:val="24"/>
          <w:lang w:val="en-US" w:eastAsia="ru-RU"/>
        </w:rPr>
        <w:t>Proceedings of the 2017 ACM on web science conference. New York: ACM, 2017. P. 13—22.</w:t>
      </w:r>
    </w:p>
    <w:p w14:paraId="746BEEFC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Olweus D. </w:t>
      </w:r>
      <w:r w:rsidRPr="006840A2">
        <w:rPr>
          <w:color w:val="000000" w:themeColor="text1"/>
          <w:szCs w:val="24"/>
          <w:lang w:val="en-US" w:eastAsia="ru-RU"/>
        </w:rPr>
        <w:t>Cyberbullying: An overrated phenomenon? // European Journal of Developmental Psychology. 2012. Vol. 9.№ 5. P. 1—19.</w:t>
      </w:r>
    </w:p>
    <w:p w14:paraId="6BBC3088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Outcome evaluation results of school-based cybersafety promotion and cyberbullying prevention intervention for middle school students / A. Roberto [et al.] // Health Communication. 2014.</w:t>
      </w:r>
    </w:p>
    <w:p w14:paraId="2D9EBC55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Peebles E</w:t>
      </w:r>
      <w:r w:rsidRPr="006840A2">
        <w:rPr>
          <w:color w:val="000000" w:themeColor="text1"/>
          <w:szCs w:val="24"/>
          <w:lang w:val="en-US" w:eastAsia="ru-RU"/>
        </w:rPr>
        <w:t>. Cyberbullying: Hiding behind the screen // Paediatr Child Health. 2014. Vol. 19. № 10. P. 527—528.</w:t>
      </w:r>
    </w:p>
    <w:p w14:paraId="3DABC426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Risk factors associated with cybervictimization in adolescence / D. Alvarez-Garcia [et al.] </w:t>
      </w:r>
      <w:r w:rsidRPr="006840A2">
        <w:rPr>
          <w:i/>
          <w:iCs/>
          <w:color w:val="000000" w:themeColor="text1"/>
          <w:szCs w:val="24"/>
          <w:lang w:val="en-US" w:eastAsia="ru-RU"/>
        </w:rPr>
        <w:t>// </w:t>
      </w:r>
      <w:r w:rsidRPr="006840A2">
        <w:rPr>
          <w:color w:val="000000" w:themeColor="text1"/>
          <w:szCs w:val="24"/>
          <w:lang w:val="en-US" w:eastAsia="ru-RU"/>
        </w:rPr>
        <w:t>International Journal of Clinical and Health Psychology. 2015. Vol. 15. № 3. P. 226—235.</w:t>
      </w:r>
    </w:p>
    <w:p w14:paraId="0190B349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Sampasa-Kanyinga H., Hamilton H.A</w:t>
      </w:r>
      <w:r w:rsidRPr="006840A2">
        <w:rPr>
          <w:color w:val="000000" w:themeColor="text1"/>
          <w:szCs w:val="24"/>
          <w:lang w:val="en-US" w:eastAsia="ru-RU"/>
        </w:rPr>
        <w:t>. Use of social networking sites and risk of cyberbullying victimization: A population-level study of adolescents // Cyberpsychology, Behavior, and Social Networking. 2015. Vol. 18. № 12. P. 704— 710.</w:t>
      </w:r>
    </w:p>
    <w:p w14:paraId="273AA3F4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The mixed effects of online diversity training / E. Chang [et al.] // PNAS. 2019. Vol. 116. № 16. P. 778—783.</w:t>
      </w:r>
    </w:p>
    <w:p w14:paraId="0FB09678" w14:textId="77777777" w:rsidR="00A6676B" w:rsidRPr="006840A2" w:rsidRDefault="00A6676B" w:rsidP="006840A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Walrave M., Heirman W. Cyberbullying: Predicting victimisation and perpetration. </w:t>
      </w:r>
      <w:r w:rsidRPr="006840A2">
        <w:rPr>
          <w:color w:val="000000" w:themeColor="text1"/>
          <w:szCs w:val="24"/>
          <w:lang w:eastAsia="ru-RU"/>
        </w:rPr>
        <w:t>Children </w:t>
      </w:r>
      <w:r w:rsidRPr="006840A2">
        <w:rPr>
          <w:i/>
          <w:iCs/>
          <w:color w:val="000000" w:themeColor="text1"/>
          <w:szCs w:val="24"/>
          <w:lang w:eastAsia="ru-RU"/>
        </w:rPr>
        <w:t>&amp;</w:t>
      </w:r>
      <w:r w:rsidRPr="006840A2">
        <w:rPr>
          <w:color w:val="000000" w:themeColor="text1"/>
          <w:szCs w:val="24"/>
          <w:lang w:eastAsia="ru-RU"/>
        </w:rPr>
        <w:t> Society. 25(1). 2011. Pp. 59–72.</w:t>
      </w:r>
    </w:p>
    <w:p w14:paraId="61470CFF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Williams, K., Cheung, C. K. T.,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Choi, W. (2000). Cyberostracism: Effects of being ignored over the Internet. </w:t>
      </w:r>
      <w:r w:rsidRPr="006840A2">
        <w:rPr>
          <w:i/>
          <w:iCs/>
          <w:color w:val="000000" w:themeColor="text1"/>
          <w:szCs w:val="24"/>
          <w:lang w:eastAsia="ru-RU"/>
        </w:rPr>
        <w:t>Journal of Personality and Social Psychology, 40</w:t>
      </w:r>
      <w:r w:rsidRPr="006840A2">
        <w:rPr>
          <w:color w:val="000000" w:themeColor="text1"/>
          <w:szCs w:val="24"/>
          <w:lang w:eastAsia="ru-RU"/>
        </w:rPr>
        <w:t>, 303–311.</w:t>
      </w:r>
    </w:p>
    <w:p w14:paraId="7DCA7FBB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Hawton K. 1995. Media Influences on Suicidal Behavior in Young People. Crisis: The Journal of Crisis Intervention and Suicide Prevention. 3: 100—101 (in English).</w:t>
      </w:r>
    </w:p>
    <w:p w14:paraId="5C9314C1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Thompson S. 1999. The internet and its potential influence on suicide. </w:t>
      </w:r>
      <w:r w:rsidRPr="006840A2">
        <w:rPr>
          <w:color w:val="000000" w:themeColor="text1"/>
          <w:szCs w:val="24"/>
          <w:lang w:eastAsia="ru-RU"/>
        </w:rPr>
        <w:t>Psychiatric Bulletin. 8: 449—451 (in English).</w:t>
      </w:r>
    </w:p>
    <w:p w14:paraId="119018A4" w14:textId="641B5CED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Grosskopf A. </w:t>
      </w:r>
      <w:r w:rsidRPr="006840A2">
        <w:rPr>
          <w:color w:val="000000" w:themeColor="text1"/>
          <w:szCs w:val="24"/>
          <w:lang w:val="en-US" w:eastAsia="ru-RU"/>
        </w:rPr>
        <w:t>Online interactions involving suspected paedophiles who engage in male children [</w:t>
      </w:r>
      <w:r w:rsidRPr="006840A2">
        <w:rPr>
          <w:color w:val="000000" w:themeColor="text1"/>
          <w:szCs w:val="24"/>
          <w:lang w:eastAsia="ru-RU"/>
        </w:rPr>
        <w:t>Электронный</w:t>
      </w:r>
      <w:r w:rsidRPr="006840A2">
        <w:rPr>
          <w:color w:val="000000" w:themeColor="text1"/>
          <w:szCs w:val="24"/>
          <w:lang w:val="en-US" w:eastAsia="ru-RU"/>
        </w:rPr>
        <w:t xml:space="preserve"> </w:t>
      </w:r>
      <w:r w:rsidRPr="006840A2">
        <w:rPr>
          <w:color w:val="000000" w:themeColor="text1"/>
          <w:szCs w:val="24"/>
          <w:lang w:eastAsia="ru-RU"/>
        </w:rPr>
        <w:t>ресурс</w:t>
      </w:r>
      <w:r w:rsidRPr="006840A2">
        <w:rPr>
          <w:color w:val="000000" w:themeColor="text1"/>
          <w:szCs w:val="24"/>
          <w:lang w:val="en-US" w:eastAsia="ru-RU"/>
        </w:rPr>
        <w:t>] // Trends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 xml:space="preserve"> Issues in Crime and Criminal Justice. </w:t>
      </w:r>
      <w:r w:rsidRPr="006840A2">
        <w:rPr>
          <w:color w:val="000000" w:themeColor="text1"/>
          <w:szCs w:val="24"/>
          <w:lang w:eastAsia="ru-RU"/>
        </w:rPr>
        <w:t>2010. Т. 403. P. 1—6. </w:t>
      </w:r>
    </w:p>
    <w:p w14:paraId="600E0DF7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O’Connell R. </w:t>
      </w:r>
      <w:r w:rsidRPr="006840A2">
        <w:rPr>
          <w:color w:val="000000" w:themeColor="text1"/>
          <w:szCs w:val="24"/>
          <w:lang w:val="en-US" w:eastAsia="ru-RU"/>
        </w:rPr>
        <w:t>A typology of child cybersexploitation and online grooming practices [</w:t>
      </w:r>
      <w:r w:rsidRPr="006840A2">
        <w:rPr>
          <w:color w:val="000000" w:themeColor="text1"/>
          <w:szCs w:val="24"/>
          <w:lang w:eastAsia="ru-RU"/>
        </w:rPr>
        <w:t>Электронный</w:t>
      </w:r>
      <w:r w:rsidRPr="006840A2">
        <w:rPr>
          <w:color w:val="000000" w:themeColor="text1"/>
          <w:szCs w:val="24"/>
          <w:lang w:val="en-US" w:eastAsia="ru-RU"/>
        </w:rPr>
        <w:t xml:space="preserve"> </w:t>
      </w:r>
      <w:r w:rsidRPr="006840A2">
        <w:rPr>
          <w:color w:val="000000" w:themeColor="text1"/>
          <w:szCs w:val="24"/>
          <w:lang w:eastAsia="ru-RU"/>
        </w:rPr>
        <w:t>ресурс</w:t>
      </w:r>
      <w:r w:rsidRPr="006840A2">
        <w:rPr>
          <w:color w:val="000000" w:themeColor="text1"/>
          <w:szCs w:val="24"/>
          <w:lang w:val="en-US" w:eastAsia="ru-RU"/>
        </w:rPr>
        <w:t xml:space="preserve">] // Cyberspace Research Unit, University of Central Lancashire. </w:t>
      </w:r>
      <w:r w:rsidRPr="006840A2">
        <w:rPr>
          <w:color w:val="000000" w:themeColor="text1"/>
          <w:szCs w:val="24"/>
          <w:lang w:eastAsia="ru-RU"/>
        </w:rPr>
        <w:t>2003. .</w:t>
      </w:r>
    </w:p>
    <w:p w14:paraId="163A9406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Suler J</w:t>
      </w:r>
      <w:r w:rsidRPr="006840A2">
        <w:rPr>
          <w:color w:val="000000" w:themeColor="text1"/>
          <w:szCs w:val="24"/>
          <w:lang w:val="en-US" w:eastAsia="ru-RU"/>
        </w:rPr>
        <w:t>. The online disinhibition effect [</w:t>
      </w:r>
      <w:r w:rsidRPr="006840A2">
        <w:rPr>
          <w:color w:val="000000" w:themeColor="text1"/>
          <w:szCs w:val="24"/>
          <w:lang w:eastAsia="ru-RU"/>
        </w:rPr>
        <w:t>Электронный</w:t>
      </w:r>
      <w:r w:rsidRPr="006840A2">
        <w:rPr>
          <w:color w:val="000000" w:themeColor="text1"/>
          <w:szCs w:val="24"/>
          <w:lang w:val="en-US" w:eastAsia="ru-RU"/>
        </w:rPr>
        <w:t xml:space="preserve"> </w:t>
      </w:r>
      <w:r w:rsidRPr="006840A2">
        <w:rPr>
          <w:color w:val="000000" w:themeColor="text1"/>
          <w:szCs w:val="24"/>
          <w:lang w:eastAsia="ru-RU"/>
        </w:rPr>
        <w:t>ресурс</w:t>
      </w:r>
      <w:r w:rsidRPr="006840A2">
        <w:rPr>
          <w:color w:val="000000" w:themeColor="text1"/>
          <w:szCs w:val="24"/>
          <w:lang w:val="en-US" w:eastAsia="ru-RU"/>
        </w:rPr>
        <w:t>] // Cyberpsychology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 xml:space="preserve"> Behavior. </w:t>
      </w:r>
      <w:r w:rsidRPr="006840A2">
        <w:rPr>
          <w:color w:val="000000" w:themeColor="text1"/>
          <w:szCs w:val="24"/>
          <w:lang w:eastAsia="ru-RU"/>
        </w:rPr>
        <w:t>2004. Т. 7(3). P. 321—326.</w:t>
      </w:r>
    </w:p>
    <w:p w14:paraId="16927F3A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Whittle H., Hamilton-Giachritsis C., Beech A., Collings G</w:t>
      </w:r>
      <w:r w:rsidRPr="006840A2">
        <w:rPr>
          <w:color w:val="000000" w:themeColor="text1"/>
          <w:szCs w:val="24"/>
          <w:lang w:val="en-US" w:eastAsia="ru-RU"/>
        </w:rPr>
        <w:t xml:space="preserve">. A review of online grooming: Characteristics and concerns // Aggression and Violent Behavior. </w:t>
      </w:r>
      <w:r w:rsidRPr="006840A2">
        <w:rPr>
          <w:color w:val="000000" w:themeColor="text1"/>
          <w:szCs w:val="24"/>
          <w:lang w:eastAsia="ru-RU"/>
        </w:rPr>
        <w:t>2013. Т. 18(1). P. 62—70.</w:t>
      </w:r>
    </w:p>
    <w:p w14:paraId="0D279590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t>Whittle H., Hamilton-Giachritsis C., Beech A., Collings G. </w:t>
      </w:r>
      <w:r w:rsidRPr="006840A2">
        <w:rPr>
          <w:color w:val="000000" w:themeColor="text1"/>
          <w:szCs w:val="24"/>
          <w:lang w:val="en-US" w:eastAsia="ru-RU"/>
        </w:rPr>
        <w:t xml:space="preserve">A review of young people’s vulnerabilities to online grooming // Aggression and Violent Behavior. </w:t>
      </w:r>
      <w:r w:rsidRPr="006840A2">
        <w:rPr>
          <w:color w:val="000000" w:themeColor="text1"/>
          <w:szCs w:val="24"/>
          <w:lang w:eastAsia="ru-RU"/>
        </w:rPr>
        <w:t>2013. Т. 18. P. 135—146.</w:t>
      </w:r>
    </w:p>
    <w:p w14:paraId="42A15F59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i/>
          <w:iCs/>
          <w:color w:val="000000" w:themeColor="text1"/>
          <w:szCs w:val="24"/>
          <w:lang w:val="en-US" w:eastAsia="ru-RU"/>
        </w:rPr>
        <w:lastRenderedPageBreak/>
        <w:t>Yee N., Bailenson J. </w:t>
      </w:r>
      <w:r w:rsidRPr="006840A2">
        <w:rPr>
          <w:color w:val="000000" w:themeColor="text1"/>
          <w:szCs w:val="24"/>
          <w:lang w:val="en-US" w:eastAsia="ru-RU"/>
        </w:rPr>
        <w:t>The proteus effect: The effect of transformed self-representation on behaviour [</w:t>
      </w:r>
      <w:r w:rsidRPr="006840A2">
        <w:rPr>
          <w:color w:val="000000" w:themeColor="text1"/>
          <w:szCs w:val="24"/>
          <w:lang w:eastAsia="ru-RU"/>
        </w:rPr>
        <w:t>Электронный</w:t>
      </w:r>
      <w:r w:rsidRPr="006840A2">
        <w:rPr>
          <w:color w:val="000000" w:themeColor="text1"/>
          <w:szCs w:val="24"/>
          <w:lang w:val="en-US" w:eastAsia="ru-RU"/>
        </w:rPr>
        <w:t xml:space="preserve"> </w:t>
      </w:r>
      <w:r w:rsidRPr="006840A2">
        <w:rPr>
          <w:color w:val="000000" w:themeColor="text1"/>
          <w:szCs w:val="24"/>
          <w:lang w:eastAsia="ru-RU"/>
        </w:rPr>
        <w:t>ресурс</w:t>
      </w:r>
      <w:r w:rsidRPr="006840A2">
        <w:rPr>
          <w:color w:val="000000" w:themeColor="text1"/>
          <w:szCs w:val="24"/>
          <w:lang w:val="en-US" w:eastAsia="ru-RU"/>
        </w:rPr>
        <w:t xml:space="preserve">] // Human Communication Research. </w:t>
      </w:r>
      <w:r w:rsidRPr="006840A2">
        <w:rPr>
          <w:color w:val="000000" w:themeColor="text1"/>
          <w:szCs w:val="24"/>
          <w:lang w:eastAsia="ru-RU"/>
        </w:rPr>
        <w:t>2007. Т. 33. P. 271—290.</w:t>
      </w:r>
    </w:p>
    <w:p w14:paraId="43D3AF5A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Famiglietti, C. (2011).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Cyber-trolls vandalize Facebook page for Isabella Grasso. </w:t>
      </w:r>
    </w:p>
    <w:p w14:paraId="2AFAD741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Giumetti, G. W., McKibben, E. S., Hatfield, A. L., Schroeder, A. N.,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Kowalski, R. M. (2012). Cyberincivility @ work: The new age of interpersonal deviance.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Cyberpsychology, Behavior and Social Networking, 15</w:t>
      </w:r>
      <w:r w:rsidRPr="006840A2">
        <w:rPr>
          <w:color w:val="000000" w:themeColor="text1"/>
          <w:szCs w:val="24"/>
          <w:lang w:val="en-US" w:eastAsia="ru-RU"/>
        </w:rPr>
        <w:t>, 148–154.</w:t>
      </w:r>
    </w:p>
    <w:p w14:paraId="74209DFE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Kowalski, R. M., Limber, S. P.,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Agatston, P. W. (2011).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Cyberbullying: Bullying in the digital age </w:t>
      </w:r>
      <w:r w:rsidRPr="006840A2">
        <w:rPr>
          <w:color w:val="000000" w:themeColor="text1"/>
          <w:szCs w:val="24"/>
          <w:lang w:val="en-US" w:eastAsia="ru-RU"/>
        </w:rPr>
        <w:t xml:space="preserve">(2nd ed.). </w:t>
      </w:r>
      <w:r w:rsidRPr="006840A2">
        <w:rPr>
          <w:color w:val="000000" w:themeColor="text1"/>
          <w:szCs w:val="24"/>
          <w:lang w:eastAsia="ru-RU"/>
        </w:rPr>
        <w:t>Chichester: Wiley-Blackwell.</w:t>
      </w:r>
    </w:p>
    <w:p w14:paraId="225A211F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Lenhart, A. (2010).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Cyberbullying: What the research is telling us. </w:t>
      </w:r>
      <w:r w:rsidRPr="006840A2">
        <w:rPr>
          <w:color w:val="000000" w:themeColor="text1"/>
          <w:szCs w:val="24"/>
          <w:lang w:val="en-US" w:eastAsia="ru-RU"/>
        </w:rPr>
        <w:t>Retrieved from http://www.pewinternet.org/Presentations/2009/18-Cyberbullying-What-the-research-is-telling-us.aspx</w:t>
      </w:r>
    </w:p>
    <w:p w14:paraId="76B561DF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Lenhart, A., Madden, M.,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Hitlin, P. (2005).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Teens and technology: Youth are leading the transition to a fully and mobile nation. </w:t>
      </w:r>
      <w:r w:rsidRPr="006840A2">
        <w:rPr>
          <w:color w:val="000000" w:themeColor="text1"/>
          <w:szCs w:val="24"/>
          <w:lang w:eastAsia="ru-RU"/>
        </w:rPr>
        <w:t>Retrieved from Technology.aspx</w:t>
      </w:r>
    </w:p>
    <w:p w14:paraId="2778B062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Lenhart, A., Rainie, L.,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Lewis, O. (2001).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Teenage life online. </w:t>
      </w:r>
      <w:r w:rsidRPr="006840A2">
        <w:rPr>
          <w:color w:val="000000" w:themeColor="text1"/>
          <w:szCs w:val="24"/>
          <w:lang w:val="en-US" w:eastAsia="ru-RU"/>
        </w:rPr>
        <w:t>Retrieved from http://www.pewinternet.org/Reports/2001/Teenage-Life-Online.aspx</w:t>
      </w:r>
    </w:p>
    <w:p w14:paraId="5C13698E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Lisson, M. (2008).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Out-of-Control Gossip on Juicy Campus Web Site.</w:t>
      </w:r>
    </w:p>
    <w:p w14:paraId="6FC55123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Olweus, D. (1993).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Bullying at school: What we know what we can do. </w:t>
      </w:r>
      <w:r w:rsidRPr="006840A2">
        <w:rPr>
          <w:color w:val="000000" w:themeColor="text1"/>
          <w:szCs w:val="24"/>
          <w:lang w:eastAsia="ru-RU"/>
        </w:rPr>
        <w:t>New York: Blackwell.</w:t>
      </w:r>
    </w:p>
    <w:p w14:paraId="7FC6A2C6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Smith, P. K., Mahdavi, J., Carvalho, M., Fisher, S., Russel, S.,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Tippett, N. (2008). Cyber bullying: Its nature and impact in secondary school pupils. </w:t>
      </w:r>
      <w:r w:rsidRPr="006840A2">
        <w:rPr>
          <w:i/>
          <w:iCs/>
          <w:color w:val="000000" w:themeColor="text1"/>
          <w:szCs w:val="24"/>
          <w:lang w:eastAsia="ru-RU"/>
        </w:rPr>
        <w:t>Journal of Child and Psychiatry, 49</w:t>
      </w:r>
      <w:r w:rsidRPr="006840A2">
        <w:rPr>
          <w:color w:val="000000" w:themeColor="text1"/>
          <w:szCs w:val="24"/>
          <w:lang w:eastAsia="ru-RU"/>
        </w:rPr>
        <w:t>, 376–385.</w:t>
      </w:r>
    </w:p>
    <w:p w14:paraId="025F77E6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Willard, N. (2006). </w:t>
      </w:r>
      <w:r w:rsidRPr="006840A2">
        <w:rPr>
          <w:i/>
          <w:iCs/>
          <w:color w:val="000000" w:themeColor="text1"/>
          <w:szCs w:val="24"/>
          <w:lang w:val="en-US" w:eastAsia="ru-RU"/>
        </w:rPr>
        <w:t>Cyber bullying and cyberthreats: Responding to a challenge of online social cruelty, threats, and distress. </w:t>
      </w:r>
      <w:r w:rsidRPr="006840A2">
        <w:rPr>
          <w:color w:val="000000" w:themeColor="text1"/>
          <w:szCs w:val="24"/>
          <w:lang w:eastAsia="ru-RU"/>
        </w:rPr>
        <w:t>Eugene, OR: Center for Safe and Responsible Internet Use.</w:t>
      </w:r>
    </w:p>
    <w:p w14:paraId="238770AC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Kowalski R. M., Limber S. P.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 xml:space="preserve"> Agatston P. W. Cyberbullying: Bullying in the digital age (2 nded.). </w:t>
      </w:r>
      <w:r w:rsidRPr="006840A2">
        <w:rPr>
          <w:color w:val="000000" w:themeColor="text1"/>
          <w:szCs w:val="24"/>
          <w:lang w:eastAsia="ru-RU"/>
        </w:rPr>
        <w:t>Chichester : Wiley-Blackwell, 2011.</w:t>
      </w:r>
    </w:p>
    <w:p w14:paraId="1DFA4038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val="en-US" w:eastAsia="ru-RU"/>
        </w:rPr>
      </w:pPr>
      <w:r w:rsidRPr="006840A2">
        <w:rPr>
          <w:color w:val="000000" w:themeColor="text1"/>
          <w:szCs w:val="24"/>
          <w:lang w:val="en-US" w:eastAsia="ru-RU"/>
        </w:rPr>
        <w:t>Lenhart A. Cyberbullying: What the research is telling us. Retrieved f rom http: //w w w. pew internet. or g / P r e s en t a t io n s/20 0 9/18 Cyberbullying-What-the-research-istelling-us.aspx, 2010.</w:t>
      </w:r>
    </w:p>
    <w:p w14:paraId="247E64A2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Patchin J. W.Cyberbullying: A review of the legal issues facing educators. </w:t>
      </w:r>
      <w:r w:rsidRPr="006840A2">
        <w:rPr>
          <w:color w:val="000000" w:themeColor="text1"/>
          <w:szCs w:val="24"/>
          <w:lang w:eastAsia="ru-RU"/>
        </w:rPr>
        <w:t>Preventing School Failure. 55(2). 2011. Pp. 71–74.</w:t>
      </w:r>
    </w:p>
    <w:p w14:paraId="1FE76ED9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Slonje R., Smith P. K. Cyberbullying: Another main type of bullying? </w:t>
      </w:r>
      <w:r w:rsidRPr="006840A2">
        <w:rPr>
          <w:color w:val="000000" w:themeColor="text1"/>
          <w:szCs w:val="24"/>
          <w:lang w:eastAsia="ru-RU"/>
        </w:rPr>
        <w:t>Scandinavian Journal of Psychology. 49. 2008. Pp. 147–154.</w:t>
      </w:r>
    </w:p>
    <w:p w14:paraId="0C944610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 xml:space="preserve">Walrave M., Heirman W. Cyberbullying: Predicting victimisation and perpetration. </w:t>
      </w:r>
      <w:r w:rsidRPr="006840A2">
        <w:rPr>
          <w:color w:val="000000" w:themeColor="text1"/>
          <w:szCs w:val="24"/>
          <w:lang w:eastAsia="ru-RU"/>
        </w:rPr>
        <w:t>Children </w:t>
      </w:r>
      <w:r w:rsidRPr="006840A2">
        <w:rPr>
          <w:i/>
          <w:iCs/>
          <w:color w:val="000000" w:themeColor="text1"/>
          <w:szCs w:val="24"/>
          <w:lang w:eastAsia="ru-RU"/>
        </w:rPr>
        <w:t>&amp;</w:t>
      </w:r>
      <w:r w:rsidRPr="006840A2">
        <w:rPr>
          <w:color w:val="000000" w:themeColor="text1"/>
          <w:szCs w:val="24"/>
          <w:lang w:eastAsia="ru-RU"/>
        </w:rPr>
        <w:t> Society. 25(1). 2011. Pp. 59–72.</w:t>
      </w:r>
    </w:p>
    <w:p w14:paraId="2F509560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Elsaesser, C., Russell, B., Ohannessian, C. M.,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Patton, D. (2017). Parenting in a digital age: A review of parents’ role in preventing adolescent cyberbullying. </w:t>
      </w:r>
      <w:r w:rsidRPr="006840A2">
        <w:rPr>
          <w:i/>
          <w:iCs/>
          <w:color w:val="000000" w:themeColor="text1"/>
          <w:szCs w:val="24"/>
          <w:lang w:eastAsia="ru-RU"/>
        </w:rPr>
        <w:t>Aggression and Violent Behavior</w:t>
      </w:r>
      <w:r w:rsidRPr="006840A2">
        <w:rPr>
          <w:color w:val="000000" w:themeColor="text1"/>
          <w:szCs w:val="24"/>
          <w:lang w:eastAsia="ru-RU"/>
        </w:rPr>
        <w:t>, 35, 62–72. doi:10. 1016/j. avb. 2017. 06. 004.</w:t>
      </w:r>
    </w:p>
    <w:p w14:paraId="417F5B3E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Fousiani, K., Dimitropoulou, P., Michaelides, M.P., </w:t>
      </w:r>
      <w:r w:rsidRPr="006840A2">
        <w:rPr>
          <w:i/>
          <w:iCs/>
          <w:color w:val="000000" w:themeColor="text1"/>
          <w:szCs w:val="24"/>
          <w:lang w:val="en-US" w:eastAsia="ru-RU"/>
        </w:rPr>
        <w:t>&amp;</w:t>
      </w:r>
      <w:r w:rsidRPr="006840A2">
        <w:rPr>
          <w:color w:val="000000" w:themeColor="text1"/>
          <w:szCs w:val="24"/>
          <w:lang w:val="en-US" w:eastAsia="ru-RU"/>
        </w:rPr>
        <w:t> Van Petegem, S (2016). Perceived Parenting and Adolescent Cyber-Bullying: Examining the Intervening Role of Autonomy and Relatedness Need Satisfaction, Empathic Concern and Recognition of Humanness. </w:t>
      </w:r>
      <w:r w:rsidRPr="006840A2">
        <w:rPr>
          <w:i/>
          <w:iCs/>
          <w:color w:val="000000" w:themeColor="text1"/>
          <w:szCs w:val="24"/>
          <w:lang w:eastAsia="ru-RU"/>
        </w:rPr>
        <w:t>Journal of Child and Family Studies</w:t>
      </w:r>
      <w:r w:rsidRPr="006840A2">
        <w:rPr>
          <w:color w:val="000000" w:themeColor="text1"/>
          <w:szCs w:val="24"/>
          <w:lang w:eastAsia="ru-RU"/>
        </w:rPr>
        <w:t>, 25(7), 2120–2129. doi:10. 1007/s10826-016</w:t>
      </w:r>
      <w:r w:rsidRPr="006840A2">
        <w:rPr>
          <w:color w:val="000000" w:themeColor="text1"/>
          <w:szCs w:val="24"/>
          <w:lang w:eastAsia="ru-RU"/>
        </w:rPr>
        <w:noBreakHyphen/>
        <w:t>0401</w:t>
      </w:r>
      <w:r w:rsidRPr="006840A2">
        <w:rPr>
          <w:color w:val="000000" w:themeColor="text1"/>
          <w:szCs w:val="24"/>
          <w:lang w:eastAsia="ru-RU"/>
        </w:rPr>
        <w:noBreakHyphen/>
        <w:t>1.</w:t>
      </w:r>
    </w:p>
    <w:p w14:paraId="4DDC2B6B" w14:textId="77777777" w:rsidR="00A6676B" w:rsidRPr="006840A2" w:rsidRDefault="00A6676B" w:rsidP="006840A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60"/>
        <w:ind w:left="0" w:firstLine="709"/>
        <w:jc w:val="both"/>
        <w:rPr>
          <w:color w:val="000000" w:themeColor="text1"/>
          <w:szCs w:val="24"/>
          <w:lang w:eastAsia="ru-RU"/>
        </w:rPr>
      </w:pPr>
      <w:r w:rsidRPr="006840A2">
        <w:rPr>
          <w:color w:val="000000" w:themeColor="text1"/>
          <w:szCs w:val="24"/>
          <w:lang w:val="en-US" w:eastAsia="ru-RU"/>
        </w:rPr>
        <w:t>Grigg D. W. (2010) Cyber-Aggression: Definition and Concept of Cyberbullying. </w:t>
      </w:r>
      <w:r w:rsidRPr="006840A2">
        <w:rPr>
          <w:i/>
          <w:iCs/>
          <w:color w:val="000000" w:themeColor="text1"/>
          <w:szCs w:val="24"/>
          <w:lang w:eastAsia="ru-RU"/>
        </w:rPr>
        <w:t>Journal of Psychologists and Counsellors in Schools</w:t>
      </w:r>
      <w:r w:rsidRPr="006840A2">
        <w:rPr>
          <w:color w:val="000000" w:themeColor="text1"/>
          <w:szCs w:val="24"/>
          <w:lang w:eastAsia="ru-RU"/>
        </w:rPr>
        <w:t>, 20(2), 143–156.</w:t>
      </w:r>
    </w:p>
    <w:p w14:paraId="127A962B" w14:textId="77777777" w:rsidR="00A6676B" w:rsidRPr="00E429E4" w:rsidRDefault="00A6676B" w:rsidP="00A6676B">
      <w:pPr>
        <w:spacing w:line="360" w:lineRule="auto"/>
        <w:ind w:firstLine="709"/>
        <w:jc w:val="both"/>
        <w:rPr>
          <w:szCs w:val="24"/>
        </w:rPr>
      </w:pPr>
    </w:p>
    <w:p w14:paraId="3B616EF4" w14:textId="77777777" w:rsidR="006840A2" w:rsidRDefault="006840A2" w:rsidP="00A6676B">
      <w:pPr>
        <w:spacing w:line="276" w:lineRule="auto"/>
        <w:jc w:val="center"/>
        <w:rPr>
          <w:b/>
          <w:szCs w:val="24"/>
        </w:rPr>
      </w:pPr>
    </w:p>
    <w:p w14:paraId="37A8AEED" w14:textId="3F6907EA" w:rsidR="00A6676B" w:rsidRPr="00EA6352" w:rsidRDefault="00A6676B" w:rsidP="00A6676B">
      <w:pPr>
        <w:spacing w:line="276" w:lineRule="auto"/>
        <w:jc w:val="center"/>
        <w:rPr>
          <w:b/>
          <w:szCs w:val="24"/>
        </w:rPr>
      </w:pPr>
      <w:r w:rsidRPr="00EA6352">
        <w:rPr>
          <w:b/>
          <w:szCs w:val="24"/>
        </w:rPr>
        <w:lastRenderedPageBreak/>
        <w:t>Оцінювання курсу</w:t>
      </w:r>
    </w:p>
    <w:p w14:paraId="7872A53B" w14:textId="77777777" w:rsidR="00E429E4" w:rsidRDefault="00E429E4" w:rsidP="00E429E4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6139B5C1" w14:textId="77777777" w:rsidR="00E429E4" w:rsidRDefault="00E429E4" w:rsidP="00E429E4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2782"/>
      </w:tblGrid>
      <w:tr w:rsidR="00E429E4" w14:paraId="6B18BFBA" w14:textId="77777777" w:rsidTr="009746DA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78C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0F48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128DF5BB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E429E4" w14:paraId="3A0305EB" w14:textId="77777777" w:rsidTr="009746DA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6A3" w14:textId="77777777" w:rsidR="00E429E4" w:rsidRDefault="00E429E4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CCA0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</w:t>
            </w:r>
            <w:r>
              <w:rPr>
                <w:color w:val="222222"/>
                <w:lang w:val="ru-RU"/>
              </w:rPr>
              <w:t xml:space="preserve">,72 </w:t>
            </w:r>
            <w:r>
              <w:rPr>
                <w:color w:val="222222"/>
              </w:rPr>
              <w:t xml:space="preserve">балів </w:t>
            </w:r>
            <w:r>
              <w:rPr>
                <w:color w:val="222222"/>
                <w:lang w:val="ru-RU"/>
              </w:rPr>
              <w:t>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E429E4" w14:paraId="66A1AED5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E283" w14:textId="77777777" w:rsidR="00E429E4" w:rsidRDefault="00E429E4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2C6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28 (7 практичних по </w:t>
            </w:r>
            <w:r>
              <w:rPr>
                <w:color w:val="222222"/>
                <w:lang w:val="ru-RU"/>
              </w:rPr>
              <w:t>4</w:t>
            </w:r>
            <w:r>
              <w:rPr>
                <w:color w:val="222222"/>
              </w:rPr>
              <w:t xml:space="preserve"> бали за 1 ПК)</w:t>
            </w:r>
          </w:p>
        </w:tc>
      </w:tr>
      <w:tr w:rsidR="00E429E4" w14:paraId="172814A0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777" w14:textId="77777777" w:rsidR="00E429E4" w:rsidRDefault="00E429E4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442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E429E4" w14:paraId="12762F94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0022" w14:textId="77777777" w:rsidR="00E429E4" w:rsidRDefault="00E429E4" w:rsidP="009746DA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заліковий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1988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E429E4" w14:paraId="1B226C6D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AF1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902" w14:textId="77777777" w:rsidR="00E429E4" w:rsidRDefault="00E429E4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41197224" w14:textId="0B1068FB" w:rsidR="00A6676B" w:rsidRPr="00EA6352" w:rsidRDefault="00A6676B" w:rsidP="00E429E4">
      <w:pPr>
        <w:tabs>
          <w:tab w:val="left" w:pos="1188"/>
        </w:tabs>
        <w:jc w:val="both"/>
        <w:rPr>
          <w:color w:val="000000"/>
          <w:szCs w:val="24"/>
        </w:rPr>
      </w:pPr>
    </w:p>
    <w:p w14:paraId="083CA387" w14:textId="77777777" w:rsidR="00A6676B" w:rsidRPr="00EA6352" w:rsidRDefault="00A6676B" w:rsidP="00A6676B">
      <w:pPr>
        <w:spacing w:line="276" w:lineRule="auto"/>
        <w:jc w:val="center"/>
        <w:rPr>
          <w:b/>
          <w:szCs w:val="24"/>
        </w:rPr>
      </w:pPr>
      <w:r w:rsidRPr="00EA6352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A6676B" w:rsidRPr="00EA6352" w14:paraId="7F7430FB" w14:textId="77777777" w:rsidTr="003B75AD">
        <w:trPr>
          <w:trHeight w:val="450"/>
        </w:trPr>
        <w:tc>
          <w:tcPr>
            <w:tcW w:w="1172" w:type="pct"/>
            <w:vMerge w:val="restart"/>
            <w:vAlign w:val="center"/>
          </w:tcPr>
          <w:p w14:paraId="195A1A5B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EA6352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30B1E442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Оцінка</w:t>
            </w:r>
            <w:r w:rsidRPr="00EA6352">
              <w:rPr>
                <w:b/>
                <w:szCs w:val="24"/>
              </w:rPr>
              <w:t xml:space="preserve"> </w:t>
            </w:r>
            <w:r w:rsidRPr="00EA6352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338E9198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Оцінка за національною шкалою</w:t>
            </w:r>
          </w:p>
        </w:tc>
      </w:tr>
      <w:tr w:rsidR="00A6676B" w:rsidRPr="00EA6352" w14:paraId="6E287598" w14:textId="77777777" w:rsidTr="003B75AD">
        <w:trPr>
          <w:trHeight w:val="450"/>
        </w:trPr>
        <w:tc>
          <w:tcPr>
            <w:tcW w:w="1172" w:type="pct"/>
            <w:vMerge/>
            <w:vAlign w:val="center"/>
          </w:tcPr>
          <w:p w14:paraId="2788194D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B3F6C3A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B27AAF6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BD67A8D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для заліку</w:t>
            </w:r>
          </w:p>
        </w:tc>
      </w:tr>
      <w:tr w:rsidR="00A6676B" w:rsidRPr="00EA6352" w14:paraId="5A25C26E" w14:textId="77777777" w:rsidTr="003B75AD">
        <w:tc>
          <w:tcPr>
            <w:tcW w:w="1172" w:type="pct"/>
            <w:vAlign w:val="center"/>
          </w:tcPr>
          <w:p w14:paraId="21344A85" w14:textId="77777777" w:rsidR="00A6676B" w:rsidRPr="00EA6352" w:rsidRDefault="00A6676B" w:rsidP="003B75AD">
            <w:pPr>
              <w:jc w:val="center"/>
              <w:rPr>
                <w:b/>
                <w:szCs w:val="24"/>
              </w:rPr>
            </w:pPr>
            <w:r w:rsidRPr="00EA6352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6E1BA55C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35A39A7B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06A356D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  <w:p w14:paraId="65908125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  <w:p w14:paraId="73B74D8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зараховано</w:t>
            </w:r>
          </w:p>
        </w:tc>
      </w:tr>
      <w:tr w:rsidR="00A6676B" w:rsidRPr="00EA6352" w14:paraId="28B06C3A" w14:textId="77777777" w:rsidTr="003B75AD">
        <w:trPr>
          <w:trHeight w:val="194"/>
        </w:trPr>
        <w:tc>
          <w:tcPr>
            <w:tcW w:w="1172" w:type="pct"/>
            <w:vAlign w:val="center"/>
          </w:tcPr>
          <w:p w14:paraId="75A0CB00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498C56C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3DA94FA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5392255E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</w:tr>
      <w:tr w:rsidR="00A6676B" w:rsidRPr="00EA6352" w14:paraId="24C67EF0" w14:textId="77777777" w:rsidTr="003B75AD">
        <w:tc>
          <w:tcPr>
            <w:tcW w:w="1172" w:type="pct"/>
            <w:vAlign w:val="center"/>
          </w:tcPr>
          <w:p w14:paraId="1334C830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AF0881E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8A2C6F5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7B779C0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</w:tr>
      <w:tr w:rsidR="00A6676B" w:rsidRPr="00EA6352" w14:paraId="5882E0D6" w14:textId="77777777" w:rsidTr="003B75AD">
        <w:tc>
          <w:tcPr>
            <w:tcW w:w="1172" w:type="pct"/>
            <w:vAlign w:val="center"/>
          </w:tcPr>
          <w:p w14:paraId="6E007BE6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39E2808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5728FF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17093D57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</w:tr>
      <w:tr w:rsidR="00A6676B" w:rsidRPr="00EA6352" w14:paraId="5AD216FE" w14:textId="77777777" w:rsidTr="003B75AD">
        <w:tc>
          <w:tcPr>
            <w:tcW w:w="1172" w:type="pct"/>
            <w:vAlign w:val="center"/>
          </w:tcPr>
          <w:p w14:paraId="2FF84E5B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63E2C00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CED33D2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2E9B50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</w:p>
        </w:tc>
      </w:tr>
      <w:tr w:rsidR="00A6676B" w:rsidRPr="00EA6352" w14:paraId="46AB7058" w14:textId="77777777" w:rsidTr="003B75AD">
        <w:tc>
          <w:tcPr>
            <w:tcW w:w="1172" w:type="pct"/>
            <w:vAlign w:val="center"/>
          </w:tcPr>
          <w:p w14:paraId="48C9057D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2E45683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CD7D21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2EA33816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A6676B" w:rsidRPr="00EA6352" w14:paraId="6E66D409" w14:textId="77777777" w:rsidTr="003B75AD">
        <w:trPr>
          <w:trHeight w:val="708"/>
        </w:trPr>
        <w:tc>
          <w:tcPr>
            <w:tcW w:w="1172" w:type="pct"/>
            <w:vAlign w:val="center"/>
          </w:tcPr>
          <w:p w14:paraId="3A01BD55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6FC925CA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12BBB444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45FF4E2C" w14:textId="77777777" w:rsidR="00A6676B" w:rsidRPr="00EA6352" w:rsidRDefault="00A6676B" w:rsidP="003B75AD">
            <w:pPr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9E1463E" w14:textId="0F98131E" w:rsidR="00A6676B" w:rsidRDefault="00A6676B" w:rsidP="00A6676B">
      <w:pPr>
        <w:spacing w:line="276" w:lineRule="auto"/>
        <w:jc w:val="both"/>
        <w:rPr>
          <w:szCs w:val="24"/>
        </w:rPr>
      </w:pPr>
      <w:r w:rsidRPr="00EA6352">
        <w:rPr>
          <w:szCs w:val="24"/>
        </w:rPr>
        <w:t xml:space="preserve"> </w:t>
      </w:r>
    </w:p>
    <w:p w14:paraId="60E40B3E" w14:textId="77777777" w:rsidR="00E429E4" w:rsidRPr="00C06B5B" w:rsidRDefault="00E429E4" w:rsidP="00E429E4">
      <w:pPr>
        <w:jc w:val="center"/>
        <w:rPr>
          <w:b/>
          <w:szCs w:val="24"/>
        </w:rPr>
      </w:pPr>
      <w:r w:rsidRPr="00C06B5B">
        <w:rPr>
          <w:b/>
          <w:szCs w:val="24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E429E4" w:rsidRPr="003A292D" w14:paraId="6D7B273A" w14:textId="77777777" w:rsidTr="009746D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3187" w14:textId="77777777" w:rsidR="00E429E4" w:rsidRPr="00C06B5B" w:rsidRDefault="00E429E4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C003" w14:textId="77777777" w:rsidR="00E429E4" w:rsidRPr="00C06B5B" w:rsidRDefault="00E429E4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здобувач має дотримуватись політики академічної 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429E4" w:rsidRPr="00C06B5B" w14:paraId="401B438A" w14:textId="77777777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CABE" w14:textId="77777777" w:rsidR="00E429E4" w:rsidRDefault="00E429E4" w:rsidP="009746D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Перезарахування кредитів, отриманих у неформальній освіті:</w:t>
            </w:r>
          </w:p>
          <w:p w14:paraId="221A9971" w14:textId="77777777" w:rsidR="00E429E4" w:rsidRDefault="00E429E4" w:rsidP="009746DA">
            <w:pPr>
              <w:rPr>
                <w:i/>
                <w:szCs w:val="24"/>
              </w:rPr>
            </w:pPr>
          </w:p>
          <w:p w14:paraId="717D434A" w14:textId="77777777" w:rsidR="00E429E4" w:rsidRDefault="00E429E4" w:rsidP="009746DA">
            <w:pPr>
              <w:rPr>
                <w:i/>
                <w:szCs w:val="24"/>
              </w:rPr>
            </w:pPr>
          </w:p>
          <w:p w14:paraId="6D8B5368" w14:textId="77777777" w:rsidR="00E429E4" w:rsidRDefault="00E429E4" w:rsidP="009746DA">
            <w:pPr>
              <w:rPr>
                <w:i/>
                <w:szCs w:val="24"/>
              </w:rPr>
            </w:pPr>
          </w:p>
          <w:p w14:paraId="150BC1C8" w14:textId="77777777" w:rsidR="00E429E4" w:rsidRPr="00C06B5B" w:rsidRDefault="00E429E4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D903" w14:textId="77777777" w:rsidR="00E429E4" w:rsidRDefault="00E429E4" w:rsidP="009746DA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lastRenderedPageBreak/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перезараховані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9" w:history="1">
              <w:r w:rsidRPr="006F6BFE">
                <w:rPr>
                  <w:rStyle w:val="a6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0433539C" w14:textId="77777777" w:rsidR="00E429E4" w:rsidRPr="009E28FE" w:rsidRDefault="00E429E4" w:rsidP="009746DA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</w:t>
            </w:r>
            <w:r>
              <w:rPr>
                <w:szCs w:val="24"/>
              </w:rPr>
              <w:t>ього тижня поточного семестру. У</w:t>
            </w:r>
            <w:r w:rsidRPr="00170B26">
              <w:rPr>
                <w:szCs w:val="24"/>
              </w:rPr>
              <w:t xml:space="preserve">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429E4" w:rsidRPr="00C06B5B" w14:paraId="19B2527A" w14:textId="77777777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E3FD" w14:textId="77777777" w:rsidR="00E429E4" w:rsidRPr="00C06B5B" w:rsidRDefault="00E429E4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5F76" w14:textId="77777777" w:rsidR="00E429E4" w:rsidRPr="0028150B" w:rsidRDefault="00E429E4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56A02A20" w14:textId="77777777" w:rsidR="00E429E4" w:rsidRPr="0028150B" w:rsidRDefault="00E429E4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597CFBEB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14:paraId="2AD94E99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6DA91075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</w:t>
            </w:r>
            <w:r>
              <w:rPr>
                <w:szCs w:val="24"/>
              </w:rPr>
              <w:t>одити заняття та іншим здобувачам</w:t>
            </w:r>
            <w:r w:rsidRPr="0028150B">
              <w:rPr>
                <w:szCs w:val="24"/>
              </w:rPr>
              <w:t xml:space="preserve"> навчатися.</w:t>
            </w:r>
          </w:p>
          <w:p w14:paraId="09E94049" w14:textId="77777777" w:rsidR="00E429E4" w:rsidRPr="0028150B" w:rsidRDefault="00E429E4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5453D3A9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2EEBDB81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950A6ED" w14:textId="77777777" w:rsidR="00E429E4" w:rsidRPr="0028150B" w:rsidRDefault="00E429E4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16209B61" w14:textId="77777777" w:rsidR="00E429E4" w:rsidRPr="0028150B" w:rsidRDefault="00E429E4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контролю знань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7BF5A470" w14:textId="77777777" w:rsidR="00E429E4" w:rsidRPr="00C06B5B" w:rsidRDefault="00E429E4" w:rsidP="009746DA">
            <w:pPr>
              <w:jc w:val="both"/>
              <w:rPr>
                <w:szCs w:val="24"/>
              </w:rPr>
            </w:pPr>
          </w:p>
        </w:tc>
      </w:tr>
    </w:tbl>
    <w:p w14:paraId="582226A3" w14:textId="77777777" w:rsidR="00E429E4" w:rsidRPr="00EA6352" w:rsidRDefault="00E429E4" w:rsidP="00A6676B">
      <w:pPr>
        <w:spacing w:line="276" w:lineRule="auto"/>
        <w:jc w:val="both"/>
        <w:rPr>
          <w:szCs w:val="24"/>
        </w:rPr>
      </w:pPr>
    </w:p>
    <w:sectPr w:rsidR="00E429E4" w:rsidRPr="00EA6352" w:rsidSect="00F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0A0"/>
    <w:multiLevelType w:val="multilevel"/>
    <w:tmpl w:val="68BE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93269"/>
    <w:multiLevelType w:val="multilevel"/>
    <w:tmpl w:val="68BE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3"/>
    <w:rsid w:val="000606BC"/>
    <w:rsid w:val="001010F3"/>
    <w:rsid w:val="001712A1"/>
    <w:rsid w:val="001B26D0"/>
    <w:rsid w:val="00424999"/>
    <w:rsid w:val="004946DC"/>
    <w:rsid w:val="004A04C1"/>
    <w:rsid w:val="006840A2"/>
    <w:rsid w:val="00735E0E"/>
    <w:rsid w:val="00A40169"/>
    <w:rsid w:val="00A6676B"/>
    <w:rsid w:val="00AD5CEE"/>
    <w:rsid w:val="00AE2D60"/>
    <w:rsid w:val="00C94724"/>
    <w:rsid w:val="00D412CF"/>
    <w:rsid w:val="00D571AB"/>
    <w:rsid w:val="00D73783"/>
    <w:rsid w:val="00E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30F"/>
  <w15:chartTrackingRefBased/>
  <w15:docId w15:val="{A0C12096-848C-46C0-9D5A-80C890F7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6B"/>
    <w:pPr>
      <w:ind w:left="720"/>
      <w:contextualSpacing/>
    </w:pPr>
  </w:style>
  <w:style w:type="paragraph" w:styleId="a4">
    <w:name w:val="Body Text"/>
    <w:basedOn w:val="a"/>
    <w:link w:val="a5"/>
    <w:rsid w:val="00A6676B"/>
    <w:pPr>
      <w:ind w:firstLine="709"/>
      <w:jc w:val="both"/>
    </w:pPr>
    <w:rPr>
      <w:lang w:eastAsia="uk-UA"/>
    </w:rPr>
  </w:style>
  <w:style w:type="character" w:customStyle="1" w:styleId="a5">
    <w:name w:val="Основной текст Знак"/>
    <w:basedOn w:val="a0"/>
    <w:link w:val="a4"/>
    <w:rsid w:val="00A667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E429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/2016#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63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ident.gov.ua/documents/472017-213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nu.edu.ua/index.php/university/sfera-poshyrennya-suya-v-snu-im-v-dalya/informatsijna-kartka-dokumenta-8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6</cp:revision>
  <dcterms:created xsi:type="dcterms:W3CDTF">2023-03-30T12:50:00Z</dcterms:created>
  <dcterms:modified xsi:type="dcterms:W3CDTF">2023-04-03T13:14:00Z</dcterms:modified>
</cp:coreProperties>
</file>