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79C9" w14:textId="4720204B" w:rsidR="00B440C6" w:rsidRPr="00CD6197" w:rsidRDefault="004C47ED" w:rsidP="00855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4361188"/>
      <w:r w:rsidRPr="004C47ED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B440C6" w:rsidRPr="004C47ED">
        <w:rPr>
          <w:rFonts w:ascii="Times New Roman" w:hAnsi="Times New Roman" w:cs="Times New Roman"/>
          <w:b/>
          <w:sz w:val="28"/>
          <w:szCs w:val="28"/>
          <w:lang w:val="uk-UA"/>
        </w:rPr>
        <w:t>окус-груп</w:t>
      </w:r>
      <w:r w:rsidRPr="004C4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6A4661" w:rsidRPr="004C4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40C6" w:rsidRPr="004C47ED">
        <w:rPr>
          <w:rFonts w:ascii="Times New Roman" w:hAnsi="Times New Roman" w:cs="Times New Roman"/>
          <w:b/>
          <w:sz w:val="28"/>
          <w:szCs w:val="28"/>
          <w:lang w:val="uk-UA"/>
        </w:rPr>
        <w:t>щодо</w:t>
      </w:r>
      <w:r w:rsidR="006A4661" w:rsidRPr="004C4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C4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моніторингу та вдосконаленню </w:t>
      </w:r>
      <w:r w:rsidR="00B440C6" w:rsidRPr="004C47ED">
        <w:rPr>
          <w:rFonts w:ascii="Times New Roman" w:hAnsi="Times New Roman" w:cs="Times New Roman"/>
          <w:b/>
          <w:sz w:val="28"/>
          <w:szCs w:val="28"/>
          <w:lang w:val="uk-UA"/>
        </w:rPr>
        <w:t>освітн</w:t>
      </w:r>
      <w:r w:rsidRPr="004C4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іх </w:t>
      </w:r>
      <w:r w:rsidR="006A4661" w:rsidRPr="004C4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40C6" w:rsidRPr="004C47ED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6A4661" w:rsidRPr="004C4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7ED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 081 «Право»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4661" w:rsidRPr="004C4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освітнього ступеня «бакалавр» </w:t>
      </w:r>
      <w:r w:rsidRPr="004C47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«магістр» </w:t>
      </w:r>
    </w:p>
    <w:p w14:paraId="676BA7E3" w14:textId="77777777" w:rsidR="00B440C6" w:rsidRPr="00CD6197" w:rsidRDefault="00B440C6" w:rsidP="00DD3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FF7058" w14:textId="77777777" w:rsidR="00901DE4" w:rsidRPr="00CD6197" w:rsidRDefault="00901DE4" w:rsidP="00952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3055DC" w14:textId="7586F921" w:rsidR="00952E85" w:rsidRPr="00CD6197" w:rsidRDefault="00952E85" w:rsidP="003C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Дата проведення </w:t>
      </w:r>
      <w:r w:rsidR="003201FF">
        <w:rPr>
          <w:rFonts w:ascii="Times New Roman" w:hAnsi="Times New Roman" w:cs="Times New Roman"/>
          <w:sz w:val="28"/>
          <w:szCs w:val="28"/>
          <w:lang w:val="uk-UA"/>
        </w:rPr>
        <w:t>30.06.2020</w:t>
      </w:r>
      <w:r w:rsidR="00901DE4"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8553E6">
        <w:rPr>
          <w:rFonts w:ascii="Times New Roman" w:hAnsi="Times New Roman" w:cs="Times New Roman"/>
          <w:sz w:val="28"/>
          <w:szCs w:val="28"/>
          <w:lang w:val="uk-UA"/>
        </w:rPr>
        <w:t>об 11-00</w:t>
      </w:r>
    </w:p>
    <w:p w14:paraId="4F2CF3F9" w14:textId="7C3B344D" w:rsidR="00952E85" w:rsidRPr="003201FF" w:rsidRDefault="00901DE4" w:rsidP="003C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</w:t>
      </w:r>
      <w:r w:rsidR="00952E85"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313 </w:t>
      </w:r>
      <w:proofErr w:type="spellStart"/>
      <w:r w:rsidR="00952E85" w:rsidRPr="00CD6197">
        <w:rPr>
          <w:rFonts w:ascii="Times New Roman" w:hAnsi="Times New Roman" w:cs="Times New Roman"/>
          <w:sz w:val="28"/>
          <w:szCs w:val="28"/>
          <w:lang w:val="uk-UA"/>
        </w:rPr>
        <w:t>ауд</w:t>
      </w:r>
      <w:proofErr w:type="spellEnd"/>
      <w:r w:rsidR="00952E85" w:rsidRPr="00CD6197">
        <w:rPr>
          <w:rFonts w:ascii="Times New Roman" w:hAnsi="Times New Roman" w:cs="Times New Roman"/>
          <w:sz w:val="28"/>
          <w:szCs w:val="28"/>
          <w:lang w:val="uk-UA"/>
        </w:rPr>
        <w:t>. ГК СНУ ім. В.</w:t>
      </w:r>
      <w:r w:rsidR="004C4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E85" w:rsidRPr="00CD6197">
        <w:rPr>
          <w:rFonts w:ascii="Times New Roman" w:hAnsi="Times New Roman" w:cs="Times New Roman"/>
          <w:sz w:val="28"/>
          <w:szCs w:val="28"/>
          <w:lang w:val="uk-UA"/>
        </w:rPr>
        <w:t>Даля</w:t>
      </w:r>
      <w:r w:rsidR="003201F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201FF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1F3E6183" w14:textId="2068AF65" w:rsidR="00074C57" w:rsidRPr="003201FF" w:rsidRDefault="00074C57" w:rsidP="003C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– </w:t>
      </w:r>
      <w:r w:rsidR="003201FF" w:rsidRPr="003201F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1FF">
        <w:rPr>
          <w:rFonts w:ascii="Times New Roman" w:hAnsi="Times New Roman" w:cs="Times New Roman"/>
          <w:sz w:val="28"/>
          <w:szCs w:val="28"/>
          <w:lang w:val="uk-UA"/>
        </w:rPr>
        <w:t>хвилин</w:t>
      </w:r>
    </w:p>
    <w:p w14:paraId="3A6C0043" w14:textId="0A986D2E" w:rsidR="006A4661" w:rsidRPr="00CD6197" w:rsidRDefault="006A4661" w:rsidP="003C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64F508" w14:textId="0E46278A" w:rsidR="006A4661" w:rsidRPr="00CD6197" w:rsidRDefault="006A4661" w:rsidP="003C03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CD6197" w:rsidRPr="00CD619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ЧАСНИКИ</w:t>
      </w:r>
      <w:r w:rsidRPr="00CD61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</w:p>
    <w:p w14:paraId="7EACF5F7" w14:textId="64B609E4" w:rsidR="00935286" w:rsidRPr="00CD6197" w:rsidRDefault="006A4661" w:rsidP="00935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Голова проектної групи освітньої програми </w:t>
      </w:r>
      <w:r w:rsidRPr="00CD6197">
        <w:rPr>
          <w:rFonts w:ascii="Times New Roman" w:hAnsi="Times New Roman" w:cs="Times New Roman"/>
          <w:bCs/>
          <w:sz w:val="28"/>
          <w:szCs w:val="28"/>
          <w:lang w:val="uk-UA"/>
        </w:rPr>
        <w:t>освітнього ступеня «бакалавр» спеціальності 081 «Право»</w:t>
      </w:r>
      <w:r w:rsidRPr="00CD61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Котова Л.В.</w:t>
      </w:r>
      <w:r w:rsidR="00901DE4"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5286" w:rsidRPr="00CD6197">
        <w:rPr>
          <w:rFonts w:ascii="Times New Roman" w:hAnsi="Times New Roman" w:cs="Times New Roman"/>
          <w:sz w:val="28"/>
          <w:szCs w:val="28"/>
          <w:lang w:val="uk-UA"/>
        </w:rPr>
        <w:t>(модератор)</w:t>
      </w:r>
      <w:r w:rsidR="009352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DBE10E" w14:textId="45A5A4B8" w:rsidR="00952E85" w:rsidRPr="00CD6197" w:rsidRDefault="006A4661" w:rsidP="003C0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Член проектної групи  освітньої програми </w:t>
      </w:r>
      <w:r w:rsidRPr="00CD6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освітнього ступеня «бакалавр» </w:t>
      </w:r>
      <w:r w:rsid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«магістр» </w:t>
      </w:r>
      <w:r w:rsidRPr="00CD61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спеціальності 081 «Право» </w:t>
      </w:r>
      <w:r w:rsidR="00B440C6" w:rsidRPr="00CD6197">
        <w:rPr>
          <w:rFonts w:ascii="Times New Roman" w:hAnsi="Times New Roman" w:cs="Times New Roman"/>
          <w:sz w:val="28"/>
          <w:szCs w:val="28"/>
          <w:lang w:val="uk-UA"/>
        </w:rPr>
        <w:t>Арсентьєв</w:t>
      </w:r>
      <w:r w:rsidR="00952E85"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B440C6" w:rsidRPr="00CD6197">
        <w:rPr>
          <w:rFonts w:ascii="Times New Roman" w:hAnsi="Times New Roman" w:cs="Times New Roman"/>
          <w:sz w:val="28"/>
          <w:szCs w:val="28"/>
          <w:lang w:val="uk-UA"/>
        </w:rPr>
        <w:t>О.С.</w:t>
      </w:r>
      <w:r w:rsidR="00D460DC"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FE7E18C" w14:textId="0D6A04FA" w:rsidR="00901DE4" w:rsidRDefault="00901DE4" w:rsidP="00CD6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Студенти ОС Бакалавр спеціальності 081 «Право» </w:t>
      </w:r>
      <w:r w:rsidR="003201F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201FF" w:rsidRPr="004C47ED">
        <w:rPr>
          <w:rFonts w:ascii="Times New Roman" w:hAnsi="Times New Roman" w:cs="Times New Roman"/>
          <w:sz w:val="28"/>
          <w:szCs w:val="28"/>
          <w:lang w:val="uk-UA"/>
        </w:rPr>
        <w:t>представники роботодавців</w:t>
      </w:r>
      <w:r w:rsidR="00320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50F">
        <w:rPr>
          <w:rFonts w:ascii="Times New Roman" w:hAnsi="Times New Roman" w:cs="Times New Roman"/>
          <w:sz w:val="28"/>
          <w:szCs w:val="28"/>
          <w:lang w:val="uk-UA"/>
        </w:rPr>
        <w:t>(Додаток А).</w:t>
      </w:r>
    </w:p>
    <w:p w14:paraId="71511E97" w14:textId="77777777" w:rsidR="00BE750F" w:rsidRPr="00CD6197" w:rsidRDefault="00BE750F" w:rsidP="00CD6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775C8" w14:textId="77777777" w:rsidR="00450963" w:rsidRDefault="00450963" w:rsidP="003C031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14:paraId="23EEE009" w14:textId="38145BED" w:rsidR="00CD6197" w:rsidRPr="004C47ED" w:rsidRDefault="00CD6197" w:rsidP="003C0316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7ED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ФОКУС-ГРУПИ</w:t>
      </w:r>
    </w:p>
    <w:p w14:paraId="77EE0BA0" w14:textId="27FD5899" w:rsidR="00A925F0" w:rsidRPr="00CD6197" w:rsidRDefault="003C0316" w:rsidP="00A925F0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7ED">
        <w:rPr>
          <w:rFonts w:ascii="Times New Roman" w:hAnsi="Times New Roman" w:cs="Times New Roman"/>
          <w:bCs/>
          <w:sz w:val="28"/>
          <w:szCs w:val="28"/>
          <w:lang w:val="uk-UA"/>
        </w:rPr>
        <w:t>Мета</w:t>
      </w:r>
      <w:r w:rsidR="00BB5402"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E3176" w:rsidRPr="004C47ED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52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обговорення нових норм та </w:t>
      </w:r>
      <w:r w:rsidR="00CE3176"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дослідження думки щодо </w:t>
      </w:r>
      <w:r w:rsidR="00BB5402"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реалізації </w:t>
      </w:r>
      <w:r w:rsidR="00CE3176"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програмних результатів навчання за ОП </w:t>
      </w:r>
      <w:r w:rsidR="00BB5402" w:rsidRPr="004C47ED">
        <w:rPr>
          <w:rFonts w:ascii="Times New Roman" w:hAnsi="Times New Roman" w:cs="Times New Roman"/>
          <w:bCs/>
          <w:sz w:val="28"/>
          <w:szCs w:val="28"/>
          <w:lang w:val="uk-UA"/>
        </w:rPr>
        <w:t>ОС Бакалавр</w:t>
      </w:r>
      <w:r w:rsidR="00A925F0" w:rsidRPr="004C47ED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4C47ED"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Магістра</w:t>
      </w:r>
      <w:r w:rsidR="00BB5402"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25F0"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спеціальності </w:t>
      </w:r>
      <w:r w:rsidR="00CE3176" w:rsidRPr="004C47ED">
        <w:rPr>
          <w:rFonts w:ascii="Times New Roman" w:hAnsi="Times New Roman" w:cs="Times New Roman"/>
          <w:bCs/>
          <w:sz w:val="28"/>
          <w:szCs w:val="28"/>
          <w:lang w:val="uk-UA"/>
        </w:rPr>
        <w:t>081 «Право»</w:t>
      </w:r>
      <w:r w:rsidRPr="004C47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25F0" w:rsidRPr="004C47ED">
        <w:rPr>
          <w:rFonts w:ascii="Times New Roman" w:hAnsi="Times New Roman" w:cs="Times New Roman"/>
          <w:sz w:val="28"/>
          <w:szCs w:val="28"/>
          <w:lang w:val="uk-UA"/>
        </w:rPr>
        <w:t>з метою врахування інтересів та пропозицій зацікавлених сторін (</w:t>
      </w:r>
      <w:proofErr w:type="spellStart"/>
      <w:r w:rsidR="00A925F0" w:rsidRPr="004C47ED">
        <w:rPr>
          <w:rFonts w:ascii="Times New Roman" w:hAnsi="Times New Roman" w:cs="Times New Roman"/>
          <w:sz w:val="28"/>
          <w:szCs w:val="28"/>
          <w:lang w:val="uk-UA"/>
        </w:rPr>
        <w:t>стейкхолдерів</w:t>
      </w:r>
      <w:proofErr w:type="spellEnd"/>
      <w:r w:rsidR="00A925F0" w:rsidRPr="004C47ED">
        <w:rPr>
          <w:rFonts w:ascii="Times New Roman" w:hAnsi="Times New Roman" w:cs="Times New Roman"/>
          <w:sz w:val="28"/>
          <w:szCs w:val="28"/>
          <w:lang w:val="uk-UA"/>
        </w:rPr>
        <w:t xml:space="preserve">) шляхом їх впровадження при </w:t>
      </w:r>
      <w:r w:rsidR="004C47ED" w:rsidRPr="004C47ED">
        <w:rPr>
          <w:rFonts w:ascii="Times New Roman" w:hAnsi="Times New Roman" w:cs="Times New Roman"/>
          <w:bCs/>
          <w:sz w:val="28"/>
          <w:szCs w:val="28"/>
          <w:lang w:val="uk-UA"/>
        </w:rPr>
        <w:t>перегляді ОП у формі оновлення</w:t>
      </w:r>
      <w:r w:rsidR="004C47ED" w:rsidRPr="004C47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FB6569" w14:textId="37354600" w:rsidR="003C0316" w:rsidRPr="00CD6197" w:rsidRDefault="003C0316" w:rsidP="003C03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bCs/>
          <w:sz w:val="28"/>
          <w:szCs w:val="28"/>
          <w:lang w:val="uk-UA"/>
        </w:rPr>
        <w:t>Завдання:</w:t>
      </w:r>
    </w:p>
    <w:p w14:paraId="0E66E405" w14:textId="31130467" w:rsidR="00FD3BF3" w:rsidRPr="00935286" w:rsidRDefault="00935286" w:rsidP="00D4088E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</w:pPr>
      <w:bookmarkStart w:id="1" w:name="_Hlk37284117"/>
      <w:r w:rsidRP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Обговорити норми </w:t>
      </w:r>
      <w:r w:rsidRPr="00935286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Положення про порядок та умови формування індивідуальної  освітньої траєкторії здобувачами вищої освіти СНУ ім. В. Даля. </w:t>
      </w:r>
      <w:r w:rsidR="00CB1DDB" w:rsidRP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Визначити доцільність </w:t>
      </w:r>
      <w:r w:rsidR="00200A2A" w:rsidRP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уточнення</w:t>
      </w:r>
      <w:r w:rsidR="00CB1DDB" w:rsidRP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підходу до реалізації студентом власної освітньої парадигми (вибір дисциплін вільного вибору).</w:t>
      </w:r>
      <w:r w:rsidR="00200A2A" w:rsidRP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</w:t>
      </w:r>
    </w:p>
    <w:p w14:paraId="12626D97" w14:textId="265FA396" w:rsidR="00CB1DDB" w:rsidRPr="004C47ED" w:rsidRDefault="00CB1DDB" w:rsidP="00CB1DDB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Обговорити необхідність </w:t>
      </w:r>
      <w:r w:rsidR="00255908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оновлення ОП бакалавра та магістра</w:t>
      </w:r>
      <w:r w:rsid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, яке</w:t>
      </w:r>
      <w:r w:rsidR="00255908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 відображене у відповідних </w:t>
      </w:r>
      <w:r w:rsid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змінах </w:t>
      </w:r>
      <w:r w:rsidR="00255908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структурних елементів  ОП (навчального плану 2020р.</w:t>
      </w:r>
      <w:r w:rsidR="00D849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en-US" w:eastAsia="uk-UA"/>
        </w:rPr>
        <w:t xml:space="preserve"> </w:t>
      </w:r>
      <w:r w:rsidR="00255908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прийому, зміни у матриц</w:t>
      </w:r>
      <w:r w:rsidR="004C47ED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я</w:t>
      </w:r>
      <w:r w:rsidR="00255908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х).</w:t>
      </w:r>
    </w:p>
    <w:p w14:paraId="0D0B213A" w14:textId="40C72DAA" w:rsidR="003C0316" w:rsidRPr="004C47ED" w:rsidRDefault="003201FF" w:rsidP="003C031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З’ясувати необхідність включення певних </w:t>
      </w:r>
      <w:r w:rsidR="00CB1DDB" w:rsidRPr="004C47ED">
        <w:rPr>
          <w:rFonts w:ascii="Times New Roman" w:hAnsi="Times New Roman" w:cs="Times New Roman"/>
          <w:sz w:val="28"/>
          <w:szCs w:val="28"/>
          <w:lang w:val="uk-UA"/>
        </w:rPr>
        <w:t>вибіркових освітніх компонентів  ОП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до освітнього процесу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1DDB" w:rsidRPr="004C47ED">
        <w:rPr>
          <w:rFonts w:ascii="Times New Roman" w:hAnsi="Times New Roman" w:cs="Times New Roman"/>
          <w:sz w:val="28"/>
          <w:szCs w:val="28"/>
          <w:lang w:val="uk-UA"/>
        </w:rPr>
        <w:t>та о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 xml:space="preserve">бговорити каталог вибіркових дисциплін, які будуть </w:t>
      </w:r>
      <w:r w:rsidR="0093528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 xml:space="preserve">пропоновані </w:t>
      </w:r>
      <w:r w:rsidR="009352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C0316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О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П спеціальності 081 «Право» </w:t>
      </w:r>
      <w:r w:rsidR="00CB1DDB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(бакалавр, магістр) для здобувачів </w:t>
      </w:r>
      <w:r w:rsidR="00D849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вищої освіти 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2020-2021 р.</w:t>
      </w:r>
      <w:r w:rsid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</w:t>
      </w:r>
      <w:r w:rsidR="00CB1DDB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прийому</w:t>
      </w:r>
      <w:r w:rsid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та слугуватимуть основою</w:t>
      </w:r>
      <w:r w:rsidR="00D849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побудови </w:t>
      </w:r>
      <w:r w:rsid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індивідуальної </w:t>
      </w:r>
      <w:r w:rsidR="00D849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освітньої </w:t>
      </w:r>
      <w:r w:rsid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траєкторії</w:t>
      </w:r>
      <w:r w:rsidR="00CB1DDB"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.</w:t>
      </w:r>
    </w:p>
    <w:p w14:paraId="37892FED" w14:textId="40800507" w:rsidR="00903E26" w:rsidRPr="00903E26" w:rsidRDefault="00903E26" w:rsidP="003C031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</w:pPr>
      <w:r w:rsidRPr="00903E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Обговорення пропозицій </w:t>
      </w:r>
      <w:r w:rsidR="00D849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екзаменаційних комісій </w:t>
      </w:r>
      <w:r w:rsidRPr="00903E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спеціальності 081 «Право» щодо удосконалення проведення кваліфікаційного тестового екзамену. </w:t>
      </w:r>
    </w:p>
    <w:p w14:paraId="37E56F8D" w14:textId="3A6D92A7" w:rsidR="003C0316" w:rsidRPr="00CD6197" w:rsidRDefault="00F80080" w:rsidP="003C031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З’ясування </w:t>
      </w:r>
      <w:r w:rsidR="003C0316" w:rsidRPr="00CD6197">
        <w:rPr>
          <w:rFonts w:ascii="Times New Roman" w:hAnsi="Times New Roman" w:cs="Times New Roman"/>
          <w:sz w:val="28"/>
          <w:szCs w:val="28"/>
          <w:lang w:val="uk-UA"/>
        </w:rPr>
        <w:t>доцільності  використання в освітньому процесі певних видів неформальної освіти (професійні тренінги, онлайн освіта, громадянська освіта).</w:t>
      </w:r>
    </w:p>
    <w:bookmarkEnd w:id="1"/>
    <w:p w14:paraId="6175BDA0" w14:textId="77777777" w:rsidR="00D04C3E" w:rsidRDefault="00D04C3E" w:rsidP="00D112D5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</w:rPr>
      </w:pPr>
    </w:p>
    <w:p w14:paraId="2EB13B1F" w14:textId="71D708B3" w:rsidR="00B440C6" w:rsidRPr="00CD6197" w:rsidRDefault="00B440C6" w:rsidP="00D112D5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sz w:val="28"/>
          <w:szCs w:val="28"/>
        </w:rPr>
      </w:pPr>
      <w:r w:rsidRPr="00CD6197">
        <w:rPr>
          <w:sz w:val="28"/>
          <w:szCs w:val="28"/>
        </w:rPr>
        <w:t>Методологія дослідження</w:t>
      </w:r>
      <w:r w:rsidR="00A925F0">
        <w:rPr>
          <w:sz w:val="28"/>
          <w:szCs w:val="28"/>
        </w:rPr>
        <w:t xml:space="preserve"> ТА ПРОЦЕДУРА ЗБОРУ ДАНИХ </w:t>
      </w:r>
    </w:p>
    <w:p w14:paraId="106F27F3" w14:textId="2579F87E" w:rsidR="00B440C6" w:rsidRDefault="00B440C6" w:rsidP="00D112D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Форма дослідження – </w:t>
      </w:r>
      <w:r w:rsidR="00787D6F"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>фокус-груп</w:t>
      </w:r>
      <w:r w:rsidR="00787D6F" w:rsidRPr="00903E26">
        <w:rPr>
          <w:rFonts w:ascii="Times New Roman" w:hAnsi="Times New Roman" w:cs="Times New Roman"/>
          <w:sz w:val="28"/>
          <w:szCs w:val="28"/>
          <w:lang w:val="uk-UA"/>
        </w:rPr>
        <w:t>и (представників цільової аудиторії)</w:t>
      </w:r>
      <w:r w:rsidR="00A925F0"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D6F"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шляхом інтерв’ювання та обговорення </w:t>
      </w:r>
      <w:r w:rsidR="00A925F0" w:rsidRPr="00903E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 фіксацією відповідей</w:t>
      </w:r>
      <w:r w:rsidR="00787D6F"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76D3"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систематизація й </w:t>
      </w:r>
      <w:r w:rsidR="002A6A7D" w:rsidRPr="00903E26">
        <w:rPr>
          <w:rFonts w:ascii="Times New Roman" w:hAnsi="Times New Roman" w:cs="Times New Roman"/>
          <w:sz w:val="28"/>
          <w:szCs w:val="28"/>
          <w:lang w:val="uk-UA"/>
        </w:rPr>
        <w:t>обробк</w:t>
      </w:r>
      <w:r w:rsidR="000776D3"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а письмових </w:t>
      </w:r>
      <w:r w:rsidR="00903E26" w:rsidRPr="00903E26">
        <w:rPr>
          <w:rFonts w:ascii="Times New Roman" w:hAnsi="Times New Roman" w:cs="Times New Roman"/>
          <w:sz w:val="28"/>
          <w:szCs w:val="28"/>
          <w:lang w:val="uk-UA"/>
        </w:rPr>
        <w:t>пропозицій (після фокус-групи за наявності)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8262CF" w14:textId="146A06A3" w:rsidR="00D460DC" w:rsidRPr="00903E26" w:rsidRDefault="00D460DC" w:rsidP="00D112D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E26">
        <w:rPr>
          <w:rFonts w:ascii="Times New Roman" w:hAnsi="Times New Roman" w:cs="Times New Roman"/>
          <w:sz w:val="28"/>
          <w:szCs w:val="28"/>
          <w:lang w:val="uk-UA"/>
        </w:rPr>
        <w:lastRenderedPageBreak/>
        <w:t>Збір даних проводився шляхом  фіксації усних  відповідей (</w:t>
      </w:r>
      <w:r w:rsidR="00935286">
        <w:rPr>
          <w:rFonts w:ascii="Times New Roman" w:hAnsi="Times New Roman" w:cs="Times New Roman"/>
          <w:sz w:val="28"/>
          <w:szCs w:val="28"/>
          <w:lang w:val="uk-UA"/>
        </w:rPr>
        <w:t xml:space="preserve">в процесі 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>обговорення)</w:t>
      </w:r>
      <w:r w:rsidR="00074C57" w:rsidRPr="00903E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  підрахунку голосів (відкрите голосування) і супутнього  запису пояснень  учасників  при відповідях на запитання, що ставилися модератором фокус-групи, а також  систематизація й обробка письмових </w:t>
      </w:r>
      <w:r w:rsidR="00903E26" w:rsidRPr="00903E26">
        <w:rPr>
          <w:rFonts w:ascii="Times New Roman" w:hAnsi="Times New Roman" w:cs="Times New Roman"/>
          <w:sz w:val="28"/>
          <w:szCs w:val="28"/>
          <w:lang w:val="uk-UA"/>
        </w:rPr>
        <w:t>пропозицій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18EBCB" w14:textId="4326A482" w:rsidR="00D460DC" w:rsidRPr="00CD6197" w:rsidRDefault="00074C57" w:rsidP="00D112D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pacing w:val="31"/>
          <w:sz w:val="28"/>
          <w:szCs w:val="28"/>
          <w:lang w:val="uk-UA"/>
        </w:rPr>
      </w:pPr>
      <w:r w:rsidRPr="00903E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460DC"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авдання модератора полягало у </w:t>
      </w:r>
      <w:r w:rsidR="00D84926">
        <w:rPr>
          <w:rFonts w:ascii="Times New Roman" w:hAnsi="Times New Roman" w:cs="Times New Roman"/>
          <w:sz w:val="28"/>
          <w:szCs w:val="28"/>
          <w:lang w:val="uk-UA"/>
        </w:rPr>
        <w:t xml:space="preserve">поінформуванні учасників зі змістом </w:t>
      </w:r>
      <w:r w:rsidR="00935286" w:rsidRPr="00935286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Положення про порядок та умови формування індивідуальної  освітньої траєкторії здобувачами вищої освіти СНУ ім. В. Даля</w:t>
      </w:r>
      <w:r w:rsidR="00D84926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, </w:t>
      </w:r>
      <w:proofErr w:type="spellStart"/>
      <w:r w:rsidR="00D84926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модеруванні</w:t>
      </w:r>
      <w:proofErr w:type="spellEnd"/>
      <w:r w:rsidR="00D84926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та сприянні висловленню думки кожному учаснику фокус-групи</w:t>
      </w:r>
      <w:r w:rsidR="00D460DC" w:rsidRPr="00903E26">
        <w:rPr>
          <w:rFonts w:ascii="Times New Roman" w:hAnsi="Times New Roman" w:cs="Times New Roman"/>
          <w:sz w:val="28"/>
          <w:szCs w:val="28"/>
          <w:lang w:val="uk-UA"/>
        </w:rPr>
        <w:t>, організації їх обговорення з метою уточн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D460DC"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з’ясування ставлення та ступеня відвертості учасників </w:t>
      </w:r>
      <w:r w:rsidR="00D460DC" w:rsidRPr="00903E2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903E26">
        <w:rPr>
          <w:rFonts w:ascii="Times New Roman" w:hAnsi="Times New Roman" w:cs="Times New Roman"/>
          <w:sz w:val="28"/>
          <w:szCs w:val="28"/>
          <w:lang w:val="uk-UA"/>
        </w:rPr>
        <w:t>запропонованих п</w:t>
      </w:r>
      <w:r w:rsidR="00D460DC" w:rsidRPr="00903E26">
        <w:rPr>
          <w:rFonts w:ascii="Times New Roman" w:hAnsi="Times New Roman" w:cs="Times New Roman"/>
          <w:sz w:val="28"/>
          <w:szCs w:val="28"/>
          <w:lang w:val="uk-UA"/>
        </w:rPr>
        <w:t>итань.</w:t>
      </w:r>
      <w:r w:rsidR="00D460DC" w:rsidRPr="00CD6197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</w:p>
    <w:p w14:paraId="185EDCB8" w14:textId="4A97FCE2" w:rsidR="00D460DC" w:rsidRPr="00CD6197" w:rsidRDefault="00672B0F" w:rsidP="00D112D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дослідження всі у</w:t>
      </w:r>
      <w:r w:rsidR="00D460DC"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часники були ознайомлені </w:t>
      </w:r>
      <w:r w:rsidR="00935286">
        <w:rPr>
          <w:rFonts w:ascii="Times New Roman" w:hAnsi="Times New Roman" w:cs="Times New Roman"/>
          <w:sz w:val="28"/>
          <w:szCs w:val="28"/>
          <w:lang w:val="uk-UA"/>
        </w:rPr>
        <w:t xml:space="preserve">з документами, які розміщені на сайті СНУ ім. В. Даля та </w:t>
      </w:r>
      <w:r w:rsidR="00D460DC" w:rsidRPr="00CD6197">
        <w:rPr>
          <w:rFonts w:ascii="Times New Roman" w:hAnsi="Times New Roman" w:cs="Times New Roman"/>
          <w:sz w:val="28"/>
          <w:szCs w:val="28"/>
          <w:lang w:val="uk-UA"/>
        </w:rPr>
        <w:t>з правилами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фокус-групи</w:t>
      </w:r>
      <w:r w:rsidR="00D460DC" w:rsidRPr="00CD61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462E80" w14:textId="77777777" w:rsidR="00D460DC" w:rsidRPr="00CD6197" w:rsidRDefault="00D460DC" w:rsidP="00D112D5">
      <w:pPr>
        <w:pStyle w:val="a4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участь в обговоренні всіх</w:t>
      </w:r>
      <w:r w:rsidRPr="00CD6197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учасників/учасниць;</w:t>
      </w:r>
    </w:p>
    <w:p w14:paraId="4172AC0F" w14:textId="545C34FA" w:rsidR="00D460DC" w:rsidRPr="00CD6197" w:rsidRDefault="00D460DC" w:rsidP="00D112D5">
      <w:pPr>
        <w:pStyle w:val="a4"/>
        <w:widowControl w:val="0"/>
        <w:numPr>
          <w:ilvl w:val="0"/>
          <w:numId w:val="25"/>
        </w:numPr>
        <w:tabs>
          <w:tab w:val="left" w:pos="822"/>
          <w:tab w:val="left" w:pos="3205"/>
          <w:tab w:val="left" w:pos="4730"/>
          <w:tab w:val="left" w:pos="6327"/>
          <w:tab w:val="left" w:pos="7920"/>
          <w:tab w:val="left" w:pos="86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конфіденційність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ab/>
        <w:t>отриманої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ab/>
        <w:t>інформації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ab/>
        <w:t>(виключно</w:t>
      </w:r>
      <w:r w:rsidR="00681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681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потреб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681E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в узагальненому</w:t>
      </w:r>
      <w:r w:rsidRPr="00CD6197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вигляді);</w:t>
      </w:r>
    </w:p>
    <w:p w14:paraId="12996E38" w14:textId="77777777" w:rsidR="00681E3E" w:rsidRDefault="00D460DC" w:rsidP="00D112D5">
      <w:pPr>
        <w:pStyle w:val="a4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щирість відповідей</w:t>
      </w:r>
      <w:r w:rsidR="00681E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73F80D5" w14:textId="047A33A6" w:rsidR="00D460DC" w:rsidRPr="00CD6197" w:rsidRDefault="00D460DC" w:rsidP="00D112D5">
      <w:pPr>
        <w:pStyle w:val="a4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відсутність оцін</w:t>
      </w:r>
      <w:r w:rsidR="00672B0F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A3E4CDD" w14:textId="77777777" w:rsidR="00D460DC" w:rsidRPr="00CD6197" w:rsidRDefault="00D460DC" w:rsidP="00D112D5">
      <w:pPr>
        <w:pStyle w:val="a4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висловлювання власної думки, навіть якщо вона суперечить думкам більшості учасників/учасниць</w:t>
      </w:r>
      <w:r w:rsidRPr="00CD6197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фокус-групи;</w:t>
      </w:r>
    </w:p>
    <w:p w14:paraId="131779D4" w14:textId="77777777" w:rsidR="00D460DC" w:rsidRPr="00CD6197" w:rsidRDefault="00D460DC" w:rsidP="00D112D5">
      <w:pPr>
        <w:pStyle w:val="a4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повага до думки інших, толерантне ставлення один до</w:t>
      </w:r>
      <w:r w:rsidRPr="00CD619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одного;</w:t>
      </w:r>
    </w:p>
    <w:p w14:paraId="06A96EB2" w14:textId="15EDF530" w:rsidR="00D460DC" w:rsidRPr="00CD6197" w:rsidRDefault="00681E3E" w:rsidP="00D112D5">
      <w:pPr>
        <w:pStyle w:val="a4"/>
        <w:widowControl w:val="0"/>
        <w:numPr>
          <w:ilvl w:val="0"/>
          <w:numId w:val="25"/>
        </w:numPr>
        <w:tabs>
          <w:tab w:val="left" w:pos="82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чіткість та організованість</w:t>
      </w:r>
      <w:r w:rsidR="00D460DC" w:rsidRPr="00CD6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7F2B1468" w14:textId="5B3CA424" w:rsidR="00450963" w:rsidRDefault="00D460DC" w:rsidP="00D112D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Склад фокус-групи був кількісно оптимальним (</w:t>
      </w:r>
      <w:r w:rsidR="00935286">
        <w:rPr>
          <w:rFonts w:ascii="Times New Roman" w:hAnsi="Times New Roman" w:cs="Times New Roman"/>
          <w:sz w:val="28"/>
          <w:szCs w:val="28"/>
          <w:lang w:val="uk-UA"/>
        </w:rPr>
        <w:t>одна</w:t>
      </w:r>
      <w:r w:rsidR="00C07C3B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D130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07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0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="00C07C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112D5" w:rsidRPr="00CD619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) для отримання достатньо</w:t>
      </w:r>
      <w:r w:rsidR="00C07C3B">
        <w:rPr>
          <w:rFonts w:ascii="Times New Roman" w:hAnsi="Times New Roman" w:cs="Times New Roman"/>
          <w:sz w:val="28"/>
          <w:szCs w:val="28"/>
          <w:lang w:val="uk-UA"/>
        </w:rPr>
        <w:t>ї кількості думок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C3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активної участі в </w:t>
      </w:r>
      <w:r w:rsidR="00935286">
        <w:rPr>
          <w:rFonts w:ascii="Times New Roman" w:hAnsi="Times New Roman" w:cs="Times New Roman"/>
          <w:sz w:val="28"/>
          <w:szCs w:val="28"/>
          <w:lang w:val="uk-UA"/>
        </w:rPr>
        <w:t xml:space="preserve">онлайн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дискусії кожного члена групи. </w:t>
      </w:r>
    </w:p>
    <w:p w14:paraId="2D084A61" w14:textId="51AB8009" w:rsidR="00D460DC" w:rsidRPr="00CD6197" w:rsidRDefault="00D460DC" w:rsidP="00D112D5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Склад групи </w:t>
      </w:r>
      <w:r w:rsidR="000206F0">
        <w:rPr>
          <w:rFonts w:ascii="Times New Roman" w:hAnsi="Times New Roman" w:cs="Times New Roman"/>
          <w:sz w:val="28"/>
          <w:szCs w:val="28"/>
          <w:lang w:val="uk-UA"/>
        </w:rPr>
        <w:t xml:space="preserve">формувався </w:t>
      </w:r>
      <w:r w:rsidR="009B020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="00EF7991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рекомендацій Центру </w:t>
      </w:r>
      <w:proofErr w:type="spellStart"/>
      <w:r w:rsidR="00EF7991" w:rsidRPr="00E916AF">
        <w:rPr>
          <w:rFonts w:ascii="Times New Roman" w:hAnsi="Times New Roman" w:cs="Times New Roman"/>
          <w:sz w:val="28"/>
          <w:szCs w:val="28"/>
        </w:rPr>
        <w:t>ґендерної</w:t>
      </w:r>
      <w:proofErr w:type="spellEnd"/>
      <w:r w:rsidR="00EF7991" w:rsidRPr="00E9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991" w:rsidRPr="00E916A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EF7991" w:rsidRPr="00E9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991" w:rsidRPr="00E916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EF7991" w:rsidRPr="00E916AF">
        <w:rPr>
          <w:rFonts w:ascii="Times New Roman" w:hAnsi="Times New Roman" w:cs="Times New Roman"/>
          <w:sz w:val="28"/>
          <w:szCs w:val="28"/>
        </w:rPr>
        <w:t xml:space="preserve"> при С</w:t>
      </w:r>
      <w:r w:rsidR="00EF7991">
        <w:rPr>
          <w:rFonts w:ascii="Times New Roman" w:hAnsi="Times New Roman" w:cs="Times New Roman"/>
          <w:sz w:val="28"/>
          <w:szCs w:val="28"/>
          <w:lang w:val="uk-UA"/>
        </w:rPr>
        <w:t>НУ ім. В.</w:t>
      </w:r>
      <w:r w:rsidR="00D13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91">
        <w:rPr>
          <w:rFonts w:ascii="Times New Roman" w:hAnsi="Times New Roman" w:cs="Times New Roman"/>
          <w:sz w:val="28"/>
          <w:szCs w:val="28"/>
          <w:lang w:val="uk-UA"/>
        </w:rPr>
        <w:t>Даля щодо паритетної участі жінок та чоловіків у дослідженні.</w:t>
      </w:r>
    </w:p>
    <w:p w14:paraId="4D82C15D" w14:textId="1B5007CC" w:rsidR="00D112D5" w:rsidRPr="00D04C3E" w:rsidRDefault="00D04C3E" w:rsidP="00D112D5">
      <w:pPr>
        <w:pStyle w:val="a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4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ЕТАПИ ДОСЛІДЖЕННЯ </w:t>
      </w:r>
    </w:p>
    <w:p w14:paraId="2C40F3E3" w14:textId="25316C49" w:rsidR="00D112D5" w:rsidRPr="00CD6197" w:rsidRDefault="00D04C3E" w:rsidP="00D112D5">
      <w:pPr>
        <w:pStyle w:val="a4"/>
        <w:widowControl w:val="0"/>
        <w:numPr>
          <w:ilvl w:val="1"/>
          <w:numId w:val="26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Запрошення</w:t>
      </w:r>
      <w:r w:rsidR="00D112D5"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 для роботи у</w:t>
      </w:r>
      <w:r w:rsidR="00D112D5" w:rsidRPr="00CD6197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="00D112D5" w:rsidRPr="00CD6197">
        <w:rPr>
          <w:rFonts w:ascii="Times New Roman" w:hAnsi="Times New Roman" w:cs="Times New Roman"/>
          <w:sz w:val="28"/>
          <w:szCs w:val="28"/>
          <w:lang w:val="uk-UA"/>
        </w:rPr>
        <w:t>фокус-групі.</w:t>
      </w:r>
    </w:p>
    <w:p w14:paraId="52D922E8" w14:textId="0FBE5196" w:rsidR="00D112D5" w:rsidRPr="00CD6197" w:rsidRDefault="00D112D5" w:rsidP="00AE5C01">
      <w:pPr>
        <w:pStyle w:val="a4"/>
        <w:widowControl w:val="0"/>
        <w:numPr>
          <w:ilvl w:val="1"/>
          <w:numId w:val="26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Технічна підготовка дослідження (</w:t>
      </w:r>
      <w:r w:rsidR="00AE5C01">
        <w:rPr>
          <w:rFonts w:ascii="Times New Roman" w:hAnsi="Times New Roman" w:cs="Times New Roman"/>
          <w:sz w:val="28"/>
          <w:szCs w:val="28"/>
          <w:lang w:val="uk-UA"/>
        </w:rPr>
        <w:t>розробка питань,</w:t>
      </w:r>
      <w:r w:rsidR="00AE5C01" w:rsidRPr="00AE5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C01"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</w:t>
      </w:r>
      <w:r w:rsidR="00D130DC">
        <w:rPr>
          <w:rFonts w:ascii="Times New Roman" w:hAnsi="Times New Roman" w:cs="Times New Roman"/>
          <w:sz w:val="28"/>
          <w:szCs w:val="28"/>
          <w:lang w:val="uk-UA"/>
        </w:rPr>
        <w:t>презентації</w:t>
      </w:r>
      <w:r w:rsidR="00AE5C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підбір приміщення</w:t>
      </w:r>
      <w:r w:rsidR="00D130DC">
        <w:rPr>
          <w:rFonts w:ascii="Times New Roman" w:hAnsi="Times New Roman" w:cs="Times New Roman"/>
          <w:sz w:val="28"/>
          <w:szCs w:val="28"/>
          <w:lang w:val="uk-UA"/>
        </w:rPr>
        <w:t xml:space="preserve"> та підготовка онлайн зустрічі</w:t>
      </w:r>
      <w:r w:rsidR="00935286">
        <w:rPr>
          <w:rFonts w:ascii="Times New Roman" w:hAnsi="Times New Roman" w:cs="Times New Roman"/>
          <w:sz w:val="28"/>
          <w:szCs w:val="28"/>
          <w:lang w:val="uk-UA"/>
        </w:rPr>
        <w:t xml:space="preserve"> (платформа </w:t>
      </w:r>
      <w:r w:rsidR="00935286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F1CF725" w14:textId="18310CB7" w:rsidR="00D112D5" w:rsidRPr="00CD6197" w:rsidRDefault="00D112D5" w:rsidP="00D112D5">
      <w:pPr>
        <w:pStyle w:val="a4"/>
        <w:widowControl w:val="0"/>
        <w:numPr>
          <w:ilvl w:val="1"/>
          <w:numId w:val="26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Проведення фокус-групи.</w:t>
      </w:r>
    </w:p>
    <w:p w14:paraId="4542309D" w14:textId="182B9B7E" w:rsidR="00D112D5" w:rsidRDefault="00D112D5" w:rsidP="00DD3C87">
      <w:pPr>
        <w:pStyle w:val="a0"/>
        <w:widowControl w:val="0"/>
        <w:numPr>
          <w:ilvl w:val="1"/>
          <w:numId w:val="26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hAnsi="Times New Roman" w:cs="Times New Roman"/>
          <w:sz w:val="28"/>
          <w:szCs w:val="28"/>
          <w:lang w:val="uk-UA"/>
        </w:rPr>
        <w:t>Фіксація та обробка</w:t>
      </w:r>
      <w:r w:rsidR="00AE5C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 xml:space="preserve">систематизація </w:t>
      </w:r>
      <w:r w:rsidR="00AE5C01">
        <w:rPr>
          <w:rFonts w:ascii="Times New Roman" w:hAnsi="Times New Roman" w:cs="Times New Roman"/>
          <w:sz w:val="28"/>
          <w:szCs w:val="28"/>
          <w:lang w:val="uk-UA"/>
        </w:rPr>
        <w:t xml:space="preserve">усних та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письмових анонімних відповідей</w:t>
      </w:r>
      <w:r w:rsidR="00AE5C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підготовка аналітичного звіту.</w:t>
      </w:r>
    </w:p>
    <w:p w14:paraId="7586D482" w14:textId="77777777" w:rsidR="00827BE2" w:rsidRDefault="00827BE2" w:rsidP="00DD3C87">
      <w:pPr>
        <w:pStyle w:val="a0"/>
        <w:widowControl w:val="0"/>
        <w:numPr>
          <w:ilvl w:val="1"/>
          <w:numId w:val="26"/>
        </w:numPr>
        <w:tabs>
          <w:tab w:val="left" w:pos="123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27BE2" w:rsidSect="00D8492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22B8C32" w14:textId="68E40AE6" w:rsidR="00DB48A1" w:rsidRPr="00200A2A" w:rsidRDefault="00200A2A" w:rsidP="00200A2A">
      <w:pPr>
        <w:pStyle w:val="a4"/>
        <w:spacing w:after="0" w:line="240" w:lineRule="auto"/>
        <w:ind w:left="1518" w:firstLine="60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0A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ФОКУС-ГРУПИ ТА ЇХ АНАЛІЗ:</w:t>
      </w:r>
    </w:p>
    <w:p w14:paraId="0FCD5EAD" w14:textId="0F8305FB" w:rsidR="006371E8" w:rsidRDefault="006371E8" w:rsidP="008A3B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5AD4B0" w14:textId="3E450F85" w:rsidR="00200A2A" w:rsidRPr="00FD3BF3" w:rsidRDefault="00200A2A" w:rsidP="00200A2A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Визнач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ення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доцільн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ості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</w:t>
      </w:r>
      <w:r w:rsidRPr="0093528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уточнення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підходу до реалізації студентом власної освітньої парадигми (вибір дисциплін вільного вибору).</w:t>
      </w:r>
    </w:p>
    <w:p w14:paraId="429324BB" w14:textId="33E32EFA" w:rsidR="00FD3BF3" w:rsidRPr="005C2B4F" w:rsidRDefault="00FD3BF3" w:rsidP="005A6CCC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В ході о</w:t>
      </w:r>
      <w:r w:rsidRPr="00FD3BF3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бговор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ення</w:t>
      </w:r>
      <w:r w:rsidRPr="00FD3BF3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норм </w:t>
      </w:r>
      <w:r w:rsidR="00D849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П</w:t>
      </w:r>
      <w:r w:rsidRPr="00FD3BF3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оложення про порядок та умови формування індивідуальної  освітньої траєкторії здобувачами вищої освіти СНУ ім. В. Даля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серед </w:t>
      </w:r>
      <w:r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переваг підходу </w:t>
      </w:r>
      <w:r w:rsidR="00694DF3"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більшістю респондентами </w:t>
      </w:r>
      <w:r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було названо: а) конкретизація кількості навчальних дисциплін та однаковий обсяг кредитів ЄКТС, зокрема, за першим (бакалаврським) рівнем 12 навчальних дисциплін вільного вибору по 4 на рік, починаючи з 2-го року навчання;</w:t>
      </w:r>
      <w:r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ab/>
        <w:t>за другим (магістерським) рівнем 5 навчальних дисциплін вільного вибору; обсяг кожної дисципліни вільного вибору на всіх рівнях освіти становить 5 кредитів ЄКТС за ви</w:t>
      </w:r>
      <w:r w:rsidR="00532AA0"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нятком </w:t>
      </w:r>
      <w:r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останнього (3-го) семестру підготовки магістра</w:t>
      </w:r>
      <w:r w:rsidR="00532AA0"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(</w:t>
      </w:r>
      <w:r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обсяг зменшений до 3 кредитів ЄКТС</w:t>
      </w:r>
      <w:r w:rsidR="00532AA0"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);</w:t>
      </w:r>
      <w:r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 б) можливість вільного вибору студентом, як окремих дисциплін, так й програм профілізації</w:t>
      </w:r>
      <w:r w:rsidR="00694DF3" w:rsidRPr="00532AA0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, тощо</w:t>
      </w:r>
      <w:r w:rsidR="00D06F0A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; </w:t>
      </w:r>
      <w:r w:rsidR="005C2B4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в</w:t>
      </w:r>
      <w:r w:rsidR="00D06F0A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) </w:t>
      </w:r>
      <w:r w:rsidR="005C2B4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можливість запису на дисципліни циклу «</w:t>
      </w:r>
      <w:r w:rsidR="005C2B4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en-US" w:eastAsia="uk-UA"/>
        </w:rPr>
        <w:t>minor</w:t>
      </w:r>
      <w:r w:rsidR="005C2B4F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» (від 2-х та 4-х дисциплін), котрі містять курсів об’єднаних структурно-логічною схемою та мають на меті надати здобувачу вищої освіти загальну інформацію  щодо іншої спеціальності або галузі без особливих вимог (передумов) до здобувача вищої освіти.</w:t>
      </w:r>
    </w:p>
    <w:p w14:paraId="69578129" w14:textId="167EDD8B" w:rsidR="00694DF3" w:rsidRPr="001D06A9" w:rsidRDefault="00694DF3" w:rsidP="005A6CCC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</w:pPr>
      <w:r w:rsidRPr="001D06A9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ab/>
        <w:t>У цілому усі респонденти погодились, що удосконалено підхід до вибору освітньої траєкторії та запропонований підхід відповідає чинному законодавству.</w:t>
      </w:r>
    </w:p>
    <w:p w14:paraId="5E77B4C0" w14:textId="128F61AF" w:rsidR="00694DF3" w:rsidRPr="002841B8" w:rsidRDefault="00694DF3" w:rsidP="005A6CC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6A9">
        <w:rPr>
          <w:rFonts w:ascii="Times New Roman" w:eastAsia="Calibri" w:hAnsi="Times New Roman" w:cs="Times New Roman"/>
          <w:bCs/>
          <w:sz w:val="28"/>
          <w:szCs w:val="28"/>
          <w:bdr w:val="nil"/>
          <w:lang w:val="uk-UA" w:eastAsia="uk-UA"/>
        </w:rPr>
        <w:tab/>
        <w:t xml:space="preserve">Серед </w:t>
      </w:r>
      <w:r w:rsidR="001D06A9" w:rsidRPr="001D06A9">
        <w:rPr>
          <w:rFonts w:ascii="Times New Roman" w:eastAsia="Calibri" w:hAnsi="Times New Roman" w:cs="Times New Roman"/>
          <w:bCs/>
          <w:sz w:val="28"/>
          <w:szCs w:val="28"/>
          <w:bdr w:val="nil"/>
          <w:lang w:val="uk-UA" w:eastAsia="uk-UA"/>
        </w:rPr>
        <w:t>проблемни</w:t>
      </w:r>
      <w:r w:rsidRPr="001D06A9">
        <w:rPr>
          <w:rFonts w:ascii="Times New Roman" w:eastAsia="Calibri" w:hAnsi="Times New Roman" w:cs="Times New Roman"/>
          <w:bCs/>
          <w:sz w:val="28"/>
          <w:szCs w:val="28"/>
          <w:bdr w:val="nil"/>
          <w:lang w:val="uk-UA" w:eastAsia="uk-UA"/>
        </w:rPr>
        <w:t>х моментів, які зазначені у Положенні</w:t>
      </w:r>
      <w:r w:rsidR="002841B8">
        <w:rPr>
          <w:rFonts w:ascii="Times New Roman" w:eastAsia="Calibri" w:hAnsi="Times New Roman" w:cs="Times New Roman"/>
          <w:bCs/>
          <w:sz w:val="28"/>
          <w:szCs w:val="28"/>
          <w:bdr w:val="nil"/>
          <w:lang w:val="uk-UA" w:eastAsia="uk-UA"/>
        </w:rPr>
        <w:t>,</w:t>
      </w:r>
      <w:r w:rsidRPr="001D06A9">
        <w:rPr>
          <w:rFonts w:ascii="Times New Roman" w:eastAsia="Calibri" w:hAnsi="Times New Roman" w:cs="Times New Roman"/>
          <w:bCs/>
          <w:sz w:val="28"/>
          <w:szCs w:val="28"/>
          <w:bdr w:val="nil"/>
          <w:lang w:val="uk-UA" w:eastAsia="uk-UA"/>
        </w:rPr>
        <w:t xml:space="preserve"> одним респондентом</w:t>
      </w:r>
      <w:r w:rsidRPr="00694DF3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було названо</w:t>
      </w:r>
      <w:r w:rsidRPr="00694DF3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норму «…</w:t>
      </w:r>
      <w:r w:rsidRPr="00694DF3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Після формування списків здобувачів вищої освіти в прив’язці до обраних дисциплін вільного вибору, здобувач в тижневий строк </w:t>
      </w:r>
      <w:r w:rsidRPr="002841B8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особисто вносить інформацію до електронної форми індивідуального плану здобувача вищої освіти, роздруковує та ставить особистий підпис погодження з переліком всіх дисциплін на планований навчальний рік у відповідності до «Положення про індивідуальний навчальний план здобувача вищої освіти Східноукраїнського національного університету імені Володимира Даля»</w:t>
      </w:r>
      <w:r w:rsidR="002841B8" w:rsidRPr="002841B8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, яка викликає </w:t>
      </w:r>
      <w:r w:rsidRPr="002841B8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>питання щодо можливості використання цифрового підпису</w:t>
      </w:r>
      <w:r w:rsidR="00935286" w:rsidRPr="002841B8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</w:t>
      </w:r>
      <w:r w:rsidR="002841B8" w:rsidRPr="002841B8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val="uk-UA" w:eastAsia="uk-UA"/>
        </w:rPr>
        <w:t xml:space="preserve"> (з огляду на пандемію  та дистанційне навчання).</w:t>
      </w:r>
    </w:p>
    <w:p w14:paraId="4D9E2D38" w14:textId="359CCBF3" w:rsidR="00200A2A" w:rsidRPr="00F174CB" w:rsidRDefault="00200A2A" w:rsidP="005A6CCC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1B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Обговор</w:t>
      </w:r>
      <w:r w:rsidR="00F174CB" w:rsidRPr="002841B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ення</w:t>
      </w:r>
      <w:r w:rsidRPr="002841B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необхідн</w:t>
      </w:r>
      <w:r w:rsidR="00F174CB" w:rsidRPr="002841B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о</w:t>
      </w:r>
      <w:r w:rsidRPr="002841B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ст</w:t>
      </w:r>
      <w:r w:rsidR="00F174CB" w:rsidRPr="002841B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і</w:t>
      </w:r>
      <w:r w:rsidRPr="002841B8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оновлення ОП бакалавра та магістра  відображене у відповідних структурних елементів  ОП (навчального плану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2020р.прийому, зміни у матрицях).</w:t>
      </w:r>
    </w:p>
    <w:p w14:paraId="7CCABDB6" w14:textId="6762361F" w:rsidR="00186200" w:rsidRPr="00186200" w:rsidRDefault="005A6CCC" w:rsidP="005A6CC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200" w:rsidRPr="00186200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учасників фокус-групи підтримали наявність у шаблоні відкритого списку вибіркових компонент (вибіркова дисципліна 1, 2, 3…тощо), що дозволить студенту самостійно формувати власну освітню траєкторію. </w:t>
      </w:r>
      <w:r w:rsidR="00186200" w:rsidRPr="00186200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Більшість респондентів (5 з 7 осіб, 71 %) </w:t>
      </w:r>
      <w:r w:rsidR="00186200" w:rsidRPr="00186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вказало на </w:t>
      </w:r>
      <w:r w:rsidR="00186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важливість</w:t>
      </w:r>
      <w:r w:rsidR="00186200" w:rsidRPr="00186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86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закріплення </w:t>
      </w:r>
      <w:r w:rsidR="00186200" w:rsidRPr="001862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можливості з</w:t>
      </w:r>
      <w:r w:rsidR="00186200">
        <w:rPr>
          <w:rFonts w:ascii="Times New Roman" w:hAnsi="Times New Roman" w:cs="Times New Roman"/>
          <w:spacing w:val="1"/>
          <w:sz w:val="28"/>
          <w:szCs w:val="28"/>
          <w:lang w:val="uk-UA"/>
        </w:rPr>
        <w:t>адля</w:t>
      </w:r>
      <w:r w:rsidR="00186200" w:rsidRPr="00186200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задоволення власних потреб та інтересів, </w:t>
      </w:r>
      <w:r w:rsidR="00186200" w:rsidRPr="00186200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при формуванні індивідуальної </w:t>
      </w:r>
      <w:r w:rsidR="00186200" w:rsidRPr="00186200">
        <w:rPr>
          <w:rFonts w:ascii="Times New Roman" w:hAnsi="Times New Roman" w:cs="Times New Roman"/>
          <w:sz w:val="28"/>
          <w:szCs w:val="28"/>
          <w:lang w:val="uk-UA"/>
        </w:rPr>
        <w:t>освітньої траєкторії або обирати лише окремі навчальні дисципліни вільного вибору, або утворювати комбінацію з окремих навчальних дисциплін вільного вибору, програм «</w:t>
      </w:r>
      <w:proofErr w:type="spellStart"/>
      <w:r w:rsidR="00186200" w:rsidRPr="00186200">
        <w:rPr>
          <w:rFonts w:ascii="Times New Roman" w:hAnsi="Times New Roman" w:cs="Times New Roman"/>
          <w:sz w:val="28"/>
          <w:szCs w:val="28"/>
        </w:rPr>
        <w:t>minor</w:t>
      </w:r>
      <w:proofErr w:type="spellEnd"/>
      <w:r w:rsidR="00186200" w:rsidRPr="00186200">
        <w:rPr>
          <w:rFonts w:ascii="Times New Roman" w:hAnsi="Times New Roman" w:cs="Times New Roman"/>
          <w:sz w:val="28"/>
          <w:szCs w:val="28"/>
          <w:lang w:val="uk-UA"/>
        </w:rPr>
        <w:t>» та/або програми профілізації тощо.</w:t>
      </w:r>
      <w:r w:rsidR="00186200">
        <w:rPr>
          <w:rFonts w:ascii="Times New Roman" w:hAnsi="Times New Roman" w:cs="Times New Roman"/>
          <w:sz w:val="28"/>
          <w:szCs w:val="28"/>
          <w:lang w:val="uk-UA"/>
        </w:rPr>
        <w:t xml:space="preserve"> Серед переваг програм профілізації були, зокрема, </w:t>
      </w:r>
      <w:r w:rsidR="00186200" w:rsidRPr="00186200">
        <w:rPr>
          <w:rFonts w:ascii="Times New Roman" w:hAnsi="Times New Roman" w:cs="Times New Roman"/>
          <w:sz w:val="28"/>
          <w:szCs w:val="28"/>
          <w:lang w:val="uk-UA"/>
        </w:rPr>
        <w:t>названі</w:t>
      </w:r>
      <w:r w:rsidR="00186200">
        <w:rPr>
          <w:rFonts w:ascii="Times New Roman" w:hAnsi="Times New Roman" w:cs="Times New Roman"/>
          <w:sz w:val="28"/>
          <w:szCs w:val="28"/>
          <w:lang w:val="uk-UA"/>
        </w:rPr>
        <w:t xml:space="preserve"> наявні елементи</w:t>
      </w:r>
      <w:r w:rsidR="00186200" w:rsidRPr="0018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6200" w:rsidRPr="00186200">
        <w:rPr>
          <w:rFonts w:ascii="Times New Roman" w:hAnsi="Times New Roman" w:cs="Times New Roman"/>
          <w:sz w:val="28"/>
          <w:szCs w:val="28"/>
        </w:rPr>
        <w:t>певно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86200" w:rsidRPr="00186200">
        <w:rPr>
          <w:rFonts w:ascii="Times New Roman" w:hAnsi="Times New Roman" w:cs="Times New Roman"/>
          <w:sz w:val="28"/>
          <w:szCs w:val="28"/>
        </w:rPr>
        <w:t xml:space="preserve"> структурно-</w:t>
      </w:r>
      <w:proofErr w:type="spellStart"/>
      <w:r w:rsidR="00186200" w:rsidRPr="00186200">
        <w:rPr>
          <w:rFonts w:ascii="Times New Roman" w:hAnsi="Times New Roman" w:cs="Times New Roman"/>
          <w:sz w:val="28"/>
          <w:szCs w:val="28"/>
        </w:rPr>
        <w:t>логічної</w:t>
      </w:r>
      <w:proofErr w:type="spellEnd"/>
      <w:r w:rsidR="00186200" w:rsidRPr="00186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200" w:rsidRPr="0018620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="00EA48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5E8F48" w14:textId="50F28EDE" w:rsidR="00200A2A" w:rsidRPr="00F174CB" w:rsidRDefault="00200A2A" w:rsidP="005A6CCC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З’ясува</w:t>
      </w:r>
      <w:r w:rsidR="00DE1E6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вши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необхідність включення певних 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>вибіркових освітніх компонентів  ОП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до освітнього процесу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 xml:space="preserve"> та обговори</w:t>
      </w:r>
      <w:r w:rsidR="00DE1E6F">
        <w:rPr>
          <w:rFonts w:ascii="Times New Roman" w:hAnsi="Times New Roman" w:cs="Times New Roman"/>
          <w:sz w:val="28"/>
          <w:szCs w:val="28"/>
          <w:lang w:val="uk-UA"/>
        </w:rPr>
        <w:t>вши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 xml:space="preserve"> каталог вибіркових дисциплін, які будуть пропоновані </w:t>
      </w:r>
      <w:r w:rsidR="00EA48B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4C47E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ОП спеціальності 081 «Право» (бакалавр, 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lastRenderedPageBreak/>
        <w:t>магістр) для здобувачів ВО 2020-2021 р.</w:t>
      </w: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</w:t>
      </w:r>
      <w:r w:rsidRPr="004C47ED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прийому</w:t>
      </w:r>
      <w:r w:rsidR="005A6CC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,</w:t>
      </w:r>
      <w:r w:rsidR="00DE1E6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учасники зазначили, що </w:t>
      </w:r>
      <w:r w:rsidR="005A6CC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представлені </w:t>
      </w:r>
      <w:r w:rsidR="00DE1E6F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у каталогах вибіркові дисципліни дозволять поглибити та вдосконалити результати навчання за відповідним рівнем  ВО </w:t>
      </w:r>
      <w:r w:rsidR="00DE1E6F">
        <w:rPr>
          <w:rFonts w:ascii="Times New Roman" w:hAnsi="Times New Roman" w:cs="Times New Roman"/>
          <w:sz w:val="28"/>
          <w:szCs w:val="28"/>
          <w:lang w:val="uk-UA"/>
        </w:rPr>
        <w:t>(Додаток Б)</w:t>
      </w:r>
      <w:r w:rsidR="00EA48B0">
        <w:rPr>
          <w:rFonts w:ascii="Times New Roman" w:hAnsi="Times New Roman" w:cs="Times New Roman"/>
          <w:sz w:val="28"/>
          <w:szCs w:val="28"/>
          <w:lang w:val="uk-UA"/>
        </w:rPr>
        <w:t xml:space="preserve">, є прийнятними та відповідають стратегії розвитку </w:t>
      </w:r>
      <w:r w:rsidR="00C8613D">
        <w:rPr>
          <w:rFonts w:ascii="Times New Roman" w:hAnsi="Times New Roman" w:cs="Times New Roman"/>
          <w:sz w:val="28"/>
          <w:szCs w:val="28"/>
          <w:lang w:val="uk-UA"/>
        </w:rPr>
        <w:t>юридичної освіти</w:t>
      </w:r>
      <w:r w:rsidR="00EA48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268DD4" w14:textId="5C5AC20F" w:rsidR="00F174CB" w:rsidRPr="00D10A26" w:rsidRDefault="00200A2A" w:rsidP="005C19EF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Обговорення пропозицій </w:t>
      </w:r>
      <w:r w:rsidR="00D10A26"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г</w:t>
      </w:r>
      <w:r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олів</w:t>
      </w:r>
      <w:r w:rsidR="00D10A26"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екзаменаційних комісій </w:t>
      </w:r>
      <w:r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спеціальності 081 «Право» щодо удосконалення проведення кваліфікаційного тестового екзамену. </w:t>
      </w:r>
      <w:r w:rsidR="00D10A26"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 </w:t>
      </w:r>
      <w:r w:rsidR="00F174CB"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Більшість респондентів </w:t>
      </w:r>
      <w:r w:rsidR="00C773A0"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>(</w:t>
      </w:r>
      <w:r w:rsidR="008553E6"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5 з 7 осіб, </w:t>
      </w:r>
      <w:r w:rsidR="00C773A0" w:rsidRPr="00D10A26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71 %) 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підтримало пропозиції </w:t>
      </w:r>
      <w:r w:rsid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олів ЕК щодо необхідності  внесення  тестів </w:t>
      </w:r>
      <w:r w:rsidR="00C773A0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міжнародн</w:t>
      </w:r>
      <w:r w:rsidR="00C773A0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ий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захист прав людини</w:t>
      </w:r>
      <w:r w:rsidR="00C773A0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наголосивши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 </w:t>
      </w:r>
      <w:r w:rsid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це має відбутися за умови 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вв</w:t>
      </w:r>
      <w:r w:rsid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едення цього курсу 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 </w:t>
      </w:r>
      <w:r w:rsid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освітньої 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програми бакалаврів спеціальності 081 </w:t>
      </w:r>
      <w:r w:rsidR="00C773A0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«П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раво</w:t>
      </w:r>
      <w:r w:rsidR="00C773A0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174CB" w:rsidRPr="00D10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23387E9" w14:textId="77777777" w:rsidR="00200A2A" w:rsidRPr="00CD6197" w:rsidRDefault="00200A2A" w:rsidP="005A6CCC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197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val="uk-UA" w:eastAsia="uk-UA"/>
        </w:rPr>
        <w:t xml:space="preserve">З’ясування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доцільності  використання в освітньому процесі певних видів неформальної освіти (професійні тренінги, онлайн освіта, громадянська освіта).</w:t>
      </w:r>
    </w:p>
    <w:p w14:paraId="4599CA86" w14:textId="288E9A7E" w:rsidR="006A574D" w:rsidRPr="00555F4F" w:rsidRDefault="00EA48B0" w:rsidP="00EA4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48B0">
        <w:rPr>
          <w:rFonts w:ascii="Times New Roman" w:hAnsi="Times New Roman" w:cs="Times New Roman"/>
          <w:sz w:val="28"/>
          <w:szCs w:val="28"/>
          <w:lang w:val="uk-UA"/>
        </w:rPr>
        <w:t>Усі респонденти вказали 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6197">
        <w:rPr>
          <w:rFonts w:ascii="Times New Roman" w:hAnsi="Times New Roman" w:cs="Times New Roman"/>
          <w:sz w:val="28"/>
          <w:szCs w:val="28"/>
          <w:lang w:val="uk-UA"/>
        </w:rPr>
        <w:t>доцільності  використання в освітньому процесі певних видів неформальної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дозволить </w:t>
      </w:r>
      <w:r w:rsidRPr="00EA48B0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у студентів володіння конкретними засобами,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є </w:t>
      </w:r>
      <w:r w:rsidRPr="00EA48B0">
        <w:rPr>
          <w:rFonts w:ascii="Times New Roman" w:hAnsi="Times New Roman" w:cs="Times New Roman"/>
          <w:sz w:val="28"/>
          <w:szCs w:val="28"/>
          <w:lang w:val="uk-UA"/>
        </w:rPr>
        <w:t>необхідними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48B0">
        <w:rPr>
          <w:rFonts w:ascii="Times New Roman" w:hAnsi="Times New Roman" w:cs="Times New Roman"/>
          <w:sz w:val="28"/>
          <w:szCs w:val="28"/>
          <w:lang w:val="uk-UA"/>
        </w:rPr>
        <w:t xml:space="preserve">фахівцю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правничої </w:t>
      </w:r>
      <w:r w:rsidRPr="00EA48B0">
        <w:rPr>
          <w:rFonts w:ascii="Times New Roman" w:hAnsi="Times New Roman" w:cs="Times New Roman"/>
          <w:sz w:val="28"/>
          <w:szCs w:val="28"/>
          <w:lang w:val="uk-UA"/>
        </w:rPr>
        <w:t>сфери для роботи з різними категоріями клієнтів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різних умовах (наприклад, консультування онлайн), </w:t>
      </w:r>
      <w:r w:rsidRPr="00EA4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вказавши на те, що є позитивний досвід застосування неформальної  освіти у </w:t>
      </w:r>
      <w:r w:rsidRPr="00CF40A5">
        <w:rPr>
          <w:rFonts w:ascii="Times New Roman" w:hAnsi="Times New Roman" w:cs="Times New Roman"/>
          <w:sz w:val="28"/>
          <w:szCs w:val="28"/>
          <w:lang w:val="uk-UA"/>
        </w:rPr>
        <w:t>зарубіжних країнах (Німеччина, Польща)</w:t>
      </w:r>
      <w:r w:rsidR="00CF40A5" w:rsidRPr="00CF40A5">
        <w:rPr>
          <w:rFonts w:ascii="Times New Roman" w:hAnsi="Times New Roman" w:cs="Times New Roman"/>
          <w:sz w:val="28"/>
          <w:szCs w:val="28"/>
          <w:lang w:val="uk-UA"/>
        </w:rPr>
        <w:t xml:space="preserve">. Крім того, звернули увагу на наявність в СНУ ім. В Даля </w:t>
      </w:r>
      <w:hyperlink r:id="rId7" w:history="1"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Положення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 порядок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зарахування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освітніх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компонент та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результатів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неформальної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освіти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визначення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ліквідації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академічної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різниці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 СНУ </w:t>
        </w:r>
        <w:proofErr w:type="spellStart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ім</w:t>
        </w:r>
        <w:proofErr w:type="spellEnd"/>
        <w:r w:rsidR="00CF40A5" w:rsidRPr="00555F4F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. В. Даля</w:t>
        </w:r>
      </w:hyperlink>
      <w:r w:rsidR="00CF40A5" w:rsidRPr="00555F4F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proofErr w:type="spellStart"/>
      <w:r w:rsidR="00CF40A5" w:rsidRPr="00555F4F">
        <w:rPr>
          <w:rFonts w:ascii="Times New Roman" w:hAnsi="Times New Roman" w:cs="Times New Roman"/>
          <w:sz w:val="28"/>
          <w:szCs w:val="28"/>
        </w:rPr>
        <w:t>Вченою</w:t>
      </w:r>
      <w:proofErr w:type="spellEnd"/>
      <w:r w:rsidR="00CF40A5" w:rsidRPr="00555F4F">
        <w:rPr>
          <w:rFonts w:ascii="Times New Roman" w:hAnsi="Times New Roman" w:cs="Times New Roman"/>
          <w:sz w:val="28"/>
          <w:szCs w:val="28"/>
        </w:rPr>
        <w:t xml:space="preserve"> радою СНУ </w:t>
      </w:r>
      <w:proofErr w:type="spellStart"/>
      <w:r w:rsidR="00CF40A5" w:rsidRPr="00555F4F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CF40A5" w:rsidRPr="00555F4F">
        <w:rPr>
          <w:rFonts w:ascii="Times New Roman" w:hAnsi="Times New Roman" w:cs="Times New Roman"/>
          <w:sz w:val="28"/>
          <w:szCs w:val="28"/>
        </w:rPr>
        <w:t xml:space="preserve">. В. Даля протокол № 5 </w:t>
      </w:r>
      <w:proofErr w:type="spellStart"/>
      <w:r w:rsidR="00CF40A5" w:rsidRPr="00555F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F40A5" w:rsidRPr="00555F4F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="00CF40A5" w:rsidRPr="00555F4F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CF40A5" w:rsidRPr="00555F4F">
        <w:rPr>
          <w:rFonts w:ascii="Times New Roman" w:hAnsi="Times New Roman" w:cs="Times New Roman"/>
          <w:sz w:val="28"/>
          <w:szCs w:val="28"/>
        </w:rPr>
        <w:t xml:space="preserve"> 2020 року</w:t>
      </w:r>
      <w:r w:rsidR="006A574D" w:rsidRPr="00555F4F">
        <w:rPr>
          <w:rFonts w:ascii="Times New Roman" w:hAnsi="Times New Roman" w:cs="Times New Roman"/>
          <w:sz w:val="28"/>
          <w:szCs w:val="28"/>
          <w:lang w:val="uk-UA"/>
        </w:rPr>
        <w:t>, яке передбачає</w:t>
      </w:r>
      <w:r w:rsidR="00555F4F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gramStart"/>
      <w:r w:rsidR="00555F4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5F4F" w:rsidRPr="00555F4F">
        <w:rPr>
          <w:rFonts w:ascii="Times New Roman" w:hAnsi="Times New Roman" w:cs="Times New Roman"/>
          <w:sz w:val="28"/>
          <w:szCs w:val="28"/>
        </w:rPr>
        <w:t xml:space="preserve"> межах</w:t>
      </w:r>
      <w:proofErr w:type="gram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зараховування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неформальної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масових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курсів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розміщених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платформах (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Prometheus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Coursera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EdX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.), з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отриманням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F4F" w:rsidRPr="00555F4F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555F4F" w:rsidRPr="00555F4F">
        <w:rPr>
          <w:rFonts w:ascii="Times New Roman" w:hAnsi="Times New Roman" w:cs="Times New Roman"/>
          <w:sz w:val="28"/>
          <w:szCs w:val="28"/>
        </w:rPr>
        <w:t xml:space="preserve"> документу</w:t>
      </w:r>
      <w:r w:rsidR="00555F4F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14:paraId="40D97E24" w14:textId="77777777" w:rsidR="006A574D" w:rsidRPr="00555F4F" w:rsidRDefault="006A574D" w:rsidP="00EA48B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0FED49" w14:textId="77777777" w:rsidR="00200A2A" w:rsidRPr="00CD6197" w:rsidRDefault="00200A2A" w:rsidP="00200A2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D6F515" w14:textId="77777777" w:rsidR="00C773A0" w:rsidRDefault="00C773A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14:paraId="4CF5A58E" w14:textId="60D238B9" w:rsidR="006371E8" w:rsidRDefault="00BE750F" w:rsidP="00BE750F">
      <w:pPr>
        <w:pStyle w:val="a4"/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А</w:t>
      </w:r>
    </w:p>
    <w:p w14:paraId="106AEEDC" w14:textId="715A2B36" w:rsidR="00BE750F" w:rsidRDefault="00BE750F" w:rsidP="00F05798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A5B1AA" w14:textId="3346A720" w:rsidR="003B2AD7" w:rsidRPr="003B2AD7" w:rsidRDefault="00BE750F" w:rsidP="003B2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2AD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Респонденти</w:t>
      </w:r>
    </w:p>
    <w:p w14:paraId="03CEC854" w14:textId="77777777" w:rsidR="003B2AD7" w:rsidRDefault="003B2AD7" w:rsidP="00BE75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297D06" w14:textId="214234A6" w:rsidR="00BE750F" w:rsidRDefault="004E3260" w:rsidP="000B313E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</w:t>
      </w:r>
      <w:r w:rsidR="00C773A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E750F" w:rsidRPr="00BE750F">
        <w:rPr>
          <w:rFonts w:ascii="Times New Roman" w:hAnsi="Times New Roman" w:cs="Times New Roman"/>
          <w:sz w:val="28"/>
          <w:szCs w:val="28"/>
          <w:lang w:val="uk-UA"/>
        </w:rPr>
        <w:t xml:space="preserve"> особи (ж</w:t>
      </w:r>
      <w:r w:rsidR="00BE750F">
        <w:rPr>
          <w:rFonts w:ascii="Times New Roman" w:hAnsi="Times New Roman" w:cs="Times New Roman"/>
          <w:sz w:val="28"/>
          <w:szCs w:val="28"/>
          <w:lang w:val="uk-UA"/>
        </w:rPr>
        <w:t xml:space="preserve">інок </w:t>
      </w:r>
      <w:r w:rsidR="00BE750F" w:rsidRPr="00BE750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62202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BE750F" w:rsidRPr="00BE75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E750F">
        <w:rPr>
          <w:rFonts w:ascii="Times New Roman" w:hAnsi="Times New Roman" w:cs="Times New Roman"/>
          <w:sz w:val="28"/>
          <w:szCs w:val="28"/>
          <w:lang w:val="uk-UA"/>
        </w:rPr>
        <w:t>чоловіків</w:t>
      </w:r>
      <w:r w:rsidR="00BE750F" w:rsidRPr="00BE750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6220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E750F" w:rsidRPr="00BE75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AE5B65F" w14:textId="77777777" w:rsidR="00362202" w:rsidRDefault="00362202" w:rsidP="000B313E">
      <w:pPr>
        <w:spacing w:after="0" w:line="240" w:lineRule="auto"/>
        <w:ind w:left="284" w:firstLine="28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3C33329" w14:textId="02553BD9" w:rsidR="00BE750F" w:rsidRPr="00BE750F" w:rsidRDefault="00BE750F" w:rsidP="000B313E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BE75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BE75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акалавр </w:t>
      </w:r>
      <w:r w:rsidRPr="00BE750F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</w:t>
      </w:r>
      <w:r w:rsidRPr="00BE750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081 «Право»  </w:t>
      </w:r>
    </w:p>
    <w:p w14:paraId="03E141BD" w14:textId="6B6E0DBE" w:rsidR="00BE750F" w:rsidRPr="004E3260" w:rsidRDefault="00BE750F" w:rsidP="000B313E">
      <w:pPr>
        <w:pStyle w:val="a4"/>
        <w:numPr>
          <w:ilvl w:val="0"/>
          <w:numId w:val="30"/>
        </w:num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260">
        <w:rPr>
          <w:rFonts w:ascii="Times New Roman" w:hAnsi="Times New Roman" w:cs="Times New Roman"/>
          <w:sz w:val="28"/>
          <w:szCs w:val="28"/>
          <w:lang w:val="uk-UA"/>
        </w:rPr>
        <w:t>Таболін</w:t>
      </w:r>
      <w:proofErr w:type="spellEnd"/>
      <w:r w:rsidRPr="004E3260">
        <w:rPr>
          <w:rFonts w:ascii="Times New Roman" w:hAnsi="Times New Roman" w:cs="Times New Roman"/>
          <w:sz w:val="28"/>
          <w:szCs w:val="28"/>
          <w:lang w:val="uk-UA"/>
        </w:rPr>
        <w:t xml:space="preserve"> Олег Олегович </w:t>
      </w:r>
    </w:p>
    <w:p w14:paraId="63A03761" w14:textId="73A7A553" w:rsidR="00BE750F" w:rsidRPr="004E3260" w:rsidRDefault="00BE750F" w:rsidP="000B313E">
      <w:pPr>
        <w:pStyle w:val="a4"/>
        <w:numPr>
          <w:ilvl w:val="0"/>
          <w:numId w:val="30"/>
        </w:num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260">
        <w:rPr>
          <w:rFonts w:ascii="Times New Roman" w:hAnsi="Times New Roman" w:cs="Times New Roman"/>
          <w:sz w:val="28"/>
          <w:szCs w:val="28"/>
          <w:lang w:val="uk-UA"/>
        </w:rPr>
        <w:t>Кущієнко</w:t>
      </w:r>
      <w:proofErr w:type="spellEnd"/>
      <w:r w:rsidRPr="004E3260">
        <w:rPr>
          <w:rFonts w:ascii="Times New Roman" w:hAnsi="Times New Roman" w:cs="Times New Roman"/>
          <w:sz w:val="28"/>
          <w:szCs w:val="28"/>
          <w:lang w:val="uk-UA"/>
        </w:rPr>
        <w:t xml:space="preserve"> Ганна Олександрівна </w:t>
      </w:r>
    </w:p>
    <w:p w14:paraId="5CA5D733" w14:textId="152FBC25" w:rsidR="00BE750F" w:rsidRPr="004E3260" w:rsidRDefault="00BE750F" w:rsidP="000B313E">
      <w:pPr>
        <w:pStyle w:val="a4"/>
        <w:numPr>
          <w:ilvl w:val="0"/>
          <w:numId w:val="30"/>
        </w:num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3260">
        <w:rPr>
          <w:rFonts w:ascii="Times New Roman" w:hAnsi="Times New Roman" w:cs="Times New Roman"/>
          <w:sz w:val="28"/>
          <w:szCs w:val="28"/>
          <w:lang w:val="uk-UA"/>
        </w:rPr>
        <w:t>Сітченко</w:t>
      </w:r>
      <w:proofErr w:type="spellEnd"/>
      <w:r w:rsidRPr="004E3260">
        <w:rPr>
          <w:rFonts w:ascii="Times New Roman" w:hAnsi="Times New Roman" w:cs="Times New Roman"/>
          <w:sz w:val="28"/>
          <w:szCs w:val="28"/>
          <w:lang w:val="uk-UA"/>
        </w:rPr>
        <w:t xml:space="preserve"> Леонід Валерійович </w:t>
      </w:r>
    </w:p>
    <w:p w14:paraId="613DB623" w14:textId="1ABDC6DB" w:rsidR="00BE750F" w:rsidRPr="004E3260" w:rsidRDefault="00BE750F" w:rsidP="000B313E">
      <w:pPr>
        <w:pStyle w:val="a4"/>
        <w:numPr>
          <w:ilvl w:val="0"/>
          <w:numId w:val="30"/>
        </w:num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4E3260">
        <w:rPr>
          <w:rFonts w:ascii="Times New Roman" w:hAnsi="Times New Roman" w:cs="Times New Roman"/>
          <w:sz w:val="28"/>
          <w:szCs w:val="28"/>
          <w:lang w:val="uk-UA"/>
        </w:rPr>
        <w:t xml:space="preserve">Токаренко Юлія Олександрівна </w:t>
      </w:r>
    </w:p>
    <w:p w14:paraId="4E363AE8" w14:textId="7198E010" w:rsidR="00BE750F" w:rsidRPr="00C773A0" w:rsidRDefault="00C773A0" w:rsidP="000B313E">
      <w:pPr>
        <w:pStyle w:val="a4"/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773A0">
        <w:rPr>
          <w:rFonts w:ascii="Times New Roman" w:hAnsi="Times New Roman" w:cs="Times New Roman"/>
          <w:bCs/>
          <w:sz w:val="28"/>
          <w:szCs w:val="28"/>
          <w:lang w:val="uk-UA"/>
        </w:rPr>
        <w:t>Представники роботодавців</w:t>
      </w:r>
    </w:p>
    <w:p w14:paraId="6549EE8D" w14:textId="79342669" w:rsidR="0008100D" w:rsidRDefault="00C773A0" w:rsidP="005E4C07">
      <w:pPr>
        <w:pStyle w:val="a4"/>
        <w:numPr>
          <w:ilvl w:val="0"/>
          <w:numId w:val="4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Курчина Ольга Євгенівна </w:t>
      </w:r>
      <w:r w:rsid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аступник 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начальника Центрального відділу державної реєстрації актів цивільного стану Управління державної реєстрації 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Східн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міжрегіональн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Міністерства юстиції (м. Харків)</w:t>
      </w:r>
      <w:r w:rsidR="00F20766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, Голова ЕК.</w:t>
      </w:r>
    </w:p>
    <w:p w14:paraId="4E536034" w14:textId="106D48A2" w:rsidR="000B313E" w:rsidRPr="0008100D" w:rsidRDefault="000B313E" w:rsidP="005E4C07">
      <w:pPr>
        <w:pStyle w:val="a4"/>
        <w:numPr>
          <w:ilvl w:val="0"/>
          <w:numId w:val="4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8100D">
        <w:rPr>
          <w:rFonts w:ascii="Times New Roman" w:hAnsi="Times New Roman" w:cs="Times New Roman"/>
          <w:bCs/>
          <w:sz w:val="28"/>
          <w:szCs w:val="28"/>
          <w:lang w:val="uk-UA"/>
        </w:rPr>
        <w:t>Феш</w:t>
      </w:r>
      <w:proofErr w:type="spellEnd"/>
      <w:r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Світлана Василівна </w:t>
      </w:r>
      <w:r w:rsid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</w:t>
      </w:r>
      <w:r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в.о. директора Сєвєродонецького місцевого центру з надання безоплатної вторинної правової допомоги)</w:t>
      </w:r>
    </w:p>
    <w:p w14:paraId="750A1AB7" w14:textId="42B14C2A" w:rsidR="004E3260" w:rsidRPr="0008100D" w:rsidRDefault="00C773A0" w:rsidP="0008100D">
      <w:pPr>
        <w:pStyle w:val="a4"/>
        <w:numPr>
          <w:ilvl w:val="0"/>
          <w:numId w:val="41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Поджарий</w:t>
      </w:r>
      <w:proofErr w:type="spellEnd"/>
      <w:r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Олексій 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Микол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айович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заст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упник 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нач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альнику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ідділу з організ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ації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надання прав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ової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допомоги та роботи з її надавачами</w:t>
      </w:r>
      <w:r w:rsidR="00362202" w:rsidRPr="000810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B313E" w:rsidRPr="0008100D">
        <w:rPr>
          <w:rFonts w:ascii="Times New Roman" w:hAnsi="Times New Roman" w:cs="Times New Roman"/>
          <w:bCs/>
          <w:sz w:val="28"/>
          <w:szCs w:val="28"/>
          <w:lang w:val="uk-UA"/>
        </w:rPr>
        <w:t>Сєвєродонецького місцевого центру з надання безоплатної вторинної правової допомоги</w:t>
      </w:r>
    </w:p>
    <w:p w14:paraId="1FAFDD09" w14:textId="77777777" w:rsidR="004E3260" w:rsidRPr="0008100D" w:rsidRDefault="004E3260" w:rsidP="004E3260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BF742B" w14:textId="77777777" w:rsidR="004E3260" w:rsidRPr="0008100D" w:rsidRDefault="004E3260" w:rsidP="004E326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F7D43C9" w14:textId="639E59BF" w:rsidR="006371E8" w:rsidRPr="00CD6197" w:rsidRDefault="006371E8" w:rsidP="008A3B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E5EB86" w14:textId="2B89462D" w:rsidR="006371E8" w:rsidRPr="00CD6197" w:rsidRDefault="006371E8" w:rsidP="008A3B54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EA6C84E" w14:textId="57C188BB" w:rsidR="006371E8" w:rsidRDefault="006371E8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6A7514A" w14:textId="4BE6582D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ED19D73" w14:textId="2A921C38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516935" w14:textId="483E006D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A33E33" w14:textId="4A95F3E2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B9F845" w14:textId="7A7660BB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A69D4E7" w14:textId="39197C35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1BED260" w14:textId="30996D8A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0C179C" w14:textId="2FF2724C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17910D" w14:textId="3A243F1E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963FDD" w14:textId="6D7D6281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38CF84" w14:textId="77777777" w:rsidR="00A65D9D" w:rsidRDefault="00A65D9D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7A358D" w14:textId="4B6545F4" w:rsidR="00DE1E6F" w:rsidRDefault="00DE1E6F" w:rsidP="007538C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739726B" w14:textId="647E0771" w:rsidR="00DE1E6F" w:rsidRDefault="00DE1E6F" w:rsidP="00DE1E6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1E6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Додаток Б</w:t>
      </w:r>
    </w:p>
    <w:p w14:paraId="289654CD" w14:textId="460619DE" w:rsidR="00DE1E6F" w:rsidRPr="00DE1E6F" w:rsidRDefault="00DE1E6F" w:rsidP="00DE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E6F">
        <w:rPr>
          <w:rFonts w:ascii="Times New Roman" w:hAnsi="Times New Roman" w:cs="Times New Roman"/>
          <w:sz w:val="28"/>
          <w:szCs w:val="28"/>
          <w:lang w:val="uk-UA"/>
        </w:rPr>
        <w:t>Перелік вибіркових освітніх компонентів,</w:t>
      </w:r>
    </w:p>
    <w:p w14:paraId="2A3FFA4A" w14:textId="731B36A2" w:rsidR="00DE1E6F" w:rsidRPr="00DE1E6F" w:rsidRDefault="00DE1E6F" w:rsidP="00DE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E6F">
        <w:rPr>
          <w:rFonts w:ascii="Times New Roman" w:hAnsi="Times New Roman" w:cs="Times New Roman"/>
          <w:sz w:val="28"/>
          <w:szCs w:val="28"/>
          <w:lang w:val="uk-UA"/>
        </w:rPr>
        <w:t>що включатимуся до індивідуальних навчальних планів підготовки фахівців</w:t>
      </w:r>
    </w:p>
    <w:p w14:paraId="7371BD19" w14:textId="760BCEA6" w:rsidR="00DE1E6F" w:rsidRPr="00DE1E6F" w:rsidRDefault="00DE1E6F" w:rsidP="00DE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E6F">
        <w:rPr>
          <w:rFonts w:ascii="Times New Roman" w:hAnsi="Times New Roman" w:cs="Times New Roman"/>
          <w:sz w:val="28"/>
          <w:szCs w:val="28"/>
          <w:lang w:val="uk-UA"/>
        </w:rPr>
        <w:t>ОС бакалавр спеціальність 081 «Право»</w:t>
      </w:r>
    </w:p>
    <w:p w14:paraId="6D706E93" w14:textId="3E03A26D" w:rsidR="00DE1E6F" w:rsidRPr="00DE1E6F" w:rsidRDefault="00DE1E6F" w:rsidP="00DE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E6F">
        <w:rPr>
          <w:rFonts w:ascii="Times New Roman" w:hAnsi="Times New Roman" w:cs="Times New Roman"/>
          <w:sz w:val="28"/>
          <w:szCs w:val="28"/>
          <w:lang w:val="uk-UA"/>
        </w:rPr>
        <w:t>(для навчальних планів 2020 року прийому)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6"/>
        <w:gridCol w:w="3504"/>
        <w:gridCol w:w="1394"/>
        <w:gridCol w:w="1216"/>
        <w:gridCol w:w="1689"/>
        <w:gridCol w:w="1337"/>
      </w:tblGrid>
      <w:tr w:rsidR="00DE1E6F" w:rsidRPr="00DE1E6F" w14:paraId="76BDA64C" w14:textId="77777777" w:rsidTr="00DE1E6F">
        <w:tc>
          <w:tcPr>
            <w:tcW w:w="556" w:type="dxa"/>
            <w:vAlign w:val="center"/>
          </w:tcPr>
          <w:p w14:paraId="2AA8F1F4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04" w:type="dxa"/>
            <w:vAlign w:val="center"/>
          </w:tcPr>
          <w:p w14:paraId="2E56E7D2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394" w:type="dxa"/>
            <w:vAlign w:val="center"/>
          </w:tcPr>
          <w:p w14:paraId="57083662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1216" w:type="dxa"/>
            <w:vAlign w:val="center"/>
          </w:tcPr>
          <w:p w14:paraId="711B384C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689" w:type="dxa"/>
            <w:vAlign w:val="center"/>
          </w:tcPr>
          <w:p w14:paraId="3C4BAEA0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</w:t>
            </w:r>
            <w:r w:rsidRPr="00DE1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985" w:type="dxa"/>
            <w:vAlign w:val="center"/>
          </w:tcPr>
          <w:p w14:paraId="3E770312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E1E6F" w:rsidRPr="00DE1E6F" w14:paraId="0E333547" w14:textId="77777777" w:rsidTr="00DE1E6F">
        <w:trPr>
          <w:trHeight w:val="289"/>
        </w:trPr>
        <w:tc>
          <w:tcPr>
            <w:tcW w:w="556" w:type="dxa"/>
            <w:vMerge w:val="restart"/>
            <w:vAlign w:val="center"/>
          </w:tcPr>
          <w:p w14:paraId="64A1ACDD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04" w:type="dxa"/>
            <w:vAlign w:val="center"/>
          </w:tcPr>
          <w:p w14:paraId="297192D9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 Основи права  ЄС </w:t>
            </w:r>
          </w:p>
        </w:tc>
        <w:tc>
          <w:tcPr>
            <w:tcW w:w="1394" w:type="dxa"/>
            <w:vMerge w:val="restart"/>
            <w:vAlign w:val="center"/>
          </w:tcPr>
          <w:p w14:paraId="051B4C4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0349F12D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14:paraId="46B5F35C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4D45EA1D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544F9E66" w14:textId="77777777" w:rsidTr="00DE1E6F">
        <w:trPr>
          <w:trHeight w:val="567"/>
        </w:trPr>
        <w:tc>
          <w:tcPr>
            <w:tcW w:w="556" w:type="dxa"/>
            <w:vMerge/>
            <w:vAlign w:val="center"/>
          </w:tcPr>
          <w:p w14:paraId="5D8F96F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68A082E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 Компаративістика у системі юриспруденції</w:t>
            </w:r>
          </w:p>
        </w:tc>
        <w:tc>
          <w:tcPr>
            <w:tcW w:w="1394" w:type="dxa"/>
            <w:vMerge/>
            <w:vAlign w:val="center"/>
          </w:tcPr>
          <w:p w14:paraId="70CC03E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Merge/>
            <w:vAlign w:val="center"/>
          </w:tcPr>
          <w:p w14:paraId="5DBEC980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7B4514D4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243D0759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69B9B98B" w14:textId="77777777" w:rsidTr="00DE1E6F">
        <w:trPr>
          <w:trHeight w:val="259"/>
        </w:trPr>
        <w:tc>
          <w:tcPr>
            <w:tcW w:w="556" w:type="dxa"/>
            <w:vMerge w:val="restart"/>
            <w:vAlign w:val="center"/>
          </w:tcPr>
          <w:p w14:paraId="0D7C8A52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04" w:type="dxa"/>
            <w:vAlign w:val="center"/>
          </w:tcPr>
          <w:p w14:paraId="7DD3286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 Спадкове право</w:t>
            </w:r>
          </w:p>
        </w:tc>
        <w:tc>
          <w:tcPr>
            <w:tcW w:w="1394" w:type="dxa"/>
            <w:vMerge w:val="restart"/>
            <w:vAlign w:val="center"/>
          </w:tcPr>
          <w:p w14:paraId="28C1F599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33F7C3ED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14:paraId="432430AA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5E6BD43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649D06A2" w14:textId="77777777" w:rsidTr="00DE1E6F">
        <w:trPr>
          <w:trHeight w:val="391"/>
        </w:trPr>
        <w:tc>
          <w:tcPr>
            <w:tcW w:w="556" w:type="dxa"/>
            <w:vMerge/>
            <w:vAlign w:val="center"/>
          </w:tcPr>
          <w:p w14:paraId="150FE8BC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1E60229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 Основи юридичної клінічної практики</w:t>
            </w:r>
          </w:p>
        </w:tc>
        <w:tc>
          <w:tcPr>
            <w:tcW w:w="1394" w:type="dxa"/>
            <w:vMerge/>
            <w:vAlign w:val="center"/>
          </w:tcPr>
          <w:p w14:paraId="691C518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Merge/>
            <w:vAlign w:val="center"/>
          </w:tcPr>
          <w:p w14:paraId="7E706AE0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39C1147A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3F3B64F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2298133A" w14:textId="77777777" w:rsidTr="00DE1E6F">
        <w:trPr>
          <w:trHeight w:val="413"/>
        </w:trPr>
        <w:tc>
          <w:tcPr>
            <w:tcW w:w="556" w:type="dxa"/>
            <w:vMerge w:val="restart"/>
            <w:vAlign w:val="center"/>
          </w:tcPr>
          <w:p w14:paraId="771469D0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04" w:type="dxa"/>
            <w:vAlign w:val="center"/>
          </w:tcPr>
          <w:p w14:paraId="652C3F2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 Міжнародне приватне право</w:t>
            </w:r>
          </w:p>
        </w:tc>
        <w:tc>
          <w:tcPr>
            <w:tcW w:w="1394" w:type="dxa"/>
            <w:vMerge w:val="restart"/>
            <w:vAlign w:val="center"/>
          </w:tcPr>
          <w:p w14:paraId="6D7FBF44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58D97675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89" w:type="dxa"/>
            <w:vMerge w:val="restart"/>
            <w:vAlign w:val="center"/>
          </w:tcPr>
          <w:p w14:paraId="29A24FE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52E126BD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07308C6D" w14:textId="77777777" w:rsidTr="00DE1E6F">
        <w:trPr>
          <w:trHeight w:val="567"/>
        </w:trPr>
        <w:tc>
          <w:tcPr>
            <w:tcW w:w="556" w:type="dxa"/>
            <w:vMerge/>
            <w:vAlign w:val="center"/>
          </w:tcPr>
          <w:p w14:paraId="3F26677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3F5D3B4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 Міжнародне гуманітарне право</w:t>
            </w:r>
          </w:p>
        </w:tc>
        <w:tc>
          <w:tcPr>
            <w:tcW w:w="1394" w:type="dxa"/>
            <w:vMerge/>
            <w:vAlign w:val="center"/>
          </w:tcPr>
          <w:p w14:paraId="76B88303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Merge/>
            <w:vAlign w:val="center"/>
          </w:tcPr>
          <w:p w14:paraId="1F86F0F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16D71CB5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5575119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1C04D45F" w14:textId="77777777" w:rsidTr="00DE1E6F">
        <w:trPr>
          <w:trHeight w:val="276"/>
        </w:trPr>
        <w:tc>
          <w:tcPr>
            <w:tcW w:w="556" w:type="dxa"/>
            <w:vMerge w:val="restart"/>
            <w:vAlign w:val="center"/>
          </w:tcPr>
          <w:p w14:paraId="6C87D86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04" w:type="dxa"/>
            <w:vAlign w:val="center"/>
          </w:tcPr>
          <w:p w14:paraId="3286116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 Корпоративне право</w:t>
            </w:r>
          </w:p>
        </w:tc>
        <w:tc>
          <w:tcPr>
            <w:tcW w:w="1394" w:type="dxa"/>
            <w:vMerge w:val="restart"/>
            <w:vAlign w:val="center"/>
          </w:tcPr>
          <w:p w14:paraId="5C57885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25167A94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89" w:type="dxa"/>
            <w:vMerge w:val="restart"/>
            <w:vAlign w:val="center"/>
          </w:tcPr>
          <w:p w14:paraId="6A6934BD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6119209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507B4A76" w14:textId="77777777" w:rsidTr="00DE1E6F">
        <w:trPr>
          <w:trHeight w:val="424"/>
        </w:trPr>
        <w:tc>
          <w:tcPr>
            <w:tcW w:w="556" w:type="dxa"/>
            <w:vMerge/>
            <w:vAlign w:val="center"/>
          </w:tcPr>
          <w:p w14:paraId="0053EFD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2F25E9B2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 Підтримання публічного обвинувачення в суді</w:t>
            </w:r>
          </w:p>
        </w:tc>
        <w:tc>
          <w:tcPr>
            <w:tcW w:w="1394" w:type="dxa"/>
            <w:vMerge/>
            <w:vAlign w:val="center"/>
          </w:tcPr>
          <w:p w14:paraId="5C83278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Merge/>
            <w:vAlign w:val="center"/>
          </w:tcPr>
          <w:p w14:paraId="2E907AC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77C2ED1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0C0FAD62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0557F849" w14:textId="77777777" w:rsidTr="00DE1E6F">
        <w:trPr>
          <w:trHeight w:val="417"/>
        </w:trPr>
        <w:tc>
          <w:tcPr>
            <w:tcW w:w="556" w:type="dxa"/>
            <w:vMerge w:val="restart"/>
            <w:vAlign w:val="center"/>
          </w:tcPr>
          <w:p w14:paraId="24E4841C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04" w:type="dxa"/>
            <w:vAlign w:val="center"/>
          </w:tcPr>
          <w:p w14:paraId="6DACE795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 Основи юридичної клінічної практики</w:t>
            </w:r>
          </w:p>
        </w:tc>
        <w:tc>
          <w:tcPr>
            <w:tcW w:w="1394" w:type="dxa"/>
            <w:vMerge w:val="restart"/>
            <w:vAlign w:val="center"/>
          </w:tcPr>
          <w:p w14:paraId="1D3D2EED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4F3DEDD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89" w:type="dxa"/>
            <w:vMerge w:val="restart"/>
            <w:vAlign w:val="center"/>
          </w:tcPr>
          <w:p w14:paraId="15DB718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1EA043D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66A48906" w14:textId="77777777" w:rsidTr="00DE1E6F">
        <w:trPr>
          <w:trHeight w:val="567"/>
        </w:trPr>
        <w:tc>
          <w:tcPr>
            <w:tcW w:w="556" w:type="dxa"/>
            <w:vMerge/>
            <w:vAlign w:val="center"/>
          </w:tcPr>
          <w:p w14:paraId="1ADCC630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22ABE5B9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 Міжнародне кримінальне право та трибунали</w:t>
            </w:r>
          </w:p>
        </w:tc>
        <w:tc>
          <w:tcPr>
            <w:tcW w:w="1394" w:type="dxa"/>
            <w:vMerge/>
            <w:vAlign w:val="center"/>
          </w:tcPr>
          <w:p w14:paraId="3798AC3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14:paraId="7713BB2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4AFFCD11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526ACF6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28588FDD" w14:textId="77777777" w:rsidTr="00DE1E6F">
        <w:trPr>
          <w:trHeight w:val="972"/>
        </w:trPr>
        <w:tc>
          <w:tcPr>
            <w:tcW w:w="556" w:type="dxa"/>
            <w:vMerge w:val="restart"/>
            <w:vAlign w:val="center"/>
          </w:tcPr>
          <w:p w14:paraId="512991C1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04" w:type="dxa"/>
            <w:vAlign w:val="center"/>
          </w:tcPr>
          <w:p w14:paraId="42C98C81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 Банківське право та правове регулювання фінансової діяльності суб’єктів господарювання</w:t>
            </w:r>
          </w:p>
        </w:tc>
        <w:tc>
          <w:tcPr>
            <w:tcW w:w="1394" w:type="dxa"/>
            <w:vMerge w:val="restart"/>
            <w:vAlign w:val="center"/>
          </w:tcPr>
          <w:p w14:paraId="4920003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6BB4FF2A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89" w:type="dxa"/>
            <w:vMerge w:val="restart"/>
            <w:vAlign w:val="center"/>
          </w:tcPr>
          <w:p w14:paraId="19ADEF83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40CA34C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6998C89D" w14:textId="77777777" w:rsidTr="00DE1E6F">
        <w:trPr>
          <w:trHeight w:val="435"/>
        </w:trPr>
        <w:tc>
          <w:tcPr>
            <w:tcW w:w="556" w:type="dxa"/>
            <w:vMerge/>
            <w:vAlign w:val="center"/>
          </w:tcPr>
          <w:p w14:paraId="6893E0A2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0C1D8E6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6.2 Виконання кримінальних покарань та </w:t>
            </w:r>
            <w:proofErr w:type="spellStart"/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пробація</w:t>
            </w:r>
            <w:proofErr w:type="spellEnd"/>
          </w:p>
        </w:tc>
        <w:tc>
          <w:tcPr>
            <w:tcW w:w="1394" w:type="dxa"/>
            <w:vMerge/>
            <w:vAlign w:val="center"/>
          </w:tcPr>
          <w:p w14:paraId="64ECE04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14:paraId="6E65F6D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58BB5C2A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26CB8AC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10B69601" w14:textId="77777777" w:rsidTr="00DE1E6F">
        <w:trPr>
          <w:trHeight w:val="301"/>
        </w:trPr>
        <w:tc>
          <w:tcPr>
            <w:tcW w:w="556" w:type="dxa"/>
            <w:vMerge w:val="restart"/>
            <w:vAlign w:val="center"/>
          </w:tcPr>
          <w:p w14:paraId="25552FB0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04" w:type="dxa"/>
            <w:vAlign w:val="center"/>
          </w:tcPr>
          <w:p w14:paraId="5013480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 Муніципальне право</w:t>
            </w:r>
          </w:p>
        </w:tc>
        <w:tc>
          <w:tcPr>
            <w:tcW w:w="1394" w:type="dxa"/>
            <w:vMerge w:val="restart"/>
            <w:vAlign w:val="center"/>
          </w:tcPr>
          <w:p w14:paraId="0EC0281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7CCFB101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89" w:type="dxa"/>
            <w:vMerge w:val="restart"/>
            <w:vAlign w:val="center"/>
          </w:tcPr>
          <w:p w14:paraId="46C676B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46C50DF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790A4C3D" w14:textId="77777777" w:rsidTr="00DE1E6F">
        <w:trPr>
          <w:trHeight w:val="567"/>
        </w:trPr>
        <w:tc>
          <w:tcPr>
            <w:tcW w:w="556" w:type="dxa"/>
            <w:vMerge/>
            <w:vAlign w:val="center"/>
          </w:tcPr>
          <w:p w14:paraId="47A557D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2D27A4C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 Право ЄС у сфері боротьби зі злочинністю</w:t>
            </w:r>
          </w:p>
        </w:tc>
        <w:tc>
          <w:tcPr>
            <w:tcW w:w="1394" w:type="dxa"/>
            <w:vMerge/>
            <w:vAlign w:val="center"/>
          </w:tcPr>
          <w:p w14:paraId="64E93FA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14:paraId="633CEACC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3308863A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69122B0C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4764165C" w14:textId="77777777" w:rsidTr="00DE1E6F">
        <w:trPr>
          <w:trHeight w:val="567"/>
        </w:trPr>
        <w:tc>
          <w:tcPr>
            <w:tcW w:w="556" w:type="dxa"/>
            <w:vMerge w:val="restart"/>
            <w:vAlign w:val="center"/>
          </w:tcPr>
          <w:p w14:paraId="1B1BBB0C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04" w:type="dxa"/>
            <w:vAlign w:val="center"/>
          </w:tcPr>
          <w:p w14:paraId="11E36AA4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 Адміністративне врегулювання спорів</w:t>
            </w:r>
          </w:p>
        </w:tc>
        <w:tc>
          <w:tcPr>
            <w:tcW w:w="1394" w:type="dxa"/>
            <w:vMerge w:val="restart"/>
            <w:vAlign w:val="center"/>
          </w:tcPr>
          <w:p w14:paraId="5C7EE0A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0A7D670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689" w:type="dxa"/>
            <w:vMerge w:val="restart"/>
            <w:vAlign w:val="center"/>
          </w:tcPr>
          <w:p w14:paraId="07E60A6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1F2AC8B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7E86DB4F" w14:textId="77777777" w:rsidTr="00DE1E6F">
        <w:trPr>
          <w:trHeight w:val="233"/>
        </w:trPr>
        <w:tc>
          <w:tcPr>
            <w:tcW w:w="556" w:type="dxa"/>
            <w:vMerge/>
            <w:vAlign w:val="center"/>
          </w:tcPr>
          <w:p w14:paraId="65BAB27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465E7B44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8.2 Проблеми кваліфікації злочинів</w:t>
            </w:r>
          </w:p>
        </w:tc>
        <w:tc>
          <w:tcPr>
            <w:tcW w:w="1394" w:type="dxa"/>
            <w:vMerge/>
            <w:vAlign w:val="center"/>
          </w:tcPr>
          <w:p w14:paraId="31ABC455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14:paraId="2597C88C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4AF56A44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43FA9083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692BE916" w14:textId="77777777" w:rsidTr="00DE1E6F">
        <w:trPr>
          <w:trHeight w:val="372"/>
        </w:trPr>
        <w:tc>
          <w:tcPr>
            <w:tcW w:w="556" w:type="dxa"/>
            <w:vMerge w:val="restart"/>
            <w:vAlign w:val="center"/>
          </w:tcPr>
          <w:p w14:paraId="1698713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04" w:type="dxa"/>
            <w:vAlign w:val="center"/>
          </w:tcPr>
          <w:p w14:paraId="713C2D35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 Митне  та транспортне право</w:t>
            </w:r>
          </w:p>
        </w:tc>
        <w:tc>
          <w:tcPr>
            <w:tcW w:w="1394" w:type="dxa"/>
            <w:vMerge w:val="restart"/>
            <w:vAlign w:val="center"/>
          </w:tcPr>
          <w:p w14:paraId="2C9F4F7A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76B8D3A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89" w:type="dxa"/>
            <w:vMerge w:val="restart"/>
            <w:vAlign w:val="center"/>
          </w:tcPr>
          <w:p w14:paraId="2B9CDA28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3B69E96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00DA5B00" w14:textId="77777777" w:rsidTr="00DE1E6F">
        <w:trPr>
          <w:trHeight w:val="435"/>
        </w:trPr>
        <w:tc>
          <w:tcPr>
            <w:tcW w:w="556" w:type="dxa"/>
            <w:vMerge/>
            <w:vAlign w:val="center"/>
          </w:tcPr>
          <w:p w14:paraId="5499D492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2C7CCE3D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9.2 Криміналістика</w:t>
            </w:r>
          </w:p>
        </w:tc>
        <w:tc>
          <w:tcPr>
            <w:tcW w:w="1394" w:type="dxa"/>
            <w:vMerge/>
            <w:vAlign w:val="center"/>
          </w:tcPr>
          <w:p w14:paraId="4B00D4E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14:paraId="79F4541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2D4BF790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5665221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29F5E47D" w14:textId="77777777" w:rsidTr="00DE1E6F">
        <w:trPr>
          <w:trHeight w:val="413"/>
        </w:trPr>
        <w:tc>
          <w:tcPr>
            <w:tcW w:w="556" w:type="dxa"/>
            <w:vMerge w:val="restart"/>
            <w:vAlign w:val="center"/>
          </w:tcPr>
          <w:p w14:paraId="53E1C5C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04" w:type="dxa"/>
            <w:vAlign w:val="center"/>
          </w:tcPr>
          <w:p w14:paraId="176D0E4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 Екологічне право</w:t>
            </w:r>
          </w:p>
        </w:tc>
        <w:tc>
          <w:tcPr>
            <w:tcW w:w="1394" w:type="dxa"/>
            <w:vMerge w:val="restart"/>
            <w:vAlign w:val="center"/>
          </w:tcPr>
          <w:p w14:paraId="4DCA8F51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6EE8ED1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689" w:type="dxa"/>
            <w:vMerge w:val="restart"/>
            <w:vAlign w:val="center"/>
          </w:tcPr>
          <w:p w14:paraId="78DD77CE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634A06D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17417565" w14:textId="77777777" w:rsidTr="00DE1E6F">
        <w:trPr>
          <w:trHeight w:val="405"/>
        </w:trPr>
        <w:tc>
          <w:tcPr>
            <w:tcW w:w="556" w:type="dxa"/>
            <w:vMerge/>
            <w:vAlign w:val="center"/>
          </w:tcPr>
          <w:p w14:paraId="594B5C9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3B2BC3C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 Докази і доказування</w:t>
            </w:r>
          </w:p>
        </w:tc>
        <w:tc>
          <w:tcPr>
            <w:tcW w:w="1394" w:type="dxa"/>
            <w:vMerge/>
            <w:vAlign w:val="center"/>
          </w:tcPr>
          <w:p w14:paraId="1902889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14:paraId="113F579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460FCE9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67753A10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5C7FEDA0" w14:textId="77777777" w:rsidTr="00DE1E6F">
        <w:trPr>
          <w:trHeight w:val="567"/>
        </w:trPr>
        <w:tc>
          <w:tcPr>
            <w:tcW w:w="556" w:type="dxa"/>
            <w:vMerge w:val="restart"/>
            <w:vAlign w:val="center"/>
          </w:tcPr>
          <w:p w14:paraId="454167A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04" w:type="dxa"/>
            <w:vAlign w:val="center"/>
          </w:tcPr>
          <w:p w14:paraId="793241D7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 Інвестиційне та інноваційне право</w:t>
            </w:r>
          </w:p>
        </w:tc>
        <w:tc>
          <w:tcPr>
            <w:tcW w:w="1394" w:type="dxa"/>
            <w:vMerge w:val="restart"/>
            <w:vAlign w:val="center"/>
          </w:tcPr>
          <w:p w14:paraId="1814BC96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6E93741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89" w:type="dxa"/>
            <w:vMerge w:val="restart"/>
            <w:vAlign w:val="center"/>
          </w:tcPr>
          <w:p w14:paraId="29DABAD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473F251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75819B13" w14:textId="77777777" w:rsidTr="00DE1E6F">
        <w:trPr>
          <w:trHeight w:val="850"/>
        </w:trPr>
        <w:tc>
          <w:tcPr>
            <w:tcW w:w="556" w:type="dxa"/>
            <w:vMerge/>
            <w:vAlign w:val="center"/>
          </w:tcPr>
          <w:p w14:paraId="32CC0B63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58DD9CE5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 Запобігання корупції в державних органах та органах місцевого самоврядування</w:t>
            </w:r>
          </w:p>
        </w:tc>
        <w:tc>
          <w:tcPr>
            <w:tcW w:w="1394" w:type="dxa"/>
            <w:vMerge/>
            <w:vAlign w:val="center"/>
          </w:tcPr>
          <w:p w14:paraId="48D8E56B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vAlign w:val="center"/>
          </w:tcPr>
          <w:p w14:paraId="43E606BF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6A9DB529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3F3BD5B0" w14:textId="77777777" w:rsidR="00DE1E6F" w:rsidRPr="00DE1E6F" w:rsidRDefault="00DE1E6F" w:rsidP="00DE1E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7BE0823B" w14:textId="77777777" w:rsidTr="00DE1E6F">
        <w:trPr>
          <w:trHeight w:val="850"/>
        </w:trPr>
        <w:tc>
          <w:tcPr>
            <w:tcW w:w="556" w:type="dxa"/>
            <w:vMerge w:val="restart"/>
            <w:vAlign w:val="center"/>
          </w:tcPr>
          <w:p w14:paraId="08271574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04" w:type="dxa"/>
            <w:vAlign w:val="center"/>
          </w:tcPr>
          <w:p w14:paraId="5E6EA5D5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 Практика застосування Європейської конвенції з прав людини та рішення ЄСПЛ</w:t>
            </w:r>
          </w:p>
        </w:tc>
        <w:tc>
          <w:tcPr>
            <w:tcW w:w="1394" w:type="dxa"/>
            <w:vMerge w:val="restart"/>
            <w:vAlign w:val="center"/>
          </w:tcPr>
          <w:p w14:paraId="55DCBA0A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216" w:type="dxa"/>
            <w:vMerge w:val="restart"/>
            <w:vAlign w:val="center"/>
          </w:tcPr>
          <w:p w14:paraId="0FD9ED6C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689" w:type="dxa"/>
            <w:vMerge w:val="restart"/>
            <w:vAlign w:val="center"/>
          </w:tcPr>
          <w:p w14:paraId="36760F44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5" w:type="dxa"/>
            <w:vMerge w:val="restart"/>
            <w:vAlign w:val="center"/>
          </w:tcPr>
          <w:p w14:paraId="6A348508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509EDEE6" w14:textId="77777777" w:rsidTr="00DE1E6F">
        <w:trPr>
          <w:trHeight w:val="567"/>
        </w:trPr>
        <w:tc>
          <w:tcPr>
            <w:tcW w:w="556" w:type="dxa"/>
            <w:vMerge/>
            <w:vAlign w:val="center"/>
          </w:tcPr>
          <w:p w14:paraId="6EF11B13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04" w:type="dxa"/>
            <w:vAlign w:val="center"/>
          </w:tcPr>
          <w:p w14:paraId="32A89BAB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12.2 Судова практика ЄСПЛ як джерело національного права</w:t>
            </w:r>
          </w:p>
        </w:tc>
        <w:tc>
          <w:tcPr>
            <w:tcW w:w="1394" w:type="dxa"/>
            <w:vMerge/>
            <w:vAlign w:val="center"/>
          </w:tcPr>
          <w:p w14:paraId="0968BB07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vMerge/>
            <w:vAlign w:val="center"/>
          </w:tcPr>
          <w:p w14:paraId="11DBAF19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14:paraId="33D9045C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  <w:vMerge/>
            <w:vAlign w:val="center"/>
          </w:tcPr>
          <w:p w14:paraId="278912B1" w14:textId="77777777" w:rsidR="00DE1E6F" w:rsidRPr="00DE1E6F" w:rsidRDefault="00DE1E6F" w:rsidP="00DE1E6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9DA0C25" w14:textId="77777777" w:rsidR="00DE1E6F" w:rsidRPr="00DE1E6F" w:rsidRDefault="00DE1E6F" w:rsidP="00DE1E6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5AB31D" w14:textId="77777777" w:rsidR="00DE1E6F" w:rsidRDefault="00DE1E6F" w:rsidP="00DE1E6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EA7379" w14:textId="736FDF44" w:rsidR="00DE1E6F" w:rsidRPr="00DE1E6F" w:rsidRDefault="00DE1E6F" w:rsidP="00DE1E6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E6F">
        <w:rPr>
          <w:rFonts w:ascii="Times New Roman" w:hAnsi="Times New Roman" w:cs="Times New Roman"/>
          <w:sz w:val="28"/>
          <w:szCs w:val="28"/>
          <w:lang w:val="uk-UA"/>
        </w:rPr>
        <w:t>Перелік вибіркових освітніх компонентів,</w:t>
      </w:r>
    </w:p>
    <w:p w14:paraId="594D085E" w14:textId="466B9460" w:rsidR="00DE1E6F" w:rsidRPr="00DE1E6F" w:rsidRDefault="00DE1E6F" w:rsidP="00DE1E6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E6F">
        <w:rPr>
          <w:rFonts w:ascii="Times New Roman" w:hAnsi="Times New Roman" w:cs="Times New Roman"/>
          <w:sz w:val="28"/>
          <w:szCs w:val="28"/>
          <w:lang w:val="uk-UA"/>
        </w:rPr>
        <w:t>що включатимуся до індивідуальних навчальних планів підготовки фахівців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1E6F">
        <w:rPr>
          <w:rFonts w:ascii="Times New Roman" w:hAnsi="Times New Roman" w:cs="Times New Roman"/>
          <w:sz w:val="28"/>
          <w:szCs w:val="28"/>
          <w:lang w:val="uk-UA"/>
        </w:rPr>
        <w:t>ОС магістр спеціальність 081 «Право»</w:t>
      </w:r>
    </w:p>
    <w:p w14:paraId="7B46EFF6" w14:textId="1FE7DE9F" w:rsidR="00DE1E6F" w:rsidRPr="00DE1E6F" w:rsidRDefault="00DE1E6F" w:rsidP="00DE1E6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1E6F">
        <w:rPr>
          <w:rFonts w:ascii="Times New Roman" w:hAnsi="Times New Roman" w:cs="Times New Roman"/>
          <w:sz w:val="28"/>
          <w:szCs w:val="28"/>
          <w:lang w:val="uk-UA"/>
        </w:rPr>
        <w:t>(для навчальних планів 2020 року прийому)</w:t>
      </w:r>
    </w:p>
    <w:tbl>
      <w:tblPr>
        <w:tblStyle w:val="ab"/>
        <w:tblW w:w="9345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1134"/>
        <w:gridCol w:w="992"/>
        <w:gridCol w:w="1276"/>
        <w:gridCol w:w="986"/>
      </w:tblGrid>
      <w:tr w:rsidR="00DE1E6F" w:rsidRPr="00DE1E6F" w14:paraId="41EC7CBC" w14:textId="77777777" w:rsidTr="00DE1E6F">
        <w:trPr>
          <w:trHeight w:val="447"/>
        </w:trPr>
        <w:tc>
          <w:tcPr>
            <w:tcW w:w="1129" w:type="dxa"/>
            <w:vAlign w:val="center"/>
          </w:tcPr>
          <w:p w14:paraId="6B70AD32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  <w:vAlign w:val="center"/>
          </w:tcPr>
          <w:p w14:paraId="5CB148AE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1134" w:type="dxa"/>
            <w:vAlign w:val="center"/>
          </w:tcPr>
          <w:p w14:paraId="183E1C3F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92" w:type="dxa"/>
            <w:vAlign w:val="center"/>
          </w:tcPr>
          <w:p w14:paraId="21CE58FB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276" w:type="dxa"/>
            <w:vAlign w:val="center"/>
          </w:tcPr>
          <w:p w14:paraId="04386297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</w:t>
            </w:r>
            <w:r w:rsidRPr="00DE1E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986" w:type="dxa"/>
            <w:vAlign w:val="center"/>
          </w:tcPr>
          <w:p w14:paraId="022AE053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E1E6F" w:rsidRPr="00DE1E6F" w14:paraId="34C2102B" w14:textId="77777777" w:rsidTr="00DE1E6F">
        <w:tc>
          <w:tcPr>
            <w:tcW w:w="1129" w:type="dxa"/>
            <w:vMerge w:val="restart"/>
            <w:vAlign w:val="center"/>
          </w:tcPr>
          <w:p w14:paraId="287A1510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Align w:val="center"/>
          </w:tcPr>
          <w:p w14:paraId="6E86CC58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 Правове регулювання трудових та процесуальних трудових відносин</w:t>
            </w:r>
          </w:p>
        </w:tc>
        <w:tc>
          <w:tcPr>
            <w:tcW w:w="1134" w:type="dxa"/>
            <w:vMerge w:val="restart"/>
            <w:vAlign w:val="center"/>
          </w:tcPr>
          <w:p w14:paraId="445A3B63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vAlign w:val="center"/>
          </w:tcPr>
          <w:p w14:paraId="54A522B3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5E310FC8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vMerge w:val="restart"/>
            <w:vAlign w:val="center"/>
          </w:tcPr>
          <w:p w14:paraId="1B3754EF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56A4DBDA" w14:textId="77777777" w:rsidTr="00DE1E6F">
        <w:trPr>
          <w:trHeight w:val="324"/>
        </w:trPr>
        <w:tc>
          <w:tcPr>
            <w:tcW w:w="1129" w:type="dxa"/>
            <w:vMerge/>
            <w:vAlign w:val="center"/>
          </w:tcPr>
          <w:p w14:paraId="13F31611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14:paraId="6FA258D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 Верховенство права</w:t>
            </w:r>
          </w:p>
        </w:tc>
        <w:tc>
          <w:tcPr>
            <w:tcW w:w="1134" w:type="dxa"/>
            <w:vMerge/>
            <w:vAlign w:val="center"/>
          </w:tcPr>
          <w:p w14:paraId="42377265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642C6661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16608157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0F4EA1E1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6285BE9B" w14:textId="77777777" w:rsidTr="00DE1E6F">
        <w:trPr>
          <w:trHeight w:val="218"/>
        </w:trPr>
        <w:tc>
          <w:tcPr>
            <w:tcW w:w="1129" w:type="dxa"/>
            <w:vMerge/>
            <w:vAlign w:val="center"/>
          </w:tcPr>
          <w:p w14:paraId="0D930CFF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14:paraId="5D663B1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 Актуальні проблеми судоустрою</w:t>
            </w:r>
          </w:p>
        </w:tc>
        <w:tc>
          <w:tcPr>
            <w:tcW w:w="1134" w:type="dxa"/>
            <w:vMerge/>
            <w:vAlign w:val="center"/>
          </w:tcPr>
          <w:p w14:paraId="35F60B38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3B1934B7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5108345C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42CD8C22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2E54762A" w14:textId="77777777" w:rsidTr="00DE1E6F">
        <w:trPr>
          <w:trHeight w:val="417"/>
        </w:trPr>
        <w:tc>
          <w:tcPr>
            <w:tcW w:w="1129" w:type="dxa"/>
            <w:vMerge w:val="restart"/>
            <w:vAlign w:val="center"/>
          </w:tcPr>
          <w:p w14:paraId="3FEE1A5F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Align w:val="center"/>
          </w:tcPr>
          <w:p w14:paraId="2C769517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 Основи юридичної клінічної практики</w:t>
            </w:r>
          </w:p>
        </w:tc>
        <w:tc>
          <w:tcPr>
            <w:tcW w:w="1134" w:type="dxa"/>
            <w:vMerge w:val="restart"/>
            <w:vAlign w:val="center"/>
          </w:tcPr>
          <w:p w14:paraId="5C426061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vAlign w:val="center"/>
          </w:tcPr>
          <w:p w14:paraId="79785EF3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19DF77D5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vMerge w:val="restart"/>
            <w:vAlign w:val="center"/>
          </w:tcPr>
          <w:p w14:paraId="2D04DB0E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7A66BFB3" w14:textId="77777777" w:rsidTr="00DE1E6F">
        <w:trPr>
          <w:trHeight w:val="269"/>
        </w:trPr>
        <w:tc>
          <w:tcPr>
            <w:tcW w:w="1129" w:type="dxa"/>
            <w:vMerge/>
            <w:vAlign w:val="center"/>
          </w:tcPr>
          <w:p w14:paraId="7945E712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14:paraId="09BE9820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 Порівняльний аналіз юридичних систем</w:t>
            </w:r>
          </w:p>
        </w:tc>
        <w:tc>
          <w:tcPr>
            <w:tcW w:w="1134" w:type="dxa"/>
            <w:vMerge/>
            <w:vAlign w:val="center"/>
          </w:tcPr>
          <w:p w14:paraId="6FDEBD64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4F14A741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66614140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3C112FE2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334FDFB6" w14:textId="77777777" w:rsidTr="00DE1E6F">
        <w:trPr>
          <w:trHeight w:val="237"/>
        </w:trPr>
        <w:tc>
          <w:tcPr>
            <w:tcW w:w="1129" w:type="dxa"/>
            <w:vMerge/>
            <w:vAlign w:val="center"/>
          </w:tcPr>
          <w:p w14:paraId="52D5249F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14:paraId="55EAC57F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 Практикум з криміналістики</w:t>
            </w:r>
          </w:p>
        </w:tc>
        <w:tc>
          <w:tcPr>
            <w:tcW w:w="1134" w:type="dxa"/>
            <w:vMerge/>
            <w:vAlign w:val="center"/>
          </w:tcPr>
          <w:p w14:paraId="2AA77BE5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7648C31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60719E26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01CD129E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19C29269" w14:textId="77777777" w:rsidTr="00DE1E6F">
        <w:trPr>
          <w:trHeight w:val="567"/>
        </w:trPr>
        <w:tc>
          <w:tcPr>
            <w:tcW w:w="1129" w:type="dxa"/>
            <w:vMerge w:val="restart"/>
            <w:vAlign w:val="center"/>
          </w:tcPr>
          <w:p w14:paraId="1A461852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Align w:val="center"/>
          </w:tcPr>
          <w:p w14:paraId="0E1FCC0C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 Корпоративні відносини у господарських товариствах</w:t>
            </w:r>
          </w:p>
        </w:tc>
        <w:tc>
          <w:tcPr>
            <w:tcW w:w="1134" w:type="dxa"/>
            <w:vMerge w:val="restart"/>
            <w:vAlign w:val="center"/>
          </w:tcPr>
          <w:p w14:paraId="74E39C0F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vAlign w:val="center"/>
          </w:tcPr>
          <w:p w14:paraId="5AE6D206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641423A4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vMerge w:val="restart"/>
            <w:vAlign w:val="center"/>
          </w:tcPr>
          <w:p w14:paraId="73A84742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551BD5F4" w14:textId="77777777" w:rsidTr="00DE1E6F">
        <w:trPr>
          <w:trHeight w:val="567"/>
        </w:trPr>
        <w:tc>
          <w:tcPr>
            <w:tcW w:w="1129" w:type="dxa"/>
            <w:vMerge/>
            <w:vAlign w:val="center"/>
          </w:tcPr>
          <w:p w14:paraId="58777B1E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14:paraId="7ABB17D8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 Публічне та приватне право в Європейському Союзі</w:t>
            </w:r>
          </w:p>
        </w:tc>
        <w:tc>
          <w:tcPr>
            <w:tcW w:w="1134" w:type="dxa"/>
            <w:vMerge/>
            <w:vAlign w:val="center"/>
          </w:tcPr>
          <w:p w14:paraId="768EB386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5B8A17D6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5BC145D5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20A0D51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7BF746AC" w14:textId="77777777" w:rsidTr="00DE1E6F">
        <w:trPr>
          <w:trHeight w:val="567"/>
        </w:trPr>
        <w:tc>
          <w:tcPr>
            <w:tcW w:w="1129" w:type="dxa"/>
            <w:vMerge/>
            <w:vAlign w:val="center"/>
          </w:tcPr>
          <w:p w14:paraId="27EBE27C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14:paraId="1F5C77A8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 Захист прав людини в період збройних конфліктів</w:t>
            </w:r>
          </w:p>
        </w:tc>
        <w:tc>
          <w:tcPr>
            <w:tcW w:w="1134" w:type="dxa"/>
            <w:vMerge/>
            <w:vAlign w:val="center"/>
          </w:tcPr>
          <w:p w14:paraId="39671BE2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43A57B40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3E763166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5751E627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7418D685" w14:textId="77777777" w:rsidTr="00DE1E6F">
        <w:trPr>
          <w:trHeight w:val="450"/>
        </w:trPr>
        <w:tc>
          <w:tcPr>
            <w:tcW w:w="1129" w:type="dxa"/>
            <w:vMerge w:val="restart"/>
            <w:vAlign w:val="center"/>
          </w:tcPr>
          <w:p w14:paraId="585F32E3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Align w:val="center"/>
          </w:tcPr>
          <w:p w14:paraId="573018C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 Застосування практики ЄСПЛ у цивільному судочинстві</w:t>
            </w:r>
          </w:p>
        </w:tc>
        <w:tc>
          <w:tcPr>
            <w:tcW w:w="1134" w:type="dxa"/>
            <w:vMerge w:val="restart"/>
            <w:vAlign w:val="center"/>
          </w:tcPr>
          <w:p w14:paraId="6B33CD8E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vAlign w:val="center"/>
          </w:tcPr>
          <w:p w14:paraId="3D61A810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667941CE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6" w:type="dxa"/>
            <w:vMerge w:val="restart"/>
            <w:vAlign w:val="center"/>
          </w:tcPr>
          <w:p w14:paraId="54DE6D6D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DE1E6F" w:rsidRPr="00DE1E6F" w14:paraId="4CD8D297" w14:textId="77777777" w:rsidTr="00DE1E6F">
        <w:trPr>
          <w:trHeight w:val="443"/>
        </w:trPr>
        <w:tc>
          <w:tcPr>
            <w:tcW w:w="1129" w:type="dxa"/>
            <w:vMerge/>
            <w:vAlign w:val="center"/>
          </w:tcPr>
          <w:p w14:paraId="77EAAA0B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14:paraId="008A606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 Застосування практики ЄСПЛ в адміністративному судочинстві</w:t>
            </w:r>
          </w:p>
        </w:tc>
        <w:tc>
          <w:tcPr>
            <w:tcW w:w="1134" w:type="dxa"/>
            <w:vMerge/>
            <w:vAlign w:val="center"/>
          </w:tcPr>
          <w:p w14:paraId="57A14BB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61E2DF28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5797FCDD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7CCC835F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55A3E292" w14:textId="77777777" w:rsidTr="00DE1E6F">
        <w:trPr>
          <w:trHeight w:val="310"/>
        </w:trPr>
        <w:tc>
          <w:tcPr>
            <w:tcW w:w="1129" w:type="dxa"/>
            <w:vMerge/>
            <w:vAlign w:val="center"/>
          </w:tcPr>
          <w:p w14:paraId="3513C718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2C9AE32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 Застосування практики ЄСПЛ при здійсненні правосуддя</w:t>
            </w:r>
          </w:p>
        </w:tc>
        <w:tc>
          <w:tcPr>
            <w:tcW w:w="1134" w:type="dxa"/>
            <w:vMerge/>
            <w:vAlign w:val="center"/>
          </w:tcPr>
          <w:p w14:paraId="1E2CA323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14:paraId="317B2991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5CF66DD3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74E022CC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4EBA8052" w14:textId="77777777" w:rsidTr="00DE1E6F">
        <w:trPr>
          <w:trHeight w:val="318"/>
        </w:trPr>
        <w:tc>
          <w:tcPr>
            <w:tcW w:w="1129" w:type="dxa"/>
            <w:vMerge w:val="restart"/>
            <w:vAlign w:val="center"/>
          </w:tcPr>
          <w:p w14:paraId="0B37DBA0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Align w:val="center"/>
          </w:tcPr>
          <w:p w14:paraId="78F141C5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 Теорія та практика нотаріального процесу</w:t>
            </w:r>
          </w:p>
        </w:tc>
        <w:tc>
          <w:tcPr>
            <w:tcW w:w="1134" w:type="dxa"/>
            <w:vMerge w:val="restart"/>
            <w:vAlign w:val="center"/>
          </w:tcPr>
          <w:p w14:paraId="5A7508B1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vAlign w:val="center"/>
          </w:tcPr>
          <w:p w14:paraId="56DB5E51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14:paraId="38BE3878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6" w:type="dxa"/>
            <w:vMerge w:val="restart"/>
            <w:vAlign w:val="center"/>
          </w:tcPr>
          <w:p w14:paraId="748934C6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1E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DE1E6F" w:rsidRPr="00DE1E6F" w14:paraId="06CCF76D" w14:textId="77777777" w:rsidTr="00DE1E6F">
        <w:trPr>
          <w:trHeight w:val="268"/>
        </w:trPr>
        <w:tc>
          <w:tcPr>
            <w:tcW w:w="1129" w:type="dxa"/>
            <w:vMerge/>
            <w:vAlign w:val="center"/>
          </w:tcPr>
          <w:p w14:paraId="63D9B54F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14:paraId="320D8AA4" w14:textId="77777777" w:rsidR="00DE1E6F" w:rsidRPr="00A65D9D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 Адвокатська діяльність в Україні та країнах Європи</w:t>
            </w:r>
          </w:p>
        </w:tc>
        <w:tc>
          <w:tcPr>
            <w:tcW w:w="1134" w:type="dxa"/>
            <w:vMerge/>
            <w:vAlign w:val="center"/>
          </w:tcPr>
          <w:p w14:paraId="4C8C817B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550259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2EBF373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78B65AF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E1E6F" w:rsidRPr="00DE1E6F" w14:paraId="0B3520E5" w14:textId="77777777" w:rsidTr="00DE1E6F">
        <w:trPr>
          <w:trHeight w:val="267"/>
        </w:trPr>
        <w:tc>
          <w:tcPr>
            <w:tcW w:w="1129" w:type="dxa"/>
            <w:vMerge/>
            <w:vAlign w:val="center"/>
          </w:tcPr>
          <w:p w14:paraId="003CB28B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Align w:val="center"/>
          </w:tcPr>
          <w:p w14:paraId="339A3CD6" w14:textId="0F21FD39" w:rsidR="00DE1E6F" w:rsidRPr="00A65D9D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 Кримінологічна</w:t>
            </w:r>
            <w:r w:rsidR="00EA48B0" w:rsidRPr="00A6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65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віктимологія</w:t>
            </w:r>
          </w:p>
        </w:tc>
        <w:tc>
          <w:tcPr>
            <w:tcW w:w="1134" w:type="dxa"/>
            <w:vMerge/>
            <w:vAlign w:val="center"/>
          </w:tcPr>
          <w:p w14:paraId="3F1CBC61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C73A6E9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0BD7120A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14:paraId="54DBB17E" w14:textId="77777777" w:rsidR="00DE1E6F" w:rsidRPr="00DE1E6F" w:rsidRDefault="00DE1E6F" w:rsidP="00DE1E6F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03B96CF" w14:textId="77777777" w:rsidR="00DE1E6F" w:rsidRPr="00DE1E6F" w:rsidRDefault="00DE1E6F" w:rsidP="00DE1E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41690" w14:textId="77777777" w:rsidR="00DE1E6F" w:rsidRPr="00DE1E6F" w:rsidRDefault="00DE1E6F" w:rsidP="00DE1E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E6F" w:rsidRPr="00DE1E6F" w:rsidSect="00D84926">
      <w:type w:val="evenPage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A2BFE" w14:textId="77777777" w:rsidR="00982330" w:rsidRDefault="00982330" w:rsidP="007C28BF">
      <w:pPr>
        <w:spacing w:after="0" w:line="240" w:lineRule="auto"/>
      </w:pPr>
      <w:r>
        <w:separator/>
      </w:r>
    </w:p>
  </w:endnote>
  <w:endnote w:type="continuationSeparator" w:id="0">
    <w:p w14:paraId="172CF9AB" w14:textId="77777777" w:rsidR="00982330" w:rsidRDefault="00982330" w:rsidP="007C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D5CEC" w14:textId="77777777" w:rsidR="00982330" w:rsidRDefault="00982330" w:rsidP="007C28BF">
      <w:pPr>
        <w:spacing w:after="0" w:line="240" w:lineRule="auto"/>
      </w:pPr>
      <w:r>
        <w:separator/>
      </w:r>
    </w:p>
  </w:footnote>
  <w:footnote w:type="continuationSeparator" w:id="0">
    <w:p w14:paraId="12D948FB" w14:textId="77777777" w:rsidR="00982330" w:rsidRDefault="00982330" w:rsidP="007C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644"/>
    <w:multiLevelType w:val="hybridMultilevel"/>
    <w:tmpl w:val="050C0D4A"/>
    <w:lvl w:ilvl="0" w:tplc="37BC7C04">
      <w:start w:val="18"/>
      <w:numFmt w:val="decimal"/>
      <w:lvlText w:val="%1"/>
      <w:lvlJc w:val="left"/>
      <w:pPr>
        <w:ind w:left="4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1" w:hanging="360"/>
      </w:pPr>
    </w:lvl>
    <w:lvl w:ilvl="2" w:tplc="0419001B" w:tentative="1">
      <w:start w:val="1"/>
      <w:numFmt w:val="lowerRoman"/>
      <w:lvlText w:val="%3."/>
      <w:lvlJc w:val="right"/>
      <w:pPr>
        <w:ind w:left="5851" w:hanging="180"/>
      </w:pPr>
    </w:lvl>
    <w:lvl w:ilvl="3" w:tplc="0419000F" w:tentative="1">
      <w:start w:val="1"/>
      <w:numFmt w:val="decimal"/>
      <w:lvlText w:val="%4."/>
      <w:lvlJc w:val="left"/>
      <w:pPr>
        <w:ind w:left="6571" w:hanging="360"/>
      </w:pPr>
    </w:lvl>
    <w:lvl w:ilvl="4" w:tplc="04190019" w:tentative="1">
      <w:start w:val="1"/>
      <w:numFmt w:val="lowerLetter"/>
      <w:lvlText w:val="%5."/>
      <w:lvlJc w:val="left"/>
      <w:pPr>
        <w:ind w:left="7291" w:hanging="360"/>
      </w:pPr>
    </w:lvl>
    <w:lvl w:ilvl="5" w:tplc="0419001B" w:tentative="1">
      <w:start w:val="1"/>
      <w:numFmt w:val="lowerRoman"/>
      <w:lvlText w:val="%6."/>
      <w:lvlJc w:val="right"/>
      <w:pPr>
        <w:ind w:left="8011" w:hanging="180"/>
      </w:pPr>
    </w:lvl>
    <w:lvl w:ilvl="6" w:tplc="0419000F" w:tentative="1">
      <w:start w:val="1"/>
      <w:numFmt w:val="decimal"/>
      <w:lvlText w:val="%7."/>
      <w:lvlJc w:val="left"/>
      <w:pPr>
        <w:ind w:left="8731" w:hanging="360"/>
      </w:pPr>
    </w:lvl>
    <w:lvl w:ilvl="7" w:tplc="04190019" w:tentative="1">
      <w:start w:val="1"/>
      <w:numFmt w:val="lowerLetter"/>
      <w:lvlText w:val="%8."/>
      <w:lvlJc w:val="left"/>
      <w:pPr>
        <w:ind w:left="9451" w:hanging="360"/>
      </w:pPr>
    </w:lvl>
    <w:lvl w:ilvl="8" w:tplc="0419001B" w:tentative="1">
      <w:start w:val="1"/>
      <w:numFmt w:val="lowerRoman"/>
      <w:lvlText w:val="%9."/>
      <w:lvlJc w:val="right"/>
      <w:pPr>
        <w:ind w:left="10171" w:hanging="180"/>
      </w:pPr>
    </w:lvl>
  </w:abstractNum>
  <w:abstractNum w:abstractNumId="1" w15:restartNumberingAfterBreak="0">
    <w:nsid w:val="049A2C57"/>
    <w:multiLevelType w:val="hybridMultilevel"/>
    <w:tmpl w:val="889A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5B6D"/>
    <w:multiLevelType w:val="multilevel"/>
    <w:tmpl w:val="4F9EC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A0B03C3"/>
    <w:multiLevelType w:val="multilevel"/>
    <w:tmpl w:val="8BEC7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11853FED"/>
    <w:multiLevelType w:val="hybridMultilevel"/>
    <w:tmpl w:val="3D4296EC"/>
    <w:lvl w:ilvl="0" w:tplc="BD0ABFFE">
      <w:start w:val="1"/>
      <w:numFmt w:val="decimal"/>
      <w:lvlText w:val="5.%1"/>
      <w:lvlJc w:val="left"/>
      <w:pPr>
        <w:ind w:left="502" w:hanging="360"/>
      </w:pPr>
      <w:rPr>
        <w:rFonts w:hint="default"/>
      </w:rPr>
    </w:lvl>
    <w:lvl w:ilvl="1" w:tplc="894A5D4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5773"/>
    <w:multiLevelType w:val="hybridMultilevel"/>
    <w:tmpl w:val="D162165A"/>
    <w:lvl w:ilvl="0" w:tplc="86A0337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593E"/>
    <w:multiLevelType w:val="multilevel"/>
    <w:tmpl w:val="E22093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6876B2C"/>
    <w:multiLevelType w:val="hybridMultilevel"/>
    <w:tmpl w:val="8DEE82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7571433"/>
    <w:multiLevelType w:val="hybridMultilevel"/>
    <w:tmpl w:val="883CCB4E"/>
    <w:lvl w:ilvl="0" w:tplc="86A033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25C98"/>
    <w:multiLevelType w:val="hybridMultilevel"/>
    <w:tmpl w:val="DA6A97E0"/>
    <w:lvl w:ilvl="0" w:tplc="5A9C7F22">
      <w:numFmt w:val="bullet"/>
      <w:lvlText w:val="□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8175B"/>
    <w:multiLevelType w:val="hybridMultilevel"/>
    <w:tmpl w:val="9A8E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2D18"/>
    <w:multiLevelType w:val="hybridMultilevel"/>
    <w:tmpl w:val="6074C99A"/>
    <w:lvl w:ilvl="0" w:tplc="5A9C7F22">
      <w:numFmt w:val="bullet"/>
      <w:lvlText w:val="□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5253D"/>
    <w:multiLevelType w:val="hybridMultilevel"/>
    <w:tmpl w:val="3AE027C8"/>
    <w:lvl w:ilvl="0" w:tplc="8978424E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B5A6856"/>
    <w:multiLevelType w:val="multilevel"/>
    <w:tmpl w:val="4F8AC990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eastAsia="Calibri" w:hint="default"/>
      </w:rPr>
    </w:lvl>
  </w:abstractNum>
  <w:abstractNum w:abstractNumId="14" w15:restartNumberingAfterBreak="0">
    <w:nsid w:val="2B7A26CE"/>
    <w:multiLevelType w:val="hybridMultilevel"/>
    <w:tmpl w:val="67E2AEF0"/>
    <w:lvl w:ilvl="0" w:tplc="9844F848">
      <w:start w:val="5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9A25C2"/>
    <w:multiLevelType w:val="hybridMultilevel"/>
    <w:tmpl w:val="B8AC168A"/>
    <w:lvl w:ilvl="0" w:tplc="13725B0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2E66325F"/>
    <w:multiLevelType w:val="hybridMultilevel"/>
    <w:tmpl w:val="69D211C2"/>
    <w:lvl w:ilvl="0" w:tplc="AB8835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75389"/>
    <w:multiLevelType w:val="hybridMultilevel"/>
    <w:tmpl w:val="69D211C2"/>
    <w:lvl w:ilvl="0" w:tplc="AB8835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33D94"/>
    <w:multiLevelType w:val="multilevel"/>
    <w:tmpl w:val="C4E2B3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552"/>
        </w:tabs>
        <w:ind w:left="0" w:firstLine="0"/>
      </w:pPr>
      <w:rPr>
        <w:rFonts w:ascii="Times New Roman" w:hAnsi="Times New Roman" w:hint="default"/>
        <w:b w:val="0"/>
        <w:i w:val="0"/>
        <w:sz w:val="2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408"/>
        </w:tabs>
        <w:ind w:left="-40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264"/>
        </w:tabs>
        <w:ind w:left="-264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19" w15:restartNumberingAfterBreak="0">
    <w:nsid w:val="384319D3"/>
    <w:multiLevelType w:val="hybridMultilevel"/>
    <w:tmpl w:val="9E60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31C08"/>
    <w:multiLevelType w:val="hybridMultilevel"/>
    <w:tmpl w:val="1276B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B622FF"/>
    <w:multiLevelType w:val="hybridMultilevel"/>
    <w:tmpl w:val="B1F6991C"/>
    <w:lvl w:ilvl="0" w:tplc="5A9C7F22">
      <w:numFmt w:val="bullet"/>
      <w:lvlText w:val="□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1B4A"/>
    <w:multiLevelType w:val="hybridMultilevel"/>
    <w:tmpl w:val="C5525E90"/>
    <w:lvl w:ilvl="0" w:tplc="47D4FA08">
      <w:start w:val="1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976480"/>
    <w:multiLevelType w:val="hybridMultilevel"/>
    <w:tmpl w:val="5CC0845C"/>
    <w:lvl w:ilvl="0" w:tplc="86A03376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831A4"/>
    <w:multiLevelType w:val="hybridMultilevel"/>
    <w:tmpl w:val="F244CB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77021"/>
    <w:multiLevelType w:val="hybridMultilevel"/>
    <w:tmpl w:val="F4FCFEE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D67387B"/>
    <w:multiLevelType w:val="hybridMultilevel"/>
    <w:tmpl w:val="093A3A74"/>
    <w:lvl w:ilvl="0" w:tplc="5A9C7F22">
      <w:numFmt w:val="bullet"/>
      <w:lvlText w:val="□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B601D"/>
    <w:multiLevelType w:val="hybridMultilevel"/>
    <w:tmpl w:val="40A21086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4FB16CD5"/>
    <w:multiLevelType w:val="hybridMultilevel"/>
    <w:tmpl w:val="F912C234"/>
    <w:lvl w:ilvl="0" w:tplc="E7F6903A">
      <w:numFmt w:val="bullet"/>
      <w:lvlText w:val="-"/>
      <w:lvlJc w:val="left"/>
      <w:pPr>
        <w:ind w:left="102" w:hanging="154"/>
      </w:pPr>
      <w:rPr>
        <w:rFonts w:ascii="Arial Narrow" w:eastAsia="Arial Narrow" w:hAnsi="Arial Narrow" w:cs="Arial Narrow" w:hint="default"/>
        <w:w w:val="100"/>
        <w:sz w:val="28"/>
        <w:szCs w:val="28"/>
        <w:lang w:val="uk-UA" w:eastAsia="uk-UA" w:bidi="uk-UA"/>
      </w:rPr>
    </w:lvl>
    <w:lvl w:ilvl="1" w:tplc="A2AAE400">
      <w:numFmt w:val="bullet"/>
      <w:lvlText w:val="•"/>
      <w:lvlJc w:val="left"/>
      <w:pPr>
        <w:ind w:left="1046" w:hanging="154"/>
      </w:pPr>
      <w:rPr>
        <w:rFonts w:hint="default"/>
        <w:lang w:val="uk-UA" w:eastAsia="uk-UA" w:bidi="uk-UA"/>
      </w:rPr>
    </w:lvl>
    <w:lvl w:ilvl="2" w:tplc="86085D46">
      <w:numFmt w:val="bullet"/>
      <w:lvlText w:val="•"/>
      <w:lvlJc w:val="left"/>
      <w:pPr>
        <w:ind w:left="1993" w:hanging="154"/>
      </w:pPr>
      <w:rPr>
        <w:rFonts w:hint="default"/>
        <w:lang w:val="uk-UA" w:eastAsia="uk-UA" w:bidi="uk-UA"/>
      </w:rPr>
    </w:lvl>
    <w:lvl w:ilvl="3" w:tplc="E1B2EB56">
      <w:numFmt w:val="bullet"/>
      <w:lvlText w:val="•"/>
      <w:lvlJc w:val="left"/>
      <w:pPr>
        <w:ind w:left="2939" w:hanging="154"/>
      </w:pPr>
      <w:rPr>
        <w:rFonts w:hint="default"/>
        <w:lang w:val="uk-UA" w:eastAsia="uk-UA" w:bidi="uk-UA"/>
      </w:rPr>
    </w:lvl>
    <w:lvl w:ilvl="4" w:tplc="0824C284">
      <w:numFmt w:val="bullet"/>
      <w:lvlText w:val="•"/>
      <w:lvlJc w:val="left"/>
      <w:pPr>
        <w:ind w:left="3886" w:hanging="154"/>
      </w:pPr>
      <w:rPr>
        <w:rFonts w:hint="default"/>
        <w:lang w:val="uk-UA" w:eastAsia="uk-UA" w:bidi="uk-UA"/>
      </w:rPr>
    </w:lvl>
    <w:lvl w:ilvl="5" w:tplc="C630B272">
      <w:numFmt w:val="bullet"/>
      <w:lvlText w:val="•"/>
      <w:lvlJc w:val="left"/>
      <w:pPr>
        <w:ind w:left="4833" w:hanging="154"/>
      </w:pPr>
      <w:rPr>
        <w:rFonts w:hint="default"/>
        <w:lang w:val="uk-UA" w:eastAsia="uk-UA" w:bidi="uk-UA"/>
      </w:rPr>
    </w:lvl>
    <w:lvl w:ilvl="6" w:tplc="662E8BEE">
      <w:numFmt w:val="bullet"/>
      <w:lvlText w:val="•"/>
      <w:lvlJc w:val="left"/>
      <w:pPr>
        <w:ind w:left="5779" w:hanging="154"/>
      </w:pPr>
      <w:rPr>
        <w:rFonts w:hint="default"/>
        <w:lang w:val="uk-UA" w:eastAsia="uk-UA" w:bidi="uk-UA"/>
      </w:rPr>
    </w:lvl>
    <w:lvl w:ilvl="7" w:tplc="BA0E4AA2">
      <w:numFmt w:val="bullet"/>
      <w:lvlText w:val="•"/>
      <w:lvlJc w:val="left"/>
      <w:pPr>
        <w:ind w:left="6726" w:hanging="154"/>
      </w:pPr>
      <w:rPr>
        <w:rFonts w:hint="default"/>
        <w:lang w:val="uk-UA" w:eastAsia="uk-UA" w:bidi="uk-UA"/>
      </w:rPr>
    </w:lvl>
    <w:lvl w:ilvl="8" w:tplc="B818FB1C">
      <w:numFmt w:val="bullet"/>
      <w:lvlText w:val="•"/>
      <w:lvlJc w:val="left"/>
      <w:pPr>
        <w:ind w:left="7673" w:hanging="154"/>
      </w:pPr>
      <w:rPr>
        <w:rFonts w:hint="default"/>
        <w:lang w:val="uk-UA" w:eastAsia="uk-UA" w:bidi="uk-UA"/>
      </w:rPr>
    </w:lvl>
  </w:abstractNum>
  <w:abstractNum w:abstractNumId="29" w15:restartNumberingAfterBreak="0">
    <w:nsid w:val="515F6ED4"/>
    <w:multiLevelType w:val="hybridMultilevel"/>
    <w:tmpl w:val="DD826C40"/>
    <w:lvl w:ilvl="0" w:tplc="FB2A44E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B61ED"/>
    <w:multiLevelType w:val="hybridMultilevel"/>
    <w:tmpl w:val="CA18755A"/>
    <w:lvl w:ilvl="0" w:tplc="5A9C7F22">
      <w:numFmt w:val="bullet"/>
      <w:lvlText w:val="□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6FC55FA"/>
    <w:multiLevelType w:val="hybridMultilevel"/>
    <w:tmpl w:val="2B667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9A00644"/>
    <w:multiLevelType w:val="hybridMultilevel"/>
    <w:tmpl w:val="15D859AE"/>
    <w:lvl w:ilvl="0" w:tplc="8EA28432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4020"/>
    <w:multiLevelType w:val="hybridMultilevel"/>
    <w:tmpl w:val="59C09FF2"/>
    <w:lvl w:ilvl="0" w:tplc="A3348B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139B6"/>
    <w:multiLevelType w:val="hybridMultilevel"/>
    <w:tmpl w:val="40A21086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5EB4060"/>
    <w:multiLevelType w:val="hybridMultilevel"/>
    <w:tmpl w:val="DE5ACDDE"/>
    <w:lvl w:ilvl="0" w:tplc="5406FC68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6" w15:restartNumberingAfterBreak="0">
    <w:nsid w:val="6B0F7ED0"/>
    <w:multiLevelType w:val="hybridMultilevel"/>
    <w:tmpl w:val="8DEE82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BE5091F"/>
    <w:multiLevelType w:val="hybridMultilevel"/>
    <w:tmpl w:val="A4E0D256"/>
    <w:lvl w:ilvl="0" w:tplc="84F672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702106"/>
    <w:multiLevelType w:val="hybridMultilevel"/>
    <w:tmpl w:val="38A6C2B0"/>
    <w:lvl w:ilvl="0" w:tplc="8E889570">
      <w:start w:val="1"/>
      <w:numFmt w:val="decimal"/>
      <w:lvlText w:val="%1)"/>
      <w:lvlJc w:val="left"/>
      <w:pPr>
        <w:ind w:left="10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8DDA4808">
      <w:start w:val="1"/>
      <w:numFmt w:val="decimal"/>
      <w:lvlText w:val="%2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2" w:tplc="F1D06824">
      <w:numFmt w:val="bullet"/>
      <w:lvlText w:val="•"/>
      <w:lvlJc w:val="left"/>
      <w:pPr>
        <w:ind w:left="1993" w:hanging="281"/>
      </w:pPr>
      <w:rPr>
        <w:rFonts w:hint="default"/>
        <w:lang w:val="uk-UA" w:eastAsia="uk-UA" w:bidi="uk-UA"/>
      </w:rPr>
    </w:lvl>
    <w:lvl w:ilvl="3" w:tplc="C89A74DA">
      <w:numFmt w:val="bullet"/>
      <w:lvlText w:val="•"/>
      <w:lvlJc w:val="left"/>
      <w:pPr>
        <w:ind w:left="2939" w:hanging="281"/>
      </w:pPr>
      <w:rPr>
        <w:rFonts w:hint="default"/>
        <w:lang w:val="uk-UA" w:eastAsia="uk-UA" w:bidi="uk-UA"/>
      </w:rPr>
    </w:lvl>
    <w:lvl w:ilvl="4" w:tplc="429A6BE0">
      <w:numFmt w:val="bullet"/>
      <w:lvlText w:val="•"/>
      <w:lvlJc w:val="left"/>
      <w:pPr>
        <w:ind w:left="3886" w:hanging="281"/>
      </w:pPr>
      <w:rPr>
        <w:rFonts w:hint="default"/>
        <w:lang w:val="uk-UA" w:eastAsia="uk-UA" w:bidi="uk-UA"/>
      </w:rPr>
    </w:lvl>
    <w:lvl w:ilvl="5" w:tplc="D318B7CA">
      <w:numFmt w:val="bullet"/>
      <w:lvlText w:val="•"/>
      <w:lvlJc w:val="left"/>
      <w:pPr>
        <w:ind w:left="4833" w:hanging="281"/>
      </w:pPr>
      <w:rPr>
        <w:rFonts w:hint="default"/>
        <w:lang w:val="uk-UA" w:eastAsia="uk-UA" w:bidi="uk-UA"/>
      </w:rPr>
    </w:lvl>
    <w:lvl w:ilvl="6" w:tplc="67384A48">
      <w:numFmt w:val="bullet"/>
      <w:lvlText w:val="•"/>
      <w:lvlJc w:val="left"/>
      <w:pPr>
        <w:ind w:left="5779" w:hanging="281"/>
      </w:pPr>
      <w:rPr>
        <w:rFonts w:hint="default"/>
        <w:lang w:val="uk-UA" w:eastAsia="uk-UA" w:bidi="uk-UA"/>
      </w:rPr>
    </w:lvl>
    <w:lvl w:ilvl="7" w:tplc="3E769E48">
      <w:numFmt w:val="bullet"/>
      <w:lvlText w:val="•"/>
      <w:lvlJc w:val="left"/>
      <w:pPr>
        <w:ind w:left="6726" w:hanging="281"/>
      </w:pPr>
      <w:rPr>
        <w:rFonts w:hint="default"/>
        <w:lang w:val="uk-UA" w:eastAsia="uk-UA" w:bidi="uk-UA"/>
      </w:rPr>
    </w:lvl>
    <w:lvl w:ilvl="8" w:tplc="C70CD1A8">
      <w:numFmt w:val="bullet"/>
      <w:lvlText w:val="•"/>
      <w:lvlJc w:val="left"/>
      <w:pPr>
        <w:ind w:left="7673" w:hanging="281"/>
      </w:pPr>
      <w:rPr>
        <w:rFonts w:hint="default"/>
        <w:lang w:val="uk-UA" w:eastAsia="uk-UA" w:bidi="uk-UA"/>
      </w:rPr>
    </w:lvl>
  </w:abstractNum>
  <w:abstractNum w:abstractNumId="39" w15:restartNumberingAfterBreak="0">
    <w:nsid w:val="768A6426"/>
    <w:multiLevelType w:val="multilevel"/>
    <w:tmpl w:val="741824F6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40" w15:restartNumberingAfterBreak="0">
    <w:nsid w:val="7B390A7F"/>
    <w:multiLevelType w:val="hybridMultilevel"/>
    <w:tmpl w:val="B444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37"/>
  </w:num>
  <w:num w:numId="5">
    <w:abstractNumId w:val="18"/>
  </w:num>
  <w:num w:numId="6">
    <w:abstractNumId w:val="39"/>
  </w:num>
  <w:num w:numId="7">
    <w:abstractNumId w:val="16"/>
  </w:num>
  <w:num w:numId="8">
    <w:abstractNumId w:val="15"/>
  </w:num>
  <w:num w:numId="9">
    <w:abstractNumId w:val="33"/>
  </w:num>
  <w:num w:numId="10">
    <w:abstractNumId w:val="6"/>
  </w:num>
  <w:num w:numId="11">
    <w:abstractNumId w:val="2"/>
  </w:num>
  <w:num w:numId="12">
    <w:abstractNumId w:val="1"/>
  </w:num>
  <w:num w:numId="13">
    <w:abstractNumId w:val="19"/>
  </w:num>
  <w:num w:numId="14">
    <w:abstractNumId w:val="29"/>
  </w:num>
  <w:num w:numId="15">
    <w:abstractNumId w:val="31"/>
  </w:num>
  <w:num w:numId="16">
    <w:abstractNumId w:val="20"/>
  </w:num>
  <w:num w:numId="17">
    <w:abstractNumId w:val="30"/>
  </w:num>
  <w:num w:numId="18">
    <w:abstractNumId w:val="26"/>
  </w:num>
  <w:num w:numId="19">
    <w:abstractNumId w:val="9"/>
  </w:num>
  <w:num w:numId="20">
    <w:abstractNumId w:val="11"/>
  </w:num>
  <w:num w:numId="21">
    <w:abstractNumId w:val="21"/>
  </w:num>
  <w:num w:numId="22">
    <w:abstractNumId w:val="8"/>
  </w:num>
  <w:num w:numId="23">
    <w:abstractNumId w:val="32"/>
  </w:num>
  <w:num w:numId="24">
    <w:abstractNumId w:val="34"/>
  </w:num>
  <w:num w:numId="25">
    <w:abstractNumId w:val="28"/>
  </w:num>
  <w:num w:numId="26">
    <w:abstractNumId w:val="38"/>
  </w:num>
  <w:num w:numId="27">
    <w:abstractNumId w:val="14"/>
  </w:num>
  <w:num w:numId="28">
    <w:abstractNumId w:val="25"/>
  </w:num>
  <w:num w:numId="29">
    <w:abstractNumId w:val="13"/>
  </w:num>
  <w:num w:numId="30">
    <w:abstractNumId w:val="36"/>
  </w:num>
  <w:num w:numId="31">
    <w:abstractNumId w:val="40"/>
  </w:num>
  <w:num w:numId="32">
    <w:abstractNumId w:val="5"/>
  </w:num>
  <w:num w:numId="33">
    <w:abstractNumId w:val="35"/>
  </w:num>
  <w:num w:numId="34">
    <w:abstractNumId w:val="23"/>
  </w:num>
  <w:num w:numId="35">
    <w:abstractNumId w:val="24"/>
  </w:num>
  <w:num w:numId="36">
    <w:abstractNumId w:val="12"/>
  </w:num>
  <w:num w:numId="37">
    <w:abstractNumId w:val="10"/>
  </w:num>
  <w:num w:numId="38">
    <w:abstractNumId w:val="27"/>
  </w:num>
  <w:num w:numId="39">
    <w:abstractNumId w:val="4"/>
  </w:num>
  <w:num w:numId="40">
    <w:abstractNumId w:val="2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A8"/>
    <w:rsid w:val="00007D0B"/>
    <w:rsid w:val="000206F0"/>
    <w:rsid w:val="00026247"/>
    <w:rsid w:val="00043A66"/>
    <w:rsid w:val="00074C57"/>
    <w:rsid w:val="000776D3"/>
    <w:rsid w:val="0008100D"/>
    <w:rsid w:val="000B313E"/>
    <w:rsid w:val="000B6A64"/>
    <w:rsid w:val="000F476A"/>
    <w:rsid w:val="00101E9C"/>
    <w:rsid w:val="00123B7C"/>
    <w:rsid w:val="00155075"/>
    <w:rsid w:val="00157AA1"/>
    <w:rsid w:val="001731EB"/>
    <w:rsid w:val="00186200"/>
    <w:rsid w:val="001A2A64"/>
    <w:rsid w:val="001A6AF0"/>
    <w:rsid w:val="001B39A9"/>
    <w:rsid w:val="001B630F"/>
    <w:rsid w:val="001D06A9"/>
    <w:rsid w:val="001D285B"/>
    <w:rsid w:val="00200A2A"/>
    <w:rsid w:val="00201A19"/>
    <w:rsid w:val="00216D98"/>
    <w:rsid w:val="00231BF1"/>
    <w:rsid w:val="0023399A"/>
    <w:rsid w:val="0024488E"/>
    <w:rsid w:val="00247C42"/>
    <w:rsid w:val="00255908"/>
    <w:rsid w:val="002577BD"/>
    <w:rsid w:val="0026299D"/>
    <w:rsid w:val="00270F1C"/>
    <w:rsid w:val="00272ACB"/>
    <w:rsid w:val="002841B8"/>
    <w:rsid w:val="002A6A7D"/>
    <w:rsid w:val="002B1A94"/>
    <w:rsid w:val="002E788D"/>
    <w:rsid w:val="0031443D"/>
    <w:rsid w:val="003201FF"/>
    <w:rsid w:val="00332B8E"/>
    <w:rsid w:val="00362202"/>
    <w:rsid w:val="00377C4C"/>
    <w:rsid w:val="003B2AD7"/>
    <w:rsid w:val="003C0316"/>
    <w:rsid w:val="003E04D3"/>
    <w:rsid w:val="00407BF1"/>
    <w:rsid w:val="004475B2"/>
    <w:rsid w:val="00450963"/>
    <w:rsid w:val="00460B1A"/>
    <w:rsid w:val="0047391C"/>
    <w:rsid w:val="004951D4"/>
    <w:rsid w:val="00496A28"/>
    <w:rsid w:val="004A3577"/>
    <w:rsid w:val="004A5828"/>
    <w:rsid w:val="004C47ED"/>
    <w:rsid w:val="004D1A65"/>
    <w:rsid w:val="004E3260"/>
    <w:rsid w:val="00504DB9"/>
    <w:rsid w:val="00504E7B"/>
    <w:rsid w:val="00516255"/>
    <w:rsid w:val="00532AA0"/>
    <w:rsid w:val="00534C67"/>
    <w:rsid w:val="00555F4F"/>
    <w:rsid w:val="005930C6"/>
    <w:rsid w:val="005A6CCC"/>
    <w:rsid w:val="005B51B9"/>
    <w:rsid w:val="005C2B4F"/>
    <w:rsid w:val="005D1420"/>
    <w:rsid w:val="005E44D8"/>
    <w:rsid w:val="005F3B53"/>
    <w:rsid w:val="00620E1B"/>
    <w:rsid w:val="006228EB"/>
    <w:rsid w:val="006371E8"/>
    <w:rsid w:val="006576AB"/>
    <w:rsid w:val="00665223"/>
    <w:rsid w:val="00672B0F"/>
    <w:rsid w:val="00681E3E"/>
    <w:rsid w:val="006905A2"/>
    <w:rsid w:val="00692173"/>
    <w:rsid w:val="00694DF3"/>
    <w:rsid w:val="006A4661"/>
    <w:rsid w:val="006A574D"/>
    <w:rsid w:val="006A6D2D"/>
    <w:rsid w:val="006A7F77"/>
    <w:rsid w:val="006B3D04"/>
    <w:rsid w:val="006B74A8"/>
    <w:rsid w:val="006C7D76"/>
    <w:rsid w:val="007505AB"/>
    <w:rsid w:val="007538C2"/>
    <w:rsid w:val="0077294C"/>
    <w:rsid w:val="00787D6F"/>
    <w:rsid w:val="007B48B0"/>
    <w:rsid w:val="007B55DD"/>
    <w:rsid w:val="007B5B44"/>
    <w:rsid w:val="007B7AF7"/>
    <w:rsid w:val="007C28BF"/>
    <w:rsid w:val="007D52C0"/>
    <w:rsid w:val="007E3051"/>
    <w:rsid w:val="00827BE2"/>
    <w:rsid w:val="008553E6"/>
    <w:rsid w:val="00875EF1"/>
    <w:rsid w:val="00882732"/>
    <w:rsid w:val="00886D9B"/>
    <w:rsid w:val="00895FAB"/>
    <w:rsid w:val="008A3B54"/>
    <w:rsid w:val="008E655F"/>
    <w:rsid w:val="00901DE4"/>
    <w:rsid w:val="00903E26"/>
    <w:rsid w:val="00935286"/>
    <w:rsid w:val="00936613"/>
    <w:rsid w:val="00952E85"/>
    <w:rsid w:val="00982061"/>
    <w:rsid w:val="00982330"/>
    <w:rsid w:val="009B0209"/>
    <w:rsid w:val="009B2A9D"/>
    <w:rsid w:val="009B595A"/>
    <w:rsid w:val="00A03218"/>
    <w:rsid w:val="00A30B24"/>
    <w:rsid w:val="00A65D9D"/>
    <w:rsid w:val="00A8432F"/>
    <w:rsid w:val="00A925F0"/>
    <w:rsid w:val="00AA6AE0"/>
    <w:rsid w:val="00AC30E4"/>
    <w:rsid w:val="00AE5C01"/>
    <w:rsid w:val="00AF6CFD"/>
    <w:rsid w:val="00B277BE"/>
    <w:rsid w:val="00B440C6"/>
    <w:rsid w:val="00B56410"/>
    <w:rsid w:val="00B90C16"/>
    <w:rsid w:val="00BB3992"/>
    <w:rsid w:val="00BB4406"/>
    <w:rsid w:val="00BB5402"/>
    <w:rsid w:val="00BC3A3A"/>
    <w:rsid w:val="00BD311A"/>
    <w:rsid w:val="00BE750F"/>
    <w:rsid w:val="00C07C3B"/>
    <w:rsid w:val="00C20061"/>
    <w:rsid w:val="00C469D3"/>
    <w:rsid w:val="00C773A0"/>
    <w:rsid w:val="00C8613D"/>
    <w:rsid w:val="00C97245"/>
    <w:rsid w:val="00CB1DDB"/>
    <w:rsid w:val="00CD29CE"/>
    <w:rsid w:val="00CD6197"/>
    <w:rsid w:val="00CD6E71"/>
    <w:rsid w:val="00CE3176"/>
    <w:rsid w:val="00CF40A5"/>
    <w:rsid w:val="00D0370E"/>
    <w:rsid w:val="00D04C3E"/>
    <w:rsid w:val="00D062AD"/>
    <w:rsid w:val="00D06F0A"/>
    <w:rsid w:val="00D10A26"/>
    <w:rsid w:val="00D112D5"/>
    <w:rsid w:val="00D130DC"/>
    <w:rsid w:val="00D37534"/>
    <w:rsid w:val="00D4048F"/>
    <w:rsid w:val="00D424F2"/>
    <w:rsid w:val="00D460DC"/>
    <w:rsid w:val="00D513C9"/>
    <w:rsid w:val="00D56469"/>
    <w:rsid w:val="00D804C1"/>
    <w:rsid w:val="00D83F9C"/>
    <w:rsid w:val="00D84926"/>
    <w:rsid w:val="00DB355D"/>
    <w:rsid w:val="00DB48A1"/>
    <w:rsid w:val="00DB6F6C"/>
    <w:rsid w:val="00DD1BA3"/>
    <w:rsid w:val="00DD3C87"/>
    <w:rsid w:val="00DD65FF"/>
    <w:rsid w:val="00DE1E6F"/>
    <w:rsid w:val="00E13F5D"/>
    <w:rsid w:val="00E72B5F"/>
    <w:rsid w:val="00EA48B0"/>
    <w:rsid w:val="00EA7C57"/>
    <w:rsid w:val="00EB360F"/>
    <w:rsid w:val="00EB7355"/>
    <w:rsid w:val="00EC4F6E"/>
    <w:rsid w:val="00EF598B"/>
    <w:rsid w:val="00EF7991"/>
    <w:rsid w:val="00F03BD6"/>
    <w:rsid w:val="00F04164"/>
    <w:rsid w:val="00F05798"/>
    <w:rsid w:val="00F058F8"/>
    <w:rsid w:val="00F174CB"/>
    <w:rsid w:val="00F17978"/>
    <w:rsid w:val="00F20766"/>
    <w:rsid w:val="00F2344E"/>
    <w:rsid w:val="00F3088B"/>
    <w:rsid w:val="00F511EF"/>
    <w:rsid w:val="00F72DA7"/>
    <w:rsid w:val="00F80080"/>
    <w:rsid w:val="00F95CBC"/>
    <w:rsid w:val="00FB7873"/>
    <w:rsid w:val="00FC098C"/>
    <w:rsid w:val="00FD2FE8"/>
    <w:rsid w:val="00F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D9BF"/>
  <w15:chartTrackingRefBased/>
  <w15:docId w15:val="{4344BBAA-DC4B-4637-9B80-3CB2BEB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rsid w:val="005B51B9"/>
    <w:pPr>
      <w:keepNext/>
      <w:numPr>
        <w:numId w:val="6"/>
      </w:numPr>
      <w:tabs>
        <w:tab w:val="left" w:pos="567"/>
      </w:tabs>
      <w:suppressAutoHyphens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paragraph" w:styleId="2">
    <w:name w:val="heading 2"/>
    <w:basedOn w:val="a0"/>
    <w:next w:val="a0"/>
    <w:link w:val="20"/>
    <w:qFormat/>
    <w:rsid w:val="005B51B9"/>
    <w:pPr>
      <w:keepNext/>
      <w:keepLines/>
      <w:numPr>
        <w:ilvl w:val="1"/>
        <w:numId w:val="6"/>
      </w:numPr>
      <w:tabs>
        <w:tab w:val="left" w:pos="992"/>
      </w:tabs>
      <w:suppressAutoHyphens/>
      <w:spacing w:before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3">
    <w:name w:val="heading 3"/>
    <w:basedOn w:val="a"/>
    <w:next w:val="a0"/>
    <w:link w:val="30"/>
    <w:qFormat/>
    <w:rsid w:val="005B51B9"/>
    <w:pPr>
      <w:numPr>
        <w:ilvl w:val="2"/>
        <w:numId w:val="6"/>
      </w:numPr>
      <w:suppressAutoHyphens/>
      <w:spacing w:before="120" w:after="0" w:line="240" w:lineRule="auto"/>
      <w:outlineLvl w:val="2"/>
    </w:pPr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paragraph" w:styleId="4">
    <w:name w:val="heading 4"/>
    <w:basedOn w:val="a"/>
    <w:next w:val="a0"/>
    <w:link w:val="40"/>
    <w:qFormat/>
    <w:rsid w:val="005B51B9"/>
    <w:pPr>
      <w:keepNext/>
      <w:numPr>
        <w:ilvl w:val="3"/>
        <w:numId w:val="5"/>
      </w:numPr>
      <w:tabs>
        <w:tab w:val="left" w:pos="1418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5">
    <w:name w:val="heading 5"/>
    <w:basedOn w:val="a"/>
    <w:next w:val="a0"/>
    <w:link w:val="50"/>
    <w:qFormat/>
    <w:rsid w:val="005B51B9"/>
    <w:pPr>
      <w:numPr>
        <w:ilvl w:val="4"/>
        <w:numId w:val="5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6">
    <w:name w:val="heading 6"/>
    <w:basedOn w:val="a"/>
    <w:next w:val="a0"/>
    <w:link w:val="60"/>
    <w:qFormat/>
    <w:rsid w:val="005B51B9"/>
    <w:pPr>
      <w:numPr>
        <w:ilvl w:val="5"/>
        <w:numId w:val="5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7">
    <w:name w:val="heading 7"/>
    <w:basedOn w:val="a"/>
    <w:next w:val="a0"/>
    <w:link w:val="70"/>
    <w:qFormat/>
    <w:rsid w:val="005B51B9"/>
    <w:pPr>
      <w:numPr>
        <w:ilvl w:val="6"/>
        <w:numId w:val="5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8">
    <w:name w:val="heading 8"/>
    <w:basedOn w:val="a"/>
    <w:next w:val="a0"/>
    <w:link w:val="80"/>
    <w:qFormat/>
    <w:rsid w:val="005B51B9"/>
    <w:pPr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9">
    <w:name w:val="heading 9"/>
    <w:basedOn w:val="a"/>
    <w:next w:val="a0"/>
    <w:link w:val="90"/>
    <w:qFormat/>
    <w:rsid w:val="005B51B9"/>
    <w:pPr>
      <w:keepNext/>
      <w:numPr>
        <w:ilvl w:val="8"/>
        <w:numId w:val="5"/>
      </w:numPr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B48A1"/>
    <w:pPr>
      <w:ind w:left="720"/>
      <w:contextualSpacing/>
    </w:pPr>
  </w:style>
  <w:style w:type="paragraph" w:styleId="a5">
    <w:name w:val="No Spacing"/>
    <w:uiPriority w:val="1"/>
    <w:qFormat/>
    <w:rsid w:val="00534C6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1"/>
    <w:link w:val="1"/>
    <w:rsid w:val="005B51B9"/>
    <w:rPr>
      <w:rFonts w:ascii="Times New Roman" w:eastAsia="Times New Roman" w:hAnsi="Times New Roman" w:cs="Times New Roman"/>
      <w:b/>
      <w:caps/>
      <w:sz w:val="24"/>
      <w:szCs w:val="18"/>
      <w:lang w:val="uk-UA" w:eastAsia="ar-SA"/>
    </w:rPr>
  </w:style>
  <w:style w:type="character" w:customStyle="1" w:styleId="20">
    <w:name w:val="Заголовок 2 Знак"/>
    <w:basedOn w:val="a1"/>
    <w:link w:val="2"/>
    <w:rsid w:val="005B51B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30">
    <w:name w:val="Заголовок 3 Знак"/>
    <w:basedOn w:val="a1"/>
    <w:link w:val="3"/>
    <w:rsid w:val="005B51B9"/>
    <w:rPr>
      <w:rFonts w:ascii="Times New Roman" w:eastAsia="Times New Roman" w:hAnsi="Times New Roman" w:cs="Times New Roman"/>
      <w:sz w:val="24"/>
      <w:szCs w:val="18"/>
      <w:lang w:val="uk-UA" w:eastAsia="ar-SA"/>
    </w:rPr>
  </w:style>
  <w:style w:type="character" w:customStyle="1" w:styleId="40">
    <w:name w:val="Заголовок 4 Знак"/>
    <w:basedOn w:val="a1"/>
    <w:link w:val="4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50">
    <w:name w:val="Заголовок 5 Знак"/>
    <w:basedOn w:val="a1"/>
    <w:link w:val="5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60">
    <w:name w:val="Заголовок 6 Знак"/>
    <w:basedOn w:val="a1"/>
    <w:link w:val="6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70">
    <w:name w:val="Заголовок 7 Знак"/>
    <w:basedOn w:val="a1"/>
    <w:link w:val="7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80">
    <w:name w:val="Заголовок 8 Знак"/>
    <w:basedOn w:val="a1"/>
    <w:link w:val="8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90">
    <w:name w:val="Заголовок 9 Знак"/>
    <w:basedOn w:val="a1"/>
    <w:link w:val="9"/>
    <w:rsid w:val="005B51B9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0">
    <w:name w:val="Body Text"/>
    <w:basedOn w:val="a"/>
    <w:link w:val="a6"/>
    <w:uiPriority w:val="99"/>
    <w:unhideWhenUsed/>
    <w:rsid w:val="005B51B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5B51B9"/>
  </w:style>
  <w:style w:type="paragraph" w:customStyle="1" w:styleId="11">
    <w:name w:val="Стиль1"/>
    <w:basedOn w:val="a"/>
    <w:rsid w:val="007D52C0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uk-UA" w:eastAsia="ar-SA"/>
    </w:rPr>
  </w:style>
  <w:style w:type="paragraph" w:customStyle="1" w:styleId="Default">
    <w:name w:val="Default"/>
    <w:rsid w:val="00B56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3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B35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629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a7">
    <w:name w:val="header"/>
    <w:basedOn w:val="a"/>
    <w:link w:val="a8"/>
    <w:uiPriority w:val="99"/>
    <w:unhideWhenUsed/>
    <w:rsid w:val="007C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C28BF"/>
  </w:style>
  <w:style w:type="paragraph" w:styleId="a9">
    <w:name w:val="footer"/>
    <w:basedOn w:val="a"/>
    <w:link w:val="aa"/>
    <w:uiPriority w:val="99"/>
    <w:unhideWhenUsed/>
    <w:rsid w:val="007C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C28BF"/>
  </w:style>
  <w:style w:type="table" w:styleId="ab">
    <w:name w:val="Table Grid"/>
    <w:basedOn w:val="a2"/>
    <w:uiPriority w:val="39"/>
    <w:rsid w:val="001A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694DF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94DF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94DF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94DF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94DF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9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94DF3"/>
    <w:rPr>
      <w:rFonts w:ascii="Segoe UI" w:hAnsi="Segoe UI" w:cs="Segoe UI"/>
      <w:sz w:val="18"/>
      <w:szCs w:val="18"/>
    </w:rPr>
  </w:style>
  <w:style w:type="character" w:styleId="af3">
    <w:name w:val="Hyperlink"/>
    <w:basedOn w:val="a1"/>
    <w:uiPriority w:val="99"/>
    <w:semiHidden/>
    <w:unhideWhenUsed/>
    <w:rsid w:val="00CF40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u.edu.ua/wp-content/uploads/2020/09/Polozhennya-zarahuvannya-osvitnih-kompon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Арсентьєва Олена Сергіївна</cp:lastModifiedBy>
  <cp:revision>18</cp:revision>
  <dcterms:created xsi:type="dcterms:W3CDTF">2020-11-04T09:31:00Z</dcterms:created>
  <dcterms:modified xsi:type="dcterms:W3CDTF">2020-11-06T08:20:00Z</dcterms:modified>
</cp:coreProperties>
</file>