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5.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D05" w:rsidRDefault="000D1D05" w:rsidP="000D1D05">
      <w:pPr>
        <w:jc w:val="center"/>
        <w:rPr>
          <w:rFonts w:ascii="Times New Roman" w:hAnsi="Times New Roman"/>
          <w:sz w:val="28"/>
          <w:szCs w:val="28"/>
        </w:rPr>
      </w:pPr>
      <w:r w:rsidRPr="00837FDD">
        <w:rPr>
          <w:rFonts w:ascii="Times New Roman" w:hAnsi="Times New Roman"/>
          <w:sz w:val="28"/>
          <w:szCs w:val="28"/>
        </w:rPr>
        <w:t>ВСТУП</w:t>
      </w:r>
    </w:p>
    <w:p w:rsidR="00837FDD" w:rsidRDefault="00837FDD" w:rsidP="000D1D05">
      <w:pPr>
        <w:jc w:val="center"/>
        <w:rPr>
          <w:rFonts w:ascii="Times New Roman" w:hAnsi="Times New Roman"/>
          <w:sz w:val="28"/>
          <w:szCs w:val="28"/>
        </w:rPr>
      </w:pPr>
    </w:p>
    <w:p w:rsidR="00837FDD" w:rsidRPr="00837FDD" w:rsidRDefault="00837FDD" w:rsidP="000D1D05">
      <w:pPr>
        <w:jc w:val="center"/>
        <w:rPr>
          <w:rFonts w:ascii="Times New Roman" w:hAnsi="Times New Roman"/>
          <w:sz w:val="28"/>
          <w:szCs w:val="28"/>
        </w:rPr>
      </w:pPr>
    </w:p>
    <w:p w:rsidR="000D1D05" w:rsidRDefault="000D1D05" w:rsidP="000D1D05">
      <w:pPr>
        <w:spacing w:after="0" w:line="360" w:lineRule="auto"/>
        <w:ind w:firstLine="709"/>
        <w:jc w:val="both"/>
        <w:rPr>
          <w:rFonts w:ascii="Times New Roman" w:hAnsi="Times New Roman"/>
          <w:sz w:val="28"/>
          <w:szCs w:val="28"/>
        </w:rPr>
      </w:pPr>
      <w:r w:rsidRPr="00837FDD">
        <w:rPr>
          <w:rFonts w:ascii="Times New Roman" w:hAnsi="Times New Roman"/>
          <w:i/>
          <w:sz w:val="28"/>
          <w:szCs w:val="28"/>
        </w:rPr>
        <w:t>Актуальність теми дослідження</w:t>
      </w:r>
      <w:r>
        <w:rPr>
          <w:rFonts w:ascii="Times New Roman" w:hAnsi="Times New Roman"/>
          <w:b/>
          <w:sz w:val="28"/>
          <w:szCs w:val="28"/>
        </w:rPr>
        <w:t xml:space="preserve">. </w:t>
      </w:r>
      <w:r>
        <w:rPr>
          <w:rFonts w:ascii="Times New Roman" w:hAnsi="Times New Roman"/>
          <w:sz w:val="28"/>
          <w:szCs w:val="28"/>
        </w:rPr>
        <w:t>Активний процес</w:t>
      </w:r>
      <w:r>
        <w:rPr>
          <w:rFonts w:ascii="Times New Roman" w:hAnsi="Times New Roman"/>
          <w:b/>
          <w:sz w:val="28"/>
          <w:szCs w:val="28"/>
        </w:rPr>
        <w:t xml:space="preserve"> </w:t>
      </w:r>
      <w:r>
        <w:rPr>
          <w:rFonts w:ascii="Times New Roman" w:hAnsi="Times New Roman"/>
          <w:sz w:val="28"/>
          <w:szCs w:val="28"/>
        </w:rPr>
        <w:t xml:space="preserve">інтеграції України до міжнародного фінансового середовища актуалізував питання сталості та фінансової стабільності банківських установ. Гарантією забезпечення стійкості банку є не лише достатній рівень капіталу, а й достатній рівень ліквідності. Проте жорстка конкуренція; дефіцит банківських ресурсів; невизначеність, яка викликана системною фінансовою кризою; карантинні обмеження пандемії COVID-19; ескалація конфлікту на Сході, який переріс у повномасштабну війну </w:t>
      </w:r>
      <w:proofErr w:type="spellStart"/>
      <w:r>
        <w:rPr>
          <w:rFonts w:ascii="Times New Roman" w:hAnsi="Times New Roman"/>
          <w:sz w:val="28"/>
          <w:szCs w:val="28"/>
        </w:rPr>
        <w:t>росії</w:t>
      </w:r>
      <w:proofErr w:type="spellEnd"/>
      <w:r>
        <w:rPr>
          <w:rFonts w:ascii="Times New Roman" w:hAnsi="Times New Roman"/>
          <w:sz w:val="28"/>
          <w:szCs w:val="28"/>
        </w:rPr>
        <w:t xml:space="preserve"> проти України; загострили питання забезпечення ліквідності комерційних банків.</w:t>
      </w:r>
    </w:p>
    <w:p w:rsidR="000D1D05" w:rsidRDefault="000D1D05" w:rsidP="000D1D0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Проблеми із ліквідністю у комерційних банків почалися ще у 2014 році, що призвело до скорочення їх кількості більше ніж у два рази. Так станом на 2014 рік кількість діючих комерційних банків становила 180, а у 2021 – 71. Переважна більшість ліквідованих банків за цей період була визнана не ліквідними. Тому реформування системи банківського нагляду та запровадження нових пруденційних нормативів ліквідності для українських банків є нагальним та своєчасним. Забезпечення ліквідності, її оцінка та ефективне управління є запорукою стабільного функціонування та підвищення стійкості не лише окремого комерційного банку, а й банківської системи в цілому. </w:t>
      </w:r>
    </w:p>
    <w:p w:rsidR="000D1D05" w:rsidRDefault="000D1D05" w:rsidP="000D1D05">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чином, питання забезпечення ліквідності комерційного банку, її оцінки та удосконалення управління на сьогодні набувають нового якісного значення, є доволі </w:t>
      </w:r>
      <w:r w:rsidRPr="00837FDD">
        <w:rPr>
          <w:rFonts w:ascii="Times New Roman" w:hAnsi="Times New Roman"/>
          <w:i/>
          <w:sz w:val="28"/>
          <w:szCs w:val="28"/>
        </w:rPr>
        <w:t>актуальними</w:t>
      </w:r>
      <w:r>
        <w:rPr>
          <w:rFonts w:ascii="Times New Roman" w:hAnsi="Times New Roman"/>
          <w:sz w:val="28"/>
          <w:szCs w:val="28"/>
        </w:rPr>
        <w:t xml:space="preserve"> та потребують подальших досліджень з урахуванням сучасних умов.</w:t>
      </w:r>
    </w:p>
    <w:p w:rsidR="000D1D05" w:rsidRDefault="000D1D05" w:rsidP="000D1D05">
      <w:pPr>
        <w:spacing w:after="0" w:line="360" w:lineRule="auto"/>
        <w:ind w:firstLine="709"/>
        <w:jc w:val="both"/>
        <w:rPr>
          <w:rFonts w:ascii="Times New Roman" w:hAnsi="Times New Roman"/>
          <w:sz w:val="28"/>
          <w:szCs w:val="28"/>
        </w:rPr>
      </w:pPr>
      <w:r>
        <w:rPr>
          <w:rFonts w:ascii="Times New Roman" w:hAnsi="Times New Roman"/>
          <w:sz w:val="28"/>
          <w:szCs w:val="28"/>
        </w:rPr>
        <w:t>В сучасній науковій літературі існує багато досліджень щодо ліквідності комерційного банку, підходів до оцінки та методів її управління</w:t>
      </w:r>
      <w:r>
        <w:t xml:space="preserve"> </w:t>
      </w:r>
      <w:r>
        <w:rPr>
          <w:rFonts w:ascii="Times New Roman" w:hAnsi="Times New Roman"/>
          <w:sz w:val="28"/>
          <w:szCs w:val="28"/>
        </w:rPr>
        <w:t xml:space="preserve">Дослідження економічної сутності поняття «ліквідність» та її значення в діяльності комерційного банку відображено у працях таких видатних вчених, як: </w:t>
      </w:r>
      <w:proofErr w:type="spellStart"/>
      <w:r w:rsidRPr="008E78E8">
        <w:rPr>
          <w:rFonts w:ascii="Times New Roman" w:hAnsi="Times New Roman"/>
          <w:sz w:val="28"/>
          <w:szCs w:val="28"/>
        </w:rPr>
        <w:t>Крішталь</w:t>
      </w:r>
      <w:proofErr w:type="spellEnd"/>
      <w:r w:rsidRPr="008E78E8">
        <w:rPr>
          <w:rFonts w:ascii="Times New Roman" w:hAnsi="Times New Roman"/>
          <w:sz w:val="28"/>
          <w:szCs w:val="28"/>
        </w:rPr>
        <w:t xml:space="preserve"> Т. Е.</w:t>
      </w:r>
      <w:r w:rsidRPr="008E78E8">
        <w:t xml:space="preserve"> </w:t>
      </w:r>
      <w:r w:rsidRPr="008E78E8">
        <w:rPr>
          <w:rFonts w:ascii="Times New Roman" w:hAnsi="Times New Roman"/>
          <w:sz w:val="28"/>
          <w:szCs w:val="28"/>
        </w:rPr>
        <w:t>[</w:t>
      </w:r>
      <w:r w:rsidR="008E78E8" w:rsidRPr="008E78E8">
        <w:rPr>
          <w:rFonts w:ascii="Times New Roman" w:hAnsi="Times New Roman"/>
          <w:sz w:val="28"/>
          <w:szCs w:val="28"/>
        </w:rPr>
        <w:t>9</w:t>
      </w:r>
      <w:r w:rsidRPr="008E78E8">
        <w:rPr>
          <w:rFonts w:ascii="Times New Roman" w:hAnsi="Times New Roman"/>
          <w:sz w:val="28"/>
          <w:szCs w:val="28"/>
        </w:rPr>
        <w:t xml:space="preserve">], </w:t>
      </w:r>
      <w:proofErr w:type="spellStart"/>
      <w:r w:rsidRPr="008E78E8">
        <w:rPr>
          <w:rFonts w:ascii="Times New Roman" w:hAnsi="Times New Roman"/>
          <w:sz w:val="28"/>
          <w:szCs w:val="28"/>
        </w:rPr>
        <w:t>Лаврушина</w:t>
      </w:r>
      <w:proofErr w:type="spellEnd"/>
      <w:r w:rsidRPr="008E78E8">
        <w:rPr>
          <w:rFonts w:ascii="Times New Roman" w:hAnsi="Times New Roman"/>
          <w:sz w:val="28"/>
          <w:szCs w:val="28"/>
        </w:rPr>
        <w:t xml:space="preserve"> О. І. [</w:t>
      </w:r>
      <w:r w:rsidR="008E78E8" w:rsidRPr="008E78E8">
        <w:rPr>
          <w:rFonts w:ascii="Times New Roman" w:hAnsi="Times New Roman"/>
          <w:sz w:val="28"/>
          <w:szCs w:val="28"/>
        </w:rPr>
        <w:t>10</w:t>
      </w:r>
      <w:r w:rsidRPr="00CF6DAA">
        <w:rPr>
          <w:rFonts w:ascii="Times New Roman" w:hAnsi="Times New Roman"/>
          <w:sz w:val="28"/>
          <w:szCs w:val="28"/>
        </w:rPr>
        <w:t xml:space="preserve">], Ларіонова </w:t>
      </w:r>
      <w:r w:rsidR="00CF6DAA" w:rsidRPr="00CF6DAA">
        <w:rPr>
          <w:rFonts w:ascii="Times New Roman" w:hAnsi="Times New Roman"/>
          <w:sz w:val="28"/>
          <w:szCs w:val="28"/>
        </w:rPr>
        <w:t>К. Л</w:t>
      </w:r>
      <w:r w:rsidRPr="00CF6DAA">
        <w:rPr>
          <w:rFonts w:ascii="Times New Roman" w:hAnsi="Times New Roman"/>
          <w:sz w:val="28"/>
          <w:szCs w:val="28"/>
        </w:rPr>
        <w:t>. [</w:t>
      </w:r>
      <w:r w:rsidR="00CF6DAA" w:rsidRPr="00CF6DAA">
        <w:rPr>
          <w:rFonts w:ascii="Times New Roman" w:hAnsi="Times New Roman"/>
          <w:sz w:val="28"/>
          <w:szCs w:val="28"/>
        </w:rPr>
        <w:t>2</w:t>
      </w:r>
      <w:r w:rsidRPr="00CF6DAA">
        <w:rPr>
          <w:rFonts w:ascii="Times New Roman" w:hAnsi="Times New Roman"/>
          <w:sz w:val="28"/>
          <w:szCs w:val="28"/>
        </w:rPr>
        <w:t xml:space="preserve">9], </w:t>
      </w:r>
      <w:proofErr w:type="spellStart"/>
      <w:r w:rsidRPr="00CF6DAA">
        <w:rPr>
          <w:rFonts w:ascii="Times New Roman" w:hAnsi="Times New Roman"/>
          <w:sz w:val="28"/>
          <w:szCs w:val="28"/>
        </w:rPr>
        <w:t>Мочерний</w:t>
      </w:r>
      <w:proofErr w:type="spellEnd"/>
      <w:r w:rsidRPr="00CF6DAA">
        <w:rPr>
          <w:rFonts w:ascii="Times New Roman" w:hAnsi="Times New Roman"/>
          <w:sz w:val="28"/>
          <w:szCs w:val="28"/>
        </w:rPr>
        <w:t xml:space="preserve"> С. В</w:t>
      </w:r>
      <w:r w:rsidRPr="005F6599">
        <w:rPr>
          <w:rFonts w:ascii="Times New Roman" w:hAnsi="Times New Roman"/>
          <w:sz w:val="28"/>
          <w:szCs w:val="28"/>
        </w:rPr>
        <w:t>. [</w:t>
      </w:r>
      <w:r w:rsidR="00CF6DAA" w:rsidRPr="005F6599">
        <w:rPr>
          <w:rFonts w:ascii="Times New Roman" w:hAnsi="Times New Roman"/>
          <w:sz w:val="28"/>
          <w:szCs w:val="28"/>
        </w:rPr>
        <w:t>7</w:t>
      </w:r>
      <w:r w:rsidRPr="005F6599">
        <w:rPr>
          <w:rFonts w:ascii="Times New Roman" w:hAnsi="Times New Roman"/>
          <w:sz w:val="28"/>
          <w:szCs w:val="28"/>
        </w:rPr>
        <w:t>],</w:t>
      </w:r>
      <w:r w:rsidR="005F6599" w:rsidRPr="005F6599">
        <w:rPr>
          <w:rFonts w:ascii="Times New Roman" w:hAnsi="Times New Roman"/>
          <w:sz w:val="28"/>
          <w:szCs w:val="28"/>
        </w:rPr>
        <w:t xml:space="preserve"> Міщенко В. І. [8</w:t>
      </w:r>
      <w:r w:rsidRPr="005F6599">
        <w:rPr>
          <w:rFonts w:ascii="Times New Roman" w:hAnsi="Times New Roman"/>
          <w:sz w:val="28"/>
          <w:szCs w:val="28"/>
        </w:rPr>
        <w:t>], Панова Г. С.</w:t>
      </w:r>
      <w:r w:rsidRPr="005F6599">
        <w:t xml:space="preserve"> </w:t>
      </w:r>
      <w:r w:rsidRPr="005F6599">
        <w:rPr>
          <w:rFonts w:ascii="Times New Roman" w:hAnsi="Times New Roman"/>
          <w:sz w:val="28"/>
          <w:szCs w:val="28"/>
        </w:rPr>
        <w:t>[1</w:t>
      </w:r>
      <w:r w:rsidR="005F6599" w:rsidRPr="005F6599">
        <w:rPr>
          <w:rFonts w:ascii="Times New Roman" w:hAnsi="Times New Roman"/>
          <w:sz w:val="28"/>
          <w:szCs w:val="28"/>
        </w:rPr>
        <w:t>3</w:t>
      </w:r>
      <w:r w:rsidRPr="005F6599">
        <w:rPr>
          <w:rFonts w:ascii="Times New Roman" w:hAnsi="Times New Roman"/>
          <w:sz w:val="28"/>
          <w:szCs w:val="28"/>
        </w:rPr>
        <w:t xml:space="preserve">], </w:t>
      </w:r>
      <w:proofErr w:type="spellStart"/>
      <w:r w:rsidRPr="00146061">
        <w:rPr>
          <w:rFonts w:ascii="Times New Roman" w:hAnsi="Times New Roman"/>
          <w:sz w:val="28"/>
          <w:szCs w:val="28"/>
        </w:rPr>
        <w:t>Райзберг</w:t>
      </w:r>
      <w:proofErr w:type="spellEnd"/>
      <w:r w:rsidRPr="00146061">
        <w:rPr>
          <w:rFonts w:ascii="Times New Roman" w:hAnsi="Times New Roman"/>
          <w:sz w:val="28"/>
          <w:szCs w:val="28"/>
        </w:rPr>
        <w:t xml:space="preserve"> Б. А.</w:t>
      </w:r>
      <w:r w:rsidRPr="00146061">
        <w:t xml:space="preserve"> </w:t>
      </w:r>
      <w:r w:rsidRPr="00146061">
        <w:rPr>
          <w:rFonts w:ascii="Times New Roman" w:hAnsi="Times New Roman"/>
          <w:sz w:val="28"/>
          <w:szCs w:val="28"/>
        </w:rPr>
        <w:t>[1</w:t>
      </w:r>
      <w:r w:rsidR="005F6599" w:rsidRPr="00146061">
        <w:rPr>
          <w:rFonts w:ascii="Times New Roman" w:hAnsi="Times New Roman"/>
          <w:sz w:val="28"/>
          <w:szCs w:val="28"/>
        </w:rPr>
        <w:t>2</w:t>
      </w:r>
      <w:r w:rsidRPr="00146061">
        <w:rPr>
          <w:rFonts w:ascii="Times New Roman" w:hAnsi="Times New Roman"/>
          <w:sz w:val="28"/>
          <w:szCs w:val="28"/>
        </w:rPr>
        <w:t>], Сомик А. В.</w:t>
      </w:r>
      <w:r w:rsidRPr="00146061">
        <w:t xml:space="preserve"> </w:t>
      </w:r>
      <w:r w:rsidRPr="00146061">
        <w:rPr>
          <w:rFonts w:ascii="Times New Roman" w:hAnsi="Times New Roman"/>
          <w:sz w:val="28"/>
          <w:szCs w:val="28"/>
        </w:rPr>
        <w:t>[</w:t>
      </w:r>
      <w:r w:rsidR="00146061" w:rsidRPr="00146061">
        <w:rPr>
          <w:rFonts w:ascii="Times New Roman" w:hAnsi="Times New Roman"/>
          <w:sz w:val="28"/>
          <w:szCs w:val="28"/>
        </w:rPr>
        <w:t>8</w:t>
      </w:r>
      <w:r w:rsidRPr="00146061">
        <w:rPr>
          <w:rFonts w:ascii="Times New Roman" w:hAnsi="Times New Roman"/>
          <w:sz w:val="28"/>
          <w:szCs w:val="28"/>
        </w:rPr>
        <w:t xml:space="preserve">], </w:t>
      </w:r>
      <w:proofErr w:type="spellStart"/>
      <w:r w:rsidRPr="00146061">
        <w:rPr>
          <w:rFonts w:ascii="Times New Roman" w:hAnsi="Times New Roman"/>
          <w:sz w:val="28"/>
          <w:szCs w:val="28"/>
        </w:rPr>
        <w:t>Стародубцева</w:t>
      </w:r>
      <w:proofErr w:type="spellEnd"/>
      <w:r w:rsidRPr="00146061">
        <w:rPr>
          <w:rFonts w:ascii="Times New Roman" w:hAnsi="Times New Roman"/>
          <w:sz w:val="28"/>
          <w:szCs w:val="28"/>
        </w:rPr>
        <w:t xml:space="preserve"> Е. </w:t>
      </w:r>
      <w:r w:rsidRPr="00146061">
        <w:rPr>
          <w:rFonts w:ascii="Times New Roman" w:hAnsi="Times New Roman"/>
          <w:sz w:val="28"/>
          <w:szCs w:val="28"/>
        </w:rPr>
        <w:lastRenderedPageBreak/>
        <w:t>С.</w:t>
      </w:r>
      <w:r w:rsidRPr="00146061">
        <w:t xml:space="preserve"> </w:t>
      </w:r>
      <w:r w:rsidRPr="00146061">
        <w:rPr>
          <w:rFonts w:ascii="Times New Roman" w:hAnsi="Times New Roman"/>
          <w:sz w:val="28"/>
          <w:szCs w:val="28"/>
        </w:rPr>
        <w:t>[1</w:t>
      </w:r>
      <w:r w:rsidR="00146061" w:rsidRPr="00146061">
        <w:rPr>
          <w:rFonts w:ascii="Times New Roman" w:hAnsi="Times New Roman"/>
          <w:sz w:val="28"/>
          <w:szCs w:val="28"/>
        </w:rPr>
        <w:t>2</w:t>
      </w:r>
      <w:r w:rsidRPr="00146061">
        <w:rPr>
          <w:rFonts w:ascii="Times New Roman" w:hAnsi="Times New Roman"/>
          <w:sz w:val="28"/>
          <w:szCs w:val="28"/>
        </w:rPr>
        <w:t xml:space="preserve">] та інші. </w:t>
      </w:r>
      <w:r w:rsidRPr="00E82C08">
        <w:rPr>
          <w:rFonts w:ascii="Times New Roman" w:hAnsi="Times New Roman"/>
          <w:sz w:val="28"/>
          <w:szCs w:val="28"/>
        </w:rPr>
        <w:t xml:space="preserve">Вагомий внесок у дослідження проблемних аспектів ліквідності комерційного банку та банківської системи зробили наступні вітчизняні науковці: </w:t>
      </w:r>
      <w:proofErr w:type="spellStart"/>
      <w:r w:rsidRPr="00E82C08">
        <w:rPr>
          <w:rFonts w:ascii="Times New Roman" w:hAnsi="Times New Roman"/>
          <w:sz w:val="28"/>
          <w:szCs w:val="28"/>
        </w:rPr>
        <w:t>Дзюблюк</w:t>
      </w:r>
      <w:proofErr w:type="spellEnd"/>
      <w:r w:rsidRPr="00E82C08">
        <w:rPr>
          <w:rFonts w:ascii="Times New Roman" w:hAnsi="Times New Roman"/>
          <w:sz w:val="28"/>
          <w:szCs w:val="28"/>
        </w:rPr>
        <w:t xml:space="preserve"> О. В.</w:t>
      </w:r>
      <w:r w:rsidRPr="00E82C08">
        <w:t xml:space="preserve"> </w:t>
      </w:r>
      <w:r w:rsidR="00E82C08" w:rsidRPr="00E82C08">
        <w:rPr>
          <w:rFonts w:ascii="Times New Roman" w:hAnsi="Times New Roman"/>
          <w:sz w:val="28"/>
          <w:szCs w:val="28"/>
        </w:rPr>
        <w:t>[2</w:t>
      </w:r>
      <w:r w:rsidRPr="00E82C08">
        <w:rPr>
          <w:rFonts w:ascii="Times New Roman" w:hAnsi="Times New Roman"/>
          <w:sz w:val="28"/>
          <w:szCs w:val="28"/>
        </w:rPr>
        <w:t xml:space="preserve">], </w:t>
      </w:r>
      <w:proofErr w:type="spellStart"/>
      <w:r w:rsidRPr="00774295">
        <w:rPr>
          <w:rFonts w:ascii="Times New Roman" w:hAnsi="Times New Roman"/>
          <w:sz w:val="28"/>
          <w:szCs w:val="28"/>
        </w:rPr>
        <w:t>Васюренко</w:t>
      </w:r>
      <w:proofErr w:type="spellEnd"/>
      <w:r w:rsidRPr="00774295">
        <w:rPr>
          <w:rFonts w:ascii="Times New Roman" w:hAnsi="Times New Roman"/>
          <w:sz w:val="28"/>
          <w:szCs w:val="28"/>
        </w:rPr>
        <w:t xml:space="preserve"> О. В., Волошин Г.Т., </w:t>
      </w:r>
      <w:proofErr w:type="spellStart"/>
      <w:r w:rsidRPr="00774295">
        <w:rPr>
          <w:rFonts w:ascii="Times New Roman" w:hAnsi="Times New Roman"/>
          <w:sz w:val="28"/>
          <w:szCs w:val="28"/>
        </w:rPr>
        <w:t>Єпіфанов</w:t>
      </w:r>
      <w:proofErr w:type="spellEnd"/>
      <w:r w:rsidRPr="00774295">
        <w:rPr>
          <w:rFonts w:ascii="Times New Roman" w:hAnsi="Times New Roman"/>
          <w:sz w:val="28"/>
          <w:szCs w:val="28"/>
        </w:rPr>
        <w:t xml:space="preserve"> А. О.</w:t>
      </w:r>
      <w:r w:rsidRPr="00774295">
        <w:t xml:space="preserve"> </w:t>
      </w:r>
      <w:r w:rsidRPr="00774295">
        <w:rPr>
          <w:rFonts w:ascii="Times New Roman" w:hAnsi="Times New Roman"/>
          <w:sz w:val="28"/>
          <w:szCs w:val="28"/>
        </w:rPr>
        <w:t>[</w:t>
      </w:r>
      <w:r w:rsidR="00774295" w:rsidRPr="00774295">
        <w:rPr>
          <w:rFonts w:ascii="Times New Roman" w:hAnsi="Times New Roman"/>
          <w:sz w:val="28"/>
          <w:szCs w:val="28"/>
        </w:rPr>
        <w:t>40; 66</w:t>
      </w:r>
      <w:r w:rsidRPr="00774295">
        <w:rPr>
          <w:rFonts w:ascii="Times New Roman" w:hAnsi="Times New Roman"/>
          <w:sz w:val="28"/>
          <w:szCs w:val="28"/>
        </w:rPr>
        <w:t xml:space="preserve">], </w:t>
      </w:r>
      <w:r w:rsidRPr="000001A7">
        <w:rPr>
          <w:rFonts w:ascii="Times New Roman" w:hAnsi="Times New Roman"/>
          <w:sz w:val="28"/>
          <w:szCs w:val="28"/>
        </w:rPr>
        <w:t>Івасів І. Б.</w:t>
      </w:r>
      <w:r w:rsidRPr="000001A7">
        <w:t xml:space="preserve"> </w:t>
      </w:r>
      <w:r w:rsidRPr="000001A7">
        <w:rPr>
          <w:rFonts w:ascii="Times New Roman" w:hAnsi="Times New Roman"/>
          <w:sz w:val="28"/>
          <w:szCs w:val="28"/>
        </w:rPr>
        <w:t>[</w:t>
      </w:r>
      <w:r w:rsidR="000001A7" w:rsidRPr="000001A7">
        <w:rPr>
          <w:rFonts w:ascii="Times New Roman" w:hAnsi="Times New Roman"/>
          <w:sz w:val="28"/>
          <w:szCs w:val="28"/>
        </w:rPr>
        <w:t>80</w:t>
      </w:r>
      <w:r w:rsidRPr="000001A7">
        <w:rPr>
          <w:rFonts w:ascii="Times New Roman" w:hAnsi="Times New Roman"/>
          <w:sz w:val="28"/>
          <w:szCs w:val="28"/>
        </w:rPr>
        <w:t xml:space="preserve">], </w:t>
      </w:r>
      <w:proofErr w:type="spellStart"/>
      <w:r w:rsidRPr="004B228A">
        <w:rPr>
          <w:rFonts w:ascii="Times New Roman" w:hAnsi="Times New Roman"/>
          <w:sz w:val="28"/>
          <w:szCs w:val="28"/>
        </w:rPr>
        <w:t>Мещеряков</w:t>
      </w:r>
      <w:proofErr w:type="spellEnd"/>
      <w:r w:rsidRPr="004B228A">
        <w:rPr>
          <w:rFonts w:ascii="Times New Roman" w:hAnsi="Times New Roman"/>
          <w:sz w:val="28"/>
          <w:szCs w:val="28"/>
        </w:rPr>
        <w:t xml:space="preserve"> А. А., Сало І. В., </w:t>
      </w:r>
      <w:proofErr w:type="spellStart"/>
      <w:r w:rsidRPr="004B228A">
        <w:rPr>
          <w:rFonts w:ascii="Times New Roman" w:hAnsi="Times New Roman"/>
          <w:sz w:val="28"/>
          <w:szCs w:val="28"/>
        </w:rPr>
        <w:t>Рудан</w:t>
      </w:r>
      <w:proofErr w:type="spellEnd"/>
      <w:r w:rsidRPr="004B228A">
        <w:rPr>
          <w:rFonts w:ascii="Times New Roman" w:hAnsi="Times New Roman"/>
          <w:sz w:val="28"/>
          <w:szCs w:val="28"/>
        </w:rPr>
        <w:t xml:space="preserve"> В. Я.</w:t>
      </w:r>
      <w:r w:rsidRPr="004B228A">
        <w:t xml:space="preserve"> </w:t>
      </w:r>
      <w:r w:rsidRPr="004B228A">
        <w:rPr>
          <w:rFonts w:ascii="Times New Roman" w:hAnsi="Times New Roman"/>
          <w:sz w:val="28"/>
          <w:szCs w:val="28"/>
        </w:rPr>
        <w:t xml:space="preserve">[2] та інші. </w:t>
      </w:r>
      <w:r w:rsidRPr="002E6691">
        <w:rPr>
          <w:rFonts w:ascii="Times New Roman" w:hAnsi="Times New Roman"/>
          <w:sz w:val="28"/>
          <w:szCs w:val="28"/>
        </w:rPr>
        <w:t>Управлінню ліквідністю банку та банківської системи присвячені роботи Волкова В. В.</w:t>
      </w:r>
      <w:r w:rsidRPr="002E6691">
        <w:t xml:space="preserve"> </w:t>
      </w:r>
      <w:r w:rsidRPr="002E6691">
        <w:rPr>
          <w:rFonts w:ascii="Times New Roman" w:hAnsi="Times New Roman"/>
          <w:sz w:val="28"/>
          <w:szCs w:val="28"/>
        </w:rPr>
        <w:t>[</w:t>
      </w:r>
      <w:r w:rsidR="002E6691" w:rsidRPr="002E6691">
        <w:rPr>
          <w:rFonts w:ascii="Times New Roman" w:hAnsi="Times New Roman"/>
          <w:sz w:val="28"/>
          <w:szCs w:val="28"/>
        </w:rPr>
        <w:t>70</w:t>
      </w:r>
      <w:r w:rsidRPr="002E6691">
        <w:rPr>
          <w:rFonts w:ascii="Times New Roman" w:hAnsi="Times New Roman"/>
          <w:sz w:val="28"/>
          <w:szCs w:val="28"/>
        </w:rPr>
        <w:t>], Гірняк В. В.</w:t>
      </w:r>
      <w:r w:rsidRPr="002E6691">
        <w:t xml:space="preserve"> </w:t>
      </w:r>
      <w:r w:rsidRPr="002E6691">
        <w:rPr>
          <w:rFonts w:ascii="Times New Roman" w:hAnsi="Times New Roman"/>
          <w:sz w:val="28"/>
          <w:szCs w:val="28"/>
        </w:rPr>
        <w:t>[</w:t>
      </w:r>
      <w:r w:rsidR="002E6691" w:rsidRPr="002E6691">
        <w:rPr>
          <w:rFonts w:ascii="Times New Roman" w:hAnsi="Times New Roman"/>
          <w:sz w:val="28"/>
          <w:szCs w:val="28"/>
        </w:rPr>
        <w:t>74</w:t>
      </w:r>
      <w:r w:rsidRPr="002E6691">
        <w:rPr>
          <w:rFonts w:ascii="Times New Roman" w:hAnsi="Times New Roman"/>
          <w:sz w:val="28"/>
          <w:szCs w:val="28"/>
        </w:rPr>
        <w:t>], Донченко Т. В.</w:t>
      </w:r>
      <w:r w:rsidRPr="002E6691">
        <w:t xml:space="preserve"> </w:t>
      </w:r>
      <w:r w:rsidRPr="002E6691">
        <w:rPr>
          <w:rFonts w:ascii="Times New Roman" w:hAnsi="Times New Roman"/>
          <w:sz w:val="28"/>
          <w:szCs w:val="28"/>
        </w:rPr>
        <w:t>[2</w:t>
      </w:r>
      <w:r w:rsidR="002E6691" w:rsidRPr="002E6691">
        <w:rPr>
          <w:rFonts w:ascii="Times New Roman" w:hAnsi="Times New Roman"/>
          <w:sz w:val="28"/>
          <w:szCs w:val="28"/>
        </w:rPr>
        <w:t>9</w:t>
      </w:r>
      <w:r w:rsidRPr="002E6691">
        <w:rPr>
          <w:rFonts w:ascii="Times New Roman" w:hAnsi="Times New Roman"/>
          <w:sz w:val="28"/>
          <w:szCs w:val="28"/>
        </w:rPr>
        <w:t xml:space="preserve">], </w:t>
      </w:r>
      <w:proofErr w:type="spellStart"/>
      <w:r w:rsidRPr="002E6691">
        <w:rPr>
          <w:rFonts w:ascii="Times New Roman" w:hAnsi="Times New Roman"/>
          <w:sz w:val="28"/>
          <w:szCs w:val="28"/>
        </w:rPr>
        <w:t>Жданова</w:t>
      </w:r>
      <w:proofErr w:type="spellEnd"/>
      <w:r w:rsidRPr="002E6691">
        <w:rPr>
          <w:rFonts w:ascii="Times New Roman" w:hAnsi="Times New Roman"/>
          <w:sz w:val="28"/>
          <w:szCs w:val="28"/>
        </w:rPr>
        <w:t xml:space="preserve"> В. І., </w:t>
      </w:r>
      <w:proofErr w:type="spellStart"/>
      <w:r w:rsidRPr="002E6691">
        <w:rPr>
          <w:rFonts w:ascii="Times New Roman" w:hAnsi="Times New Roman"/>
          <w:sz w:val="28"/>
          <w:szCs w:val="28"/>
        </w:rPr>
        <w:t>Костирко</w:t>
      </w:r>
      <w:proofErr w:type="spellEnd"/>
      <w:r w:rsidRPr="002E6691">
        <w:rPr>
          <w:rFonts w:ascii="Times New Roman" w:hAnsi="Times New Roman"/>
          <w:sz w:val="28"/>
          <w:szCs w:val="28"/>
        </w:rPr>
        <w:t xml:space="preserve"> Л. А., Костюк О. В., Лис І. М.</w:t>
      </w:r>
      <w:r w:rsidRPr="002E6691">
        <w:t xml:space="preserve"> </w:t>
      </w:r>
      <w:r w:rsidRPr="002E6691">
        <w:rPr>
          <w:rFonts w:ascii="Times New Roman" w:hAnsi="Times New Roman"/>
          <w:sz w:val="28"/>
          <w:szCs w:val="28"/>
        </w:rPr>
        <w:t xml:space="preserve">[4], </w:t>
      </w:r>
      <w:proofErr w:type="spellStart"/>
      <w:r w:rsidRPr="002E6691">
        <w:rPr>
          <w:rFonts w:ascii="Times New Roman" w:hAnsi="Times New Roman"/>
          <w:sz w:val="28"/>
          <w:szCs w:val="28"/>
        </w:rPr>
        <w:t>Путьківський</w:t>
      </w:r>
      <w:proofErr w:type="spellEnd"/>
      <w:r w:rsidRPr="002E6691">
        <w:rPr>
          <w:rFonts w:ascii="Times New Roman" w:hAnsi="Times New Roman"/>
          <w:sz w:val="28"/>
          <w:szCs w:val="28"/>
        </w:rPr>
        <w:t xml:space="preserve"> Т. А. [</w:t>
      </w:r>
      <w:r w:rsidR="002E6691" w:rsidRPr="002E6691">
        <w:rPr>
          <w:rFonts w:ascii="Times New Roman" w:hAnsi="Times New Roman"/>
          <w:sz w:val="28"/>
          <w:szCs w:val="28"/>
        </w:rPr>
        <w:t>74</w:t>
      </w:r>
      <w:r w:rsidRPr="002E6691">
        <w:rPr>
          <w:rFonts w:ascii="Times New Roman" w:hAnsi="Times New Roman"/>
          <w:sz w:val="28"/>
          <w:szCs w:val="28"/>
        </w:rPr>
        <w:t xml:space="preserve">], </w:t>
      </w:r>
      <w:r w:rsidR="005E7DA6" w:rsidRPr="002E6691">
        <w:rPr>
          <w:rFonts w:ascii="Times New Roman" w:hAnsi="Times New Roman"/>
          <w:sz w:val="28"/>
          <w:szCs w:val="28"/>
        </w:rPr>
        <w:t>Панова Г. С.</w:t>
      </w:r>
      <w:r w:rsidR="005E7DA6" w:rsidRPr="002E6691">
        <w:t xml:space="preserve"> </w:t>
      </w:r>
      <w:r w:rsidR="005E7DA6" w:rsidRPr="002E6691">
        <w:rPr>
          <w:rFonts w:ascii="Times New Roman" w:hAnsi="Times New Roman"/>
          <w:sz w:val="28"/>
          <w:szCs w:val="28"/>
        </w:rPr>
        <w:t>[13],</w:t>
      </w:r>
      <w:r w:rsidR="005E7DA6">
        <w:rPr>
          <w:rFonts w:ascii="Times New Roman" w:hAnsi="Times New Roman"/>
          <w:sz w:val="28"/>
          <w:szCs w:val="28"/>
        </w:rPr>
        <w:t xml:space="preserve"> </w:t>
      </w:r>
      <w:proofErr w:type="spellStart"/>
      <w:r w:rsidRPr="002E6691">
        <w:rPr>
          <w:rFonts w:ascii="Times New Roman" w:hAnsi="Times New Roman"/>
          <w:sz w:val="28"/>
          <w:szCs w:val="28"/>
        </w:rPr>
        <w:t>Руденок</w:t>
      </w:r>
      <w:proofErr w:type="spellEnd"/>
      <w:r w:rsidRPr="002E6691">
        <w:rPr>
          <w:rFonts w:ascii="Times New Roman" w:hAnsi="Times New Roman"/>
          <w:sz w:val="28"/>
          <w:szCs w:val="28"/>
        </w:rPr>
        <w:t xml:space="preserve"> О. О.</w:t>
      </w:r>
      <w:r w:rsidRPr="002E6691">
        <w:t xml:space="preserve"> </w:t>
      </w:r>
      <w:r w:rsidRPr="002E6691">
        <w:rPr>
          <w:rFonts w:ascii="Times New Roman" w:hAnsi="Times New Roman"/>
          <w:sz w:val="28"/>
          <w:szCs w:val="28"/>
        </w:rPr>
        <w:t>[</w:t>
      </w:r>
      <w:r w:rsidR="002E6691" w:rsidRPr="002E6691">
        <w:rPr>
          <w:rFonts w:ascii="Times New Roman" w:hAnsi="Times New Roman"/>
          <w:sz w:val="28"/>
          <w:szCs w:val="28"/>
        </w:rPr>
        <w:t>79</w:t>
      </w:r>
      <w:r w:rsidRPr="002E6691">
        <w:rPr>
          <w:rFonts w:ascii="Times New Roman" w:hAnsi="Times New Roman"/>
          <w:sz w:val="28"/>
          <w:szCs w:val="28"/>
        </w:rPr>
        <w:t>],</w:t>
      </w:r>
      <w:r w:rsidRPr="002E6691">
        <w:t xml:space="preserve"> </w:t>
      </w:r>
      <w:proofErr w:type="spellStart"/>
      <w:r w:rsidRPr="002E6691">
        <w:rPr>
          <w:rFonts w:ascii="Times New Roman" w:hAnsi="Times New Roman"/>
          <w:sz w:val="28"/>
          <w:szCs w:val="28"/>
        </w:rPr>
        <w:t>Серпенінова</w:t>
      </w:r>
      <w:proofErr w:type="spellEnd"/>
      <w:r w:rsidRPr="002E6691">
        <w:rPr>
          <w:rFonts w:ascii="Times New Roman" w:hAnsi="Times New Roman"/>
          <w:sz w:val="28"/>
          <w:szCs w:val="28"/>
        </w:rPr>
        <w:t xml:space="preserve"> Ю. С.</w:t>
      </w:r>
      <w:r w:rsidRPr="002E6691">
        <w:t xml:space="preserve"> </w:t>
      </w:r>
      <w:r w:rsidRPr="002E6691">
        <w:rPr>
          <w:rFonts w:ascii="Times New Roman" w:hAnsi="Times New Roman"/>
          <w:sz w:val="28"/>
          <w:szCs w:val="28"/>
        </w:rPr>
        <w:t>[</w:t>
      </w:r>
      <w:r w:rsidR="002E6691" w:rsidRPr="00C8468C">
        <w:rPr>
          <w:rFonts w:ascii="Times New Roman" w:hAnsi="Times New Roman"/>
          <w:sz w:val="28"/>
          <w:szCs w:val="28"/>
        </w:rPr>
        <w:t>49</w:t>
      </w:r>
      <w:r w:rsidRPr="00C8468C">
        <w:rPr>
          <w:rFonts w:ascii="Times New Roman" w:hAnsi="Times New Roman"/>
          <w:sz w:val="28"/>
          <w:szCs w:val="28"/>
        </w:rPr>
        <w:t xml:space="preserve">], </w:t>
      </w:r>
      <w:proofErr w:type="spellStart"/>
      <w:r w:rsidRPr="00C8468C">
        <w:rPr>
          <w:rFonts w:ascii="Times New Roman" w:hAnsi="Times New Roman"/>
          <w:sz w:val="28"/>
          <w:szCs w:val="28"/>
        </w:rPr>
        <w:t>Федишин</w:t>
      </w:r>
      <w:proofErr w:type="spellEnd"/>
      <w:r w:rsidRPr="00C8468C">
        <w:rPr>
          <w:rFonts w:ascii="Times New Roman" w:hAnsi="Times New Roman"/>
          <w:sz w:val="28"/>
          <w:szCs w:val="28"/>
        </w:rPr>
        <w:t xml:space="preserve"> М. П.</w:t>
      </w:r>
      <w:r w:rsidRPr="00C8468C">
        <w:t xml:space="preserve"> </w:t>
      </w:r>
      <w:r w:rsidRPr="00C8468C">
        <w:rPr>
          <w:rFonts w:ascii="Times New Roman" w:hAnsi="Times New Roman"/>
          <w:sz w:val="28"/>
          <w:szCs w:val="28"/>
        </w:rPr>
        <w:t>[</w:t>
      </w:r>
      <w:r w:rsidR="00C8468C" w:rsidRPr="00C8468C">
        <w:rPr>
          <w:rFonts w:ascii="Times New Roman" w:hAnsi="Times New Roman"/>
          <w:sz w:val="28"/>
          <w:szCs w:val="28"/>
        </w:rPr>
        <w:t>67</w:t>
      </w:r>
      <w:r w:rsidRPr="00C8468C">
        <w:rPr>
          <w:rFonts w:ascii="Times New Roman" w:hAnsi="Times New Roman"/>
          <w:sz w:val="28"/>
          <w:szCs w:val="28"/>
        </w:rPr>
        <w:t>] та інші.</w:t>
      </w:r>
      <w:r>
        <w:rPr>
          <w:rFonts w:ascii="Times New Roman" w:hAnsi="Times New Roman"/>
          <w:sz w:val="28"/>
          <w:szCs w:val="28"/>
        </w:rPr>
        <w:t xml:space="preserve"> Високо оцінюючи наявні наукові здобутки все одно залишаються недостатньо висвітленими питання щодо комплексної оцінки та сучасного інструментарію управління ліквідністю комерційного банку в умовах системної фінансової кризи та реформування системи банківського нагляду, що зумовлює необхідність проведення подальших досліджень.</w:t>
      </w:r>
    </w:p>
    <w:p w:rsidR="000D1D05" w:rsidRDefault="000D1D05" w:rsidP="000D1D05">
      <w:pPr>
        <w:spacing w:after="0" w:line="360" w:lineRule="auto"/>
        <w:ind w:firstLine="709"/>
        <w:jc w:val="both"/>
        <w:rPr>
          <w:rFonts w:ascii="Times New Roman" w:hAnsi="Times New Roman"/>
          <w:sz w:val="28"/>
          <w:szCs w:val="28"/>
        </w:rPr>
      </w:pPr>
      <w:r w:rsidRPr="00837FDD">
        <w:rPr>
          <w:rFonts w:ascii="Times New Roman" w:hAnsi="Times New Roman"/>
          <w:i/>
          <w:sz w:val="28"/>
          <w:szCs w:val="28"/>
        </w:rPr>
        <w:t>Метою</w:t>
      </w:r>
      <w:r>
        <w:rPr>
          <w:rFonts w:ascii="Times New Roman" w:hAnsi="Times New Roman"/>
          <w:sz w:val="28"/>
          <w:szCs w:val="28"/>
        </w:rPr>
        <w:t xml:space="preserve"> роботи є всебічне розкриття поняття «ліквідність комерційного банку», комплексної оцінки та дослідження особливостей управління ліквідністю комерційного банку в умовах системної фінансової кризи та реформування системи банківського нагляду на прикладі АТ «Ідея Банк».</w:t>
      </w:r>
    </w:p>
    <w:p w:rsidR="000D1D05" w:rsidRDefault="000D1D05" w:rsidP="000D1D05">
      <w:pPr>
        <w:spacing w:after="0" w:line="360" w:lineRule="auto"/>
        <w:ind w:firstLine="709"/>
        <w:jc w:val="both"/>
        <w:rPr>
          <w:rFonts w:ascii="Times New Roman" w:hAnsi="Times New Roman"/>
          <w:sz w:val="28"/>
          <w:szCs w:val="28"/>
        </w:rPr>
      </w:pPr>
      <w:r w:rsidRPr="00837FDD">
        <w:rPr>
          <w:rFonts w:ascii="Times New Roman" w:hAnsi="Times New Roman"/>
          <w:i/>
          <w:sz w:val="28"/>
          <w:szCs w:val="28"/>
        </w:rPr>
        <w:t>Об’єктом</w:t>
      </w:r>
      <w:r>
        <w:rPr>
          <w:rFonts w:ascii="Times New Roman" w:hAnsi="Times New Roman"/>
          <w:sz w:val="28"/>
          <w:szCs w:val="28"/>
        </w:rPr>
        <w:t xml:space="preserve"> дослідження є економічні відносини, які виникають в процесі оцінки та управління ліквідності комерційного банку. </w:t>
      </w:r>
    </w:p>
    <w:p w:rsidR="000D1D05" w:rsidRDefault="000D1D05" w:rsidP="000D1D05">
      <w:pPr>
        <w:spacing w:after="0" w:line="360" w:lineRule="auto"/>
        <w:ind w:firstLine="709"/>
        <w:jc w:val="both"/>
        <w:rPr>
          <w:rFonts w:ascii="Times New Roman" w:hAnsi="Times New Roman"/>
          <w:sz w:val="28"/>
          <w:szCs w:val="28"/>
        </w:rPr>
      </w:pPr>
      <w:r w:rsidRPr="00837FDD">
        <w:rPr>
          <w:rFonts w:ascii="Times New Roman" w:hAnsi="Times New Roman"/>
          <w:i/>
          <w:sz w:val="28"/>
          <w:szCs w:val="28"/>
        </w:rPr>
        <w:t xml:space="preserve">Предметом </w:t>
      </w:r>
      <w:r>
        <w:rPr>
          <w:rFonts w:ascii="Times New Roman" w:hAnsi="Times New Roman"/>
          <w:sz w:val="28"/>
          <w:szCs w:val="28"/>
        </w:rPr>
        <w:t>дослідження є ліквідність комерційного банку, процес її комплексної оцінки та особливості управління нею в умовах системної фінансової кризи і реформування системи банківського нагляду.</w:t>
      </w:r>
    </w:p>
    <w:p w:rsidR="000D1D05" w:rsidRDefault="000D1D05" w:rsidP="000D1D05">
      <w:pPr>
        <w:spacing w:after="0" w:line="360" w:lineRule="auto"/>
        <w:ind w:firstLine="709"/>
        <w:jc w:val="both"/>
        <w:rPr>
          <w:rFonts w:ascii="Times New Roman" w:hAnsi="Times New Roman"/>
          <w:b/>
          <w:sz w:val="28"/>
          <w:szCs w:val="28"/>
        </w:rPr>
      </w:pPr>
      <w:r>
        <w:rPr>
          <w:rFonts w:ascii="Times New Roman" w:hAnsi="Times New Roman"/>
          <w:sz w:val="28"/>
          <w:szCs w:val="28"/>
        </w:rPr>
        <w:t xml:space="preserve">Задля досягнення поставленої мети необхідно вирішити наступні </w:t>
      </w:r>
      <w:r w:rsidRPr="00C726E8">
        <w:rPr>
          <w:rFonts w:ascii="Times New Roman" w:hAnsi="Times New Roman"/>
          <w:i/>
          <w:sz w:val="28"/>
          <w:szCs w:val="28"/>
        </w:rPr>
        <w:t>завдань:</w:t>
      </w:r>
    </w:p>
    <w:p w:rsidR="000D1D05" w:rsidRDefault="000D1D05" w:rsidP="000D1D05">
      <w:pPr>
        <w:spacing w:after="0" w:line="360" w:lineRule="auto"/>
        <w:ind w:firstLine="709"/>
        <w:jc w:val="both"/>
        <w:rPr>
          <w:rFonts w:ascii="Times New Roman" w:hAnsi="Times New Roman"/>
          <w:sz w:val="28"/>
          <w:szCs w:val="28"/>
        </w:rPr>
      </w:pPr>
      <w:r>
        <w:rPr>
          <w:rFonts w:ascii="Times New Roman" w:hAnsi="Times New Roman"/>
          <w:sz w:val="28"/>
          <w:szCs w:val="28"/>
        </w:rPr>
        <w:t>- визначити економічну сутність поняття «ліквідність» та встановити її значення в діяльності комерційного банку;</w:t>
      </w:r>
    </w:p>
    <w:p w:rsidR="000D1D05" w:rsidRDefault="000D1D05" w:rsidP="000D1D05">
      <w:pPr>
        <w:spacing w:after="0" w:line="360" w:lineRule="auto"/>
        <w:ind w:firstLine="709"/>
        <w:jc w:val="both"/>
        <w:rPr>
          <w:rFonts w:ascii="Times New Roman" w:hAnsi="Times New Roman"/>
          <w:sz w:val="28"/>
          <w:szCs w:val="28"/>
        </w:rPr>
      </w:pPr>
      <w:r>
        <w:rPr>
          <w:rFonts w:ascii="Times New Roman" w:hAnsi="Times New Roman"/>
          <w:sz w:val="28"/>
          <w:szCs w:val="28"/>
        </w:rPr>
        <w:t>- розкрити основні підходи до оцінки та принципи управління ліквідністю комерційного банку;</w:t>
      </w:r>
    </w:p>
    <w:p w:rsidR="000D1D05" w:rsidRDefault="000D1D05" w:rsidP="000D1D05">
      <w:pPr>
        <w:spacing w:after="0" w:line="360" w:lineRule="auto"/>
        <w:ind w:firstLine="709"/>
        <w:jc w:val="both"/>
        <w:rPr>
          <w:rFonts w:ascii="Times New Roman" w:hAnsi="Times New Roman"/>
          <w:sz w:val="28"/>
          <w:szCs w:val="28"/>
        </w:rPr>
      </w:pPr>
      <w:r>
        <w:rPr>
          <w:rFonts w:ascii="Times New Roman" w:hAnsi="Times New Roman"/>
          <w:sz w:val="28"/>
          <w:szCs w:val="28"/>
        </w:rPr>
        <w:t>- дослідити аналітичний інструментарій управління ліквідністю комерційного банку на прикладі АТ «Ідея Банк»;</w:t>
      </w:r>
    </w:p>
    <w:p w:rsidR="000D1D05" w:rsidRDefault="000D1D05" w:rsidP="000D1D05">
      <w:pPr>
        <w:spacing w:after="0" w:line="360" w:lineRule="auto"/>
        <w:ind w:firstLine="709"/>
        <w:jc w:val="both"/>
        <w:rPr>
          <w:rFonts w:ascii="Times New Roman" w:hAnsi="Times New Roman"/>
          <w:sz w:val="28"/>
          <w:szCs w:val="28"/>
        </w:rPr>
      </w:pPr>
      <w:r>
        <w:rPr>
          <w:rFonts w:ascii="Times New Roman" w:hAnsi="Times New Roman"/>
          <w:sz w:val="28"/>
          <w:szCs w:val="28"/>
        </w:rPr>
        <w:t>- сформувати модель комплексної оцінки ліквідності комерційного банку;</w:t>
      </w:r>
    </w:p>
    <w:p w:rsidR="000D1D05" w:rsidRDefault="000D1D05" w:rsidP="000D1D0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розробити модель управління ліквідністю комерційного банку в умовах системної фінансової кризи</w:t>
      </w:r>
      <w:r>
        <w:t xml:space="preserve"> </w:t>
      </w:r>
      <w:r>
        <w:rPr>
          <w:rFonts w:ascii="Times New Roman" w:hAnsi="Times New Roman"/>
          <w:sz w:val="28"/>
          <w:szCs w:val="28"/>
        </w:rPr>
        <w:t>та реформування системи банківського нагляду;</w:t>
      </w:r>
    </w:p>
    <w:p w:rsidR="000D1D05" w:rsidRDefault="000D1D05" w:rsidP="000D1D05">
      <w:pPr>
        <w:spacing w:after="0" w:line="360" w:lineRule="auto"/>
        <w:ind w:firstLine="709"/>
        <w:jc w:val="both"/>
        <w:rPr>
          <w:rFonts w:ascii="Times New Roman" w:hAnsi="Times New Roman"/>
          <w:sz w:val="28"/>
          <w:szCs w:val="28"/>
        </w:rPr>
      </w:pPr>
      <w:r>
        <w:rPr>
          <w:rFonts w:ascii="Times New Roman" w:hAnsi="Times New Roman"/>
          <w:sz w:val="28"/>
          <w:szCs w:val="28"/>
        </w:rPr>
        <w:t>- запропонувати шляхи удосконалення інструментарію управління ліквідністю комерційного банку з урахуванням закордонного досвіду.</w:t>
      </w:r>
    </w:p>
    <w:p w:rsidR="000D1D05" w:rsidRDefault="000D1D05" w:rsidP="000D1D05">
      <w:pPr>
        <w:spacing w:after="0" w:line="360" w:lineRule="auto"/>
        <w:ind w:firstLine="709"/>
        <w:jc w:val="both"/>
        <w:rPr>
          <w:rFonts w:ascii="Times New Roman" w:hAnsi="Times New Roman"/>
          <w:sz w:val="28"/>
          <w:szCs w:val="28"/>
        </w:rPr>
      </w:pPr>
      <w:r w:rsidRPr="00837FDD">
        <w:rPr>
          <w:rFonts w:ascii="Times New Roman" w:hAnsi="Times New Roman"/>
          <w:i/>
          <w:sz w:val="28"/>
          <w:szCs w:val="28"/>
        </w:rPr>
        <w:t>Методи дослідження</w:t>
      </w:r>
      <w:r>
        <w:rPr>
          <w:rFonts w:ascii="Times New Roman" w:hAnsi="Times New Roman"/>
          <w:sz w:val="28"/>
          <w:szCs w:val="28"/>
        </w:rPr>
        <w:t xml:space="preserve">. Теоретико-методологічну основу дослідження склали положення теорії фінансів, менеджменту та банківської справи. У процесі дослідження використовувалися наступні методи: аналіз, синтез, узагальнення, порівняння, групування, систематизація, статистичний та системний аналіз, графічний метод. </w:t>
      </w:r>
    </w:p>
    <w:p w:rsidR="000D1D05" w:rsidRDefault="000D1D05" w:rsidP="000D1D05">
      <w:pPr>
        <w:spacing w:after="0" w:line="360" w:lineRule="auto"/>
        <w:ind w:firstLine="709"/>
        <w:jc w:val="both"/>
        <w:rPr>
          <w:rFonts w:ascii="Times New Roman" w:hAnsi="Times New Roman"/>
          <w:sz w:val="28"/>
          <w:szCs w:val="28"/>
        </w:rPr>
      </w:pPr>
      <w:r w:rsidRPr="00837FDD">
        <w:rPr>
          <w:rFonts w:ascii="Times New Roman" w:hAnsi="Times New Roman"/>
          <w:i/>
          <w:sz w:val="28"/>
          <w:szCs w:val="28"/>
        </w:rPr>
        <w:t>Інформаційною базою</w:t>
      </w:r>
      <w:r>
        <w:rPr>
          <w:rFonts w:ascii="Times New Roman" w:hAnsi="Times New Roman"/>
          <w:sz w:val="28"/>
          <w:szCs w:val="28"/>
        </w:rPr>
        <w:t xml:space="preserve"> є нормативно-правові акти щодо управління ліквідністю банку, офіційні аналітичні матеріали НБУ, звіти АТ «Ідея Банк», навчальні посібники, наукові праці вчених-економістів з питань управління ліквідністю банку, матеріали періодичних видань та наукових конференцій, інформаційні ресурси мережі Інтернет. </w:t>
      </w:r>
    </w:p>
    <w:p w:rsidR="000D1D05" w:rsidRDefault="000D1D05" w:rsidP="000D1D05">
      <w:pPr>
        <w:spacing w:after="0" w:line="360" w:lineRule="auto"/>
        <w:ind w:firstLine="709"/>
        <w:jc w:val="both"/>
        <w:rPr>
          <w:rFonts w:ascii="Times New Roman" w:hAnsi="Times New Roman"/>
          <w:sz w:val="28"/>
          <w:szCs w:val="28"/>
        </w:rPr>
      </w:pPr>
      <w:r w:rsidRPr="00837FDD">
        <w:rPr>
          <w:rFonts w:ascii="Times New Roman" w:hAnsi="Times New Roman"/>
          <w:i/>
          <w:sz w:val="28"/>
          <w:szCs w:val="28"/>
        </w:rPr>
        <w:t>Теоретичне та практичне значення одержаних результатів</w:t>
      </w:r>
      <w:r>
        <w:rPr>
          <w:rFonts w:ascii="Times New Roman" w:hAnsi="Times New Roman"/>
          <w:b/>
          <w:sz w:val="28"/>
          <w:szCs w:val="28"/>
        </w:rPr>
        <w:t>.</w:t>
      </w:r>
      <w:r>
        <w:rPr>
          <w:rFonts w:ascii="Times New Roman" w:hAnsi="Times New Roman"/>
          <w:sz w:val="28"/>
          <w:szCs w:val="28"/>
        </w:rPr>
        <w:t xml:space="preserve"> Результати та пропозиції, які містяться в роботі, є обґрунтованими та мають практичну значимість, визначають методологічні підходи, ураховують закордонний досвід і містять рекомендації щодо удосконалення інструментарію управління ліквідністю комерційного банку в умовах системної фінансової кризи та реформування системи банківського нагляду. Результати роботи можуть бути впроваджені у діяльність вітчизняних комерційних банків.</w:t>
      </w:r>
    </w:p>
    <w:p w:rsidR="000D1D05" w:rsidRDefault="000D1D05" w:rsidP="000D1D05">
      <w:pPr>
        <w:spacing w:after="0" w:line="360" w:lineRule="auto"/>
        <w:ind w:firstLine="709"/>
        <w:jc w:val="both"/>
        <w:rPr>
          <w:rFonts w:ascii="Times New Roman" w:hAnsi="Times New Roman"/>
          <w:sz w:val="28"/>
          <w:szCs w:val="28"/>
        </w:rPr>
      </w:pPr>
      <w:r w:rsidRPr="00837FDD">
        <w:rPr>
          <w:rFonts w:ascii="Times New Roman" w:hAnsi="Times New Roman"/>
          <w:i/>
          <w:sz w:val="28"/>
          <w:szCs w:val="28"/>
        </w:rPr>
        <w:t>Наукова новизна.</w:t>
      </w:r>
      <w:r>
        <w:rPr>
          <w:rFonts w:ascii="Times New Roman" w:hAnsi="Times New Roman"/>
          <w:sz w:val="28"/>
          <w:szCs w:val="28"/>
        </w:rPr>
        <w:t xml:space="preserve"> Наукова новизна одержаних результатів полягає в удосконаленні інструментарію оцінки та управління ліквідністю комерційного банку в умовах системної фінансової кризи і реформування системи банківського нагляду та апробована на основі показників АТ «Ідея Банк». </w:t>
      </w:r>
    </w:p>
    <w:p w:rsidR="00927A90" w:rsidRDefault="000D1D05" w:rsidP="000D1D05">
      <w:pPr>
        <w:spacing w:after="0" w:line="360" w:lineRule="auto"/>
        <w:ind w:firstLine="709"/>
        <w:jc w:val="both"/>
        <w:rPr>
          <w:rFonts w:ascii="Times New Roman" w:hAnsi="Times New Roman"/>
          <w:sz w:val="28"/>
          <w:szCs w:val="28"/>
        </w:rPr>
      </w:pPr>
      <w:r w:rsidRPr="00837FDD">
        <w:rPr>
          <w:rFonts w:ascii="Times New Roman" w:hAnsi="Times New Roman"/>
          <w:i/>
          <w:sz w:val="28"/>
          <w:szCs w:val="28"/>
        </w:rPr>
        <w:t>Структура та зміст роботи.</w:t>
      </w:r>
      <w:r>
        <w:rPr>
          <w:rFonts w:ascii="Times New Roman" w:hAnsi="Times New Roman"/>
          <w:sz w:val="28"/>
          <w:szCs w:val="28"/>
        </w:rPr>
        <w:t xml:space="preserve"> Робота складається із вступу, трьох розділів, висновків, списку використаних посилань із </w:t>
      </w:r>
      <w:r w:rsidR="003542AE">
        <w:rPr>
          <w:rFonts w:ascii="Times New Roman" w:hAnsi="Times New Roman"/>
          <w:sz w:val="28"/>
          <w:szCs w:val="28"/>
        </w:rPr>
        <w:t>80 найменування</w:t>
      </w:r>
      <w:r>
        <w:rPr>
          <w:rFonts w:ascii="Times New Roman" w:hAnsi="Times New Roman"/>
          <w:sz w:val="28"/>
          <w:szCs w:val="28"/>
        </w:rPr>
        <w:t xml:space="preserve">. Загальний обсяг роботи становить </w:t>
      </w:r>
      <w:r>
        <w:rPr>
          <w:rFonts w:ascii="Times New Roman" w:hAnsi="Times New Roman"/>
          <w:sz w:val="28"/>
          <w:szCs w:val="28"/>
          <w:highlight w:val="yellow"/>
        </w:rPr>
        <w:t>____</w:t>
      </w:r>
      <w:r>
        <w:rPr>
          <w:rFonts w:ascii="Times New Roman" w:hAnsi="Times New Roman"/>
          <w:sz w:val="28"/>
          <w:szCs w:val="28"/>
        </w:rPr>
        <w:t xml:space="preserve"> сторінок. Робота містить </w:t>
      </w:r>
      <w:r w:rsidR="00CB7866">
        <w:rPr>
          <w:rFonts w:ascii="Times New Roman" w:hAnsi="Times New Roman"/>
          <w:sz w:val="28"/>
          <w:szCs w:val="28"/>
        </w:rPr>
        <w:t>35</w:t>
      </w:r>
      <w:r>
        <w:rPr>
          <w:rFonts w:ascii="Times New Roman" w:hAnsi="Times New Roman"/>
          <w:sz w:val="28"/>
          <w:szCs w:val="28"/>
        </w:rPr>
        <w:t xml:space="preserve"> рисунків і </w:t>
      </w:r>
      <w:r w:rsidR="00CB7866">
        <w:rPr>
          <w:rFonts w:ascii="Times New Roman" w:hAnsi="Times New Roman"/>
          <w:sz w:val="28"/>
          <w:szCs w:val="28"/>
        </w:rPr>
        <w:t>34</w:t>
      </w:r>
      <w:r>
        <w:rPr>
          <w:rFonts w:ascii="Times New Roman" w:hAnsi="Times New Roman"/>
          <w:sz w:val="28"/>
          <w:szCs w:val="28"/>
        </w:rPr>
        <w:t xml:space="preserve"> таблиц</w:t>
      </w:r>
      <w:r w:rsidR="00CB7866">
        <w:rPr>
          <w:rFonts w:ascii="Times New Roman" w:hAnsi="Times New Roman"/>
          <w:sz w:val="28"/>
          <w:szCs w:val="28"/>
        </w:rPr>
        <w:t>і</w:t>
      </w:r>
      <w:r>
        <w:rPr>
          <w:rFonts w:ascii="Times New Roman" w:hAnsi="Times New Roman"/>
          <w:sz w:val="28"/>
          <w:szCs w:val="28"/>
        </w:rPr>
        <w:t>.</w:t>
      </w:r>
    </w:p>
    <w:p w:rsidR="00927A90" w:rsidRDefault="00927A90">
      <w:pPr>
        <w:spacing w:line="259" w:lineRule="auto"/>
        <w:rPr>
          <w:rFonts w:ascii="Times New Roman" w:hAnsi="Times New Roman"/>
          <w:sz w:val="28"/>
          <w:szCs w:val="28"/>
        </w:rPr>
      </w:pPr>
      <w:r>
        <w:rPr>
          <w:rFonts w:ascii="Times New Roman" w:hAnsi="Times New Roman"/>
          <w:sz w:val="28"/>
          <w:szCs w:val="28"/>
        </w:rPr>
        <w:br w:type="page"/>
      </w:r>
    </w:p>
    <w:p w:rsidR="003A40EE" w:rsidRDefault="003A40EE" w:rsidP="00110EE2">
      <w:pPr>
        <w:spacing w:after="0" w:line="360" w:lineRule="auto"/>
        <w:ind w:firstLine="709"/>
        <w:jc w:val="center"/>
        <w:rPr>
          <w:rFonts w:ascii="Times New Roman" w:hAnsi="Times New Roman"/>
          <w:sz w:val="28"/>
          <w:szCs w:val="28"/>
        </w:rPr>
      </w:pPr>
      <w:r>
        <w:rPr>
          <w:rFonts w:ascii="Times New Roman" w:hAnsi="Times New Roman"/>
          <w:sz w:val="28"/>
          <w:szCs w:val="28"/>
        </w:rPr>
        <w:lastRenderedPageBreak/>
        <w:t>РОЗДІЛ 1</w:t>
      </w:r>
    </w:p>
    <w:p w:rsidR="00110EE2" w:rsidRPr="00964DB3" w:rsidRDefault="00110EE2" w:rsidP="00110EE2">
      <w:pPr>
        <w:spacing w:after="0" w:line="360" w:lineRule="auto"/>
        <w:ind w:firstLine="709"/>
        <w:jc w:val="center"/>
        <w:rPr>
          <w:rFonts w:ascii="Times New Roman" w:eastAsiaTheme="minorHAnsi" w:hAnsi="Times New Roman"/>
          <w:sz w:val="28"/>
          <w:szCs w:val="28"/>
        </w:rPr>
      </w:pPr>
      <w:r w:rsidRPr="00964DB3">
        <w:rPr>
          <w:rFonts w:ascii="Times New Roman" w:hAnsi="Times New Roman"/>
          <w:sz w:val="28"/>
          <w:szCs w:val="28"/>
        </w:rPr>
        <w:t>ТЕОРЕТИЧНІ АСПЕКТИ ОЦІНКИ ТА УПРАВЛІННЯ ЛІКВІДНІСТЮ КОМЕРЦІЙНОГО БАНКУ</w:t>
      </w:r>
    </w:p>
    <w:p w:rsidR="00110EE2" w:rsidRDefault="00110EE2" w:rsidP="00837FDD">
      <w:pPr>
        <w:spacing w:after="0" w:line="360" w:lineRule="auto"/>
        <w:ind w:firstLine="709"/>
        <w:jc w:val="center"/>
        <w:rPr>
          <w:rFonts w:ascii="Times New Roman" w:hAnsi="Times New Roman"/>
          <w:b/>
          <w:sz w:val="28"/>
          <w:szCs w:val="28"/>
        </w:rPr>
      </w:pPr>
    </w:p>
    <w:p w:rsidR="00964DB3" w:rsidRDefault="00964DB3" w:rsidP="00837FDD">
      <w:pPr>
        <w:spacing w:after="0" w:line="360" w:lineRule="auto"/>
        <w:ind w:firstLine="709"/>
        <w:jc w:val="center"/>
        <w:rPr>
          <w:rFonts w:ascii="Times New Roman" w:hAnsi="Times New Roman"/>
          <w:b/>
          <w:sz w:val="28"/>
          <w:szCs w:val="28"/>
        </w:rPr>
      </w:pPr>
    </w:p>
    <w:p w:rsidR="00110EE2" w:rsidRDefault="00110EE2" w:rsidP="00110EE2">
      <w:pPr>
        <w:pStyle w:val="a4"/>
        <w:numPr>
          <w:ilvl w:val="1"/>
          <w:numId w:val="1"/>
        </w:numPr>
        <w:spacing w:after="0" w:line="360" w:lineRule="auto"/>
        <w:ind w:left="0" w:firstLine="709"/>
        <w:jc w:val="both"/>
        <w:rPr>
          <w:rFonts w:ascii="Times New Roman" w:hAnsi="Times New Roman" w:cs="Times New Roman"/>
          <w:sz w:val="28"/>
          <w:szCs w:val="28"/>
        </w:rPr>
      </w:pPr>
      <w:r w:rsidRPr="00964DB3">
        <w:rPr>
          <w:rFonts w:ascii="Times New Roman" w:hAnsi="Times New Roman" w:cs="Times New Roman"/>
          <w:sz w:val="28"/>
          <w:szCs w:val="28"/>
        </w:rPr>
        <w:t>Економічна сутність поняття «ліквідність» та її значення в діяльності комерційного банку</w:t>
      </w:r>
    </w:p>
    <w:p w:rsidR="00964DB3" w:rsidRPr="00964DB3" w:rsidRDefault="00964DB3" w:rsidP="00964DB3">
      <w:pPr>
        <w:pStyle w:val="a4"/>
        <w:spacing w:after="0" w:line="360" w:lineRule="auto"/>
        <w:ind w:left="709"/>
        <w:jc w:val="both"/>
        <w:rPr>
          <w:rFonts w:ascii="Times New Roman" w:hAnsi="Times New Roman" w:cs="Times New Roman"/>
          <w:sz w:val="28"/>
          <w:szCs w:val="28"/>
        </w:rPr>
      </w:pPr>
    </w:p>
    <w:p w:rsidR="00110EE2" w:rsidRDefault="00110EE2" w:rsidP="00110EE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Ефективність, своєчасність, повнота виконання банками, покладених на них функцій та завдань більшою мірою залежить від їх ліквідності. Саме ліквідність є якісною характеристикою діяльності банку та вважається одним з основних чинників, який забезпечує його економічну стабільність, тобто стійкість, надійність, конкурентоспроможність, можливість подальшого розвитку тощо. </w:t>
      </w:r>
    </w:p>
    <w:p w:rsidR="00110EE2" w:rsidRDefault="00110EE2" w:rsidP="00110EE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Зародження такої економічної категорії як «ліквідність» бере свій початок ще в часи існування первіснообщинного ладу, коли було започатковано товарний обмін. Так, саме здатність певного товару вільно та без перешкод обмінюватися на інший товар і характеризує його ліквідність. Згодом, з виникненням грошей, категорія «ліквідність» набула ще більшого розвитку як ліквідність грошей, а пізніше - ліквідність активу [1, с. 6; 2, с. 23].</w:t>
      </w:r>
    </w:p>
    <w:p w:rsidR="00110EE2" w:rsidRDefault="00110EE2" w:rsidP="00110EE2">
      <w:pPr>
        <w:pStyle w:val="a4"/>
        <w:spacing w:after="0" w:line="360" w:lineRule="auto"/>
        <w:ind w:left="0" w:firstLine="709"/>
        <w:jc w:val="both"/>
      </w:pPr>
      <w:r>
        <w:rPr>
          <w:rFonts w:ascii="Times New Roman" w:hAnsi="Times New Roman" w:cs="Times New Roman"/>
          <w:sz w:val="28"/>
          <w:szCs w:val="28"/>
        </w:rPr>
        <w:t>У сучасній економічній літературі поняття «ліквідність» має широкий діапазон тлумачення та використовується у різних сферах економіки, характеризуючи різні об’єкти.</w:t>
      </w:r>
      <w:r>
        <w:t xml:space="preserve"> </w:t>
      </w:r>
    </w:p>
    <w:p w:rsidR="00110EE2" w:rsidRDefault="00110EE2" w:rsidP="00110EE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загалі, термін «ліквідність» походить від латинського слова «</w:t>
      </w:r>
      <w:proofErr w:type="spellStart"/>
      <w:r>
        <w:rPr>
          <w:rFonts w:ascii="Times New Roman" w:hAnsi="Times New Roman" w:cs="Times New Roman"/>
          <w:sz w:val="28"/>
          <w:szCs w:val="28"/>
        </w:rPr>
        <w:t>liquidus</w:t>
      </w:r>
      <w:proofErr w:type="spellEnd"/>
      <w:r>
        <w:rPr>
          <w:rFonts w:ascii="Times New Roman" w:hAnsi="Times New Roman" w:cs="Times New Roman"/>
          <w:sz w:val="28"/>
          <w:szCs w:val="28"/>
        </w:rPr>
        <w:t>», яке в перекладі означає, рідкий</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перетікає</w:t>
      </w:r>
      <w:proofErr w:type="spellEnd"/>
      <w:r>
        <w:rPr>
          <w:rFonts w:ascii="Times New Roman" w:hAnsi="Times New Roman" w:cs="Times New Roman"/>
          <w:sz w:val="28"/>
          <w:szCs w:val="28"/>
        </w:rPr>
        <w:t>. Іншими словами, в буквальному розумінні з урахування економічного застосунку, ліквідність характеризується легкістю реалізації, продажу, перетворення матеріальних цінностей і інших активів у грошові кошти [3].</w:t>
      </w:r>
      <w:r>
        <w:t xml:space="preserve"> </w:t>
      </w:r>
      <w:r>
        <w:rPr>
          <w:rFonts w:ascii="Times New Roman" w:hAnsi="Times New Roman" w:cs="Times New Roman"/>
          <w:sz w:val="28"/>
          <w:szCs w:val="28"/>
        </w:rPr>
        <w:t>Що стосується застосування терміну «ліквідність» у банківській справі, то на думку багатьох як вітчизняних, так і зарубіжних науковців, даний термін походить від терміну «</w:t>
      </w:r>
      <w:proofErr w:type="spellStart"/>
      <w:r>
        <w:rPr>
          <w:rFonts w:ascii="Times New Roman" w:hAnsi="Times New Roman" w:cs="Times New Roman"/>
          <w:sz w:val="28"/>
          <w:szCs w:val="28"/>
        </w:rPr>
        <w:t>liquiditat</w:t>
      </w:r>
      <w:proofErr w:type="spellEnd"/>
      <w:r>
        <w:rPr>
          <w:rFonts w:ascii="Times New Roman" w:hAnsi="Times New Roman" w:cs="Times New Roman"/>
          <w:sz w:val="28"/>
          <w:szCs w:val="28"/>
        </w:rPr>
        <w:t>», запровадженого німецькими економістами у XIX ст.</w:t>
      </w:r>
      <w:r>
        <w:t xml:space="preserve"> </w:t>
      </w:r>
      <w:r>
        <w:rPr>
          <w:rFonts w:ascii="Times New Roman" w:hAnsi="Times New Roman" w:cs="Times New Roman"/>
          <w:sz w:val="28"/>
          <w:szCs w:val="28"/>
        </w:rPr>
        <w:t>[2, с. 23; 4].</w:t>
      </w:r>
    </w:p>
    <w:p w:rsidR="00110EE2" w:rsidRDefault="00110EE2" w:rsidP="00110EE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Загально відомо, що банківська система має дворівневу структуру (див. </w:t>
      </w:r>
      <w:r w:rsidRPr="00C24F8F">
        <w:rPr>
          <w:rFonts w:ascii="Times New Roman" w:hAnsi="Times New Roman" w:cs="Times New Roman"/>
          <w:sz w:val="28"/>
          <w:szCs w:val="28"/>
        </w:rPr>
        <w:t>рис. 1.1</w:t>
      </w:r>
      <w:r>
        <w:rPr>
          <w:rFonts w:ascii="Times New Roman" w:hAnsi="Times New Roman" w:cs="Times New Roman"/>
          <w:sz w:val="28"/>
          <w:szCs w:val="28"/>
        </w:rPr>
        <w:t>), тому особлива увага приділяється саме дослідженню «ліквідності комерційних банків», як нижчого її рівня на базі якого формується дослідження ліквідності банківської системи загалом.</w:t>
      </w:r>
    </w:p>
    <w:p w:rsidR="00110EE2" w:rsidRDefault="00110EE2" w:rsidP="00110EE2">
      <w:pPr>
        <w:pStyle w:val="a4"/>
        <w:spacing w:after="0" w:line="360" w:lineRule="auto"/>
        <w:ind w:left="0" w:firstLine="709"/>
        <w:jc w:val="both"/>
        <w:rPr>
          <w:rFonts w:ascii="Times New Roman" w:hAnsi="Times New Roman" w:cs="Times New Roman"/>
          <w:sz w:val="28"/>
          <w:szCs w:val="28"/>
        </w:rPr>
      </w:pPr>
      <w:r>
        <w:rPr>
          <w:noProof/>
          <w:lang w:eastAsia="uk-UA"/>
        </w:rPr>
        <mc:AlternateContent>
          <mc:Choice Requires="wpc">
            <w:drawing>
              <wp:inline distT="0" distB="0" distL="0" distR="0">
                <wp:extent cx="5486400" cy="1821180"/>
                <wp:effectExtent l="0" t="0" r="0" b="0"/>
                <wp:docPr id="110" name="Полотно 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5" name="Прямоугольник 2"/>
                        <wps:cNvSpPr>
                          <a:spLocks noChangeArrowheads="1"/>
                        </wps:cNvSpPr>
                        <wps:spPr bwMode="auto">
                          <a:xfrm>
                            <a:off x="952500" y="236210"/>
                            <a:ext cx="3604200" cy="502922"/>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b/>
                                  <w:sz w:val="24"/>
                                  <w:szCs w:val="24"/>
                                </w:rPr>
                              </w:pPr>
                              <w:r>
                                <w:rPr>
                                  <w:rFonts w:ascii="Times New Roman" w:hAnsi="Times New Roman"/>
                                  <w:b/>
                                  <w:sz w:val="24"/>
                                  <w:szCs w:val="24"/>
                                </w:rPr>
                                <w:t>ЛІКВІДНІСТЬ БАНКІВСЬКОЇ СИСТЕМИ</w:t>
                              </w:r>
                            </w:p>
                          </w:txbxContent>
                        </wps:txbx>
                        <wps:bodyPr rot="0" vert="horz" wrap="square" lIns="91440" tIns="45720" rIns="91440" bIns="45720" anchor="ctr" anchorCtr="0" upright="1">
                          <a:noAutofit/>
                        </wps:bodyPr>
                      </wps:wsp>
                      <wps:wsp>
                        <wps:cNvPr id="106" name="Прямая соединительная линия 3"/>
                        <wps:cNvCnPr>
                          <a:cxnSpLocks noChangeShapeType="1"/>
                          <a:stCxn id="105" idx="2"/>
                          <a:endCxn id="108" idx="0"/>
                        </wps:cNvCnPr>
                        <wps:spPr bwMode="auto">
                          <a:xfrm flipH="1">
                            <a:off x="1196300" y="739132"/>
                            <a:ext cx="1558300" cy="350515"/>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7" name="Прямая соединительная линия 4"/>
                        <wps:cNvCnPr>
                          <a:cxnSpLocks noChangeShapeType="1"/>
                          <a:stCxn id="105" idx="2"/>
                        </wps:cNvCnPr>
                        <wps:spPr bwMode="auto">
                          <a:xfrm>
                            <a:off x="2754600" y="739132"/>
                            <a:ext cx="1466800" cy="350515"/>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8" name="Прямоугольник 5"/>
                        <wps:cNvSpPr>
                          <a:spLocks noChangeArrowheads="1"/>
                        </wps:cNvSpPr>
                        <wps:spPr bwMode="auto">
                          <a:xfrm>
                            <a:off x="30400" y="1089648"/>
                            <a:ext cx="2331800" cy="68583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b/>
                                  <w:sz w:val="24"/>
                                  <w:szCs w:val="24"/>
                                </w:rPr>
                              </w:pPr>
                              <w:r>
                                <w:rPr>
                                  <w:rFonts w:ascii="Times New Roman" w:hAnsi="Times New Roman"/>
                                  <w:b/>
                                  <w:sz w:val="24"/>
                                  <w:szCs w:val="24"/>
                                </w:rPr>
                                <w:t xml:space="preserve">Ліквідність національного </w:t>
                              </w:r>
                              <w:r>
                                <w:rPr>
                                  <w:rFonts w:ascii="Times New Roman" w:hAnsi="Times New Roman"/>
                                  <w:sz w:val="24"/>
                                  <w:szCs w:val="24"/>
                                </w:rPr>
                                <w:t>(центрального)</w:t>
                              </w:r>
                              <w:r>
                                <w:rPr>
                                  <w:rFonts w:ascii="Times New Roman" w:hAnsi="Times New Roman"/>
                                  <w:b/>
                                  <w:sz w:val="24"/>
                                  <w:szCs w:val="24"/>
                                </w:rPr>
                                <w:t xml:space="preserve"> банку </w:t>
                              </w:r>
                            </w:p>
                            <w:p w:rsidR="00F821E3" w:rsidRDefault="00F821E3" w:rsidP="00110EE2">
                              <w:pPr>
                                <w:spacing w:after="0" w:line="240" w:lineRule="auto"/>
                                <w:jc w:val="center"/>
                                <w:rPr>
                                  <w:rFonts w:ascii="Times New Roman" w:hAnsi="Times New Roman"/>
                                  <w:sz w:val="24"/>
                                  <w:szCs w:val="24"/>
                                </w:rPr>
                              </w:pPr>
                              <w:r>
                                <w:rPr>
                                  <w:rFonts w:ascii="Times New Roman" w:hAnsi="Times New Roman"/>
                                  <w:sz w:val="24"/>
                                  <w:szCs w:val="24"/>
                                </w:rPr>
                                <w:t>(вищий рівень)</w:t>
                              </w:r>
                            </w:p>
                            <w:p w:rsidR="00F821E3" w:rsidRDefault="00F821E3" w:rsidP="00110EE2">
                              <w:pPr>
                                <w:rPr>
                                  <w:rFonts w:asciiTheme="minorHAnsi" w:hAnsiTheme="minorHAnsi" w:cstheme="minorBidi"/>
                                </w:rPr>
                              </w:pPr>
                            </w:p>
                          </w:txbxContent>
                        </wps:txbx>
                        <wps:bodyPr rot="0" vert="horz" wrap="square" lIns="91440" tIns="45720" rIns="91440" bIns="45720" anchor="ctr" anchorCtr="0" upright="1">
                          <a:noAutofit/>
                        </wps:bodyPr>
                      </wps:wsp>
                      <wps:wsp>
                        <wps:cNvPr id="109" name="Прямоугольник 6"/>
                        <wps:cNvSpPr>
                          <a:spLocks noChangeArrowheads="1"/>
                        </wps:cNvSpPr>
                        <wps:spPr bwMode="auto">
                          <a:xfrm>
                            <a:off x="3032700" y="1089648"/>
                            <a:ext cx="2377500" cy="68583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b/>
                                  <w:sz w:val="24"/>
                                  <w:szCs w:val="24"/>
                                </w:rPr>
                              </w:pPr>
                              <w:r>
                                <w:rPr>
                                  <w:rFonts w:ascii="Times New Roman" w:hAnsi="Times New Roman"/>
                                  <w:b/>
                                  <w:sz w:val="24"/>
                                  <w:szCs w:val="24"/>
                                </w:rPr>
                                <w:t>Ліквідність комерційних банків</w:t>
                              </w:r>
                            </w:p>
                            <w:p w:rsidR="00F821E3" w:rsidRDefault="00F821E3" w:rsidP="00110EE2">
                              <w:pPr>
                                <w:spacing w:after="0" w:line="240" w:lineRule="auto"/>
                                <w:jc w:val="center"/>
                                <w:rPr>
                                  <w:rFonts w:ascii="Times New Roman" w:hAnsi="Times New Roman"/>
                                  <w:sz w:val="24"/>
                                  <w:szCs w:val="24"/>
                                </w:rPr>
                              </w:pPr>
                              <w:r>
                                <w:rPr>
                                  <w:rFonts w:ascii="Times New Roman" w:hAnsi="Times New Roman"/>
                                  <w:sz w:val="24"/>
                                  <w:szCs w:val="24"/>
                                </w:rPr>
                                <w:t xml:space="preserve"> (нижчий рівень) </w:t>
                              </w:r>
                            </w:p>
                            <w:p w:rsidR="00F821E3" w:rsidRDefault="00F821E3" w:rsidP="00110EE2">
                              <w:pPr>
                                <w:jc w:val="center"/>
                                <w:rPr>
                                  <w:rFonts w:asciiTheme="minorHAnsi" w:hAnsiTheme="minorHAnsi" w:cstheme="minorBidi"/>
                                </w:rPr>
                              </w:pPr>
                            </w:p>
                          </w:txbxContent>
                        </wps:txbx>
                        <wps:bodyPr rot="0" vert="horz" wrap="square" lIns="91440" tIns="45720" rIns="91440" bIns="45720" anchor="ctr" anchorCtr="0" upright="1">
                          <a:noAutofit/>
                        </wps:bodyPr>
                      </wps:wsp>
                    </wpc:wpc>
                  </a:graphicData>
                </a:graphic>
              </wp:inline>
            </w:drawing>
          </mc:Choice>
          <mc:Fallback>
            <w:pict>
              <v:group id="Полотно 110" o:spid="_x0000_s1026" editas="canvas" style="width:6in;height:143.4pt;mso-position-horizontal-relative:char;mso-position-vertical-relative:line" coordsize="54864,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8211;visibility:visible;mso-wrap-style:square">
                  <v:fill o:detectmouseclick="t"/>
                  <v:path o:connecttype="none"/>
                </v:shape>
                <v:rect id="Прямоугольник 2" o:spid="_x0000_s1028" style="position:absolute;left:9525;top:2362;width:36042;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" fillcolor="white [3201]" strokecolor="black [3213]" strokeweight="1pt">
                  <v:textbox>
                    <w:txbxContent>
                      <w:p w:rsidR="00F821E3" w:rsidRDefault="00F821E3" w:rsidP="00110EE2">
                        <w:pPr>
                          <w:spacing w:after="0" w:line="240" w:lineRule="auto"/>
                          <w:jc w:val="center"/>
                          <w:rPr>
                            <w:rFonts w:ascii="Times New Roman" w:hAnsi="Times New Roman"/>
                            <w:b/>
                            <w:sz w:val="24"/>
                            <w:szCs w:val="24"/>
                          </w:rPr>
                        </w:pPr>
                        <w:r>
                          <w:rPr>
                            <w:rFonts w:ascii="Times New Roman" w:hAnsi="Times New Roman"/>
                            <w:b/>
                            <w:sz w:val="24"/>
                            <w:szCs w:val="24"/>
                          </w:rPr>
                          <w:t>ЛІКВІДНІСТЬ БАНКІВСЬКОЇ СИСТЕМИ</w:t>
                        </w:r>
                      </w:p>
                    </w:txbxContent>
                  </v:textbox>
                </v:rect>
                <v:line id="Прямая соединительная линия 3" o:spid="_x0000_s1029" style="position:absolute;flip:x;visibility:visible;mso-wrap-style:square" from="11963,7391" to="27546,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" strokecolor="black [3200]" strokeweight=".5pt">
                  <v:stroke joinstyle="miter"/>
                </v:line>
                <v:line id="Прямая соединительная линия 4" o:spid="_x0000_s1030" style="position:absolute;visibility:visible;mso-wrap-style:square" from="27546,7391" to="42214,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" strokecolor="black [3200]" strokeweight=".5pt">
                  <v:stroke joinstyle="miter"/>
                </v:line>
                <v:rect id="Прямоугольник 5" o:spid="_x0000_s1031" style="position:absolute;left:304;top:10896;width:2331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" fillcolor="white [3201]" strokecolor="black [3213]" strokeweight="1pt">
                  <v:textbox>
                    <w:txbxContent>
                      <w:p w:rsidR="00F821E3" w:rsidRDefault="00F821E3" w:rsidP="00110EE2">
                        <w:pPr>
                          <w:spacing w:after="0" w:line="240" w:lineRule="auto"/>
                          <w:jc w:val="center"/>
                          <w:rPr>
                            <w:rFonts w:ascii="Times New Roman" w:hAnsi="Times New Roman"/>
                            <w:b/>
                            <w:sz w:val="24"/>
                            <w:szCs w:val="24"/>
                          </w:rPr>
                        </w:pPr>
                        <w:r>
                          <w:rPr>
                            <w:rFonts w:ascii="Times New Roman" w:hAnsi="Times New Roman"/>
                            <w:b/>
                            <w:sz w:val="24"/>
                            <w:szCs w:val="24"/>
                          </w:rPr>
                          <w:t xml:space="preserve">Ліквідність національного </w:t>
                        </w:r>
                        <w:r>
                          <w:rPr>
                            <w:rFonts w:ascii="Times New Roman" w:hAnsi="Times New Roman"/>
                            <w:sz w:val="24"/>
                            <w:szCs w:val="24"/>
                          </w:rPr>
                          <w:t>(центрального)</w:t>
                        </w:r>
                        <w:r>
                          <w:rPr>
                            <w:rFonts w:ascii="Times New Roman" w:hAnsi="Times New Roman"/>
                            <w:b/>
                            <w:sz w:val="24"/>
                            <w:szCs w:val="24"/>
                          </w:rPr>
                          <w:t xml:space="preserve"> банку </w:t>
                        </w:r>
                      </w:p>
                      <w:p w:rsidR="00F821E3" w:rsidRDefault="00F821E3" w:rsidP="00110EE2">
                        <w:pPr>
                          <w:spacing w:after="0" w:line="240" w:lineRule="auto"/>
                          <w:jc w:val="center"/>
                          <w:rPr>
                            <w:rFonts w:ascii="Times New Roman" w:hAnsi="Times New Roman"/>
                            <w:sz w:val="24"/>
                            <w:szCs w:val="24"/>
                          </w:rPr>
                        </w:pPr>
                        <w:r>
                          <w:rPr>
                            <w:rFonts w:ascii="Times New Roman" w:hAnsi="Times New Roman"/>
                            <w:sz w:val="24"/>
                            <w:szCs w:val="24"/>
                          </w:rPr>
                          <w:t>(вищий рівень)</w:t>
                        </w:r>
                      </w:p>
                      <w:p w:rsidR="00F821E3" w:rsidRDefault="00F821E3" w:rsidP="00110EE2">
                        <w:pPr>
                          <w:rPr>
                            <w:rFonts w:asciiTheme="minorHAnsi" w:hAnsiTheme="minorHAnsi" w:cstheme="minorBidi"/>
                          </w:rPr>
                        </w:pPr>
                      </w:p>
                    </w:txbxContent>
                  </v:textbox>
                </v:rect>
                <v:rect id="Прямоугольник 6" o:spid="_x0000_s1032" style="position:absolute;left:30327;top:10896;width:2377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" fillcolor="white [3201]" strokecolor="black [3213]" strokeweight="1pt">
                  <v:textbox>
                    <w:txbxContent>
                      <w:p w:rsidR="00F821E3" w:rsidRDefault="00F821E3" w:rsidP="00110EE2">
                        <w:pPr>
                          <w:spacing w:after="0" w:line="240" w:lineRule="auto"/>
                          <w:jc w:val="center"/>
                          <w:rPr>
                            <w:rFonts w:ascii="Times New Roman" w:hAnsi="Times New Roman"/>
                            <w:b/>
                            <w:sz w:val="24"/>
                            <w:szCs w:val="24"/>
                          </w:rPr>
                        </w:pPr>
                        <w:r>
                          <w:rPr>
                            <w:rFonts w:ascii="Times New Roman" w:hAnsi="Times New Roman"/>
                            <w:b/>
                            <w:sz w:val="24"/>
                            <w:szCs w:val="24"/>
                          </w:rPr>
                          <w:t>Ліквідність комерційних банків</w:t>
                        </w:r>
                      </w:p>
                      <w:p w:rsidR="00F821E3" w:rsidRDefault="00F821E3" w:rsidP="00110EE2">
                        <w:pPr>
                          <w:spacing w:after="0" w:line="240" w:lineRule="auto"/>
                          <w:jc w:val="center"/>
                          <w:rPr>
                            <w:rFonts w:ascii="Times New Roman" w:hAnsi="Times New Roman"/>
                            <w:sz w:val="24"/>
                            <w:szCs w:val="24"/>
                          </w:rPr>
                        </w:pPr>
                        <w:r>
                          <w:rPr>
                            <w:rFonts w:ascii="Times New Roman" w:hAnsi="Times New Roman"/>
                            <w:sz w:val="24"/>
                            <w:szCs w:val="24"/>
                          </w:rPr>
                          <w:t xml:space="preserve"> (нижчий рівень) </w:t>
                        </w:r>
                      </w:p>
                      <w:p w:rsidR="00F821E3" w:rsidRDefault="00F821E3" w:rsidP="00110EE2">
                        <w:pPr>
                          <w:jc w:val="center"/>
                          <w:rPr>
                            <w:rFonts w:asciiTheme="minorHAnsi" w:hAnsiTheme="minorHAnsi" w:cstheme="minorBidi"/>
                          </w:rPr>
                        </w:pPr>
                      </w:p>
                    </w:txbxContent>
                  </v:textbox>
                </v:rect>
                <w10:anchorlock/>
              </v:group>
            </w:pict>
          </mc:Fallback>
        </mc:AlternateContent>
      </w:r>
    </w:p>
    <w:p w:rsidR="00110EE2" w:rsidRDefault="00110EE2" w:rsidP="00110EE2">
      <w:pPr>
        <w:pStyle w:val="a4"/>
        <w:spacing w:after="0" w:line="360" w:lineRule="auto"/>
        <w:ind w:left="0" w:firstLine="709"/>
        <w:jc w:val="center"/>
        <w:rPr>
          <w:rFonts w:ascii="Times New Roman" w:hAnsi="Times New Roman" w:cs="Times New Roman"/>
          <w:sz w:val="28"/>
          <w:szCs w:val="28"/>
        </w:rPr>
      </w:pPr>
      <w:r w:rsidRPr="00C24F8F">
        <w:rPr>
          <w:rFonts w:ascii="Times New Roman" w:hAnsi="Times New Roman" w:cs="Times New Roman"/>
          <w:sz w:val="28"/>
          <w:szCs w:val="28"/>
        </w:rPr>
        <w:t>Рис. 1.1.</w:t>
      </w:r>
      <w:r>
        <w:rPr>
          <w:rFonts w:ascii="Times New Roman" w:hAnsi="Times New Roman" w:cs="Times New Roman"/>
          <w:sz w:val="28"/>
          <w:szCs w:val="28"/>
        </w:rPr>
        <w:t xml:space="preserve"> Структура ліквідності банківської системи України</w:t>
      </w:r>
    </w:p>
    <w:p w:rsidR="00110EE2" w:rsidRDefault="00110EE2" w:rsidP="003A2DCC">
      <w:pPr>
        <w:pStyle w:val="a4"/>
        <w:spacing w:before="24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сьогодні серед науковців-економістів відсутня єдина точка зору щодо дефініції «ліквідність банку». Особливо це стає помітно за результатами проведення компаративного аналізу підходів до трактування означеного поняття вітчизняними та зарубіжними вченими. </w:t>
      </w:r>
    </w:p>
    <w:p w:rsidR="00A0282C" w:rsidRDefault="00450462" w:rsidP="00DB43E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Фундатором уявлення про ліквідність банку</w:t>
      </w:r>
      <w:r w:rsidRPr="00450462">
        <w:rPr>
          <w:rFonts w:ascii="Times New Roman" w:hAnsi="Times New Roman" w:cs="Times New Roman"/>
          <w:sz w:val="28"/>
          <w:szCs w:val="28"/>
        </w:rPr>
        <w:t xml:space="preserve"> став</w:t>
      </w:r>
      <w:r w:rsidR="00A0282C" w:rsidRPr="00450462">
        <w:rPr>
          <w:rFonts w:ascii="Times New Roman" w:hAnsi="Times New Roman" w:cs="Times New Roman"/>
          <w:sz w:val="28"/>
          <w:szCs w:val="28"/>
        </w:rPr>
        <w:t xml:space="preserve"> </w:t>
      </w:r>
      <w:r w:rsidR="00A0282C" w:rsidRPr="00A0282C">
        <w:rPr>
          <w:rFonts w:ascii="Times New Roman" w:hAnsi="Times New Roman" w:cs="Times New Roman"/>
          <w:sz w:val="28"/>
          <w:szCs w:val="28"/>
        </w:rPr>
        <w:t>англійськи</w:t>
      </w:r>
      <w:r w:rsidR="00A0282C">
        <w:rPr>
          <w:rFonts w:ascii="Times New Roman" w:hAnsi="Times New Roman" w:cs="Times New Roman"/>
          <w:sz w:val="28"/>
          <w:szCs w:val="28"/>
        </w:rPr>
        <w:t xml:space="preserve">й </w:t>
      </w:r>
      <w:r w:rsidR="00A0282C" w:rsidRPr="00A0282C">
        <w:rPr>
          <w:rFonts w:ascii="Times New Roman" w:hAnsi="Times New Roman" w:cs="Times New Roman"/>
          <w:sz w:val="28"/>
          <w:szCs w:val="28"/>
        </w:rPr>
        <w:t xml:space="preserve">економіст </w:t>
      </w:r>
      <w:proofErr w:type="spellStart"/>
      <w:r w:rsidR="00A0282C" w:rsidRPr="00A0282C">
        <w:rPr>
          <w:rFonts w:ascii="Times New Roman" w:hAnsi="Times New Roman" w:cs="Times New Roman"/>
          <w:sz w:val="28"/>
          <w:szCs w:val="28"/>
        </w:rPr>
        <w:t>Дж</w:t>
      </w:r>
      <w:proofErr w:type="spellEnd"/>
      <w:r w:rsidR="00A0282C" w:rsidRPr="00A0282C">
        <w:rPr>
          <w:rFonts w:ascii="Times New Roman" w:hAnsi="Times New Roman" w:cs="Times New Roman"/>
          <w:sz w:val="28"/>
          <w:szCs w:val="28"/>
        </w:rPr>
        <w:t>. М. Кейнс</w:t>
      </w:r>
      <w:r w:rsidR="00DB43ED">
        <w:rPr>
          <w:rFonts w:ascii="Times New Roman" w:hAnsi="Times New Roman" w:cs="Times New Roman"/>
          <w:sz w:val="28"/>
          <w:szCs w:val="28"/>
        </w:rPr>
        <w:t xml:space="preserve"> </w:t>
      </w:r>
      <w:r w:rsidR="00DB43ED" w:rsidRPr="00A0282C">
        <w:rPr>
          <w:rFonts w:ascii="Times New Roman" w:hAnsi="Times New Roman" w:cs="Times New Roman"/>
          <w:sz w:val="28"/>
          <w:szCs w:val="28"/>
        </w:rPr>
        <w:t>[</w:t>
      </w:r>
      <w:r w:rsidR="00DB43ED">
        <w:rPr>
          <w:rFonts w:ascii="Times New Roman" w:hAnsi="Times New Roman" w:cs="Times New Roman"/>
          <w:sz w:val="28"/>
          <w:szCs w:val="28"/>
        </w:rPr>
        <w:t>5</w:t>
      </w:r>
      <w:r w:rsidR="00DB43ED" w:rsidRPr="00A0282C">
        <w:rPr>
          <w:rFonts w:ascii="Times New Roman" w:hAnsi="Times New Roman" w:cs="Times New Roman"/>
          <w:sz w:val="28"/>
          <w:szCs w:val="28"/>
        </w:rPr>
        <w:t>]</w:t>
      </w:r>
      <w:r w:rsidR="00DB43ED">
        <w:rPr>
          <w:rFonts w:ascii="Times New Roman" w:hAnsi="Times New Roman" w:cs="Times New Roman"/>
          <w:sz w:val="28"/>
          <w:szCs w:val="28"/>
        </w:rPr>
        <w:t>.</w:t>
      </w:r>
      <w:r w:rsidR="00A0282C">
        <w:rPr>
          <w:rFonts w:ascii="Times New Roman" w:hAnsi="Times New Roman" w:cs="Times New Roman"/>
          <w:sz w:val="28"/>
          <w:szCs w:val="28"/>
        </w:rPr>
        <w:t xml:space="preserve"> </w:t>
      </w:r>
      <w:r w:rsidR="00DB43ED">
        <w:rPr>
          <w:rFonts w:ascii="Times New Roman" w:hAnsi="Times New Roman" w:cs="Times New Roman"/>
          <w:sz w:val="28"/>
          <w:szCs w:val="28"/>
        </w:rPr>
        <w:t>Але взагалі вважається, що о</w:t>
      </w:r>
      <w:r w:rsidR="00DB43ED" w:rsidRPr="00DB43ED">
        <w:rPr>
          <w:rFonts w:ascii="Times New Roman" w:hAnsi="Times New Roman" w:cs="Times New Roman"/>
          <w:sz w:val="28"/>
          <w:szCs w:val="28"/>
        </w:rPr>
        <w:t>сновоположниками поглядів та теоретичних аспектів ліквідності банку</w:t>
      </w:r>
      <w:r w:rsidR="00DB43ED">
        <w:rPr>
          <w:rFonts w:ascii="Times New Roman" w:hAnsi="Times New Roman" w:cs="Times New Roman"/>
          <w:sz w:val="28"/>
          <w:szCs w:val="28"/>
        </w:rPr>
        <w:t xml:space="preserve"> </w:t>
      </w:r>
      <w:r w:rsidR="00DB43ED" w:rsidRPr="00DB43ED">
        <w:rPr>
          <w:rFonts w:ascii="Times New Roman" w:hAnsi="Times New Roman" w:cs="Times New Roman"/>
          <w:sz w:val="28"/>
          <w:szCs w:val="28"/>
        </w:rPr>
        <w:t>є західні науковці, думки яких представлені у табл. 1.1</w:t>
      </w:r>
      <w:r w:rsidR="00A0282C" w:rsidRPr="00DB43ED">
        <w:rPr>
          <w:rFonts w:ascii="Times New Roman" w:hAnsi="Times New Roman" w:cs="Times New Roman"/>
          <w:sz w:val="28"/>
          <w:szCs w:val="28"/>
        </w:rPr>
        <w:t>.</w:t>
      </w:r>
    </w:p>
    <w:p w:rsidR="00DB43ED" w:rsidRDefault="008967DC" w:rsidP="00DB43ED">
      <w:pPr>
        <w:pStyle w:val="a4"/>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Таблиця 1.1</w:t>
      </w:r>
    </w:p>
    <w:p w:rsidR="00DB43ED" w:rsidRPr="00105557" w:rsidRDefault="00DB43ED" w:rsidP="00105557">
      <w:pPr>
        <w:pStyle w:val="a4"/>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Погляди західних науковців щодо ліквідності банку</w:t>
      </w:r>
      <w:r w:rsidR="00105557">
        <w:rPr>
          <w:rFonts w:ascii="Times New Roman" w:hAnsi="Times New Roman" w:cs="Times New Roman"/>
          <w:sz w:val="28"/>
          <w:szCs w:val="28"/>
        </w:rPr>
        <w:t xml:space="preserve"> </w:t>
      </w:r>
    </w:p>
    <w:tbl>
      <w:tblPr>
        <w:tblStyle w:val="a5"/>
        <w:tblW w:w="0" w:type="auto"/>
        <w:tblInd w:w="0" w:type="dxa"/>
        <w:tblLook w:val="04A0" w:firstRow="1" w:lastRow="0" w:firstColumn="1" w:lastColumn="0" w:noHBand="0" w:noVBand="1"/>
      </w:tblPr>
      <w:tblGrid>
        <w:gridCol w:w="2547"/>
        <w:gridCol w:w="7082"/>
      </w:tblGrid>
      <w:tr w:rsidR="00DB43ED" w:rsidTr="00DB43ED">
        <w:tc>
          <w:tcPr>
            <w:tcW w:w="2547" w:type="dxa"/>
          </w:tcPr>
          <w:p w:rsidR="00DB43ED" w:rsidRPr="00DB43ED" w:rsidRDefault="00DB43ED" w:rsidP="00DB43ED">
            <w:pPr>
              <w:pStyle w:val="a4"/>
              <w:spacing w:line="360" w:lineRule="auto"/>
              <w:ind w:left="0"/>
              <w:jc w:val="center"/>
              <w:rPr>
                <w:rFonts w:ascii="Times New Roman" w:hAnsi="Times New Roman" w:cs="Times New Roman"/>
                <w:b/>
                <w:sz w:val="24"/>
                <w:szCs w:val="24"/>
              </w:rPr>
            </w:pPr>
            <w:r w:rsidRPr="00DB43ED">
              <w:rPr>
                <w:rFonts w:ascii="Times New Roman" w:hAnsi="Times New Roman" w:cs="Times New Roman"/>
                <w:b/>
                <w:sz w:val="24"/>
                <w:szCs w:val="24"/>
              </w:rPr>
              <w:t>Автор</w:t>
            </w:r>
          </w:p>
        </w:tc>
        <w:tc>
          <w:tcPr>
            <w:tcW w:w="7082" w:type="dxa"/>
          </w:tcPr>
          <w:p w:rsidR="00DB43ED" w:rsidRPr="00DB43ED" w:rsidRDefault="00DB43ED" w:rsidP="00DB43ED">
            <w:pPr>
              <w:pStyle w:val="a4"/>
              <w:spacing w:line="360" w:lineRule="auto"/>
              <w:ind w:left="0"/>
              <w:jc w:val="center"/>
              <w:rPr>
                <w:rFonts w:ascii="Times New Roman" w:hAnsi="Times New Roman" w:cs="Times New Roman"/>
                <w:b/>
                <w:sz w:val="24"/>
                <w:szCs w:val="24"/>
              </w:rPr>
            </w:pPr>
            <w:r w:rsidRPr="00DB43ED">
              <w:rPr>
                <w:rFonts w:ascii="Times New Roman" w:hAnsi="Times New Roman" w:cs="Times New Roman"/>
                <w:b/>
                <w:sz w:val="24"/>
                <w:szCs w:val="24"/>
              </w:rPr>
              <w:t>Дефініція</w:t>
            </w:r>
          </w:p>
        </w:tc>
      </w:tr>
      <w:tr w:rsidR="00DB43ED" w:rsidTr="00837FDD">
        <w:trPr>
          <w:trHeight w:val="827"/>
        </w:trPr>
        <w:tc>
          <w:tcPr>
            <w:tcW w:w="2547" w:type="dxa"/>
            <w:vAlign w:val="center"/>
          </w:tcPr>
          <w:p w:rsidR="00DB43ED" w:rsidRPr="00DB43ED" w:rsidRDefault="00DB43ED" w:rsidP="00DB43ED">
            <w:pPr>
              <w:pStyle w:val="a4"/>
              <w:spacing w:line="240" w:lineRule="auto"/>
              <w:ind w:left="0"/>
              <w:jc w:val="both"/>
              <w:rPr>
                <w:rFonts w:ascii="Times New Roman" w:hAnsi="Times New Roman" w:cs="Times New Roman"/>
                <w:sz w:val="24"/>
                <w:szCs w:val="24"/>
              </w:rPr>
            </w:pPr>
            <w:proofErr w:type="spellStart"/>
            <w:r w:rsidRPr="00DB43ED">
              <w:rPr>
                <w:rFonts w:ascii="Times New Roman" w:hAnsi="Times New Roman" w:cs="Times New Roman"/>
                <w:sz w:val="24"/>
                <w:szCs w:val="24"/>
              </w:rPr>
              <w:t>Дж</w:t>
            </w:r>
            <w:proofErr w:type="spellEnd"/>
            <w:r w:rsidRPr="00DB43ED">
              <w:rPr>
                <w:rFonts w:ascii="Times New Roman" w:hAnsi="Times New Roman" w:cs="Times New Roman"/>
                <w:sz w:val="24"/>
                <w:szCs w:val="24"/>
              </w:rPr>
              <w:t>. М. Кейнс</w:t>
            </w:r>
          </w:p>
        </w:tc>
        <w:tc>
          <w:tcPr>
            <w:tcW w:w="7082" w:type="dxa"/>
            <w:vAlign w:val="center"/>
          </w:tcPr>
          <w:p w:rsidR="00DB43ED" w:rsidRPr="00DB43ED" w:rsidRDefault="00DB43ED" w:rsidP="00DB43ED">
            <w:pPr>
              <w:pStyle w:val="a4"/>
              <w:spacing w:line="240" w:lineRule="auto"/>
              <w:ind w:left="0"/>
              <w:jc w:val="both"/>
              <w:rPr>
                <w:rFonts w:ascii="Times New Roman" w:hAnsi="Times New Roman" w:cs="Times New Roman"/>
                <w:sz w:val="24"/>
                <w:szCs w:val="24"/>
              </w:rPr>
            </w:pPr>
            <w:r w:rsidRPr="00DB43ED">
              <w:rPr>
                <w:rFonts w:ascii="Times New Roman" w:hAnsi="Times New Roman" w:cs="Times New Roman"/>
                <w:sz w:val="24"/>
                <w:szCs w:val="24"/>
              </w:rPr>
              <w:t>«…можливість і легкість оборотності різних вкладень банку (його активів) у готівкові кошти для виконання зобов’язань перед його кредиторами…»</w:t>
            </w:r>
          </w:p>
        </w:tc>
      </w:tr>
      <w:tr w:rsidR="00DB43ED" w:rsidTr="00837FDD">
        <w:trPr>
          <w:trHeight w:val="556"/>
        </w:trPr>
        <w:tc>
          <w:tcPr>
            <w:tcW w:w="2547" w:type="dxa"/>
            <w:vAlign w:val="center"/>
          </w:tcPr>
          <w:p w:rsidR="00DB43ED" w:rsidRDefault="00DB43ED" w:rsidP="003A2DCC">
            <w:pPr>
              <w:pStyle w:val="a4"/>
              <w:spacing w:line="360" w:lineRule="auto"/>
              <w:ind w:left="0"/>
              <w:jc w:val="both"/>
              <w:rPr>
                <w:rFonts w:ascii="Times New Roman" w:hAnsi="Times New Roman" w:cs="Times New Roman"/>
                <w:sz w:val="28"/>
                <w:szCs w:val="28"/>
              </w:rPr>
            </w:pPr>
            <w:proofErr w:type="spellStart"/>
            <w:r w:rsidRPr="00DB43ED">
              <w:rPr>
                <w:rFonts w:ascii="Times New Roman" w:hAnsi="Times New Roman" w:cs="Times New Roman"/>
                <w:sz w:val="24"/>
                <w:szCs w:val="24"/>
              </w:rPr>
              <w:t>Дж</w:t>
            </w:r>
            <w:proofErr w:type="spellEnd"/>
            <w:r w:rsidRPr="00DB43ED">
              <w:rPr>
                <w:rFonts w:ascii="Times New Roman" w:hAnsi="Times New Roman" w:cs="Times New Roman"/>
                <w:sz w:val="24"/>
                <w:szCs w:val="24"/>
              </w:rPr>
              <w:t xml:space="preserve">. </w:t>
            </w:r>
            <w:proofErr w:type="spellStart"/>
            <w:r w:rsidRPr="00DB43ED">
              <w:rPr>
                <w:rFonts w:ascii="Times New Roman" w:hAnsi="Times New Roman" w:cs="Times New Roman"/>
                <w:sz w:val="24"/>
                <w:szCs w:val="24"/>
              </w:rPr>
              <w:t>Сінкі</w:t>
            </w:r>
            <w:proofErr w:type="spellEnd"/>
          </w:p>
        </w:tc>
        <w:tc>
          <w:tcPr>
            <w:tcW w:w="7082" w:type="dxa"/>
            <w:vAlign w:val="center"/>
          </w:tcPr>
          <w:p w:rsidR="00DB43ED" w:rsidRPr="00DB43ED" w:rsidRDefault="00DB43ED" w:rsidP="00DB43ED">
            <w:pPr>
              <w:spacing w:line="240" w:lineRule="auto"/>
              <w:jc w:val="both"/>
              <w:rPr>
                <w:rFonts w:ascii="Times New Roman" w:hAnsi="Times New Roman"/>
                <w:sz w:val="24"/>
                <w:szCs w:val="24"/>
              </w:rPr>
            </w:pPr>
            <w:r w:rsidRPr="00DB43ED">
              <w:rPr>
                <w:rFonts w:ascii="Times New Roman" w:hAnsi="Times New Roman"/>
                <w:sz w:val="24"/>
                <w:szCs w:val="24"/>
              </w:rPr>
              <w:t>«…готовність банку до вилучення депозитів і задовольняти попит на кредити…»</w:t>
            </w:r>
          </w:p>
        </w:tc>
      </w:tr>
      <w:tr w:rsidR="00DB43ED" w:rsidTr="00837FDD">
        <w:trPr>
          <w:trHeight w:val="835"/>
        </w:trPr>
        <w:tc>
          <w:tcPr>
            <w:tcW w:w="2547" w:type="dxa"/>
            <w:vAlign w:val="center"/>
          </w:tcPr>
          <w:p w:rsidR="00DB43ED" w:rsidRDefault="00DB43ED" w:rsidP="003A2DCC">
            <w:pPr>
              <w:pStyle w:val="a4"/>
              <w:spacing w:line="360" w:lineRule="auto"/>
              <w:ind w:left="0"/>
              <w:jc w:val="both"/>
              <w:rPr>
                <w:rFonts w:ascii="Times New Roman" w:hAnsi="Times New Roman" w:cs="Times New Roman"/>
                <w:sz w:val="28"/>
                <w:szCs w:val="28"/>
              </w:rPr>
            </w:pPr>
            <w:r w:rsidRPr="00DB43ED">
              <w:rPr>
                <w:rFonts w:ascii="Times New Roman" w:hAnsi="Times New Roman" w:cs="Times New Roman"/>
                <w:sz w:val="24"/>
                <w:szCs w:val="24"/>
              </w:rPr>
              <w:t xml:space="preserve">П.С. </w:t>
            </w:r>
            <w:proofErr w:type="spellStart"/>
            <w:r w:rsidRPr="00DB43ED">
              <w:rPr>
                <w:rFonts w:ascii="Times New Roman" w:hAnsi="Times New Roman" w:cs="Times New Roman"/>
                <w:sz w:val="24"/>
                <w:szCs w:val="24"/>
              </w:rPr>
              <w:t>Роуз</w:t>
            </w:r>
            <w:proofErr w:type="spellEnd"/>
          </w:p>
        </w:tc>
        <w:tc>
          <w:tcPr>
            <w:tcW w:w="7082" w:type="dxa"/>
            <w:vAlign w:val="center"/>
          </w:tcPr>
          <w:p w:rsidR="00DB43ED" w:rsidRPr="00DB43ED" w:rsidRDefault="00DB43ED" w:rsidP="00DB43ED">
            <w:pPr>
              <w:pStyle w:val="a4"/>
              <w:spacing w:line="240" w:lineRule="auto"/>
              <w:ind w:left="0"/>
              <w:jc w:val="both"/>
              <w:rPr>
                <w:rFonts w:ascii="Times New Roman" w:hAnsi="Times New Roman" w:cs="Times New Roman"/>
                <w:sz w:val="24"/>
                <w:szCs w:val="24"/>
              </w:rPr>
            </w:pPr>
            <w:r w:rsidRPr="00DB43ED">
              <w:rPr>
                <w:rFonts w:ascii="Times New Roman" w:hAnsi="Times New Roman" w:cs="Times New Roman"/>
                <w:sz w:val="24"/>
                <w:szCs w:val="24"/>
              </w:rPr>
              <w:t>«…Банк вважають ліквідним, якщо він має доступ до коштів, які можна залучити по розумній ціні саме в той момент, коли вони необхідні…»</w:t>
            </w:r>
          </w:p>
        </w:tc>
      </w:tr>
      <w:tr w:rsidR="00DB43ED" w:rsidTr="00837FDD">
        <w:trPr>
          <w:trHeight w:val="967"/>
        </w:trPr>
        <w:tc>
          <w:tcPr>
            <w:tcW w:w="2547" w:type="dxa"/>
            <w:vAlign w:val="center"/>
          </w:tcPr>
          <w:p w:rsidR="00DB43ED" w:rsidRDefault="00DB43ED" w:rsidP="003A2DCC">
            <w:pPr>
              <w:pStyle w:val="a4"/>
              <w:spacing w:line="360" w:lineRule="auto"/>
              <w:ind w:left="0"/>
              <w:jc w:val="both"/>
              <w:rPr>
                <w:rFonts w:ascii="Times New Roman" w:hAnsi="Times New Roman" w:cs="Times New Roman"/>
                <w:sz w:val="28"/>
                <w:szCs w:val="28"/>
              </w:rPr>
            </w:pPr>
            <w:r w:rsidRPr="00DB43ED">
              <w:rPr>
                <w:rFonts w:ascii="Times New Roman" w:hAnsi="Times New Roman" w:cs="Times New Roman"/>
                <w:sz w:val="24"/>
                <w:szCs w:val="24"/>
              </w:rPr>
              <w:t>Е. Рід</w:t>
            </w:r>
          </w:p>
        </w:tc>
        <w:tc>
          <w:tcPr>
            <w:tcW w:w="7082" w:type="dxa"/>
            <w:vAlign w:val="center"/>
          </w:tcPr>
          <w:p w:rsidR="00DB43ED" w:rsidRPr="00DB43ED" w:rsidRDefault="00DB43ED" w:rsidP="00DB43ED">
            <w:pPr>
              <w:pStyle w:val="a4"/>
              <w:spacing w:line="240" w:lineRule="auto"/>
              <w:ind w:left="0"/>
              <w:jc w:val="both"/>
              <w:rPr>
                <w:rFonts w:ascii="Times New Roman" w:hAnsi="Times New Roman" w:cs="Times New Roman"/>
                <w:sz w:val="24"/>
                <w:szCs w:val="24"/>
              </w:rPr>
            </w:pPr>
            <w:r w:rsidRPr="00DB43ED">
              <w:rPr>
                <w:rFonts w:ascii="Times New Roman" w:hAnsi="Times New Roman" w:cs="Times New Roman"/>
                <w:sz w:val="24"/>
                <w:szCs w:val="24"/>
              </w:rPr>
              <w:t>«…Банк вважається ліквідним, якщо суми його готівкових коштів та інших ліквідних активів достатні для своєчасного погашення боргових і фінансових зобов’язань…»</w:t>
            </w:r>
          </w:p>
        </w:tc>
      </w:tr>
      <w:tr w:rsidR="00DB43ED" w:rsidTr="00837FDD">
        <w:trPr>
          <w:trHeight w:val="569"/>
        </w:trPr>
        <w:tc>
          <w:tcPr>
            <w:tcW w:w="2547" w:type="dxa"/>
            <w:vAlign w:val="center"/>
          </w:tcPr>
          <w:p w:rsidR="00DB43ED" w:rsidRDefault="00DB43ED" w:rsidP="003A2DCC">
            <w:pPr>
              <w:pStyle w:val="a4"/>
              <w:spacing w:line="360" w:lineRule="auto"/>
              <w:ind w:left="0"/>
              <w:jc w:val="both"/>
              <w:rPr>
                <w:rFonts w:ascii="Times New Roman" w:hAnsi="Times New Roman" w:cs="Times New Roman"/>
                <w:sz w:val="28"/>
                <w:szCs w:val="28"/>
              </w:rPr>
            </w:pPr>
            <w:r w:rsidRPr="00DB43ED">
              <w:rPr>
                <w:rFonts w:ascii="Times New Roman" w:hAnsi="Times New Roman" w:cs="Times New Roman"/>
                <w:sz w:val="24"/>
                <w:szCs w:val="24"/>
              </w:rPr>
              <w:t xml:space="preserve">Р. </w:t>
            </w:r>
            <w:proofErr w:type="spellStart"/>
            <w:r w:rsidRPr="00DB43ED">
              <w:rPr>
                <w:rFonts w:ascii="Times New Roman" w:hAnsi="Times New Roman" w:cs="Times New Roman"/>
                <w:sz w:val="24"/>
                <w:szCs w:val="24"/>
              </w:rPr>
              <w:t>Дутвейлер</w:t>
            </w:r>
            <w:proofErr w:type="spellEnd"/>
          </w:p>
        </w:tc>
        <w:tc>
          <w:tcPr>
            <w:tcW w:w="7082" w:type="dxa"/>
            <w:vAlign w:val="center"/>
          </w:tcPr>
          <w:p w:rsidR="00DB43ED" w:rsidRPr="00DB43ED" w:rsidRDefault="00DB43ED" w:rsidP="00DB43ED">
            <w:pPr>
              <w:pStyle w:val="a4"/>
              <w:spacing w:line="240" w:lineRule="auto"/>
              <w:ind w:left="0"/>
              <w:jc w:val="both"/>
              <w:rPr>
                <w:rFonts w:ascii="Times New Roman" w:hAnsi="Times New Roman" w:cs="Times New Roman"/>
                <w:sz w:val="24"/>
                <w:szCs w:val="24"/>
              </w:rPr>
            </w:pPr>
            <w:r w:rsidRPr="00DB43ED">
              <w:rPr>
                <w:rFonts w:ascii="Times New Roman" w:hAnsi="Times New Roman" w:cs="Times New Roman"/>
                <w:sz w:val="24"/>
                <w:szCs w:val="24"/>
              </w:rPr>
              <w:t>«…здатність задовольняти усі вимоги клієнтів у</w:t>
            </w:r>
          </w:p>
          <w:p w:rsidR="00DB43ED" w:rsidRDefault="00DB43ED" w:rsidP="00DB43ED">
            <w:pPr>
              <w:pStyle w:val="a4"/>
              <w:spacing w:line="240" w:lineRule="auto"/>
              <w:ind w:left="0"/>
              <w:jc w:val="both"/>
              <w:rPr>
                <w:rFonts w:ascii="Times New Roman" w:hAnsi="Times New Roman" w:cs="Times New Roman"/>
                <w:sz w:val="28"/>
                <w:szCs w:val="28"/>
              </w:rPr>
            </w:pPr>
            <w:r w:rsidRPr="00DB43ED">
              <w:rPr>
                <w:rFonts w:ascii="Times New Roman" w:hAnsi="Times New Roman" w:cs="Times New Roman"/>
                <w:sz w:val="24"/>
                <w:szCs w:val="24"/>
              </w:rPr>
              <w:t>необхідній валюті…»</w:t>
            </w:r>
          </w:p>
        </w:tc>
      </w:tr>
    </w:tbl>
    <w:p w:rsidR="00DB43ED" w:rsidRPr="002242D9" w:rsidRDefault="00105557" w:rsidP="00837FDD">
      <w:pPr>
        <w:pStyle w:val="a4"/>
        <w:spacing w:before="120" w:after="0" w:line="360" w:lineRule="auto"/>
        <w:ind w:left="0" w:firstLine="709"/>
        <w:jc w:val="both"/>
        <w:rPr>
          <w:rFonts w:ascii="Times New Roman" w:hAnsi="Times New Roman" w:cs="Times New Roman"/>
          <w:sz w:val="24"/>
          <w:szCs w:val="24"/>
        </w:rPr>
      </w:pPr>
      <w:r w:rsidRPr="002242D9">
        <w:rPr>
          <w:rFonts w:ascii="Times New Roman" w:hAnsi="Times New Roman" w:cs="Times New Roman"/>
          <w:sz w:val="24"/>
          <w:szCs w:val="24"/>
        </w:rPr>
        <w:t>Джерело: [2, с.15; 5]</w:t>
      </w:r>
    </w:p>
    <w:p w:rsidR="009A752B" w:rsidRDefault="009A752B" w:rsidP="00837FDD">
      <w:pPr>
        <w:shd w:val="clear" w:color="auto" w:fill="FFFFFF"/>
        <w:spacing w:after="0" w:line="372" w:lineRule="auto"/>
        <w:ind w:firstLine="709"/>
        <w:jc w:val="both"/>
        <w:rPr>
          <w:rFonts w:ascii="Times New Roman" w:eastAsiaTheme="minorHAnsi" w:hAnsi="Times New Roman"/>
          <w:sz w:val="28"/>
          <w:szCs w:val="28"/>
        </w:rPr>
      </w:pPr>
      <w:r w:rsidRPr="009A752B">
        <w:rPr>
          <w:rFonts w:ascii="Times New Roman" w:eastAsiaTheme="minorHAnsi" w:hAnsi="Times New Roman"/>
          <w:sz w:val="28"/>
          <w:szCs w:val="28"/>
        </w:rPr>
        <w:lastRenderedPageBreak/>
        <w:t>Термін «ліквідність банку» набуває ши</w:t>
      </w:r>
      <w:r>
        <w:rPr>
          <w:rFonts w:ascii="Times New Roman" w:eastAsiaTheme="minorHAnsi" w:hAnsi="Times New Roman"/>
          <w:sz w:val="28"/>
          <w:szCs w:val="28"/>
        </w:rPr>
        <w:t xml:space="preserve">рокого використання в теорії та </w:t>
      </w:r>
      <w:r w:rsidRPr="009A752B">
        <w:rPr>
          <w:rFonts w:ascii="Times New Roman" w:eastAsiaTheme="minorHAnsi" w:hAnsi="Times New Roman"/>
          <w:sz w:val="28"/>
          <w:szCs w:val="28"/>
        </w:rPr>
        <w:t xml:space="preserve">практиці банківської діяльності у другій половині 30-х рр. ХХ ст. завдяки працям </w:t>
      </w:r>
      <w:proofErr w:type="spellStart"/>
      <w:r w:rsidRPr="009A752B">
        <w:rPr>
          <w:rFonts w:ascii="Times New Roman" w:eastAsiaTheme="minorHAnsi" w:hAnsi="Times New Roman"/>
          <w:sz w:val="28"/>
          <w:szCs w:val="28"/>
        </w:rPr>
        <w:t>Дж</w:t>
      </w:r>
      <w:proofErr w:type="spellEnd"/>
      <w:r w:rsidRPr="009A752B">
        <w:rPr>
          <w:rFonts w:ascii="Times New Roman" w:eastAsiaTheme="minorHAnsi" w:hAnsi="Times New Roman"/>
          <w:sz w:val="28"/>
          <w:szCs w:val="28"/>
        </w:rPr>
        <w:t xml:space="preserve">. </w:t>
      </w:r>
      <w:r>
        <w:rPr>
          <w:rFonts w:ascii="Times New Roman" w:eastAsiaTheme="minorHAnsi" w:hAnsi="Times New Roman"/>
          <w:sz w:val="28"/>
          <w:szCs w:val="28"/>
        </w:rPr>
        <w:t xml:space="preserve">М. Кейнса - засновника першої </w:t>
      </w:r>
      <w:r w:rsidRPr="009A752B">
        <w:rPr>
          <w:rFonts w:ascii="Times New Roman" w:eastAsiaTheme="minorHAnsi" w:hAnsi="Times New Roman"/>
          <w:sz w:val="28"/>
          <w:szCs w:val="28"/>
        </w:rPr>
        <w:t xml:space="preserve">макроекономічної доктрини регулювання </w:t>
      </w:r>
      <w:r>
        <w:rPr>
          <w:rFonts w:ascii="Times New Roman" w:eastAsiaTheme="minorHAnsi" w:hAnsi="Times New Roman"/>
          <w:sz w:val="28"/>
          <w:szCs w:val="28"/>
        </w:rPr>
        <w:t xml:space="preserve">ринкового господарства. У своїй </w:t>
      </w:r>
      <w:r w:rsidRPr="009A752B">
        <w:rPr>
          <w:rFonts w:ascii="Times New Roman" w:eastAsiaTheme="minorHAnsi" w:hAnsi="Times New Roman"/>
          <w:sz w:val="28"/>
          <w:szCs w:val="28"/>
        </w:rPr>
        <w:t xml:space="preserve">роботі «Загальна теорія зайнятості, проценту і грошей» (1936 р.) </w:t>
      </w:r>
      <w:proofErr w:type="spellStart"/>
      <w:r w:rsidRPr="009A752B">
        <w:rPr>
          <w:rFonts w:ascii="Times New Roman" w:eastAsiaTheme="minorHAnsi" w:hAnsi="Times New Roman"/>
          <w:sz w:val="28"/>
          <w:szCs w:val="28"/>
        </w:rPr>
        <w:t>Дж</w:t>
      </w:r>
      <w:proofErr w:type="spellEnd"/>
      <w:r w:rsidRPr="009A752B">
        <w:rPr>
          <w:rFonts w:ascii="Times New Roman" w:eastAsiaTheme="minorHAnsi" w:hAnsi="Times New Roman"/>
          <w:sz w:val="28"/>
          <w:szCs w:val="28"/>
        </w:rPr>
        <w:t xml:space="preserve">. </w:t>
      </w:r>
      <w:r>
        <w:rPr>
          <w:rFonts w:ascii="Times New Roman" w:eastAsiaTheme="minorHAnsi" w:hAnsi="Times New Roman"/>
          <w:sz w:val="28"/>
          <w:szCs w:val="28"/>
        </w:rPr>
        <w:t xml:space="preserve">М. Кейнс </w:t>
      </w:r>
      <w:r w:rsidRPr="009A752B">
        <w:rPr>
          <w:rFonts w:ascii="Times New Roman" w:eastAsiaTheme="minorHAnsi" w:hAnsi="Times New Roman"/>
          <w:sz w:val="28"/>
          <w:szCs w:val="28"/>
        </w:rPr>
        <w:t>описав психологічний мотив «надання пе</w:t>
      </w:r>
      <w:r>
        <w:rPr>
          <w:rFonts w:ascii="Times New Roman" w:eastAsiaTheme="minorHAnsi" w:hAnsi="Times New Roman"/>
          <w:sz w:val="28"/>
          <w:szCs w:val="28"/>
        </w:rPr>
        <w:t xml:space="preserve">реваги ліквідності» – прагнення </w:t>
      </w:r>
      <w:r w:rsidRPr="009A752B">
        <w:rPr>
          <w:rFonts w:ascii="Times New Roman" w:eastAsiaTheme="minorHAnsi" w:hAnsi="Times New Roman"/>
          <w:sz w:val="28"/>
          <w:szCs w:val="28"/>
        </w:rPr>
        <w:t>господарюючих суб’єктів зберігати отримані доходи в грошовій формі [</w:t>
      </w:r>
      <w:r>
        <w:rPr>
          <w:rFonts w:ascii="Times New Roman" w:eastAsiaTheme="minorHAnsi" w:hAnsi="Times New Roman"/>
          <w:sz w:val="28"/>
          <w:szCs w:val="28"/>
        </w:rPr>
        <w:t>2</w:t>
      </w:r>
      <w:r w:rsidRPr="009A752B">
        <w:rPr>
          <w:rFonts w:ascii="Times New Roman" w:eastAsiaTheme="minorHAnsi" w:hAnsi="Times New Roman"/>
          <w:sz w:val="28"/>
          <w:szCs w:val="28"/>
        </w:rPr>
        <w:t>, с.15</w:t>
      </w:r>
      <w:r>
        <w:rPr>
          <w:rFonts w:ascii="Times New Roman" w:eastAsiaTheme="minorHAnsi" w:hAnsi="Times New Roman"/>
          <w:sz w:val="28"/>
          <w:szCs w:val="28"/>
        </w:rPr>
        <w:t>; 5</w:t>
      </w:r>
      <w:r w:rsidRPr="009A752B">
        <w:rPr>
          <w:rFonts w:ascii="Times New Roman" w:eastAsiaTheme="minorHAnsi" w:hAnsi="Times New Roman"/>
          <w:sz w:val="28"/>
          <w:szCs w:val="28"/>
        </w:rPr>
        <w:t>].</w:t>
      </w:r>
    </w:p>
    <w:p w:rsidR="003A2DCC" w:rsidRPr="003A2DCC" w:rsidRDefault="003A2DCC" w:rsidP="00837FDD">
      <w:pPr>
        <w:shd w:val="clear" w:color="auto" w:fill="FFFFFF"/>
        <w:spacing w:after="0" w:line="372" w:lineRule="auto"/>
        <w:ind w:firstLine="709"/>
        <w:jc w:val="both"/>
        <w:rPr>
          <w:rFonts w:ascii="Times New Roman" w:eastAsiaTheme="minorHAnsi" w:hAnsi="Times New Roman"/>
          <w:sz w:val="28"/>
          <w:szCs w:val="28"/>
        </w:rPr>
      </w:pPr>
      <w:r w:rsidRPr="003A2DCC">
        <w:rPr>
          <w:rFonts w:ascii="Times New Roman" w:eastAsiaTheme="minorHAnsi" w:hAnsi="Times New Roman"/>
          <w:sz w:val="28"/>
          <w:szCs w:val="28"/>
        </w:rPr>
        <w:t>Відповідно до тлумачень, які наведені у Енциклопедії банківської справи України, ліквідність це:</w:t>
      </w:r>
    </w:p>
    <w:p w:rsidR="003A2DCC" w:rsidRPr="003A2DCC" w:rsidRDefault="003A2DCC" w:rsidP="00837FDD">
      <w:pPr>
        <w:shd w:val="clear" w:color="auto" w:fill="FFFFFF"/>
        <w:spacing w:after="0" w:line="372" w:lineRule="auto"/>
        <w:ind w:firstLine="709"/>
        <w:jc w:val="both"/>
        <w:rPr>
          <w:rFonts w:ascii="Times New Roman" w:eastAsiaTheme="minorHAnsi" w:hAnsi="Times New Roman"/>
          <w:sz w:val="28"/>
          <w:szCs w:val="28"/>
        </w:rPr>
      </w:pPr>
      <w:r w:rsidRPr="003A2DCC">
        <w:rPr>
          <w:rFonts w:ascii="Times New Roman" w:eastAsiaTheme="minorHAnsi" w:hAnsi="Times New Roman"/>
          <w:sz w:val="28"/>
          <w:szCs w:val="28"/>
        </w:rPr>
        <w:t>1) здатність до реалізації, продажу, мобільного перетворення матеріальних та інших цінностей на реальні гроші (у цьому значенні виокремлюють поняття «ліквідні засоби» і «ліквідні активи»);</w:t>
      </w:r>
    </w:p>
    <w:p w:rsidR="002242D9" w:rsidRDefault="003A2DCC" w:rsidP="00837FDD">
      <w:pPr>
        <w:shd w:val="clear" w:color="auto" w:fill="FFFFFF"/>
        <w:spacing w:after="0" w:line="372" w:lineRule="auto"/>
        <w:ind w:firstLine="709"/>
        <w:jc w:val="both"/>
        <w:rPr>
          <w:rFonts w:ascii="Times New Roman" w:eastAsiaTheme="minorHAnsi" w:hAnsi="Times New Roman"/>
          <w:sz w:val="28"/>
          <w:szCs w:val="28"/>
        </w:rPr>
      </w:pPr>
      <w:r w:rsidRPr="003A2DCC">
        <w:rPr>
          <w:rFonts w:ascii="Times New Roman" w:eastAsiaTheme="minorHAnsi" w:hAnsi="Times New Roman"/>
          <w:sz w:val="28"/>
          <w:szCs w:val="28"/>
        </w:rPr>
        <w:t>2) здатність підприємств, банків своєчасно виконувати свої  кредитно-фінансові зобов’язання, можливість конвертувати відповідні активи у грошові кошти в готівковій або безготівковій формі для оплати своїх платіжних зобов’язань (у цьому значенні виокремлюють ліквідність підприємства, ліквідність банку, ліквідність держави). А ліквідність банку – його здатність вчасно і повністю виконувати свої поточні зобов’язання, задовольняти вимоги вкладників і попит позичальників, що визначається збалансуванням активів і пасивів балансу банку, ступенем відповідності строків розміщених активів і залучених банком пасивів [6, c. 331].</w:t>
      </w:r>
      <w:r w:rsidR="00AC52EB">
        <w:rPr>
          <w:rFonts w:ascii="Times New Roman" w:eastAsiaTheme="minorHAnsi" w:hAnsi="Times New Roman"/>
          <w:sz w:val="28"/>
          <w:szCs w:val="28"/>
        </w:rPr>
        <w:t xml:space="preserve"> </w:t>
      </w:r>
    </w:p>
    <w:p w:rsidR="00450462" w:rsidRPr="00AC52EB" w:rsidRDefault="00AE5E6D" w:rsidP="00837FDD">
      <w:pPr>
        <w:shd w:val="clear" w:color="auto" w:fill="FFFFFF"/>
        <w:spacing w:after="0" w:line="372" w:lineRule="auto"/>
        <w:ind w:firstLine="709"/>
        <w:jc w:val="both"/>
        <w:rPr>
          <w:rFonts w:ascii="Times New Roman" w:eastAsiaTheme="minorHAnsi" w:hAnsi="Times New Roman"/>
          <w:sz w:val="28"/>
          <w:szCs w:val="28"/>
        </w:rPr>
      </w:pPr>
      <w:r>
        <w:rPr>
          <w:rFonts w:ascii="Times New Roman" w:hAnsi="Times New Roman"/>
          <w:sz w:val="28"/>
          <w:szCs w:val="28"/>
        </w:rPr>
        <w:t>Проте, на наш погляд</w:t>
      </w:r>
      <w:r w:rsidRPr="00AE5E6D">
        <w:rPr>
          <w:rFonts w:ascii="Times New Roman" w:hAnsi="Times New Roman"/>
          <w:sz w:val="28"/>
          <w:szCs w:val="28"/>
        </w:rPr>
        <w:t xml:space="preserve">, це тлумачення неповною мірою розкриває сутність ліквідності </w:t>
      </w:r>
      <w:r w:rsidR="00AC52EB">
        <w:rPr>
          <w:rFonts w:ascii="Times New Roman" w:hAnsi="Times New Roman"/>
          <w:sz w:val="28"/>
          <w:szCs w:val="28"/>
        </w:rPr>
        <w:t>комерційного банку, оскільки не вра</w:t>
      </w:r>
      <w:r w:rsidRPr="00AE5E6D">
        <w:rPr>
          <w:rFonts w:ascii="Times New Roman" w:hAnsi="Times New Roman"/>
          <w:sz w:val="28"/>
          <w:szCs w:val="28"/>
        </w:rPr>
        <w:t xml:space="preserve">ховує динамічність цього явища, </w:t>
      </w:r>
      <w:r w:rsidR="00AC52EB">
        <w:rPr>
          <w:rFonts w:ascii="Times New Roman" w:hAnsi="Times New Roman"/>
          <w:sz w:val="28"/>
          <w:szCs w:val="28"/>
        </w:rPr>
        <w:t>сучасні умови функціонування комерційного банку та банківської системи в цілому.</w:t>
      </w:r>
      <w:r w:rsidR="00C726E8">
        <w:rPr>
          <w:rFonts w:ascii="Times New Roman" w:hAnsi="Times New Roman"/>
          <w:sz w:val="28"/>
          <w:szCs w:val="28"/>
        </w:rPr>
        <w:t xml:space="preserve"> Тому вважаємо за доцільне розглянути поняття «ліквідність банку», дефініції якого в різні часи розкривали українські та іноземні вчені-економісти. </w:t>
      </w:r>
    </w:p>
    <w:p w:rsidR="00110EE2" w:rsidRDefault="00110EE2" w:rsidP="00837FDD">
      <w:pPr>
        <w:pStyle w:val="a4"/>
        <w:spacing w:after="0" w:line="372"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Визначення поняття «ліквідність банку» українськими та іноземними науковцями наведено </w:t>
      </w:r>
      <w:r w:rsidRPr="00C24F8F">
        <w:rPr>
          <w:rFonts w:ascii="Times New Roman" w:hAnsi="Times New Roman" w:cs="Times New Roman"/>
          <w:sz w:val="28"/>
          <w:szCs w:val="28"/>
        </w:rPr>
        <w:t>у табл</w:t>
      </w:r>
      <w:r w:rsidR="00C24F8F" w:rsidRPr="00C24F8F">
        <w:rPr>
          <w:rFonts w:ascii="Times New Roman" w:hAnsi="Times New Roman" w:cs="Times New Roman"/>
          <w:sz w:val="28"/>
          <w:szCs w:val="28"/>
        </w:rPr>
        <w:t>.</w:t>
      </w:r>
      <w:r w:rsidRPr="00C24F8F">
        <w:rPr>
          <w:rFonts w:ascii="Times New Roman" w:hAnsi="Times New Roman" w:cs="Times New Roman"/>
          <w:sz w:val="28"/>
          <w:szCs w:val="28"/>
        </w:rPr>
        <w:t xml:space="preserve"> 1.</w:t>
      </w:r>
      <w:r w:rsidR="002242D9">
        <w:rPr>
          <w:rFonts w:ascii="Times New Roman" w:hAnsi="Times New Roman" w:cs="Times New Roman"/>
          <w:sz w:val="28"/>
          <w:szCs w:val="28"/>
        </w:rPr>
        <w:t>2</w:t>
      </w:r>
      <w:r w:rsidRPr="00C24F8F">
        <w:rPr>
          <w:rFonts w:ascii="Times New Roman" w:hAnsi="Times New Roman" w:cs="Times New Roman"/>
          <w:sz w:val="28"/>
          <w:szCs w:val="28"/>
        </w:rPr>
        <w:t>.</w:t>
      </w:r>
    </w:p>
    <w:p w:rsidR="002242D9" w:rsidRDefault="002242D9" w:rsidP="00A053BC">
      <w:pPr>
        <w:spacing w:after="0" w:line="367" w:lineRule="auto"/>
        <w:ind w:firstLine="709"/>
        <w:jc w:val="right"/>
        <w:rPr>
          <w:rFonts w:ascii="Times New Roman" w:hAnsi="Times New Roman"/>
          <w:sz w:val="28"/>
          <w:szCs w:val="28"/>
        </w:rPr>
      </w:pPr>
    </w:p>
    <w:p w:rsidR="002242D9" w:rsidRDefault="002242D9" w:rsidP="00A053BC">
      <w:pPr>
        <w:spacing w:after="0" w:line="367" w:lineRule="auto"/>
        <w:ind w:firstLine="709"/>
        <w:jc w:val="right"/>
        <w:rPr>
          <w:rFonts w:ascii="Times New Roman" w:hAnsi="Times New Roman"/>
          <w:sz w:val="28"/>
          <w:szCs w:val="28"/>
        </w:rPr>
      </w:pPr>
    </w:p>
    <w:p w:rsidR="00C24F8F" w:rsidRDefault="00110EE2" w:rsidP="00C24F8F">
      <w:pPr>
        <w:spacing w:after="0" w:line="360" w:lineRule="auto"/>
        <w:ind w:firstLine="708"/>
        <w:jc w:val="right"/>
        <w:rPr>
          <w:rFonts w:ascii="Times New Roman" w:hAnsi="Times New Roman"/>
          <w:sz w:val="28"/>
          <w:szCs w:val="28"/>
        </w:rPr>
      </w:pPr>
      <w:r w:rsidRPr="00C24F8F">
        <w:rPr>
          <w:rFonts w:ascii="Times New Roman" w:hAnsi="Times New Roman"/>
          <w:sz w:val="28"/>
          <w:szCs w:val="28"/>
        </w:rPr>
        <w:lastRenderedPageBreak/>
        <w:t>Таблиця 1.</w:t>
      </w:r>
      <w:r w:rsidR="008967DC">
        <w:rPr>
          <w:rFonts w:ascii="Times New Roman" w:hAnsi="Times New Roman"/>
          <w:sz w:val="28"/>
          <w:szCs w:val="28"/>
        </w:rPr>
        <w:t>2</w:t>
      </w:r>
      <w:r w:rsidRPr="00C24F8F">
        <w:rPr>
          <w:rFonts w:ascii="Times New Roman" w:hAnsi="Times New Roman"/>
          <w:sz w:val="28"/>
          <w:szCs w:val="28"/>
        </w:rPr>
        <w:t xml:space="preserve"> </w:t>
      </w:r>
    </w:p>
    <w:p w:rsidR="00110EE2" w:rsidRDefault="00110EE2" w:rsidP="00C24F8F">
      <w:pPr>
        <w:spacing w:after="0" w:line="360" w:lineRule="auto"/>
        <w:ind w:firstLine="708"/>
        <w:jc w:val="center"/>
        <w:rPr>
          <w:rFonts w:ascii="Times New Roman" w:hAnsi="Times New Roman"/>
          <w:sz w:val="28"/>
          <w:szCs w:val="28"/>
        </w:rPr>
      </w:pPr>
      <w:r>
        <w:rPr>
          <w:rFonts w:ascii="Times New Roman" w:hAnsi="Times New Roman"/>
          <w:sz w:val="28"/>
          <w:szCs w:val="28"/>
        </w:rPr>
        <w:t>Дефініція терміну «ліквідність банку»</w:t>
      </w:r>
    </w:p>
    <w:tbl>
      <w:tblPr>
        <w:tblStyle w:val="a5"/>
        <w:tblW w:w="0" w:type="auto"/>
        <w:jc w:val="center"/>
        <w:tblInd w:w="0" w:type="dxa"/>
        <w:tblLook w:val="04A0" w:firstRow="1" w:lastRow="0" w:firstColumn="1" w:lastColumn="0" w:noHBand="0" w:noVBand="1"/>
      </w:tblPr>
      <w:tblGrid>
        <w:gridCol w:w="2547"/>
        <w:gridCol w:w="7082"/>
      </w:tblGrid>
      <w:tr w:rsidR="00110EE2" w:rsidTr="00837FDD">
        <w:trPr>
          <w:trHeight w:val="462"/>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Автор</w:t>
            </w:r>
          </w:p>
        </w:tc>
        <w:tc>
          <w:tcPr>
            <w:tcW w:w="7082"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Дефініція</w:t>
            </w:r>
          </w:p>
        </w:tc>
      </w:tr>
      <w:tr w:rsidR="00110EE2" w:rsidTr="00837FDD">
        <w:trPr>
          <w:trHeight w:val="83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Мочерний</w:t>
            </w:r>
            <w:proofErr w:type="spellEnd"/>
            <w:r>
              <w:rPr>
                <w:rFonts w:ascii="Times New Roman" w:hAnsi="Times New Roman" w:cs="Times New Roman"/>
                <w:sz w:val="24"/>
                <w:szCs w:val="24"/>
              </w:rPr>
              <w:t xml:space="preserve"> С. В.</w:t>
            </w:r>
          </w:p>
        </w:tc>
        <w:tc>
          <w:tcPr>
            <w:tcW w:w="7082" w:type="dxa"/>
            <w:tcBorders>
              <w:top w:val="single" w:sz="4" w:space="0" w:color="auto"/>
              <w:left w:val="single" w:sz="4" w:space="0" w:color="auto"/>
              <w:bottom w:val="single" w:sz="4" w:space="0" w:color="auto"/>
              <w:right w:val="single" w:sz="4" w:space="0" w:color="auto"/>
            </w:tcBorders>
            <w:vAlign w:val="center"/>
            <w:hideMark/>
          </w:tcPr>
          <w:p w:rsidR="00110EE2" w:rsidRDefault="00110EE2">
            <w:pPr>
              <w:spacing w:line="240" w:lineRule="auto"/>
              <w:jc w:val="both"/>
              <w:rPr>
                <w:rFonts w:ascii="Times New Roman" w:hAnsi="Times New Roman"/>
                <w:sz w:val="24"/>
                <w:szCs w:val="24"/>
              </w:rPr>
            </w:pPr>
            <w:r>
              <w:rPr>
                <w:rFonts w:ascii="Times New Roman" w:hAnsi="Times New Roman"/>
                <w:sz w:val="24"/>
                <w:szCs w:val="24"/>
              </w:rPr>
              <w:t>«…здатність банку забезпечити своєчасне виконання своїх зобов’язань; можливість перетворення статей активу на гроші для</w:t>
            </w:r>
            <w:r w:rsidR="002850E8">
              <w:rPr>
                <w:rFonts w:ascii="Times New Roman" w:hAnsi="Times New Roman"/>
                <w:sz w:val="24"/>
                <w:szCs w:val="24"/>
              </w:rPr>
              <w:t xml:space="preserve"> оплати зобов’язань з пасиву» [7</w:t>
            </w:r>
            <w:r>
              <w:rPr>
                <w:rFonts w:ascii="Times New Roman" w:hAnsi="Times New Roman"/>
                <w:sz w:val="24"/>
                <w:szCs w:val="24"/>
              </w:rPr>
              <w:t>, с. 188]</w:t>
            </w:r>
          </w:p>
        </w:tc>
      </w:tr>
      <w:tr w:rsidR="00110EE2" w:rsidTr="00837FDD">
        <w:trPr>
          <w:trHeight w:val="835"/>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Міщенко В. І., Сомик А. В. та ін.</w:t>
            </w:r>
          </w:p>
        </w:tc>
        <w:tc>
          <w:tcPr>
            <w:tcW w:w="7082" w:type="dxa"/>
            <w:tcBorders>
              <w:top w:val="single" w:sz="4" w:space="0" w:color="auto"/>
              <w:left w:val="single" w:sz="4" w:space="0" w:color="auto"/>
              <w:bottom w:val="single" w:sz="4" w:space="0" w:color="auto"/>
              <w:right w:val="single" w:sz="4" w:space="0" w:color="auto"/>
            </w:tcBorders>
            <w:vAlign w:val="center"/>
            <w:hideMark/>
          </w:tcPr>
          <w:p w:rsidR="00110EE2" w:rsidRDefault="00110EE2" w:rsidP="002850E8">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«…здатність банку своєчасно і в повному обсязі виконувати свої зобов’язання» [</w:t>
            </w:r>
            <w:r w:rsidR="002850E8">
              <w:rPr>
                <w:rFonts w:ascii="Times New Roman" w:hAnsi="Times New Roman" w:cs="Times New Roman"/>
                <w:sz w:val="24"/>
                <w:szCs w:val="24"/>
              </w:rPr>
              <w:t>8</w:t>
            </w:r>
            <w:r>
              <w:rPr>
                <w:rFonts w:ascii="Times New Roman" w:hAnsi="Times New Roman" w:cs="Times New Roman"/>
                <w:sz w:val="24"/>
                <w:szCs w:val="24"/>
              </w:rPr>
              <w:t>, с. 10]</w:t>
            </w:r>
          </w:p>
        </w:tc>
      </w:tr>
      <w:tr w:rsidR="00110EE2" w:rsidTr="00E21DB3">
        <w:trPr>
          <w:trHeight w:val="1981"/>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Крішталь</w:t>
            </w:r>
            <w:proofErr w:type="spellEnd"/>
            <w:r>
              <w:rPr>
                <w:rFonts w:ascii="Times New Roman" w:hAnsi="Times New Roman" w:cs="Times New Roman"/>
                <w:sz w:val="24"/>
                <w:szCs w:val="24"/>
              </w:rPr>
              <w:t xml:space="preserve"> Т. Е.</w:t>
            </w:r>
          </w:p>
        </w:tc>
        <w:tc>
          <w:tcPr>
            <w:tcW w:w="7082"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«…здатність виконувати боргові, збалансовані та потенційні кредитні зобов’язання, для цього необхідні не тільки оптимальна структура, обсяги і висока якість його пасивів і активів, але і можливість оперативно залучати кошти із зовнішніх джерел за розумною ціною. Ця здатність реалізується в часі тільки тоді, коли ліквідні активи тра</w:t>
            </w:r>
            <w:r w:rsidR="002850E8">
              <w:rPr>
                <w:rFonts w:ascii="Times New Roman" w:hAnsi="Times New Roman" w:cs="Times New Roman"/>
                <w:sz w:val="24"/>
                <w:szCs w:val="24"/>
              </w:rPr>
              <w:t>нсформуються в грошову форму» [9</w:t>
            </w:r>
            <w:r>
              <w:rPr>
                <w:rFonts w:ascii="Times New Roman" w:hAnsi="Times New Roman" w:cs="Times New Roman"/>
                <w:sz w:val="24"/>
                <w:szCs w:val="24"/>
              </w:rPr>
              <w:t>]</w:t>
            </w:r>
          </w:p>
        </w:tc>
      </w:tr>
      <w:tr w:rsidR="00110EE2" w:rsidTr="005E2CA6">
        <w:trPr>
          <w:trHeight w:val="5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Лаврушин</w:t>
            </w:r>
            <w:proofErr w:type="spellEnd"/>
            <w:r>
              <w:rPr>
                <w:rFonts w:ascii="Times New Roman" w:hAnsi="Times New Roman" w:cs="Times New Roman"/>
                <w:sz w:val="24"/>
                <w:szCs w:val="24"/>
              </w:rPr>
              <w:t xml:space="preserve"> О. І.</w:t>
            </w:r>
          </w:p>
        </w:tc>
        <w:tc>
          <w:tcPr>
            <w:tcW w:w="7082"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«…спроможність своєчасно і без втрат виконувати свої зобов’язання пер</w:t>
            </w:r>
            <w:r w:rsidR="002850E8">
              <w:rPr>
                <w:rFonts w:ascii="Times New Roman" w:hAnsi="Times New Roman" w:cs="Times New Roman"/>
                <w:sz w:val="24"/>
                <w:szCs w:val="24"/>
              </w:rPr>
              <w:t>ед вкладниками і кредиторами» [10</w:t>
            </w:r>
            <w:r>
              <w:rPr>
                <w:rFonts w:ascii="Times New Roman" w:hAnsi="Times New Roman" w:cs="Times New Roman"/>
                <w:sz w:val="24"/>
                <w:szCs w:val="24"/>
              </w:rPr>
              <w:t xml:space="preserve">, с. 140]. </w:t>
            </w:r>
          </w:p>
        </w:tc>
      </w:tr>
      <w:tr w:rsidR="00110EE2" w:rsidTr="00E21DB3">
        <w:trPr>
          <w:trHeight w:val="1258"/>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Ларіонова І. В.</w:t>
            </w:r>
          </w:p>
        </w:tc>
        <w:tc>
          <w:tcPr>
            <w:tcW w:w="7082"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«…здатність залучати готівкові кошти на фінансовому і грошовому ринках або в центральному банку за розумною ціною для забезпечення своєчасності платежів за своїми зобов’язаннями і задоволення потреб</w:t>
            </w:r>
            <w:r w:rsidR="002850E8">
              <w:rPr>
                <w:rFonts w:ascii="Times New Roman" w:hAnsi="Times New Roman" w:cs="Times New Roman"/>
                <w:sz w:val="24"/>
                <w:szCs w:val="24"/>
              </w:rPr>
              <w:t xml:space="preserve"> клієнтів у позикових коштах» [11</w:t>
            </w:r>
            <w:r>
              <w:rPr>
                <w:rFonts w:ascii="Times New Roman" w:hAnsi="Times New Roman" w:cs="Times New Roman"/>
                <w:sz w:val="24"/>
                <w:szCs w:val="24"/>
              </w:rPr>
              <w:t>, с. 15].</w:t>
            </w:r>
          </w:p>
        </w:tc>
      </w:tr>
      <w:tr w:rsidR="00110EE2" w:rsidTr="00837FDD">
        <w:trPr>
          <w:trHeight w:val="1126"/>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Райзберг</w:t>
            </w:r>
            <w:proofErr w:type="spellEnd"/>
            <w:r>
              <w:rPr>
                <w:rFonts w:ascii="Times New Roman" w:hAnsi="Times New Roman" w:cs="Times New Roman"/>
                <w:sz w:val="24"/>
                <w:szCs w:val="24"/>
              </w:rPr>
              <w:t xml:space="preserve"> Б. А., </w:t>
            </w:r>
            <w:proofErr w:type="spellStart"/>
            <w:r>
              <w:rPr>
                <w:rFonts w:ascii="Times New Roman" w:hAnsi="Times New Roman" w:cs="Times New Roman"/>
                <w:sz w:val="24"/>
                <w:szCs w:val="24"/>
              </w:rPr>
              <w:t>Лозовський</w:t>
            </w:r>
            <w:proofErr w:type="spellEnd"/>
            <w:r>
              <w:rPr>
                <w:rFonts w:ascii="Times New Roman" w:hAnsi="Times New Roman" w:cs="Times New Roman"/>
                <w:sz w:val="24"/>
                <w:szCs w:val="24"/>
              </w:rPr>
              <w:t xml:space="preserve"> Л. І., </w:t>
            </w:r>
            <w:proofErr w:type="spellStart"/>
            <w:r>
              <w:rPr>
                <w:rFonts w:ascii="Times New Roman" w:hAnsi="Times New Roman" w:cs="Times New Roman"/>
                <w:sz w:val="24"/>
                <w:szCs w:val="24"/>
              </w:rPr>
              <w:t>Стародубцева</w:t>
            </w:r>
            <w:proofErr w:type="spellEnd"/>
            <w:r>
              <w:rPr>
                <w:rFonts w:ascii="Times New Roman" w:hAnsi="Times New Roman" w:cs="Times New Roman"/>
                <w:sz w:val="24"/>
                <w:szCs w:val="24"/>
              </w:rPr>
              <w:t xml:space="preserve"> Е. С.</w:t>
            </w:r>
          </w:p>
        </w:tc>
        <w:tc>
          <w:tcPr>
            <w:tcW w:w="7082"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«…співвідношення між активами й пасивами балансу банку за певними строка</w:t>
            </w:r>
            <w:r w:rsidR="002850E8">
              <w:rPr>
                <w:rFonts w:ascii="Times New Roman" w:hAnsi="Times New Roman" w:cs="Times New Roman"/>
                <w:sz w:val="24"/>
                <w:szCs w:val="24"/>
              </w:rPr>
              <w:t>ми» [12</w:t>
            </w:r>
            <w:r>
              <w:rPr>
                <w:rFonts w:ascii="Times New Roman" w:hAnsi="Times New Roman" w:cs="Times New Roman"/>
                <w:sz w:val="24"/>
                <w:szCs w:val="24"/>
              </w:rPr>
              <w:t>, с. 134].</w:t>
            </w:r>
          </w:p>
        </w:tc>
      </w:tr>
      <w:tr w:rsidR="00110EE2" w:rsidTr="00E21DB3">
        <w:trPr>
          <w:trHeight w:val="83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Панова Г. С.</w:t>
            </w:r>
          </w:p>
        </w:tc>
        <w:tc>
          <w:tcPr>
            <w:tcW w:w="7082" w:type="dxa"/>
            <w:tcBorders>
              <w:top w:val="single" w:sz="4" w:space="0" w:color="auto"/>
              <w:left w:val="single" w:sz="4" w:space="0" w:color="auto"/>
              <w:bottom w:val="single" w:sz="4" w:space="0" w:color="auto"/>
              <w:right w:val="single" w:sz="4" w:space="0" w:color="auto"/>
            </w:tcBorders>
            <w:vAlign w:val="center"/>
            <w:hideMark/>
          </w:tcPr>
          <w:p w:rsidR="00110EE2" w:rsidRDefault="00110EE2" w:rsidP="002850E8">
            <w:pPr>
              <w:spacing w:line="240" w:lineRule="auto"/>
              <w:jc w:val="both"/>
              <w:rPr>
                <w:rFonts w:ascii="Times New Roman" w:hAnsi="Times New Roman"/>
                <w:sz w:val="24"/>
                <w:szCs w:val="24"/>
              </w:rPr>
            </w:pPr>
            <w:r>
              <w:rPr>
                <w:rFonts w:ascii="Times New Roman" w:hAnsi="Times New Roman"/>
                <w:sz w:val="24"/>
                <w:szCs w:val="24"/>
              </w:rPr>
              <w:t>«…стан, який характеризує здатність банку перетворювати різні групи активів безпосередньо у платіжні засоби з метою повного і своєчасного виконання зобов’язань по пасиву» [1</w:t>
            </w:r>
            <w:r w:rsidR="002850E8">
              <w:rPr>
                <w:rFonts w:ascii="Times New Roman" w:hAnsi="Times New Roman"/>
                <w:sz w:val="24"/>
                <w:szCs w:val="24"/>
              </w:rPr>
              <w:t>3</w:t>
            </w:r>
            <w:r>
              <w:rPr>
                <w:rFonts w:ascii="Times New Roman" w:hAnsi="Times New Roman"/>
                <w:sz w:val="24"/>
                <w:szCs w:val="24"/>
              </w:rPr>
              <w:t>, с. 36]</w:t>
            </w:r>
          </w:p>
        </w:tc>
      </w:tr>
      <w:tr w:rsidR="00110EE2" w:rsidTr="00E21DB3">
        <w:trPr>
          <w:trHeight w:val="2105"/>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Олійник Д. М.</w:t>
            </w:r>
          </w:p>
        </w:tc>
        <w:tc>
          <w:tcPr>
            <w:tcW w:w="7082"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«…здатність банку своєчасно і в повному обсязі виконувати взяті на себе балансові та позабалансові зобов’язання та своєчасно і в повному обсязі забезпечити можливі потреби платоспроможних клієнтів в кредитних коштах, за умови збереження постійної позитивної маржі між середньою вартістю наданих та залучених коштів, з урахуванням затрат пов’язаних з кредитним ризиком та затрат пов’язаних з</w:t>
            </w:r>
            <w:r w:rsidR="002850E8">
              <w:rPr>
                <w:rFonts w:ascii="Times New Roman" w:hAnsi="Times New Roman" w:cs="Times New Roman"/>
                <w:sz w:val="24"/>
                <w:szCs w:val="24"/>
              </w:rPr>
              <w:t xml:space="preserve"> обов’язковим резервуванням» [14</w:t>
            </w:r>
            <w:r>
              <w:rPr>
                <w:rFonts w:ascii="Times New Roman" w:hAnsi="Times New Roman" w:cs="Times New Roman"/>
                <w:sz w:val="24"/>
                <w:szCs w:val="24"/>
              </w:rPr>
              <w:t>]</w:t>
            </w:r>
          </w:p>
        </w:tc>
      </w:tr>
      <w:tr w:rsidR="00837FDD" w:rsidTr="00E21DB3">
        <w:trPr>
          <w:trHeight w:val="1986"/>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837FDD" w:rsidRDefault="00837FDD"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Інструкція «Про порядок регулювання діяльності банків в Україні»</w:t>
            </w:r>
          </w:p>
        </w:tc>
        <w:tc>
          <w:tcPr>
            <w:tcW w:w="7082" w:type="dxa"/>
            <w:tcBorders>
              <w:top w:val="single" w:sz="4" w:space="0" w:color="auto"/>
              <w:left w:val="single" w:sz="4" w:space="0" w:color="auto"/>
              <w:bottom w:val="single" w:sz="4" w:space="0" w:color="auto"/>
              <w:right w:val="single" w:sz="4" w:space="0" w:color="auto"/>
            </w:tcBorders>
            <w:vAlign w:val="center"/>
            <w:hideMark/>
          </w:tcPr>
          <w:p w:rsidR="00837FDD" w:rsidRDefault="00837FDD"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«…здатність банку забезпечити своєчасне виконання своїх грошових зобов’язань, яка визначається збалансованістю між строками і сумами погашення розміщених активів та строками і сумами виконання зобов’язань банку, а також строками та сумами інших джерел і напрямів використання коштів (надання кредитів, інші витрати)» [15]</w:t>
            </w:r>
          </w:p>
        </w:tc>
      </w:tr>
      <w:tr w:rsidR="00837FDD" w:rsidTr="00837FDD">
        <w:trPr>
          <w:trHeight w:val="99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837FDD" w:rsidRDefault="00837FDD"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Колектив авторів</w:t>
            </w:r>
          </w:p>
          <w:p w:rsidR="00837FDD" w:rsidRDefault="00837FDD"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«Фінансово-кредитного словника»</w:t>
            </w:r>
          </w:p>
        </w:tc>
        <w:tc>
          <w:tcPr>
            <w:tcW w:w="7082" w:type="dxa"/>
            <w:tcBorders>
              <w:top w:val="single" w:sz="4" w:space="0" w:color="auto"/>
              <w:left w:val="single" w:sz="4" w:space="0" w:color="auto"/>
              <w:bottom w:val="single" w:sz="4" w:space="0" w:color="auto"/>
              <w:right w:val="single" w:sz="4" w:space="0" w:color="auto"/>
            </w:tcBorders>
            <w:vAlign w:val="center"/>
            <w:hideMark/>
          </w:tcPr>
          <w:p w:rsidR="00837FDD" w:rsidRDefault="00837FDD"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«…здатність забезпечувати своєчасне виконання своїх зобов’язань» [16, с. 378-379]</w:t>
            </w:r>
          </w:p>
        </w:tc>
      </w:tr>
    </w:tbl>
    <w:p w:rsidR="00927A90" w:rsidRDefault="00927A90" w:rsidP="00E82B62">
      <w:pPr>
        <w:spacing w:after="0" w:line="360" w:lineRule="auto"/>
        <w:jc w:val="right"/>
        <w:rPr>
          <w:rFonts w:ascii="Times New Roman" w:hAnsi="Times New Roman"/>
          <w:sz w:val="28"/>
          <w:szCs w:val="28"/>
        </w:rPr>
      </w:pPr>
    </w:p>
    <w:p w:rsidR="00927A90" w:rsidRDefault="00927A90">
      <w:pPr>
        <w:spacing w:line="259" w:lineRule="auto"/>
        <w:rPr>
          <w:rFonts w:ascii="Times New Roman" w:hAnsi="Times New Roman"/>
          <w:sz w:val="28"/>
          <w:szCs w:val="28"/>
        </w:rPr>
      </w:pPr>
      <w:r>
        <w:rPr>
          <w:rFonts w:ascii="Times New Roman" w:hAnsi="Times New Roman"/>
          <w:sz w:val="28"/>
          <w:szCs w:val="28"/>
        </w:rPr>
        <w:br w:type="page"/>
      </w:r>
    </w:p>
    <w:p w:rsidR="00E82B62" w:rsidRDefault="00E82B62" w:rsidP="00E82B62">
      <w:pPr>
        <w:spacing w:after="0" w:line="360" w:lineRule="auto"/>
        <w:jc w:val="right"/>
        <w:rPr>
          <w:rFonts w:ascii="Times New Roman" w:hAnsi="Times New Roman"/>
          <w:sz w:val="28"/>
          <w:szCs w:val="28"/>
        </w:rPr>
      </w:pPr>
      <w:r w:rsidRPr="00E82B62">
        <w:rPr>
          <w:rFonts w:ascii="Times New Roman" w:hAnsi="Times New Roman"/>
          <w:sz w:val="28"/>
          <w:szCs w:val="28"/>
        </w:rPr>
        <w:lastRenderedPageBreak/>
        <w:t xml:space="preserve">Продовження </w:t>
      </w:r>
      <w:r w:rsidR="008967DC">
        <w:rPr>
          <w:rFonts w:ascii="Times New Roman" w:hAnsi="Times New Roman"/>
          <w:sz w:val="28"/>
          <w:szCs w:val="28"/>
        </w:rPr>
        <w:t>таблиці 1.2</w:t>
      </w:r>
    </w:p>
    <w:tbl>
      <w:tblPr>
        <w:tblStyle w:val="a5"/>
        <w:tblW w:w="0" w:type="auto"/>
        <w:jc w:val="center"/>
        <w:tblInd w:w="0" w:type="dxa"/>
        <w:tblLook w:val="04A0" w:firstRow="1" w:lastRow="0" w:firstColumn="1" w:lastColumn="0" w:noHBand="0" w:noVBand="1"/>
      </w:tblPr>
      <w:tblGrid>
        <w:gridCol w:w="2547"/>
        <w:gridCol w:w="7082"/>
      </w:tblGrid>
      <w:tr w:rsidR="00E82B62" w:rsidTr="00796511">
        <w:trPr>
          <w:jc w:val="center"/>
        </w:trPr>
        <w:tc>
          <w:tcPr>
            <w:tcW w:w="2547" w:type="dxa"/>
            <w:tcBorders>
              <w:top w:val="single" w:sz="4" w:space="0" w:color="auto"/>
              <w:left w:val="single" w:sz="4" w:space="0" w:color="auto"/>
              <w:bottom w:val="single" w:sz="4" w:space="0" w:color="auto"/>
              <w:right w:val="single" w:sz="4" w:space="0" w:color="auto"/>
            </w:tcBorders>
            <w:hideMark/>
          </w:tcPr>
          <w:p w:rsidR="00E82B62" w:rsidRDefault="00E82B62" w:rsidP="00796511">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Автор</w:t>
            </w:r>
          </w:p>
        </w:tc>
        <w:tc>
          <w:tcPr>
            <w:tcW w:w="7082" w:type="dxa"/>
            <w:tcBorders>
              <w:top w:val="single" w:sz="4" w:space="0" w:color="auto"/>
              <w:left w:val="single" w:sz="4" w:space="0" w:color="auto"/>
              <w:bottom w:val="single" w:sz="4" w:space="0" w:color="auto"/>
              <w:right w:val="single" w:sz="4" w:space="0" w:color="auto"/>
            </w:tcBorders>
            <w:hideMark/>
          </w:tcPr>
          <w:p w:rsidR="00E82B62" w:rsidRDefault="00E82B62" w:rsidP="00796511">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Дефініція</w:t>
            </w:r>
          </w:p>
        </w:tc>
      </w:tr>
      <w:tr w:rsidR="00837FDD" w:rsidTr="003650EF">
        <w:trPr>
          <w:trHeight w:val="113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837FDD" w:rsidRDefault="00837FDD" w:rsidP="003650EF">
            <w:pPr>
              <w:pStyle w:val="a4"/>
              <w:spacing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Дзюблюк</w:t>
            </w:r>
            <w:proofErr w:type="spellEnd"/>
            <w:r>
              <w:rPr>
                <w:rFonts w:ascii="Times New Roman" w:hAnsi="Times New Roman" w:cs="Times New Roman"/>
                <w:sz w:val="24"/>
                <w:szCs w:val="24"/>
              </w:rPr>
              <w:t xml:space="preserve"> О. В.</w:t>
            </w:r>
          </w:p>
        </w:tc>
        <w:tc>
          <w:tcPr>
            <w:tcW w:w="7082" w:type="dxa"/>
            <w:tcBorders>
              <w:top w:val="single" w:sz="4" w:space="0" w:color="auto"/>
              <w:left w:val="single" w:sz="4" w:space="0" w:color="auto"/>
              <w:bottom w:val="single" w:sz="4" w:space="0" w:color="auto"/>
              <w:right w:val="single" w:sz="4" w:space="0" w:color="auto"/>
            </w:tcBorders>
            <w:vAlign w:val="center"/>
            <w:hideMark/>
          </w:tcPr>
          <w:p w:rsidR="00837FDD" w:rsidRDefault="00837FDD"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«…здатність забезпечити своєчасне виконання своїх грошових зобов’язань, що визначається збалансованістю між сумами і строками погашення розміщення активів за сумами та строками виконання зобов’язань банку» [2, с. 23]</w:t>
            </w:r>
          </w:p>
        </w:tc>
      </w:tr>
      <w:tr w:rsidR="00837FDD" w:rsidTr="003650EF">
        <w:trPr>
          <w:trHeight w:val="1202"/>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837FDD" w:rsidRDefault="00837FDD"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Івасів І. Б.</w:t>
            </w:r>
          </w:p>
        </w:tc>
        <w:tc>
          <w:tcPr>
            <w:tcW w:w="7082" w:type="dxa"/>
            <w:tcBorders>
              <w:top w:val="single" w:sz="4" w:space="0" w:color="auto"/>
              <w:left w:val="single" w:sz="4" w:space="0" w:color="auto"/>
              <w:bottom w:val="single" w:sz="4" w:space="0" w:color="auto"/>
              <w:right w:val="single" w:sz="4" w:space="0" w:color="auto"/>
            </w:tcBorders>
            <w:vAlign w:val="center"/>
            <w:hideMark/>
          </w:tcPr>
          <w:p w:rsidR="00837FDD" w:rsidRDefault="00837FDD"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«…спроможність банку виконувати свої зобов’язання, можливість задоволення кредитних заявок, які відповідають його стандартам кредитування» [18, с. 619]</w:t>
            </w:r>
          </w:p>
        </w:tc>
      </w:tr>
    </w:tbl>
    <w:p w:rsidR="00E82B62" w:rsidRDefault="002850E8" w:rsidP="00D13172">
      <w:pPr>
        <w:spacing w:before="240" w:after="0" w:line="360" w:lineRule="auto"/>
        <w:ind w:firstLine="709"/>
        <w:jc w:val="both"/>
        <w:rPr>
          <w:rFonts w:ascii="Times New Roman" w:hAnsi="Times New Roman"/>
          <w:sz w:val="28"/>
          <w:szCs w:val="28"/>
        </w:rPr>
      </w:pPr>
      <w:r w:rsidRPr="002850E8">
        <w:rPr>
          <w:rFonts w:ascii="Times New Roman" w:hAnsi="Times New Roman"/>
          <w:sz w:val="28"/>
          <w:szCs w:val="28"/>
        </w:rPr>
        <w:t xml:space="preserve">Отже, ліквідність </w:t>
      </w:r>
      <w:r w:rsidR="00B322BE">
        <w:rPr>
          <w:rFonts w:ascii="Times New Roman" w:hAnsi="Times New Roman"/>
          <w:sz w:val="28"/>
          <w:szCs w:val="28"/>
        </w:rPr>
        <w:t>комерційного банку</w:t>
      </w:r>
      <w:r w:rsidRPr="002850E8">
        <w:rPr>
          <w:rFonts w:ascii="Times New Roman" w:hAnsi="Times New Roman"/>
          <w:sz w:val="28"/>
          <w:szCs w:val="28"/>
        </w:rPr>
        <w:t xml:space="preserve"> тлумачиться в економічній літературі як: здатність вчасно і повністю виконувати свої поточні зобов’язання, задовольняти вимоги вкладників і попит позичальників; оперативність реалізації економічних відносин; чинник їхньої фінансової спроможності; інструмент; інститут; критерій оцінки його ділової репутації; гарантія його стабільного функціонування [19, с. </w:t>
      </w:r>
      <w:r w:rsidRPr="00D13172">
        <w:rPr>
          <w:rFonts w:ascii="Times New Roman" w:hAnsi="Times New Roman"/>
          <w:sz w:val="28"/>
          <w:szCs w:val="28"/>
        </w:rPr>
        <w:t>76</w:t>
      </w:r>
      <w:r w:rsidRPr="002850E8">
        <w:rPr>
          <w:rFonts w:ascii="Times New Roman" w:hAnsi="Times New Roman"/>
          <w:sz w:val="28"/>
          <w:szCs w:val="28"/>
        </w:rPr>
        <w:t>].</w:t>
      </w:r>
    </w:p>
    <w:p w:rsidR="00110EE2" w:rsidRDefault="00D13172" w:rsidP="00D13172">
      <w:pPr>
        <w:spacing w:after="0" w:line="360" w:lineRule="auto"/>
        <w:ind w:firstLine="709"/>
        <w:jc w:val="both"/>
        <w:rPr>
          <w:rFonts w:ascii="Times New Roman" w:hAnsi="Times New Roman"/>
          <w:sz w:val="28"/>
          <w:szCs w:val="28"/>
        </w:rPr>
      </w:pPr>
      <w:r w:rsidRPr="00D13172">
        <w:rPr>
          <w:rFonts w:ascii="Times New Roman" w:hAnsi="Times New Roman"/>
          <w:sz w:val="28"/>
          <w:szCs w:val="28"/>
        </w:rPr>
        <w:t>Також в</w:t>
      </w:r>
      <w:r w:rsidR="00110EE2">
        <w:rPr>
          <w:rFonts w:ascii="Times New Roman" w:hAnsi="Times New Roman"/>
          <w:sz w:val="28"/>
          <w:szCs w:val="28"/>
        </w:rPr>
        <w:t xml:space="preserve"> ході дослідження теоретичних поглядів вітчизняних та зарубіжних науковців, було виокремлено найбільш поширені точки зору. За результатами аналізу точок зору науковців, які викладені у економічній літературі різних часів, констатуємо, що однозначного підходу щодо трактування поняття «ліквідність банку» немає. Проте подані дефініції можна умовно згрупувати за трьома підходами зважаючи на основні характеристики (див. </w:t>
      </w:r>
      <w:r w:rsidR="00110EE2" w:rsidRPr="00D13172">
        <w:rPr>
          <w:rFonts w:ascii="Times New Roman" w:hAnsi="Times New Roman"/>
          <w:sz w:val="28"/>
          <w:szCs w:val="28"/>
        </w:rPr>
        <w:t>рис. 1.2).</w:t>
      </w:r>
      <w:r w:rsidR="00110EE2">
        <w:rPr>
          <w:rFonts w:ascii="Times New Roman" w:hAnsi="Times New Roman"/>
          <w:sz w:val="28"/>
          <w:szCs w:val="28"/>
        </w:rPr>
        <w:t xml:space="preserve"> </w:t>
      </w:r>
    </w:p>
    <w:p w:rsidR="00110EE2" w:rsidRDefault="00110EE2" w:rsidP="00110EE2">
      <w:pPr>
        <w:pStyle w:val="a4"/>
        <w:spacing w:after="0" w:line="360" w:lineRule="auto"/>
        <w:ind w:left="0"/>
        <w:jc w:val="both"/>
        <w:rPr>
          <w:rFonts w:ascii="Times New Roman" w:hAnsi="Times New Roman" w:cs="Times New Roman"/>
          <w:b/>
          <w:sz w:val="28"/>
          <w:szCs w:val="28"/>
        </w:rPr>
      </w:pPr>
      <w:r>
        <w:rPr>
          <w:noProof/>
          <w:lang w:eastAsia="uk-UA"/>
        </w:rPr>
        <mc:AlternateContent>
          <mc:Choice Requires="wpc">
            <w:drawing>
              <wp:inline distT="0" distB="0" distL="0" distR="0">
                <wp:extent cx="5943600" cy="2705100"/>
                <wp:effectExtent l="0" t="0" r="0" b="0"/>
                <wp:docPr id="104" name="Полотно 1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Прямоугольник 8"/>
                        <wps:cNvSpPr>
                          <a:spLocks noChangeArrowheads="1"/>
                        </wps:cNvSpPr>
                        <wps:spPr bwMode="auto">
                          <a:xfrm>
                            <a:off x="1287700" y="36001"/>
                            <a:ext cx="3406200" cy="487608"/>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Основні підходи при розгляді поняття «ліквідність банку»</w:t>
                              </w:r>
                            </w:p>
                          </w:txbxContent>
                        </wps:txbx>
                        <wps:bodyPr rot="0" vert="horz" wrap="square" lIns="91440" tIns="45720" rIns="91440" bIns="45720" anchor="ctr" anchorCtr="0" upright="1">
                          <a:noAutofit/>
                        </wps:bodyPr>
                      </wps:wsp>
                      <wps:wsp>
                        <wps:cNvPr id="92" name="Прямая соединительная линия 9"/>
                        <wps:cNvCnPr>
                          <a:cxnSpLocks noChangeShapeType="1"/>
                          <a:stCxn id="91" idx="2"/>
                        </wps:cNvCnPr>
                        <wps:spPr bwMode="auto">
                          <a:xfrm flipH="1">
                            <a:off x="762000" y="523608"/>
                            <a:ext cx="2228800" cy="17530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93" name="Прямая соединительная линия 10"/>
                        <wps:cNvCnPr>
                          <a:cxnSpLocks noChangeShapeType="1"/>
                          <a:stCxn id="91" idx="2"/>
                        </wps:cNvCnPr>
                        <wps:spPr bwMode="auto">
                          <a:xfrm>
                            <a:off x="2990800" y="523608"/>
                            <a:ext cx="0" cy="17530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94" name="Прямая соединительная линия 11"/>
                        <wps:cNvCnPr>
                          <a:cxnSpLocks noChangeShapeType="1"/>
                        </wps:cNvCnPr>
                        <wps:spPr bwMode="auto">
                          <a:xfrm>
                            <a:off x="2990800" y="523608"/>
                            <a:ext cx="2167900" cy="22100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95" name="Прямоугольник 12"/>
                        <wps:cNvSpPr>
                          <a:spLocks noChangeArrowheads="1"/>
                        </wps:cNvSpPr>
                        <wps:spPr bwMode="auto">
                          <a:xfrm>
                            <a:off x="83800" y="698911"/>
                            <a:ext cx="1478300" cy="586709"/>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Підхід 1</w:t>
                              </w:r>
                            </w:p>
                            <w:p w:rsidR="00F821E3" w:rsidRDefault="00F821E3" w:rsidP="00110EE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«виконання зобов’язань»</w:t>
                              </w:r>
                            </w:p>
                          </w:txbxContent>
                        </wps:txbx>
                        <wps:bodyPr rot="0" vert="horz" wrap="square" lIns="91440" tIns="45720" rIns="91440" bIns="45720" anchor="ctr" anchorCtr="0" upright="1">
                          <a:noAutofit/>
                        </wps:bodyPr>
                      </wps:wsp>
                      <wps:wsp>
                        <wps:cNvPr id="96" name="Прямоугольник 13"/>
                        <wps:cNvSpPr>
                          <a:spLocks noChangeArrowheads="1"/>
                        </wps:cNvSpPr>
                        <wps:spPr bwMode="auto">
                          <a:xfrm>
                            <a:off x="2141200" y="691111"/>
                            <a:ext cx="1729700" cy="586709"/>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Підхід 2</w:t>
                              </w:r>
                            </w:p>
                            <w:p w:rsidR="00F821E3" w:rsidRDefault="00F821E3" w:rsidP="00110EE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«співвідношення активів та пасивів»</w:t>
                              </w:r>
                            </w:p>
                          </w:txbxContent>
                        </wps:txbx>
                        <wps:bodyPr rot="0" vert="horz" wrap="square" lIns="91440" tIns="45720" rIns="91440" bIns="45720" anchor="ctr" anchorCtr="0" upright="1">
                          <a:noAutofit/>
                        </wps:bodyPr>
                      </wps:wsp>
                      <wps:wsp>
                        <wps:cNvPr id="97" name="Прямоугольник 14"/>
                        <wps:cNvSpPr>
                          <a:spLocks noChangeArrowheads="1"/>
                        </wps:cNvSpPr>
                        <wps:spPr bwMode="auto">
                          <a:xfrm>
                            <a:off x="4457700" y="744612"/>
                            <a:ext cx="1432500" cy="579109"/>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Підхід 3</w:t>
                              </w:r>
                            </w:p>
                            <w:p w:rsidR="00F821E3" w:rsidRDefault="00F821E3" w:rsidP="00110EE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«перетворення активів»</w:t>
                              </w:r>
                            </w:p>
                          </w:txbxContent>
                        </wps:txbx>
                        <wps:bodyPr rot="0" vert="horz" wrap="square" lIns="91440" tIns="45720" rIns="91440" bIns="45720" anchor="ctr" anchorCtr="0" upright="1">
                          <a:noAutofit/>
                        </wps:bodyPr>
                      </wps:wsp>
                      <wps:wsp>
                        <wps:cNvPr id="98" name="Прямая соединительная линия 15"/>
                        <wps:cNvCnPr>
                          <a:cxnSpLocks noChangeShapeType="1"/>
                        </wps:cNvCnPr>
                        <wps:spPr bwMode="auto">
                          <a:xfrm>
                            <a:off x="822900" y="1277820"/>
                            <a:ext cx="7600" cy="152402"/>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99" name="Прямоугольник 16"/>
                        <wps:cNvSpPr>
                          <a:spLocks noChangeArrowheads="1"/>
                        </wps:cNvSpPr>
                        <wps:spPr bwMode="auto">
                          <a:xfrm>
                            <a:off x="121900" y="1430423"/>
                            <a:ext cx="1440200" cy="937315"/>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«вказує на здатність банку своєчасно і в</w:t>
                              </w:r>
                            </w:p>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повному обсязі виконувати свої зобов’язання»</w:t>
                              </w:r>
                            </w:p>
                          </w:txbxContent>
                        </wps:txbx>
                        <wps:bodyPr rot="0" vert="horz" wrap="square" lIns="91440" tIns="45720" rIns="91440" bIns="45720" anchor="ctr" anchorCtr="0" upright="1">
                          <a:noAutofit/>
                        </wps:bodyPr>
                      </wps:wsp>
                      <wps:wsp>
                        <wps:cNvPr id="100" name="Прямая соединительная линия 17"/>
                        <wps:cNvCnPr>
                          <a:cxnSpLocks noChangeShapeType="1"/>
                          <a:stCxn id="96" idx="2"/>
                        </wps:cNvCnPr>
                        <wps:spPr bwMode="auto">
                          <a:xfrm>
                            <a:off x="3006000" y="1277620"/>
                            <a:ext cx="3900" cy="147102"/>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1" name="Прямоугольник 18"/>
                        <wps:cNvSpPr>
                          <a:spLocks noChangeArrowheads="1"/>
                        </wps:cNvSpPr>
                        <wps:spPr bwMode="auto">
                          <a:xfrm>
                            <a:off x="2251700" y="1424723"/>
                            <a:ext cx="1539200" cy="1105117"/>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«розглядає ліквідність</w:t>
                              </w:r>
                            </w:p>
                            <w:p w:rsidR="00F821E3" w:rsidRDefault="00F821E3" w:rsidP="00110EE2">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банківської установи, як співвідношення активів та пасивів або зобов’язань та</w:t>
                              </w:r>
                            </w:p>
                            <w:p w:rsidR="00F821E3" w:rsidRDefault="00F821E3" w:rsidP="00110EE2">
                              <w:pPr>
                                <w:jc w:val="center"/>
                                <w:rPr>
                                  <w:rFonts w:ascii="Times New Roman" w:hAnsi="Times New Roman"/>
                                  <w:color w:val="000000" w:themeColor="text1"/>
                                  <w:sz w:val="20"/>
                                  <w:szCs w:val="20"/>
                                </w:rPr>
                              </w:pPr>
                              <w:r>
                                <w:rPr>
                                  <w:rFonts w:ascii="Times New Roman" w:hAnsi="Times New Roman"/>
                                  <w:color w:val="000000" w:themeColor="text1"/>
                                  <w:sz w:val="20"/>
                                  <w:szCs w:val="20"/>
                                </w:rPr>
                                <w:t>засобів, якими можна їх виконати»</w:t>
                              </w:r>
                            </w:p>
                          </w:txbxContent>
                        </wps:txbx>
                        <wps:bodyPr rot="0" vert="horz" wrap="square" lIns="91440" tIns="45720" rIns="91440" bIns="45720" anchor="ctr" anchorCtr="0" upright="1">
                          <a:noAutofit/>
                        </wps:bodyPr>
                      </wps:wsp>
                      <wps:wsp>
                        <wps:cNvPr id="102" name="Прямая соединительная линия 19"/>
                        <wps:cNvCnPr>
                          <a:cxnSpLocks noChangeShapeType="1"/>
                        </wps:cNvCnPr>
                        <wps:spPr bwMode="auto">
                          <a:xfrm>
                            <a:off x="5158700" y="1323521"/>
                            <a:ext cx="0" cy="16240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3" name="Прямоугольник 20"/>
                        <wps:cNvSpPr>
                          <a:spLocks noChangeArrowheads="1"/>
                        </wps:cNvSpPr>
                        <wps:spPr bwMode="auto">
                          <a:xfrm>
                            <a:off x="4069000" y="1481223"/>
                            <a:ext cx="1821200" cy="1048617"/>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«тлумачить ліквідність банку як процес,</w:t>
                              </w:r>
                            </w:p>
                            <w:p w:rsidR="00F821E3" w:rsidRDefault="00F821E3" w:rsidP="00110EE2">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можливість або ступінь легкості перетворення активу на засоби,</w:t>
                              </w:r>
                              <w:r>
                                <w:rPr>
                                  <w:color w:val="000000" w:themeColor="text1"/>
                                  <w:sz w:val="20"/>
                                  <w:szCs w:val="20"/>
                                </w:rPr>
                                <w:t xml:space="preserve"> </w:t>
                              </w:r>
                              <w:r>
                                <w:rPr>
                                  <w:rFonts w:ascii="Times New Roman" w:hAnsi="Times New Roman"/>
                                  <w:color w:val="000000" w:themeColor="text1"/>
                                  <w:sz w:val="20"/>
                                  <w:szCs w:val="20"/>
                                </w:rPr>
                                <w:t>якими можна</w:t>
                              </w:r>
                            </w:p>
                            <w:p w:rsidR="00F821E3" w:rsidRDefault="00F821E3" w:rsidP="00110EE2">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буде виконати</w:t>
                              </w:r>
                              <w:r>
                                <w:rPr>
                                  <w:rFonts w:ascii="Times New Roman" w:hAnsi="Times New Roman"/>
                                  <w:color w:val="000000" w:themeColor="text1"/>
                                </w:rPr>
                                <w:t xml:space="preserve"> </w:t>
                              </w:r>
                              <w:r>
                                <w:rPr>
                                  <w:rFonts w:ascii="Times New Roman" w:hAnsi="Times New Roman"/>
                                  <w:color w:val="000000" w:themeColor="text1"/>
                                  <w:sz w:val="20"/>
                                  <w:szCs w:val="20"/>
                                </w:rPr>
                                <w:t>зобов’язання»</w:t>
                              </w:r>
                            </w:p>
                          </w:txbxContent>
                        </wps:txbx>
                        <wps:bodyPr rot="0" vert="horz" wrap="square" lIns="91440" tIns="45720" rIns="91440" bIns="45720" anchor="ctr" anchorCtr="0" upright="1">
                          <a:noAutofit/>
                        </wps:bodyPr>
                      </wps:wsp>
                    </wpc:wpc>
                  </a:graphicData>
                </a:graphic>
              </wp:inline>
            </w:drawing>
          </mc:Choice>
          <mc:Fallback>
            <w:pict>
              <v:group id="Полотно 104" o:spid="_x0000_s1033" editas="canvas" style="width:468pt;height:213pt;mso-position-horizontal-relative:char;mso-position-vertical-relative:line" coordsize="59436,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">
                <v:shape id="_x0000_s1034" type="#_x0000_t75" style="position:absolute;width:59436;height:27051;visibility:visible;mso-wrap-style:square">
                  <v:fill o:detectmouseclick="t"/>
                  <v:path o:connecttype="none"/>
                </v:shape>
                <v:rect id="Прямоугольник 8" o:spid="_x0000_s1035" style="position:absolute;left:12877;top:360;width:34062;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" fillcolor="white [3212]" strokecolor="black [3213]" strokeweight="1pt">
                  <v:textbox>
                    <w:txbxContent>
                      <w:p w:rsidR="00F821E3" w:rsidRDefault="00F821E3" w:rsidP="00110EE2">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Основні підходи при розгляді поняття «ліквідність банку»</w:t>
                        </w:r>
                      </w:p>
                    </w:txbxContent>
                  </v:textbox>
                </v:rect>
                <v:line id="Прямая соединительная линия 9" o:spid="_x0000_s1036" style="position:absolute;flip:x;visibility:visible;mso-wrap-style:square" from="7620,5236" to="29908,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" strokecolor="black [3200]" strokeweight=".5pt">
                  <v:stroke joinstyle="miter"/>
                </v:line>
                <v:line id="Прямая соединительная линия 10" o:spid="_x0000_s1037" style="position:absolute;visibility:visible;mso-wrap-style:square" from="29908,5236" to="29908,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v:line id="Прямая соединительная линия 11" o:spid="_x0000_s1038" style="position:absolute;visibility:visible;mso-wrap-style:square" from="29908,5236" to="5158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" strokecolor="black [3200]" strokeweight=".5pt">
                  <v:stroke joinstyle="miter"/>
                </v:line>
                <v:rect id="Прямоугольник 12" o:spid="_x0000_s1039" style="position:absolute;left:838;top:6989;width:14783;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" fillcolor="white [3212]" strokecolor="black [3213]" strokeweight="1pt">
                  <v:textbox>
                    <w:txbxContent>
                      <w:p w:rsidR="00F821E3" w:rsidRDefault="00F821E3" w:rsidP="00110EE2">
                        <w:pPr>
                          <w:spacing w:after="0" w:line="240" w:lineRule="auto"/>
                          <w:jc w:val="cente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Підхід 1</w:t>
                        </w:r>
                      </w:p>
                      <w:p w:rsidR="00F821E3" w:rsidRDefault="00F821E3" w:rsidP="00110EE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«виконання зобов’язань»</w:t>
                        </w:r>
                      </w:p>
                    </w:txbxContent>
                  </v:textbox>
                </v:rect>
                <v:rect id="Прямоугольник 13" o:spid="_x0000_s1040" style="position:absolute;left:21412;top:6911;width:17297;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" fillcolor="white [3212]" strokecolor="black [3213]" strokeweight="1pt">
                  <v:textbox>
                    <w:txbxContent>
                      <w:p w:rsidR="00F821E3" w:rsidRDefault="00F821E3" w:rsidP="00110EE2">
                        <w:pPr>
                          <w:spacing w:after="0" w:line="240" w:lineRule="auto"/>
                          <w:jc w:val="cente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Підхід 2</w:t>
                        </w:r>
                      </w:p>
                      <w:p w:rsidR="00F821E3" w:rsidRDefault="00F821E3" w:rsidP="00110EE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«співвідношення активів та пасивів»</w:t>
                        </w:r>
                      </w:p>
                    </w:txbxContent>
                  </v:textbox>
                </v:rect>
                <v:rect id="Прямоугольник 14" o:spid="_x0000_s1041" style="position:absolute;left:44577;top:7446;width:14325;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" fillcolor="white [3212]" strokecolor="black [3213]" strokeweight="1pt">
                  <v:textbox>
                    <w:txbxContent>
                      <w:p w:rsidR="00F821E3" w:rsidRDefault="00F821E3" w:rsidP="00110EE2">
                        <w:pPr>
                          <w:spacing w:after="0" w:line="240" w:lineRule="auto"/>
                          <w:jc w:val="cente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Підхід 3</w:t>
                        </w:r>
                      </w:p>
                      <w:p w:rsidR="00F821E3" w:rsidRDefault="00F821E3" w:rsidP="00110EE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«перетворення активів»</w:t>
                        </w:r>
                      </w:p>
                    </w:txbxContent>
                  </v:textbox>
                </v:rect>
                <v:line id="Прямая соединительная линия 15" o:spid="_x0000_s1042" style="position:absolute;visibility:visible;mso-wrap-style:square" from="8229,12778" to="8305,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" strokecolor="black [3200]" strokeweight=".5pt">
                  <v:stroke joinstyle="miter"/>
                </v:line>
                <v:rect id="Прямоугольник 16" o:spid="_x0000_s1043" style="position:absolute;left:1219;top:14304;width:14402;height:9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" fillcolor="white [3212]" strokecolor="black [3213]" strokeweight="1pt">
                  <v:textbox>
                    <w:txbxContent>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«вказує на здатність банку своєчасно і в</w:t>
                        </w:r>
                      </w:p>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повному обсязі виконувати свої зобов’язання»</w:t>
                        </w:r>
                      </w:p>
                    </w:txbxContent>
                  </v:textbox>
                </v:rect>
                <v:line id="Прямая соединительная линия 17" o:spid="_x0000_s1044" style="position:absolute;visibility:visible;mso-wrap-style:square" from="30060,12776" to="30099,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" strokecolor="black [3200]" strokeweight=".5pt">
                  <v:stroke joinstyle="miter"/>
                </v:line>
                <v:rect id="Прямоугольник 18" o:spid="_x0000_s1045" style="position:absolute;left:22517;top:14247;width:15392;height:1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" fillcolor="white [3212]" strokecolor="black [3213]" strokeweight="1pt">
                  <v:textbox>
                    <w:txbxContent>
                      <w:p w:rsidR="00F821E3" w:rsidRDefault="00F821E3" w:rsidP="00110EE2">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«розглядає ліквідність</w:t>
                        </w:r>
                      </w:p>
                      <w:p w:rsidR="00F821E3" w:rsidRDefault="00F821E3" w:rsidP="00110EE2">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банківської установи, як співвідношення активів та пасивів або зобов’язань та</w:t>
                        </w:r>
                      </w:p>
                      <w:p w:rsidR="00F821E3" w:rsidRDefault="00F821E3" w:rsidP="00110EE2">
                        <w:pPr>
                          <w:jc w:val="center"/>
                          <w:rPr>
                            <w:rFonts w:ascii="Times New Roman" w:hAnsi="Times New Roman"/>
                            <w:color w:val="000000" w:themeColor="text1"/>
                            <w:sz w:val="20"/>
                            <w:szCs w:val="20"/>
                          </w:rPr>
                        </w:pPr>
                        <w:r>
                          <w:rPr>
                            <w:rFonts w:ascii="Times New Roman" w:hAnsi="Times New Roman"/>
                            <w:color w:val="000000" w:themeColor="text1"/>
                            <w:sz w:val="20"/>
                            <w:szCs w:val="20"/>
                          </w:rPr>
                          <w:t>засобів, якими можна їх виконати»</w:t>
                        </w:r>
                      </w:p>
                    </w:txbxContent>
                  </v:textbox>
                </v:rect>
                <v:line id="Прямая соединительная линия 19" o:spid="_x0000_s1046" style="position:absolute;visibility:visible;mso-wrap-style:square" from="51587,13235" to="5158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v:rect id="Прямоугольник 20" o:spid="_x0000_s1047" style="position:absolute;left:40690;top:14812;width:18212;height:10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" fillcolor="white [3212]" strokecolor="black [3213]" strokeweight="1pt">
                  <v:textbox>
                    <w:txbxContent>
                      <w:p w:rsidR="00F821E3" w:rsidRDefault="00F821E3" w:rsidP="00110EE2">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«тлумачить ліквідність банку як процес,</w:t>
                        </w:r>
                      </w:p>
                      <w:p w:rsidR="00F821E3" w:rsidRDefault="00F821E3" w:rsidP="00110EE2">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можливість або ступінь легкості перетворення активу на засоби,</w:t>
                        </w:r>
                        <w:r>
                          <w:rPr>
                            <w:color w:val="000000" w:themeColor="text1"/>
                            <w:sz w:val="20"/>
                            <w:szCs w:val="20"/>
                          </w:rPr>
                          <w:t xml:space="preserve"> </w:t>
                        </w:r>
                        <w:r>
                          <w:rPr>
                            <w:rFonts w:ascii="Times New Roman" w:hAnsi="Times New Roman"/>
                            <w:color w:val="000000" w:themeColor="text1"/>
                            <w:sz w:val="20"/>
                            <w:szCs w:val="20"/>
                          </w:rPr>
                          <w:t>якими можна</w:t>
                        </w:r>
                      </w:p>
                      <w:p w:rsidR="00F821E3" w:rsidRDefault="00F821E3" w:rsidP="00110EE2">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буде виконати</w:t>
                        </w:r>
                        <w:r>
                          <w:rPr>
                            <w:rFonts w:ascii="Times New Roman" w:hAnsi="Times New Roman"/>
                            <w:color w:val="000000" w:themeColor="text1"/>
                          </w:rPr>
                          <w:t xml:space="preserve"> </w:t>
                        </w:r>
                        <w:r>
                          <w:rPr>
                            <w:rFonts w:ascii="Times New Roman" w:hAnsi="Times New Roman"/>
                            <w:color w:val="000000" w:themeColor="text1"/>
                            <w:sz w:val="20"/>
                            <w:szCs w:val="20"/>
                          </w:rPr>
                          <w:t>зобов’язання»</w:t>
                        </w:r>
                      </w:p>
                    </w:txbxContent>
                  </v:textbox>
                </v:rect>
                <w10:anchorlock/>
              </v:group>
            </w:pict>
          </mc:Fallback>
        </mc:AlternateContent>
      </w:r>
    </w:p>
    <w:p w:rsidR="00110EE2" w:rsidRDefault="00110EE2" w:rsidP="00110EE2">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1.2. Основні підходи при розгляді поняття «ліквідність банку» [2, с. 25; </w:t>
      </w:r>
      <w:r w:rsidR="00D13172">
        <w:rPr>
          <w:rFonts w:ascii="Times New Roman" w:hAnsi="Times New Roman" w:cs="Times New Roman"/>
          <w:sz w:val="28"/>
          <w:szCs w:val="28"/>
          <w:lang w:val="ru-RU"/>
        </w:rPr>
        <w:t>20</w:t>
      </w:r>
      <w:r>
        <w:rPr>
          <w:rFonts w:ascii="Times New Roman" w:hAnsi="Times New Roman" w:cs="Times New Roman"/>
          <w:sz w:val="28"/>
          <w:szCs w:val="28"/>
        </w:rPr>
        <w:t>, с. 394]</w:t>
      </w:r>
    </w:p>
    <w:p w:rsidR="00110EE2" w:rsidRDefault="00110EE2" w:rsidP="00D13172">
      <w:pPr>
        <w:pStyle w:val="a4"/>
        <w:spacing w:before="24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Узагальнюючи наведене </w:t>
      </w:r>
      <w:r w:rsidRPr="00D13172">
        <w:rPr>
          <w:rFonts w:ascii="Times New Roman" w:hAnsi="Times New Roman" w:cs="Times New Roman"/>
          <w:sz w:val="28"/>
          <w:szCs w:val="28"/>
        </w:rPr>
        <w:t>(табл</w:t>
      </w:r>
      <w:r w:rsidR="00D13172" w:rsidRPr="00D13172">
        <w:rPr>
          <w:rFonts w:ascii="Times New Roman" w:hAnsi="Times New Roman" w:cs="Times New Roman"/>
          <w:sz w:val="28"/>
          <w:szCs w:val="28"/>
        </w:rPr>
        <w:t>.</w:t>
      </w:r>
      <w:r w:rsidR="00574C41">
        <w:rPr>
          <w:rFonts w:ascii="Times New Roman" w:hAnsi="Times New Roman" w:cs="Times New Roman"/>
          <w:sz w:val="28"/>
          <w:szCs w:val="28"/>
        </w:rPr>
        <w:t xml:space="preserve"> 1.1, 1.2</w:t>
      </w:r>
      <w:r w:rsidRPr="00D13172">
        <w:rPr>
          <w:rFonts w:ascii="Times New Roman" w:hAnsi="Times New Roman" w:cs="Times New Roman"/>
          <w:sz w:val="28"/>
          <w:szCs w:val="28"/>
        </w:rPr>
        <w:t xml:space="preserve"> та рис. 1.2),</w:t>
      </w:r>
      <w:r>
        <w:rPr>
          <w:rFonts w:ascii="Times New Roman" w:hAnsi="Times New Roman" w:cs="Times New Roman"/>
          <w:sz w:val="28"/>
          <w:szCs w:val="28"/>
        </w:rPr>
        <w:t xml:space="preserve"> під «ліквідністю банку» треба розуміти його здатність своєчасно і в повному обсязі виконувати свої зобов’язання перед стейкхолдерами, маючи для цього достатню кількість ресурсів, як готівкових, так і безготівкових, а також можливість та готовність пропонувати ліквідні банківські продукти. В цьому і полягає економічна сутність ліквідності банку, яку схематично зображено </w:t>
      </w:r>
      <w:r w:rsidRPr="00D13172">
        <w:rPr>
          <w:rFonts w:ascii="Times New Roman" w:hAnsi="Times New Roman" w:cs="Times New Roman"/>
          <w:sz w:val="28"/>
          <w:szCs w:val="28"/>
        </w:rPr>
        <w:t>на рис. 1.3.</w:t>
      </w:r>
    </w:p>
    <w:p w:rsidR="00110EE2" w:rsidRDefault="00110EE2" w:rsidP="00D13172">
      <w:pPr>
        <w:pStyle w:val="a4"/>
        <w:spacing w:after="0" w:line="360" w:lineRule="auto"/>
        <w:ind w:left="0"/>
        <w:jc w:val="both"/>
        <w:rPr>
          <w:rFonts w:ascii="Times New Roman" w:hAnsi="Times New Roman" w:cs="Times New Roman"/>
          <w:sz w:val="28"/>
          <w:szCs w:val="28"/>
        </w:rPr>
      </w:pPr>
      <w:r>
        <w:rPr>
          <w:noProof/>
          <w:lang w:eastAsia="uk-UA"/>
        </w:rPr>
        <mc:AlternateContent>
          <mc:Choice Requires="wpc">
            <w:drawing>
              <wp:inline distT="0" distB="0" distL="0" distR="0">
                <wp:extent cx="6050280" cy="3124200"/>
                <wp:effectExtent l="0" t="0" r="0" b="0"/>
                <wp:docPr id="90" name="Полотно 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2" name="Прямоугольник 22"/>
                        <wps:cNvSpPr>
                          <a:spLocks noChangeArrowheads="1"/>
                        </wps:cNvSpPr>
                        <wps:spPr bwMode="auto">
                          <a:xfrm>
                            <a:off x="2154427" y="106603"/>
                            <a:ext cx="1630622" cy="358211"/>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F821E3" w:rsidRDefault="00F821E3" w:rsidP="00110EE2">
                              <w:pPr>
                                <w:jc w:val="center"/>
                                <w:rPr>
                                  <w:rFonts w:ascii="Times New Roman" w:hAnsi="Times New Roman"/>
                                  <w:sz w:val="24"/>
                                  <w:szCs w:val="24"/>
                                </w:rPr>
                              </w:pPr>
                              <w:r>
                                <w:rPr>
                                  <w:rFonts w:ascii="Times New Roman" w:hAnsi="Times New Roman"/>
                                  <w:sz w:val="24"/>
                                  <w:szCs w:val="24"/>
                                </w:rPr>
                                <w:t>Ліквідність банку</w:t>
                              </w:r>
                            </w:p>
                          </w:txbxContent>
                        </wps:txbx>
                        <wps:bodyPr rot="0" vert="horz" wrap="square" lIns="91440" tIns="45720" rIns="91440" bIns="45720" anchor="ctr" anchorCtr="0" upright="1">
                          <a:noAutofit/>
                        </wps:bodyPr>
                      </wps:wsp>
                      <wps:wsp>
                        <wps:cNvPr id="73" name="Прямая соединительная линия 23"/>
                        <wps:cNvCnPr>
                          <a:cxnSpLocks noChangeShapeType="1"/>
                        </wps:cNvCnPr>
                        <wps:spPr bwMode="auto">
                          <a:xfrm flipH="1">
                            <a:off x="592307" y="464814"/>
                            <a:ext cx="1562121" cy="144804"/>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4" name="Прямоугольник 24"/>
                        <wps:cNvSpPr>
                          <a:spLocks noChangeArrowheads="1"/>
                        </wps:cNvSpPr>
                        <wps:spPr bwMode="auto">
                          <a:xfrm>
                            <a:off x="35999" y="609619"/>
                            <a:ext cx="914412" cy="289509"/>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F821E3" w:rsidRPr="00D13172" w:rsidRDefault="00F821E3" w:rsidP="00110EE2">
                              <w:pPr>
                                <w:jc w:val="center"/>
                                <w:rPr>
                                  <w:rFonts w:ascii="Times New Roman" w:hAnsi="Times New Roman"/>
                                  <w:color w:val="000000" w:themeColor="text1"/>
                                  <w:sz w:val="24"/>
                                  <w:szCs w:val="24"/>
                                </w:rPr>
                              </w:pPr>
                              <w:r w:rsidRPr="00D13172">
                                <w:rPr>
                                  <w:rFonts w:ascii="Times New Roman" w:hAnsi="Times New Roman"/>
                                  <w:color w:val="000000" w:themeColor="text1"/>
                                  <w:sz w:val="24"/>
                                  <w:szCs w:val="24"/>
                                </w:rPr>
                                <w:t>здатність</w:t>
                              </w:r>
                            </w:p>
                          </w:txbxContent>
                        </wps:txbx>
                        <wps:bodyPr rot="0" vert="horz" wrap="square" lIns="91440" tIns="45720" rIns="91440" bIns="45720" anchor="ctr" anchorCtr="0" upright="1">
                          <a:noAutofit/>
                        </wps:bodyPr>
                      </wps:wsp>
                      <wps:wsp>
                        <wps:cNvPr id="75" name="Прямая соединительная линия 25"/>
                        <wps:cNvCnPr>
                          <a:cxnSpLocks noChangeShapeType="1"/>
                          <a:endCxn id="76" idx="0"/>
                        </wps:cNvCnPr>
                        <wps:spPr bwMode="auto">
                          <a:xfrm flipH="1">
                            <a:off x="1769522" y="464814"/>
                            <a:ext cx="384905" cy="144804"/>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6" name="Прямоугольник 26"/>
                        <wps:cNvSpPr>
                          <a:spLocks noChangeArrowheads="1"/>
                        </wps:cNvSpPr>
                        <wps:spPr bwMode="auto">
                          <a:xfrm>
                            <a:off x="1232315" y="609619"/>
                            <a:ext cx="1074514" cy="289509"/>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Pr="00D13172" w:rsidRDefault="00F821E3" w:rsidP="00110EE2">
                              <w:pPr>
                                <w:jc w:val="center"/>
                                <w:rPr>
                                  <w:rFonts w:ascii="Times New Roman" w:hAnsi="Times New Roman"/>
                                  <w:color w:val="000000" w:themeColor="text1"/>
                                  <w:sz w:val="24"/>
                                  <w:szCs w:val="24"/>
                                </w:rPr>
                              </w:pPr>
                              <w:r w:rsidRPr="00D13172">
                                <w:rPr>
                                  <w:rFonts w:ascii="Times New Roman" w:hAnsi="Times New Roman"/>
                                  <w:color w:val="000000" w:themeColor="text1"/>
                                  <w:sz w:val="24"/>
                                  <w:szCs w:val="24"/>
                                </w:rPr>
                                <w:t>спроможність</w:t>
                              </w:r>
                            </w:p>
                          </w:txbxContent>
                        </wps:txbx>
                        <wps:bodyPr rot="0" vert="horz" wrap="square" lIns="91440" tIns="45720" rIns="91440" bIns="45720" anchor="ctr" anchorCtr="0" upright="1">
                          <a:noAutofit/>
                        </wps:bodyPr>
                      </wps:wsp>
                      <wps:wsp>
                        <wps:cNvPr id="77" name="Прямая соединительная линия 27"/>
                        <wps:cNvCnPr>
                          <a:cxnSpLocks noChangeShapeType="1"/>
                        </wps:cNvCnPr>
                        <wps:spPr bwMode="auto">
                          <a:xfrm>
                            <a:off x="3785049" y="464814"/>
                            <a:ext cx="1325918" cy="144804"/>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 name="Прямоугольник 28"/>
                        <wps:cNvSpPr>
                          <a:spLocks noChangeArrowheads="1"/>
                        </wps:cNvSpPr>
                        <wps:spPr bwMode="auto">
                          <a:xfrm>
                            <a:off x="4722361" y="609619"/>
                            <a:ext cx="1097315" cy="289509"/>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F821E3" w:rsidRPr="00D13172" w:rsidRDefault="00F821E3" w:rsidP="00110EE2">
                              <w:pPr>
                                <w:jc w:val="center"/>
                                <w:rPr>
                                  <w:rFonts w:ascii="Times New Roman" w:hAnsi="Times New Roman"/>
                                  <w:color w:val="000000" w:themeColor="text1"/>
                                  <w:sz w:val="24"/>
                                  <w:szCs w:val="24"/>
                                </w:rPr>
                              </w:pPr>
                              <w:r w:rsidRPr="00D13172">
                                <w:rPr>
                                  <w:rFonts w:ascii="Times New Roman" w:hAnsi="Times New Roman"/>
                                  <w:color w:val="000000" w:themeColor="text1"/>
                                  <w:sz w:val="24"/>
                                  <w:szCs w:val="24"/>
                                </w:rPr>
                                <w:t>можливість</w:t>
                              </w:r>
                            </w:p>
                          </w:txbxContent>
                        </wps:txbx>
                        <wps:bodyPr rot="0" vert="horz" wrap="square" lIns="91440" tIns="45720" rIns="91440" bIns="45720" anchor="ctr" anchorCtr="0" upright="1">
                          <a:noAutofit/>
                        </wps:bodyPr>
                      </wps:wsp>
                      <wps:wsp>
                        <wps:cNvPr id="79" name="Прямая соединительная линия 29"/>
                        <wps:cNvCnPr>
                          <a:cxnSpLocks noChangeShapeType="1"/>
                        </wps:cNvCnPr>
                        <wps:spPr bwMode="auto">
                          <a:xfrm>
                            <a:off x="3785049" y="464814"/>
                            <a:ext cx="320104" cy="144804"/>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0" name="Прямоугольник 30"/>
                        <wps:cNvSpPr>
                          <a:spLocks noChangeArrowheads="1"/>
                        </wps:cNvSpPr>
                        <wps:spPr bwMode="auto">
                          <a:xfrm>
                            <a:off x="3434544" y="609619"/>
                            <a:ext cx="1013513" cy="289509"/>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Pr="00D13172" w:rsidRDefault="00F821E3" w:rsidP="00110EE2">
                              <w:pPr>
                                <w:jc w:val="center"/>
                                <w:rPr>
                                  <w:rFonts w:ascii="Times New Roman" w:hAnsi="Times New Roman"/>
                                  <w:color w:val="000000" w:themeColor="text1"/>
                                  <w:sz w:val="24"/>
                                  <w:szCs w:val="24"/>
                                </w:rPr>
                              </w:pPr>
                              <w:r w:rsidRPr="00D13172">
                                <w:rPr>
                                  <w:rFonts w:ascii="Times New Roman" w:hAnsi="Times New Roman"/>
                                  <w:color w:val="000000" w:themeColor="text1"/>
                                  <w:sz w:val="24"/>
                                  <w:szCs w:val="24"/>
                                </w:rPr>
                                <w:t>готовність</w:t>
                              </w:r>
                            </w:p>
                          </w:txbxContent>
                        </wps:txbx>
                        <wps:bodyPr rot="0" vert="horz" wrap="square" lIns="91440" tIns="45720" rIns="91440" bIns="45720" anchor="ctr" anchorCtr="0" upright="1">
                          <a:noAutofit/>
                        </wps:bodyPr>
                      </wps:wsp>
                      <wps:wsp>
                        <wps:cNvPr id="81" name="Прямая соединительная линия 31"/>
                        <wps:cNvCnPr>
                          <a:cxnSpLocks noChangeShapeType="1"/>
                        </wps:cNvCnPr>
                        <wps:spPr bwMode="auto">
                          <a:xfrm>
                            <a:off x="432204" y="899127"/>
                            <a:ext cx="518207" cy="221007"/>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2" name="Прямая соединительная линия 32"/>
                        <wps:cNvCnPr>
                          <a:cxnSpLocks noChangeShapeType="1"/>
                        </wps:cNvCnPr>
                        <wps:spPr bwMode="auto">
                          <a:xfrm flipH="1">
                            <a:off x="1232315" y="899127"/>
                            <a:ext cx="537207" cy="221007"/>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3" name="Прямоугольник 33"/>
                        <wps:cNvSpPr>
                          <a:spLocks noChangeArrowheads="1"/>
                        </wps:cNvSpPr>
                        <wps:spPr bwMode="auto">
                          <a:xfrm>
                            <a:off x="493205" y="1120134"/>
                            <a:ext cx="1120115" cy="358111"/>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Pr="00D13172" w:rsidRDefault="00F821E3" w:rsidP="00110EE2">
                              <w:pPr>
                                <w:jc w:val="center"/>
                                <w:rPr>
                                  <w:rFonts w:ascii="Times New Roman" w:hAnsi="Times New Roman"/>
                                  <w:color w:val="000000" w:themeColor="text1"/>
                                  <w:sz w:val="24"/>
                                  <w:szCs w:val="24"/>
                                </w:rPr>
                              </w:pPr>
                              <w:r w:rsidRPr="00D13172">
                                <w:rPr>
                                  <w:rFonts w:ascii="Times New Roman" w:hAnsi="Times New Roman"/>
                                  <w:color w:val="000000" w:themeColor="text1"/>
                                  <w:sz w:val="24"/>
                                  <w:szCs w:val="24"/>
                                </w:rPr>
                                <w:t>своєчасно</w:t>
                              </w:r>
                            </w:p>
                          </w:txbxContent>
                        </wps:txbx>
                        <wps:bodyPr rot="0" vert="horz" wrap="square" lIns="91440" tIns="45720" rIns="91440" bIns="45720" anchor="ctr" anchorCtr="0" upright="1">
                          <a:noAutofit/>
                        </wps:bodyPr>
                      </wps:wsp>
                      <wps:wsp>
                        <wps:cNvPr id="84" name="Прямая соединительная линия 34"/>
                        <wps:cNvCnPr>
                          <a:cxnSpLocks noChangeShapeType="1"/>
                        </wps:cNvCnPr>
                        <wps:spPr bwMode="auto">
                          <a:xfrm>
                            <a:off x="3960351" y="899127"/>
                            <a:ext cx="449606" cy="221007"/>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5" name="Прямая соединительная линия 35"/>
                        <wps:cNvCnPr>
                          <a:cxnSpLocks noChangeShapeType="1"/>
                          <a:stCxn id="78" idx="2"/>
                        </wps:cNvCnPr>
                        <wps:spPr bwMode="auto">
                          <a:xfrm flipH="1">
                            <a:off x="4914900" y="899128"/>
                            <a:ext cx="356119" cy="221006"/>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6" name="Прямоугольник 36"/>
                        <wps:cNvSpPr>
                          <a:spLocks noChangeArrowheads="1"/>
                        </wps:cNvSpPr>
                        <wps:spPr bwMode="auto">
                          <a:xfrm>
                            <a:off x="3907050" y="1120134"/>
                            <a:ext cx="1518390" cy="358111"/>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Pr="00D13172" w:rsidRDefault="00F821E3" w:rsidP="00110EE2">
                              <w:pPr>
                                <w:jc w:val="center"/>
                                <w:rPr>
                                  <w:rFonts w:ascii="Times New Roman" w:hAnsi="Times New Roman"/>
                                  <w:color w:val="000000" w:themeColor="text1"/>
                                  <w:sz w:val="24"/>
                                  <w:szCs w:val="24"/>
                                </w:rPr>
                              </w:pPr>
                              <w:r w:rsidRPr="00D13172">
                                <w:rPr>
                                  <w:rFonts w:ascii="Times New Roman" w:hAnsi="Times New Roman"/>
                                  <w:color w:val="000000" w:themeColor="text1"/>
                                  <w:sz w:val="24"/>
                                  <w:szCs w:val="24"/>
                                </w:rPr>
                                <w:t>на першу вимогу</w:t>
                              </w:r>
                            </w:p>
                          </w:txbxContent>
                        </wps:txbx>
                        <wps:bodyPr rot="0" vert="horz" wrap="square" lIns="91440" tIns="45720" rIns="91440" bIns="45720" anchor="ctr" anchorCtr="0" upright="1">
                          <a:noAutofit/>
                        </wps:bodyPr>
                      </wps:wsp>
                      <wps:wsp>
                        <wps:cNvPr id="87" name="Прямая соединительная линия 37"/>
                        <wps:cNvCnPr>
                          <a:cxnSpLocks noChangeShapeType="1"/>
                        </wps:cNvCnPr>
                        <wps:spPr bwMode="auto">
                          <a:xfrm>
                            <a:off x="1613320" y="1478245"/>
                            <a:ext cx="777310" cy="251508"/>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8" name="Прямая соединительная линия 38"/>
                        <wps:cNvCnPr>
                          <a:cxnSpLocks noChangeShapeType="1"/>
                        </wps:cNvCnPr>
                        <wps:spPr bwMode="auto">
                          <a:xfrm flipH="1">
                            <a:off x="3434544" y="1478245"/>
                            <a:ext cx="472506" cy="251508"/>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9" name="Прямоугольник 39"/>
                        <wps:cNvSpPr>
                          <a:spLocks noChangeArrowheads="1"/>
                        </wps:cNvSpPr>
                        <wps:spPr bwMode="auto">
                          <a:xfrm>
                            <a:off x="432204" y="1729752"/>
                            <a:ext cx="4993236" cy="1196328"/>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F821E3" w:rsidRPr="00D13172" w:rsidRDefault="00F25B74" w:rsidP="00D13172">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F821E3" w:rsidRPr="00D13172">
                                <w:rPr>
                                  <w:rFonts w:ascii="Times New Roman" w:hAnsi="Times New Roman"/>
                                  <w:color w:val="000000" w:themeColor="text1"/>
                                  <w:sz w:val="24"/>
                                  <w:szCs w:val="24"/>
                                </w:rPr>
                                <w:t>виконувати власні зобов’язання; фінансувати зростання власних активів; перетворювати активи в грошові зобов’язання; задовольняти кредитні заявки; купувати грошові кошти в центральному банку та банків-кореспондентів за розумною ціною; відповісти на можливі ризики; задовольняти усі вимоги клієнтів у необхідній валюті</w:t>
                              </w:r>
                              <w:r>
                                <w:rPr>
                                  <w:rFonts w:ascii="Times New Roman" w:hAnsi="Times New Roman"/>
                                  <w:color w:val="000000" w:themeColor="text1"/>
                                  <w:sz w:val="24"/>
                                  <w:szCs w:val="24"/>
                                </w:rPr>
                                <w:t>»</w:t>
                              </w:r>
                            </w:p>
                          </w:txbxContent>
                        </wps:txbx>
                        <wps:bodyPr rot="0" vert="horz" wrap="square" lIns="91440" tIns="45720" rIns="91440" bIns="45720" anchor="ctr" anchorCtr="0" upright="1">
                          <a:noAutofit/>
                        </wps:bodyPr>
                      </wps:wsp>
                    </wpc:wpc>
                  </a:graphicData>
                </a:graphic>
              </wp:inline>
            </w:drawing>
          </mc:Choice>
          <mc:Fallback>
            <w:pict>
              <v:group id="Полотно 90" o:spid="_x0000_s1048" editas="canvas" style="width:476.4pt;height:246pt;mso-position-horizontal-relative:char;mso-position-vertical-relative:line" coordsize="60502,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width:60502;height:31242;visibility:visible;mso-wrap-style:square">
                  <v:fill o:detectmouseclick="t"/>
                  <v:path o:connecttype="none"/>
                </v:shape>
                <v:rect id="Прямоугольник 22" o:spid="_x0000_s1050" style="position:absolute;left:21544;top:1066;width:16306;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" fillcolor="white [3201]" strokecolor="black [3213]" strokeweight="1pt">
                  <v:textbox>
                    <w:txbxContent>
                      <w:p w:rsidR="00F821E3" w:rsidRDefault="00F821E3" w:rsidP="00110EE2">
                        <w:pPr>
                          <w:jc w:val="center"/>
                          <w:rPr>
                            <w:rFonts w:ascii="Times New Roman" w:hAnsi="Times New Roman"/>
                            <w:sz w:val="24"/>
                            <w:szCs w:val="24"/>
                          </w:rPr>
                        </w:pPr>
                        <w:r>
                          <w:rPr>
                            <w:rFonts w:ascii="Times New Roman" w:hAnsi="Times New Roman"/>
                            <w:sz w:val="24"/>
                            <w:szCs w:val="24"/>
                          </w:rPr>
                          <w:t>Ліквідність банку</w:t>
                        </w:r>
                      </w:p>
                    </w:txbxContent>
                  </v:textbox>
                </v:rect>
                <v:line id="Прямая соединительная линия 23" o:spid="_x0000_s1051" style="position:absolute;flip:x;visibility:visible;mso-wrap-style:square" from="5923,4648" to="21544,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" strokecolor="black [3200]" strokeweight=".5pt">
                  <v:stroke joinstyle="miter"/>
                </v:line>
                <v:rect id="Прямоугольник 24" o:spid="_x0000_s1052" style="position:absolute;left:359;top:6096;width:9145;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" fillcolor="white [3201]" strokecolor="black [3213]" strokeweight="1pt">
                  <v:textbox>
                    <w:txbxContent>
                      <w:p w:rsidR="00F821E3" w:rsidRPr="00D13172" w:rsidRDefault="00F821E3" w:rsidP="00110EE2">
                        <w:pPr>
                          <w:jc w:val="center"/>
                          <w:rPr>
                            <w:rFonts w:ascii="Times New Roman" w:hAnsi="Times New Roman"/>
                            <w:color w:val="000000" w:themeColor="text1"/>
                            <w:sz w:val="24"/>
                            <w:szCs w:val="24"/>
                          </w:rPr>
                        </w:pPr>
                        <w:r w:rsidRPr="00D13172">
                          <w:rPr>
                            <w:rFonts w:ascii="Times New Roman" w:hAnsi="Times New Roman"/>
                            <w:color w:val="000000" w:themeColor="text1"/>
                            <w:sz w:val="24"/>
                            <w:szCs w:val="24"/>
                          </w:rPr>
                          <w:t>здатність</w:t>
                        </w:r>
                      </w:p>
                    </w:txbxContent>
                  </v:textbox>
                </v:rect>
                <v:line id="Прямая соединительная линия 25" o:spid="_x0000_s1053" style="position:absolute;flip:x;visibility:visible;mso-wrap-style:square" from="17695,4648" to="21544,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" strokecolor="black [3200]" strokeweight=".5pt">
                  <v:stroke joinstyle="miter"/>
                </v:line>
                <v:rect id="Прямоугольник 26" o:spid="_x0000_s1054" style="position:absolute;left:12323;top:6096;width:10745;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" fillcolor="white [3212]" strokecolor="black [3213]" strokeweight="1pt">
                  <v:textbox>
                    <w:txbxContent>
                      <w:p w:rsidR="00F821E3" w:rsidRPr="00D13172" w:rsidRDefault="00F821E3" w:rsidP="00110EE2">
                        <w:pPr>
                          <w:jc w:val="center"/>
                          <w:rPr>
                            <w:rFonts w:ascii="Times New Roman" w:hAnsi="Times New Roman"/>
                            <w:color w:val="000000" w:themeColor="text1"/>
                            <w:sz w:val="24"/>
                            <w:szCs w:val="24"/>
                          </w:rPr>
                        </w:pPr>
                        <w:r w:rsidRPr="00D13172">
                          <w:rPr>
                            <w:rFonts w:ascii="Times New Roman" w:hAnsi="Times New Roman"/>
                            <w:color w:val="000000" w:themeColor="text1"/>
                            <w:sz w:val="24"/>
                            <w:szCs w:val="24"/>
                          </w:rPr>
                          <w:t>спроможність</w:t>
                        </w:r>
                      </w:p>
                    </w:txbxContent>
                  </v:textbox>
                </v:rect>
                <v:line id="Прямая соединительная линия 27" o:spid="_x0000_s1055" style="position:absolute;visibility:visible;mso-wrap-style:square" from="37850,4648" to="51109,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" strokecolor="black [3200]" strokeweight=".5pt">
                  <v:stroke joinstyle="miter"/>
                </v:line>
                <v:rect id="Прямоугольник 28" o:spid="_x0000_s1056" style="position:absolute;left:47223;top:6096;width:10973;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" fillcolor="white [3201]" strokecolor="black [3213]" strokeweight="1pt">
                  <v:textbox>
                    <w:txbxContent>
                      <w:p w:rsidR="00F821E3" w:rsidRPr="00D13172" w:rsidRDefault="00F821E3" w:rsidP="00110EE2">
                        <w:pPr>
                          <w:jc w:val="center"/>
                          <w:rPr>
                            <w:rFonts w:ascii="Times New Roman" w:hAnsi="Times New Roman"/>
                            <w:color w:val="000000" w:themeColor="text1"/>
                            <w:sz w:val="24"/>
                            <w:szCs w:val="24"/>
                          </w:rPr>
                        </w:pPr>
                        <w:r w:rsidRPr="00D13172">
                          <w:rPr>
                            <w:rFonts w:ascii="Times New Roman" w:hAnsi="Times New Roman"/>
                            <w:color w:val="000000" w:themeColor="text1"/>
                            <w:sz w:val="24"/>
                            <w:szCs w:val="24"/>
                          </w:rPr>
                          <w:t>можливість</w:t>
                        </w:r>
                      </w:p>
                    </w:txbxContent>
                  </v:textbox>
                </v:rect>
                <v:line id="Прямая соединительная линия 29" o:spid="_x0000_s1057" style="position:absolute;visibility:visible;mso-wrap-style:square" from="37850,4648" to="410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" strokecolor="black [3200]" strokeweight=".5pt">
                  <v:stroke joinstyle="miter"/>
                </v:line>
                <v:rect id="Прямоугольник 30" o:spid="_x0000_s1058" style="position:absolute;left:34345;top:6096;width:10135;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" fillcolor="white [3212]" strokecolor="black [3213]" strokeweight="1pt">
                  <v:textbox>
                    <w:txbxContent>
                      <w:p w:rsidR="00F821E3" w:rsidRPr="00D13172" w:rsidRDefault="00F821E3" w:rsidP="00110EE2">
                        <w:pPr>
                          <w:jc w:val="center"/>
                          <w:rPr>
                            <w:rFonts w:ascii="Times New Roman" w:hAnsi="Times New Roman"/>
                            <w:color w:val="000000" w:themeColor="text1"/>
                            <w:sz w:val="24"/>
                            <w:szCs w:val="24"/>
                          </w:rPr>
                        </w:pPr>
                        <w:r w:rsidRPr="00D13172">
                          <w:rPr>
                            <w:rFonts w:ascii="Times New Roman" w:hAnsi="Times New Roman"/>
                            <w:color w:val="000000" w:themeColor="text1"/>
                            <w:sz w:val="24"/>
                            <w:szCs w:val="24"/>
                          </w:rPr>
                          <w:t>готовність</w:t>
                        </w:r>
                      </w:p>
                    </w:txbxContent>
                  </v:textbox>
                </v:rect>
                <v:line id="Прямая соединительная линия 31" o:spid="_x0000_s1059" style="position:absolute;visibility:visible;mso-wrap-style:square" from="4322,8991" to="9504,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" strokecolor="black [3200]" strokeweight=".5pt">
                  <v:stroke joinstyle="miter"/>
                </v:line>
                <v:line id="Прямая соединительная линия 32" o:spid="_x0000_s1060" style="position:absolute;flip:x;visibility:visible;mso-wrap-style:square" from="12323,8991" to="17695,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" strokecolor="black [3200]" strokeweight=".5pt">
                  <v:stroke joinstyle="miter"/>
                </v:line>
                <v:rect id="Прямоугольник 33" o:spid="_x0000_s1061" style="position:absolute;left:4932;top:11201;width:1120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" fillcolor="white [3212]" strokecolor="black [3213]" strokeweight="1pt">
                  <v:textbox>
                    <w:txbxContent>
                      <w:p w:rsidR="00F821E3" w:rsidRPr="00D13172" w:rsidRDefault="00F821E3" w:rsidP="00110EE2">
                        <w:pPr>
                          <w:jc w:val="center"/>
                          <w:rPr>
                            <w:rFonts w:ascii="Times New Roman" w:hAnsi="Times New Roman"/>
                            <w:color w:val="000000" w:themeColor="text1"/>
                            <w:sz w:val="24"/>
                            <w:szCs w:val="24"/>
                          </w:rPr>
                        </w:pPr>
                        <w:r w:rsidRPr="00D13172">
                          <w:rPr>
                            <w:rFonts w:ascii="Times New Roman" w:hAnsi="Times New Roman"/>
                            <w:color w:val="000000" w:themeColor="text1"/>
                            <w:sz w:val="24"/>
                            <w:szCs w:val="24"/>
                          </w:rPr>
                          <w:t>своєчасно</w:t>
                        </w:r>
                      </w:p>
                    </w:txbxContent>
                  </v:textbox>
                </v:rect>
                <v:line id="Прямая соединительная линия 34" o:spid="_x0000_s1062" style="position:absolute;visibility:visible;mso-wrap-style:square" from="39603,8991" to="44099,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v:line>
                <v:line id="Прямая соединительная линия 35" o:spid="_x0000_s1063" style="position:absolute;flip:x;visibility:visible;mso-wrap-style:square" from="49149,8991" to="52710,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" strokecolor="black [3200]" strokeweight=".5pt">
                  <v:stroke joinstyle="miter"/>
                </v:line>
                <v:rect id="Прямоугольник 36" o:spid="_x0000_s1064" style="position:absolute;left:39070;top:11201;width:15184;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" fillcolor="white [3212]" strokecolor="black [3213]" strokeweight="1pt">
                  <v:textbox>
                    <w:txbxContent>
                      <w:p w:rsidR="00F821E3" w:rsidRPr="00D13172" w:rsidRDefault="00F821E3" w:rsidP="00110EE2">
                        <w:pPr>
                          <w:jc w:val="center"/>
                          <w:rPr>
                            <w:rFonts w:ascii="Times New Roman" w:hAnsi="Times New Roman"/>
                            <w:color w:val="000000" w:themeColor="text1"/>
                            <w:sz w:val="24"/>
                            <w:szCs w:val="24"/>
                          </w:rPr>
                        </w:pPr>
                        <w:r w:rsidRPr="00D13172">
                          <w:rPr>
                            <w:rFonts w:ascii="Times New Roman" w:hAnsi="Times New Roman"/>
                            <w:color w:val="000000" w:themeColor="text1"/>
                            <w:sz w:val="24"/>
                            <w:szCs w:val="24"/>
                          </w:rPr>
                          <w:t>на першу вимогу</w:t>
                        </w:r>
                      </w:p>
                    </w:txbxContent>
                  </v:textbox>
                </v:rect>
                <v:line id="Прямая соединительная линия 37" o:spid="_x0000_s1065" style="position:absolute;visibility:visible;mso-wrap-style:square" from="16133,14782" to="23906,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" strokecolor="black [3200]" strokeweight=".5pt">
                  <v:stroke joinstyle="miter"/>
                </v:line>
                <v:line id="Прямая соединительная линия 38" o:spid="_x0000_s1066" style="position:absolute;flip:x;visibility:visible;mso-wrap-style:square" from="34345,14782" to="39070,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" strokecolor="black [3200]" strokeweight=".5pt">
                  <v:stroke joinstyle="miter"/>
                </v:line>
                <v:rect id="Прямоугольник 39" o:spid="_x0000_s1067" style="position:absolute;left:4322;top:17297;width:49932;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" fillcolor="white [3201]" strokecolor="black [3213]" strokeweight="1pt">
                  <v:textbox>
                    <w:txbxContent>
                      <w:p w:rsidR="00F821E3" w:rsidRPr="00D13172" w:rsidRDefault="00F25B74" w:rsidP="00D13172">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F821E3" w:rsidRPr="00D13172">
                          <w:rPr>
                            <w:rFonts w:ascii="Times New Roman" w:hAnsi="Times New Roman"/>
                            <w:color w:val="000000" w:themeColor="text1"/>
                            <w:sz w:val="24"/>
                            <w:szCs w:val="24"/>
                          </w:rPr>
                          <w:t>виконувати власні зобов’язання; фінансувати зростання власних активів; перетворювати активи в грошові зобов’язання; задовольняти кредитні заявки; купувати грошові кошти в центральному банку та банків-кореспондентів за розумною ціною; відповісти на можливі ризики; задовольняти усі вимоги клієнтів у необхідній валюті</w:t>
                        </w:r>
                        <w:r>
                          <w:rPr>
                            <w:rFonts w:ascii="Times New Roman" w:hAnsi="Times New Roman"/>
                            <w:color w:val="000000" w:themeColor="text1"/>
                            <w:sz w:val="24"/>
                            <w:szCs w:val="24"/>
                          </w:rPr>
                          <w:t>»</w:t>
                        </w:r>
                      </w:p>
                    </w:txbxContent>
                  </v:textbox>
                </v:rect>
                <w10:anchorlock/>
              </v:group>
            </w:pict>
          </mc:Fallback>
        </mc:AlternateContent>
      </w:r>
    </w:p>
    <w:p w:rsidR="00110EE2" w:rsidRDefault="00110EE2" w:rsidP="00110EE2">
      <w:pPr>
        <w:pStyle w:val="a4"/>
        <w:spacing w:after="0" w:line="360" w:lineRule="auto"/>
        <w:ind w:left="0" w:firstLine="709"/>
        <w:jc w:val="both"/>
        <w:rPr>
          <w:rFonts w:ascii="Times New Roman" w:hAnsi="Times New Roman" w:cs="Times New Roman"/>
          <w:sz w:val="28"/>
          <w:szCs w:val="28"/>
        </w:rPr>
      </w:pPr>
      <w:r w:rsidRPr="00D13172">
        <w:rPr>
          <w:rFonts w:ascii="Times New Roman" w:hAnsi="Times New Roman" w:cs="Times New Roman"/>
          <w:sz w:val="28"/>
          <w:szCs w:val="28"/>
        </w:rPr>
        <w:t>Рис. 1.3.</w:t>
      </w:r>
      <w:r>
        <w:rPr>
          <w:rFonts w:ascii="Times New Roman" w:hAnsi="Times New Roman" w:cs="Times New Roman"/>
          <w:sz w:val="28"/>
          <w:szCs w:val="28"/>
        </w:rPr>
        <w:t xml:space="preserve"> Економічна сутність «ліквідності банку» [2, с. 25; </w:t>
      </w:r>
      <w:r w:rsidR="00D13172">
        <w:rPr>
          <w:rFonts w:ascii="Times New Roman" w:hAnsi="Times New Roman" w:cs="Times New Roman"/>
          <w:sz w:val="28"/>
          <w:szCs w:val="28"/>
          <w:lang w:val="ru-RU"/>
        </w:rPr>
        <w:t>20</w:t>
      </w:r>
      <w:r>
        <w:rPr>
          <w:rFonts w:ascii="Times New Roman" w:hAnsi="Times New Roman" w:cs="Times New Roman"/>
          <w:sz w:val="28"/>
          <w:szCs w:val="28"/>
        </w:rPr>
        <w:t>, с. 394]</w:t>
      </w:r>
    </w:p>
    <w:p w:rsidR="007E7626" w:rsidRPr="007E7626" w:rsidRDefault="007E7626" w:rsidP="00913DAC">
      <w:pPr>
        <w:spacing w:before="120"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На сьогодні існує ще один підхід щодо розуміння поняття «ліквідність комерційного банку», який розглядається в залежності від економічних суб’єктів або основних стейкхолдерів. </w:t>
      </w:r>
      <w:r w:rsidRPr="007E7626">
        <w:rPr>
          <w:rFonts w:ascii="Times New Roman" w:eastAsiaTheme="minorHAnsi" w:hAnsi="Times New Roman"/>
          <w:sz w:val="28"/>
          <w:szCs w:val="28"/>
        </w:rPr>
        <w:t xml:space="preserve">В узагальненому вигляді </w:t>
      </w:r>
      <w:r>
        <w:rPr>
          <w:rFonts w:ascii="Times New Roman" w:eastAsiaTheme="minorHAnsi" w:hAnsi="Times New Roman"/>
          <w:sz w:val="28"/>
          <w:szCs w:val="28"/>
        </w:rPr>
        <w:t xml:space="preserve">зазначений підхід зображено на рис. 1.4. </w:t>
      </w:r>
    </w:p>
    <w:p w:rsidR="007E7626" w:rsidRPr="007E7626" w:rsidRDefault="007E7626" w:rsidP="00837FDD">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noProof/>
          <w:sz w:val="28"/>
          <w:szCs w:val="28"/>
          <w:lang w:eastAsia="uk-UA"/>
        </w:rPr>
        <mc:AlternateContent>
          <mc:Choice Requires="wpc">
            <w:drawing>
              <wp:inline distT="0" distB="0" distL="0" distR="0">
                <wp:extent cx="5486400" cy="2225040"/>
                <wp:effectExtent l="0" t="0" r="0" b="22860"/>
                <wp:docPr id="229" name="Полотно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0" name="Прямоугольник 230"/>
                        <wps:cNvSpPr/>
                        <wps:spPr>
                          <a:xfrm>
                            <a:off x="1074420" y="45720"/>
                            <a:ext cx="3390900" cy="3124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913DAC" w:rsidRDefault="00F821E3" w:rsidP="007E7626">
                              <w:pPr>
                                <w:jc w:val="center"/>
                                <w:rPr>
                                  <w:rFonts w:ascii="Times New Roman" w:hAnsi="Times New Roman"/>
                                  <w:color w:val="000000" w:themeColor="text1"/>
                                  <w:sz w:val="24"/>
                                  <w:szCs w:val="24"/>
                                </w:rPr>
                              </w:pPr>
                              <w:r w:rsidRPr="00913DAC">
                                <w:rPr>
                                  <w:rFonts w:ascii="Times New Roman" w:hAnsi="Times New Roman"/>
                                  <w:color w:val="000000" w:themeColor="text1"/>
                                  <w:sz w:val="24"/>
                                  <w:szCs w:val="24"/>
                                </w:rPr>
                                <w:t>Ліквідність комерційного банку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Прямоугольник 231"/>
                        <wps:cNvSpPr/>
                        <wps:spPr>
                          <a:xfrm>
                            <a:off x="213360" y="500040"/>
                            <a:ext cx="1470660" cy="281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E7626" w:rsidRDefault="00F821E3" w:rsidP="007E7626">
                              <w:pPr>
                                <w:jc w:val="center"/>
                                <w:rPr>
                                  <w:rFonts w:ascii="Times New Roman" w:hAnsi="Times New Roman"/>
                                  <w:color w:val="000000" w:themeColor="text1"/>
                                  <w:sz w:val="24"/>
                                  <w:szCs w:val="24"/>
                                </w:rPr>
                              </w:pPr>
                              <w:r w:rsidRPr="007E7626">
                                <w:rPr>
                                  <w:rFonts w:ascii="Times New Roman" w:hAnsi="Times New Roman"/>
                                  <w:color w:val="000000" w:themeColor="text1"/>
                                  <w:sz w:val="24"/>
                                  <w:szCs w:val="24"/>
                                </w:rPr>
                                <w:t>Для клієнта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Прямоугольник 232"/>
                        <wps:cNvSpPr/>
                        <wps:spPr>
                          <a:xfrm>
                            <a:off x="2042160" y="500040"/>
                            <a:ext cx="1440180" cy="281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7E7626">
                              <w:pPr>
                                <w:pStyle w:val="a3"/>
                                <w:spacing w:before="0" w:beforeAutospacing="0" w:after="160" w:afterAutospacing="0" w:line="254" w:lineRule="auto"/>
                                <w:jc w:val="center"/>
                              </w:pPr>
                              <w:r>
                                <w:rPr>
                                  <w:rFonts w:eastAsia="Calibri"/>
                                  <w:color w:val="000000"/>
                                </w:rPr>
                                <w:t>Для НБУ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Прямоугольник 233"/>
                        <wps:cNvSpPr/>
                        <wps:spPr>
                          <a:xfrm>
                            <a:off x="3680460" y="500040"/>
                            <a:ext cx="1638300" cy="281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7E7626">
                              <w:pPr>
                                <w:pStyle w:val="a3"/>
                                <w:spacing w:before="0" w:beforeAutospacing="0" w:after="160" w:afterAutospacing="0" w:line="252" w:lineRule="auto"/>
                                <w:jc w:val="center"/>
                              </w:pPr>
                              <w:r>
                                <w:rPr>
                                  <w:rFonts w:eastAsia="Calibri"/>
                                  <w:color w:val="000000"/>
                                </w:rPr>
                                <w:t>Для менеджеру банку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Прямая со стрелкой 234"/>
                        <wps:cNvCnPr>
                          <a:stCxn id="230" idx="2"/>
                        </wps:cNvCnPr>
                        <wps:spPr>
                          <a:xfrm flipH="1">
                            <a:off x="1684020" y="358140"/>
                            <a:ext cx="1085850" cy="141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5" name="Прямая со стрелкой 235"/>
                        <wps:cNvCnPr>
                          <a:stCxn id="230" idx="2"/>
                          <a:endCxn id="232" idx="0"/>
                        </wps:cNvCnPr>
                        <wps:spPr>
                          <a:xfrm flipH="1">
                            <a:off x="2762250" y="358140"/>
                            <a:ext cx="7620" cy="141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6" name="Прямая со стрелкой 236"/>
                        <wps:cNvCnPr>
                          <a:stCxn id="230" idx="2"/>
                        </wps:cNvCnPr>
                        <wps:spPr>
                          <a:xfrm>
                            <a:off x="2769870" y="358140"/>
                            <a:ext cx="910590" cy="141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7" name="Прямоугольник 237"/>
                        <wps:cNvSpPr/>
                        <wps:spPr>
                          <a:xfrm>
                            <a:off x="213360" y="899160"/>
                            <a:ext cx="1470660" cy="12801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E7626" w:rsidRDefault="00F25B74" w:rsidP="007E7626">
                              <w:pPr>
                                <w:jc w:val="center"/>
                                <w:rPr>
                                  <w:rFonts w:ascii="Times New Roman" w:hAnsi="Times New Roman"/>
                                  <w:color w:val="000000" w:themeColor="text1"/>
                                </w:rPr>
                              </w:pPr>
                              <w:r>
                                <w:rPr>
                                  <w:rFonts w:ascii="Times New Roman" w:hAnsi="Times New Roman"/>
                                  <w:color w:val="000000" w:themeColor="text1"/>
                                </w:rPr>
                                <w:t>«</w:t>
                              </w:r>
                              <w:r w:rsidR="00F821E3" w:rsidRPr="007E7626">
                                <w:rPr>
                                  <w:rFonts w:ascii="Times New Roman" w:hAnsi="Times New Roman"/>
                                  <w:color w:val="000000" w:themeColor="text1"/>
                                </w:rPr>
                                <w:t>своєчасне отримання коштів; можливість споживати банківські продукти</w:t>
                              </w: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Прямая соединительная линия 238"/>
                        <wps:cNvCnPr>
                          <a:endCxn id="237" idx="0"/>
                        </wps:cNvCnPr>
                        <wps:spPr>
                          <a:xfrm flipH="1">
                            <a:off x="948690" y="781980"/>
                            <a:ext cx="3810" cy="117180"/>
                          </a:xfrm>
                          <a:prstGeom prst="line">
                            <a:avLst/>
                          </a:prstGeom>
                        </wps:spPr>
                        <wps:style>
                          <a:lnRef idx="1">
                            <a:schemeClr val="dk1"/>
                          </a:lnRef>
                          <a:fillRef idx="0">
                            <a:schemeClr val="dk1"/>
                          </a:fillRef>
                          <a:effectRef idx="0">
                            <a:schemeClr val="dk1"/>
                          </a:effectRef>
                          <a:fontRef idx="minor">
                            <a:schemeClr val="tx1"/>
                          </a:fontRef>
                        </wps:style>
                        <wps:bodyPr/>
                      </wps:wsp>
                      <wps:wsp>
                        <wps:cNvPr id="239" name="Прямоугольник 239"/>
                        <wps:cNvSpPr/>
                        <wps:spPr>
                          <a:xfrm>
                            <a:off x="2042160" y="899160"/>
                            <a:ext cx="1468611" cy="13258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913DAC" w:rsidRDefault="00F25B74" w:rsidP="007E7626">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r w:rsidR="00F821E3" w:rsidRPr="00913DAC">
                                <w:rPr>
                                  <w:rFonts w:ascii="Times New Roman" w:hAnsi="Times New Roman"/>
                                  <w:color w:val="000000" w:themeColor="text1"/>
                                  <w:sz w:val="20"/>
                                  <w:szCs w:val="20"/>
                                </w:rPr>
                                <w:t>здатність банку забезпечити своєчасне виконання своїх грошових зобов’язань, яка визначається збалансованістю між строками і сумами активів та зобов’язань</w:t>
                              </w:r>
                              <w:r>
                                <w:rPr>
                                  <w:rFonts w:ascii="Times New Roman" w:hAnsi="Times New Roman"/>
                                  <w:color w:val="000000" w:themeColor="text1"/>
                                  <w:sz w:val="20"/>
                                  <w:szCs w:val="20"/>
                                </w:rPr>
                                <w:t>»</w:t>
                              </w:r>
                              <w:r w:rsidR="00F821E3" w:rsidRPr="00913DAC">
                                <w:rPr>
                                  <w:rFonts w:ascii="Times New Roman" w:hAnsi="Times New Roman"/>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Прямая соединительная линия 240"/>
                        <wps:cNvCnPr/>
                        <wps:spPr>
                          <a:xfrm>
                            <a:off x="2762250" y="781980"/>
                            <a:ext cx="0" cy="117180"/>
                          </a:xfrm>
                          <a:prstGeom prst="line">
                            <a:avLst/>
                          </a:prstGeom>
                        </wps:spPr>
                        <wps:style>
                          <a:lnRef idx="1">
                            <a:schemeClr val="dk1"/>
                          </a:lnRef>
                          <a:fillRef idx="0">
                            <a:schemeClr val="dk1"/>
                          </a:fillRef>
                          <a:effectRef idx="0">
                            <a:schemeClr val="dk1"/>
                          </a:effectRef>
                          <a:fontRef idx="minor">
                            <a:schemeClr val="tx1"/>
                          </a:fontRef>
                        </wps:style>
                        <wps:bodyPr/>
                      </wps:wsp>
                      <wps:wsp>
                        <wps:cNvPr id="241" name="Прямоугольник 241"/>
                        <wps:cNvSpPr/>
                        <wps:spPr>
                          <a:xfrm>
                            <a:off x="3596640" y="899160"/>
                            <a:ext cx="1805940" cy="13258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913DAC" w:rsidRDefault="00F25B74" w:rsidP="00913DAC">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r w:rsidR="00F821E3" w:rsidRPr="00913DAC">
                                <w:rPr>
                                  <w:rFonts w:ascii="Times New Roman" w:hAnsi="Times New Roman"/>
                                  <w:color w:val="000000" w:themeColor="text1"/>
                                  <w:sz w:val="20"/>
                                  <w:szCs w:val="20"/>
                                </w:rPr>
                                <w:t>здатність банку своєчасно і в повному обсязі виконувати взяті на себе зобов’язання за умови спроможності проводити активні операції, пропонувати нові продукти, функціонувати у нормальному режимі</w:t>
                              </w:r>
                              <w:r>
                                <w:rPr>
                                  <w:rFonts w:ascii="Times New Roman" w:hAnsi="Times New Roman"/>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Прямая соединительная линия 242"/>
                        <wps:cNvCnPr>
                          <a:stCxn id="233" idx="2"/>
                          <a:endCxn id="241" idx="0"/>
                        </wps:cNvCnPr>
                        <wps:spPr>
                          <a:xfrm>
                            <a:off x="4499610" y="781980"/>
                            <a:ext cx="0" cy="11718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229" o:spid="_x0000_s1068" editas="canvas" style="width:6in;height:175.2pt;mso-position-horizontal-relative:char;mso-position-vertical-relative:line" coordsize="54864,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">
                <v:shape id="_x0000_s1069" type="#_x0000_t75" style="position:absolute;width:54864;height:22250;visibility:visible;mso-wrap-style:square">
                  <v:fill o:detectmouseclick="t"/>
                  <v:path o:connecttype="none"/>
                </v:shape>
                <v:rect id="Прямоугольник 230" o:spid="_x0000_s1070" style="position:absolute;left:10744;top:457;width:33909;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" fillcolor="white [3212]" strokecolor="black [3213]" strokeweight="1pt">
                  <v:textbox>
                    <w:txbxContent>
                      <w:p w:rsidR="00F821E3" w:rsidRPr="00913DAC" w:rsidRDefault="00F821E3" w:rsidP="007E7626">
                        <w:pPr>
                          <w:jc w:val="center"/>
                          <w:rPr>
                            <w:rFonts w:ascii="Times New Roman" w:hAnsi="Times New Roman"/>
                            <w:color w:val="000000" w:themeColor="text1"/>
                            <w:sz w:val="24"/>
                            <w:szCs w:val="24"/>
                          </w:rPr>
                        </w:pPr>
                        <w:r w:rsidRPr="00913DAC">
                          <w:rPr>
                            <w:rFonts w:ascii="Times New Roman" w:hAnsi="Times New Roman"/>
                            <w:color w:val="000000" w:themeColor="text1"/>
                            <w:sz w:val="24"/>
                            <w:szCs w:val="24"/>
                          </w:rPr>
                          <w:t>Ліквідність комерційного банку</w:t>
                        </w:r>
                      </w:p>
                    </w:txbxContent>
                  </v:textbox>
                </v:rect>
                <v:rect id="Прямоугольник 231" o:spid="_x0000_s1071" style="position:absolute;left:2133;top:5000;width:14707;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" fillcolor="white [3212]" strokecolor="black [3213]" strokeweight="1pt">
                  <v:textbox>
                    <w:txbxContent>
                      <w:p w:rsidR="00F821E3" w:rsidRPr="007E7626" w:rsidRDefault="00F821E3" w:rsidP="007E7626">
                        <w:pPr>
                          <w:jc w:val="center"/>
                          <w:rPr>
                            <w:rFonts w:ascii="Times New Roman" w:hAnsi="Times New Roman"/>
                            <w:color w:val="000000" w:themeColor="text1"/>
                            <w:sz w:val="24"/>
                            <w:szCs w:val="24"/>
                          </w:rPr>
                        </w:pPr>
                        <w:r w:rsidRPr="007E7626">
                          <w:rPr>
                            <w:rFonts w:ascii="Times New Roman" w:hAnsi="Times New Roman"/>
                            <w:color w:val="000000" w:themeColor="text1"/>
                            <w:sz w:val="24"/>
                            <w:szCs w:val="24"/>
                          </w:rPr>
                          <w:t>Для клієнта</w:t>
                        </w:r>
                      </w:p>
                    </w:txbxContent>
                  </v:textbox>
                </v:rect>
                <v:rect id="Прямоугольник 232" o:spid="_x0000_s1072" style="position:absolute;left:20421;top:5000;width:14402;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" fillcolor="white [3212]" strokecolor="black [3213]" strokeweight="1pt">
                  <v:textbox>
                    <w:txbxContent>
                      <w:p w:rsidR="00F821E3" w:rsidRDefault="00F821E3" w:rsidP="007E7626">
                        <w:pPr>
                          <w:pStyle w:val="a3"/>
                          <w:spacing w:before="0" w:beforeAutospacing="0" w:after="160" w:afterAutospacing="0" w:line="254" w:lineRule="auto"/>
                          <w:jc w:val="center"/>
                        </w:pPr>
                        <w:r>
                          <w:rPr>
                            <w:rFonts w:eastAsia="Calibri"/>
                            <w:color w:val="000000"/>
                          </w:rPr>
                          <w:t>Для НБУ</w:t>
                        </w:r>
                      </w:p>
                    </w:txbxContent>
                  </v:textbox>
                </v:rect>
                <v:rect id="Прямоугольник 233" o:spid="_x0000_s1073" style="position:absolute;left:36804;top:5000;width:1638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" fillcolor="white [3212]" strokecolor="black [3213]" strokeweight="1pt">
                  <v:textbox>
                    <w:txbxContent>
                      <w:p w:rsidR="00F821E3" w:rsidRDefault="00F821E3" w:rsidP="007E7626">
                        <w:pPr>
                          <w:pStyle w:val="a3"/>
                          <w:spacing w:before="0" w:beforeAutospacing="0" w:after="160" w:afterAutospacing="0" w:line="252" w:lineRule="auto"/>
                          <w:jc w:val="center"/>
                        </w:pPr>
                        <w:r>
                          <w:rPr>
                            <w:rFonts w:eastAsia="Calibri"/>
                            <w:color w:val="000000"/>
                          </w:rPr>
                          <w:t>Для менеджеру банку</w:t>
                        </w:r>
                      </w:p>
                    </w:txbxContent>
                  </v:textbox>
                </v:rect>
                <v:shapetype id="_x0000_t32" coordsize="21600,21600" o:spt="32" o:oned="t" path="m,l21600,21600e" filled="f">
                  <v:path arrowok="t" fillok="f" o:connecttype="none"/>
                  <o:lock v:ext="edit" shapetype="t"/>
                </v:shapetype>
                <v:shape id="Прямая со стрелкой 234" o:spid="_x0000_s1074" type="#_x0000_t32" style="position:absolute;left:16840;top:3581;width:10858;height:14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" strokecolor="black [3200]" strokeweight=".5pt">
                  <v:stroke endarrow="block" joinstyle="miter"/>
                </v:shape>
                <v:shape id="Прямая со стрелкой 235" o:spid="_x0000_s1075" type="#_x0000_t32" style="position:absolute;left:27622;top:3581;width:76;height:14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" strokecolor="black [3200]" strokeweight=".5pt">
                  <v:stroke endarrow="block" joinstyle="miter"/>
                </v:shape>
                <v:shape id="Прямая со стрелкой 236" o:spid="_x0000_s1076" type="#_x0000_t32" style="position:absolute;left:27698;top:3581;width:9106;height:1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" strokecolor="black [3200]" strokeweight=".5pt">
                  <v:stroke endarrow="block" joinstyle="miter"/>
                </v:shape>
                <v:rect id="Прямоугольник 237" o:spid="_x0000_s1077" style="position:absolute;left:2133;top:8991;width:14707;height:1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" fillcolor="white [3212]" strokecolor="black [3213]" strokeweight="1pt">
                  <v:textbox>
                    <w:txbxContent>
                      <w:p w:rsidR="00F821E3" w:rsidRPr="007E7626" w:rsidRDefault="00F25B74" w:rsidP="007E7626">
                        <w:pPr>
                          <w:jc w:val="center"/>
                          <w:rPr>
                            <w:rFonts w:ascii="Times New Roman" w:hAnsi="Times New Roman"/>
                            <w:color w:val="000000" w:themeColor="text1"/>
                          </w:rPr>
                        </w:pPr>
                        <w:r>
                          <w:rPr>
                            <w:rFonts w:ascii="Times New Roman" w:hAnsi="Times New Roman"/>
                            <w:color w:val="000000" w:themeColor="text1"/>
                          </w:rPr>
                          <w:t>«</w:t>
                        </w:r>
                        <w:r w:rsidR="00F821E3" w:rsidRPr="007E7626">
                          <w:rPr>
                            <w:rFonts w:ascii="Times New Roman" w:hAnsi="Times New Roman"/>
                            <w:color w:val="000000" w:themeColor="text1"/>
                          </w:rPr>
                          <w:t>своєчасне отримання коштів; можливість споживати банківські продукти</w:t>
                        </w:r>
                        <w:r>
                          <w:rPr>
                            <w:rFonts w:ascii="Times New Roman" w:hAnsi="Times New Roman"/>
                            <w:color w:val="000000" w:themeColor="text1"/>
                          </w:rPr>
                          <w:t>»</w:t>
                        </w:r>
                      </w:p>
                    </w:txbxContent>
                  </v:textbox>
                </v:rect>
                <v:line id="Прямая соединительная линия 238" o:spid="_x0000_s1078" style="position:absolute;flip:x;visibility:visible;mso-wrap-style:square" from="9486,7819" to="9525,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" strokecolor="black [3200]" strokeweight=".5pt">
                  <v:stroke joinstyle="miter"/>
                </v:line>
                <v:rect id="Прямоугольник 239" o:spid="_x0000_s1079" style="position:absolute;left:20421;top:8991;width:14686;height:1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" fillcolor="white [3212]" strokecolor="black [3213]" strokeweight="1pt">
                  <v:textbox>
                    <w:txbxContent>
                      <w:p w:rsidR="00F821E3" w:rsidRPr="00913DAC" w:rsidRDefault="00F25B74" w:rsidP="007E7626">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r w:rsidR="00F821E3" w:rsidRPr="00913DAC">
                          <w:rPr>
                            <w:rFonts w:ascii="Times New Roman" w:hAnsi="Times New Roman"/>
                            <w:color w:val="000000" w:themeColor="text1"/>
                            <w:sz w:val="20"/>
                            <w:szCs w:val="20"/>
                          </w:rPr>
                          <w:t>здатність банку забезпечити своєчасне виконання своїх грошових зобов’язань, яка визначається збалансованістю між строками і сумами активів та зобов’язань</w:t>
                        </w:r>
                        <w:r>
                          <w:rPr>
                            <w:rFonts w:ascii="Times New Roman" w:hAnsi="Times New Roman"/>
                            <w:color w:val="000000" w:themeColor="text1"/>
                            <w:sz w:val="20"/>
                            <w:szCs w:val="20"/>
                          </w:rPr>
                          <w:t>»</w:t>
                        </w:r>
                        <w:r w:rsidR="00F821E3" w:rsidRPr="00913DAC">
                          <w:rPr>
                            <w:rFonts w:ascii="Times New Roman" w:hAnsi="Times New Roman"/>
                            <w:color w:val="000000" w:themeColor="text1"/>
                            <w:sz w:val="20"/>
                            <w:szCs w:val="20"/>
                          </w:rPr>
                          <w:t xml:space="preserve"> </w:t>
                        </w:r>
                      </w:p>
                    </w:txbxContent>
                  </v:textbox>
                </v:rect>
                <v:line id="Прямая соединительная линия 240" o:spid="_x0000_s1080" style="position:absolute;visibility:visible;mso-wrap-style:square" from="27622,7819" to="27622,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" strokecolor="black [3200]" strokeweight=".5pt">
                  <v:stroke joinstyle="miter"/>
                </v:line>
                <v:rect id="Прямоугольник 241" o:spid="_x0000_s1081" style="position:absolute;left:35966;top:8991;width:18059;height:1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" fillcolor="white [3212]" strokecolor="black [3213]" strokeweight="1pt">
                  <v:textbox>
                    <w:txbxContent>
                      <w:p w:rsidR="00F821E3" w:rsidRPr="00913DAC" w:rsidRDefault="00F25B74" w:rsidP="00913DAC">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r w:rsidR="00F821E3" w:rsidRPr="00913DAC">
                          <w:rPr>
                            <w:rFonts w:ascii="Times New Roman" w:hAnsi="Times New Roman"/>
                            <w:color w:val="000000" w:themeColor="text1"/>
                            <w:sz w:val="20"/>
                            <w:szCs w:val="20"/>
                          </w:rPr>
                          <w:t>здатність банку своєчасно і в повному обсязі виконувати взяті на себе зобов’язання за умови спроможності проводити активні операції, пропонувати нові продукти, функціонувати у нормальному режимі</w:t>
                        </w:r>
                        <w:r>
                          <w:rPr>
                            <w:rFonts w:ascii="Times New Roman" w:hAnsi="Times New Roman"/>
                            <w:color w:val="000000" w:themeColor="text1"/>
                            <w:sz w:val="20"/>
                            <w:szCs w:val="20"/>
                          </w:rPr>
                          <w:t>»</w:t>
                        </w:r>
                      </w:p>
                    </w:txbxContent>
                  </v:textbox>
                </v:rect>
                <v:line id="Прямая соединительная линия 242" o:spid="_x0000_s1082" style="position:absolute;visibility:visible;mso-wrap-style:square" from="44996,7819" to="44996,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" strokecolor="black [3200]" strokeweight=".5pt">
                  <v:stroke joinstyle="miter"/>
                </v:line>
                <w10:anchorlock/>
              </v:group>
            </w:pict>
          </mc:Fallback>
        </mc:AlternateContent>
      </w:r>
    </w:p>
    <w:p w:rsidR="007E7626" w:rsidRDefault="00913DAC" w:rsidP="00913DAC">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 1.4. </w:t>
      </w:r>
      <w:r w:rsidRPr="00913DAC">
        <w:rPr>
          <w:rFonts w:ascii="Times New Roman" w:hAnsi="Times New Roman"/>
          <w:sz w:val="28"/>
          <w:szCs w:val="28"/>
        </w:rPr>
        <w:t xml:space="preserve">Підходи до розуміння поняття «ліквідність </w:t>
      </w:r>
      <w:r>
        <w:rPr>
          <w:rFonts w:ascii="Times New Roman" w:hAnsi="Times New Roman"/>
          <w:sz w:val="28"/>
          <w:szCs w:val="28"/>
        </w:rPr>
        <w:t xml:space="preserve">комерційного </w:t>
      </w:r>
      <w:r w:rsidRPr="00913DAC">
        <w:rPr>
          <w:rFonts w:ascii="Times New Roman" w:hAnsi="Times New Roman"/>
          <w:sz w:val="28"/>
          <w:szCs w:val="28"/>
        </w:rPr>
        <w:t xml:space="preserve">банку» </w:t>
      </w:r>
      <w:r>
        <w:rPr>
          <w:rFonts w:ascii="Times New Roman" w:hAnsi="Times New Roman"/>
          <w:sz w:val="28"/>
          <w:szCs w:val="28"/>
        </w:rPr>
        <w:t xml:space="preserve">в залежності від </w:t>
      </w:r>
      <w:proofErr w:type="spellStart"/>
      <w:r>
        <w:rPr>
          <w:rFonts w:ascii="Times New Roman" w:hAnsi="Times New Roman"/>
          <w:sz w:val="28"/>
          <w:szCs w:val="28"/>
        </w:rPr>
        <w:t>стейкхолдера</w:t>
      </w:r>
      <w:proofErr w:type="spellEnd"/>
      <w:r>
        <w:rPr>
          <w:rFonts w:ascii="Times New Roman" w:hAnsi="Times New Roman"/>
          <w:sz w:val="28"/>
          <w:szCs w:val="28"/>
        </w:rPr>
        <w:t xml:space="preserve"> </w:t>
      </w:r>
      <w:r w:rsidRPr="00913DAC">
        <w:rPr>
          <w:rFonts w:ascii="Times New Roman" w:hAnsi="Times New Roman"/>
          <w:sz w:val="28"/>
          <w:szCs w:val="28"/>
        </w:rPr>
        <w:t>[20, с. 39</w:t>
      </w:r>
      <w:r>
        <w:rPr>
          <w:rFonts w:ascii="Times New Roman" w:hAnsi="Times New Roman"/>
          <w:sz w:val="28"/>
          <w:szCs w:val="28"/>
        </w:rPr>
        <w:t>5</w:t>
      </w:r>
      <w:r w:rsidRPr="00913DAC">
        <w:rPr>
          <w:rFonts w:ascii="Times New Roman" w:hAnsi="Times New Roman"/>
          <w:sz w:val="28"/>
          <w:szCs w:val="28"/>
        </w:rPr>
        <w:t>]</w:t>
      </w:r>
    </w:p>
    <w:p w:rsidR="00110EE2" w:rsidRDefault="00110EE2" w:rsidP="00837FD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На здатність банку своєчасно і в повному обсязі виконувати взяті на себе зобов’язання, тобто на його ліквідність, впливає ціла низка факторів, серед яких переважна більшість вчених-економістів виділяють внутрішні та зовнішні, роблячи акцент на економічних та організаційних моментах [2, с. 27] </w:t>
      </w:r>
      <w:r w:rsidRPr="007E5BE9">
        <w:rPr>
          <w:rFonts w:ascii="Times New Roman" w:hAnsi="Times New Roman"/>
          <w:sz w:val="28"/>
          <w:szCs w:val="28"/>
        </w:rPr>
        <w:t>(див. табл</w:t>
      </w:r>
      <w:r w:rsidR="007E5BE9" w:rsidRPr="007E5BE9">
        <w:rPr>
          <w:rFonts w:ascii="Times New Roman" w:hAnsi="Times New Roman"/>
          <w:sz w:val="28"/>
          <w:szCs w:val="28"/>
        </w:rPr>
        <w:t>.</w:t>
      </w:r>
      <w:r w:rsidR="00574C41">
        <w:rPr>
          <w:rFonts w:ascii="Times New Roman" w:hAnsi="Times New Roman"/>
          <w:sz w:val="28"/>
          <w:szCs w:val="28"/>
        </w:rPr>
        <w:t xml:space="preserve"> 1.3</w:t>
      </w:r>
      <w:r w:rsidRPr="007E5BE9">
        <w:rPr>
          <w:rFonts w:ascii="Times New Roman" w:hAnsi="Times New Roman"/>
          <w:sz w:val="28"/>
          <w:szCs w:val="28"/>
        </w:rPr>
        <w:t>).</w:t>
      </w:r>
      <w:r>
        <w:rPr>
          <w:rFonts w:ascii="Times New Roman" w:hAnsi="Times New Roman"/>
          <w:sz w:val="28"/>
          <w:szCs w:val="28"/>
        </w:rPr>
        <w:t xml:space="preserve"> </w:t>
      </w:r>
    </w:p>
    <w:p w:rsidR="0047085E" w:rsidRDefault="00574C41" w:rsidP="00837FDD">
      <w:pPr>
        <w:spacing w:after="0" w:line="240" w:lineRule="auto"/>
        <w:ind w:firstLine="709"/>
        <w:jc w:val="right"/>
        <w:rPr>
          <w:rFonts w:ascii="Times New Roman" w:hAnsi="Times New Roman"/>
          <w:sz w:val="28"/>
          <w:szCs w:val="28"/>
        </w:rPr>
      </w:pPr>
      <w:r>
        <w:rPr>
          <w:rFonts w:ascii="Times New Roman" w:hAnsi="Times New Roman"/>
          <w:sz w:val="28"/>
          <w:szCs w:val="28"/>
        </w:rPr>
        <w:t>Таблиця 1.3</w:t>
      </w:r>
    </w:p>
    <w:p w:rsidR="00110EE2" w:rsidRDefault="00110EE2" w:rsidP="002242D9">
      <w:pPr>
        <w:spacing w:after="0" w:line="360" w:lineRule="auto"/>
        <w:ind w:firstLine="708"/>
        <w:jc w:val="center"/>
        <w:rPr>
          <w:rFonts w:ascii="Times New Roman" w:hAnsi="Times New Roman"/>
          <w:sz w:val="28"/>
          <w:szCs w:val="28"/>
        </w:rPr>
      </w:pPr>
      <w:r>
        <w:rPr>
          <w:rFonts w:ascii="Times New Roman" w:hAnsi="Times New Roman"/>
          <w:sz w:val="28"/>
          <w:szCs w:val="28"/>
        </w:rPr>
        <w:t>Фактори впливу на ліквідність банку</w:t>
      </w:r>
    </w:p>
    <w:tbl>
      <w:tblPr>
        <w:tblStyle w:val="a5"/>
        <w:tblW w:w="0" w:type="auto"/>
        <w:tblInd w:w="0" w:type="dxa"/>
        <w:tblLook w:val="04A0" w:firstRow="1" w:lastRow="0" w:firstColumn="1" w:lastColumn="0" w:noHBand="0" w:noVBand="1"/>
      </w:tblPr>
      <w:tblGrid>
        <w:gridCol w:w="2547"/>
        <w:gridCol w:w="2267"/>
        <w:gridCol w:w="2694"/>
        <w:gridCol w:w="2121"/>
      </w:tblGrid>
      <w:tr w:rsidR="00110EE2" w:rsidTr="00837FDD">
        <w:trPr>
          <w:trHeight w:val="227"/>
        </w:trPr>
        <w:tc>
          <w:tcPr>
            <w:tcW w:w="4814" w:type="dxa"/>
            <w:gridSpan w:val="2"/>
            <w:tcBorders>
              <w:top w:val="single" w:sz="4" w:space="0" w:color="auto"/>
              <w:left w:val="single" w:sz="4" w:space="0" w:color="auto"/>
              <w:bottom w:val="single" w:sz="4" w:space="0" w:color="auto"/>
              <w:right w:val="single" w:sz="4" w:space="0" w:color="auto"/>
            </w:tcBorders>
            <w:hideMark/>
          </w:tcPr>
          <w:p w:rsidR="00110EE2" w:rsidRPr="00837FDD" w:rsidRDefault="00110EE2">
            <w:pPr>
              <w:spacing w:line="360" w:lineRule="auto"/>
              <w:jc w:val="center"/>
              <w:rPr>
                <w:rFonts w:ascii="Times New Roman" w:hAnsi="Times New Roman"/>
                <w:b/>
              </w:rPr>
            </w:pPr>
            <w:r w:rsidRPr="00837FDD">
              <w:rPr>
                <w:rFonts w:ascii="Times New Roman" w:hAnsi="Times New Roman"/>
                <w:b/>
              </w:rPr>
              <w:t>Внутрішні фактори</w:t>
            </w:r>
          </w:p>
        </w:tc>
        <w:tc>
          <w:tcPr>
            <w:tcW w:w="4815" w:type="dxa"/>
            <w:gridSpan w:val="2"/>
            <w:tcBorders>
              <w:top w:val="single" w:sz="4" w:space="0" w:color="auto"/>
              <w:left w:val="single" w:sz="4" w:space="0" w:color="auto"/>
              <w:bottom w:val="single" w:sz="4" w:space="0" w:color="auto"/>
              <w:right w:val="single" w:sz="4" w:space="0" w:color="auto"/>
            </w:tcBorders>
            <w:hideMark/>
          </w:tcPr>
          <w:p w:rsidR="00110EE2" w:rsidRPr="00837FDD" w:rsidRDefault="00110EE2">
            <w:pPr>
              <w:spacing w:line="360" w:lineRule="auto"/>
              <w:jc w:val="center"/>
              <w:rPr>
                <w:rFonts w:ascii="Times New Roman" w:hAnsi="Times New Roman"/>
                <w:b/>
              </w:rPr>
            </w:pPr>
            <w:r w:rsidRPr="00837FDD">
              <w:rPr>
                <w:rFonts w:ascii="Times New Roman" w:hAnsi="Times New Roman"/>
                <w:b/>
              </w:rPr>
              <w:t>Зовнішні фактори</w:t>
            </w:r>
          </w:p>
        </w:tc>
      </w:tr>
      <w:tr w:rsidR="00110EE2" w:rsidTr="00837FDD">
        <w:trPr>
          <w:trHeight w:val="227"/>
        </w:trPr>
        <w:tc>
          <w:tcPr>
            <w:tcW w:w="2547" w:type="dxa"/>
            <w:tcBorders>
              <w:top w:val="single" w:sz="4" w:space="0" w:color="auto"/>
              <w:left w:val="single" w:sz="4" w:space="0" w:color="auto"/>
              <w:bottom w:val="single" w:sz="4" w:space="0" w:color="auto"/>
              <w:right w:val="single" w:sz="4" w:space="0" w:color="auto"/>
            </w:tcBorders>
            <w:hideMark/>
          </w:tcPr>
          <w:p w:rsidR="00110EE2" w:rsidRPr="00837FDD" w:rsidRDefault="00110EE2">
            <w:pPr>
              <w:spacing w:line="360" w:lineRule="auto"/>
              <w:jc w:val="center"/>
              <w:rPr>
                <w:rFonts w:ascii="Times New Roman" w:hAnsi="Times New Roman"/>
                <w:b/>
              </w:rPr>
            </w:pPr>
            <w:r w:rsidRPr="00837FDD">
              <w:rPr>
                <w:rFonts w:ascii="Times New Roman" w:hAnsi="Times New Roman"/>
                <w:b/>
              </w:rPr>
              <w:t>Фінансові</w:t>
            </w:r>
          </w:p>
        </w:tc>
        <w:tc>
          <w:tcPr>
            <w:tcW w:w="2267" w:type="dxa"/>
            <w:tcBorders>
              <w:top w:val="single" w:sz="4" w:space="0" w:color="auto"/>
              <w:left w:val="single" w:sz="4" w:space="0" w:color="auto"/>
              <w:bottom w:val="single" w:sz="4" w:space="0" w:color="auto"/>
              <w:right w:val="single" w:sz="4" w:space="0" w:color="auto"/>
            </w:tcBorders>
            <w:hideMark/>
          </w:tcPr>
          <w:p w:rsidR="00110EE2" w:rsidRPr="00837FDD" w:rsidRDefault="00110EE2">
            <w:pPr>
              <w:spacing w:line="360" w:lineRule="auto"/>
              <w:jc w:val="center"/>
              <w:rPr>
                <w:rFonts w:ascii="Times New Roman" w:hAnsi="Times New Roman"/>
                <w:b/>
              </w:rPr>
            </w:pPr>
            <w:r w:rsidRPr="00837FDD">
              <w:rPr>
                <w:rFonts w:ascii="Times New Roman" w:hAnsi="Times New Roman"/>
                <w:b/>
              </w:rPr>
              <w:t>Нефінансові</w:t>
            </w:r>
          </w:p>
        </w:tc>
        <w:tc>
          <w:tcPr>
            <w:tcW w:w="2694" w:type="dxa"/>
            <w:tcBorders>
              <w:top w:val="single" w:sz="4" w:space="0" w:color="auto"/>
              <w:left w:val="single" w:sz="4" w:space="0" w:color="auto"/>
              <w:bottom w:val="single" w:sz="4" w:space="0" w:color="auto"/>
              <w:right w:val="single" w:sz="4" w:space="0" w:color="auto"/>
            </w:tcBorders>
            <w:hideMark/>
          </w:tcPr>
          <w:p w:rsidR="00110EE2" w:rsidRPr="00837FDD" w:rsidRDefault="00110EE2">
            <w:pPr>
              <w:spacing w:line="360" w:lineRule="auto"/>
              <w:jc w:val="center"/>
              <w:rPr>
                <w:rFonts w:ascii="Times New Roman" w:hAnsi="Times New Roman"/>
                <w:b/>
              </w:rPr>
            </w:pPr>
            <w:r w:rsidRPr="00837FDD">
              <w:rPr>
                <w:rFonts w:ascii="Times New Roman" w:hAnsi="Times New Roman"/>
                <w:b/>
              </w:rPr>
              <w:t>Загальні</w:t>
            </w:r>
          </w:p>
        </w:tc>
        <w:tc>
          <w:tcPr>
            <w:tcW w:w="2121" w:type="dxa"/>
            <w:tcBorders>
              <w:top w:val="single" w:sz="4" w:space="0" w:color="auto"/>
              <w:left w:val="single" w:sz="4" w:space="0" w:color="auto"/>
              <w:bottom w:val="single" w:sz="4" w:space="0" w:color="auto"/>
              <w:right w:val="single" w:sz="4" w:space="0" w:color="auto"/>
            </w:tcBorders>
            <w:hideMark/>
          </w:tcPr>
          <w:p w:rsidR="00110EE2" w:rsidRPr="00837FDD" w:rsidRDefault="00110EE2">
            <w:pPr>
              <w:spacing w:line="360" w:lineRule="auto"/>
              <w:jc w:val="center"/>
              <w:rPr>
                <w:rFonts w:ascii="Times New Roman" w:hAnsi="Times New Roman"/>
                <w:b/>
              </w:rPr>
            </w:pPr>
            <w:r w:rsidRPr="00837FDD">
              <w:rPr>
                <w:rFonts w:ascii="Times New Roman" w:hAnsi="Times New Roman"/>
                <w:b/>
              </w:rPr>
              <w:t>Спеціальні</w:t>
            </w:r>
          </w:p>
        </w:tc>
      </w:tr>
      <w:tr w:rsidR="00110EE2" w:rsidTr="00837FDD">
        <w:tc>
          <w:tcPr>
            <w:tcW w:w="2547" w:type="dxa"/>
            <w:tcBorders>
              <w:top w:val="single" w:sz="4" w:space="0" w:color="auto"/>
              <w:left w:val="single" w:sz="4" w:space="0" w:color="auto"/>
              <w:bottom w:val="single" w:sz="4" w:space="0" w:color="auto"/>
              <w:right w:val="single" w:sz="4" w:space="0" w:color="auto"/>
            </w:tcBorders>
            <w:vAlign w:val="center"/>
            <w:hideMark/>
          </w:tcPr>
          <w:p w:rsidR="00110EE2" w:rsidRPr="00837FDD" w:rsidRDefault="00110EE2">
            <w:pPr>
              <w:spacing w:line="240" w:lineRule="auto"/>
              <w:jc w:val="center"/>
              <w:rPr>
                <w:rFonts w:ascii="Times New Roman" w:hAnsi="Times New Roman"/>
              </w:rPr>
            </w:pPr>
            <w:r w:rsidRPr="00837FDD">
              <w:rPr>
                <w:rFonts w:ascii="Times New Roman" w:hAnsi="Times New Roman"/>
              </w:rPr>
              <w:t xml:space="preserve">«якість майна (активів) банку; кількість залучених коштів; </w:t>
            </w:r>
          </w:p>
          <w:p w:rsidR="00110EE2" w:rsidRPr="00837FDD" w:rsidRDefault="00110EE2">
            <w:pPr>
              <w:spacing w:line="240" w:lineRule="auto"/>
              <w:jc w:val="center"/>
              <w:rPr>
                <w:rFonts w:ascii="Times New Roman" w:hAnsi="Times New Roman"/>
              </w:rPr>
            </w:pPr>
            <w:r w:rsidRPr="00837FDD">
              <w:rPr>
                <w:rFonts w:ascii="Times New Roman" w:hAnsi="Times New Roman"/>
              </w:rPr>
              <w:t xml:space="preserve">баланс активу і пасиву за термінами ліквідності; </w:t>
            </w:r>
          </w:p>
          <w:p w:rsidR="00110EE2" w:rsidRPr="00837FDD" w:rsidRDefault="00110EE2">
            <w:pPr>
              <w:spacing w:line="240" w:lineRule="auto"/>
              <w:jc w:val="center"/>
              <w:rPr>
                <w:rFonts w:ascii="Times New Roman" w:hAnsi="Times New Roman"/>
              </w:rPr>
            </w:pPr>
            <w:r w:rsidRPr="00837FDD">
              <w:rPr>
                <w:rFonts w:ascii="Times New Roman" w:hAnsi="Times New Roman"/>
              </w:rPr>
              <w:t>якість кредитного портфеля»</w:t>
            </w:r>
          </w:p>
        </w:tc>
        <w:tc>
          <w:tcPr>
            <w:tcW w:w="2267" w:type="dxa"/>
            <w:tcBorders>
              <w:top w:val="single" w:sz="4" w:space="0" w:color="auto"/>
              <w:left w:val="single" w:sz="4" w:space="0" w:color="auto"/>
              <w:bottom w:val="single" w:sz="4" w:space="0" w:color="auto"/>
              <w:right w:val="single" w:sz="4" w:space="0" w:color="auto"/>
            </w:tcBorders>
            <w:vAlign w:val="center"/>
            <w:hideMark/>
          </w:tcPr>
          <w:p w:rsidR="00110EE2" w:rsidRPr="00837FDD" w:rsidRDefault="00110EE2">
            <w:pPr>
              <w:spacing w:line="240" w:lineRule="auto"/>
              <w:jc w:val="center"/>
              <w:rPr>
                <w:rFonts w:ascii="Times New Roman" w:hAnsi="Times New Roman"/>
              </w:rPr>
            </w:pPr>
            <w:r w:rsidRPr="00837FDD">
              <w:rPr>
                <w:rFonts w:ascii="Times New Roman" w:hAnsi="Times New Roman"/>
              </w:rPr>
              <w:t>«менеджмент і репутація банку; фінансовий стан і розвиток банку; кваліфікація і досвід управлінського</w:t>
            </w:r>
          </w:p>
          <w:p w:rsidR="00110EE2" w:rsidRPr="00837FDD" w:rsidRDefault="00110EE2">
            <w:pPr>
              <w:spacing w:line="240" w:lineRule="auto"/>
              <w:jc w:val="center"/>
              <w:rPr>
                <w:rFonts w:ascii="Times New Roman" w:hAnsi="Times New Roman"/>
              </w:rPr>
            </w:pPr>
            <w:r w:rsidRPr="00837FDD">
              <w:rPr>
                <w:rFonts w:ascii="Times New Roman" w:hAnsi="Times New Roman"/>
              </w:rPr>
              <w:t>персоналу банку»</w:t>
            </w:r>
          </w:p>
        </w:tc>
        <w:tc>
          <w:tcPr>
            <w:tcW w:w="2694" w:type="dxa"/>
            <w:tcBorders>
              <w:top w:val="single" w:sz="4" w:space="0" w:color="auto"/>
              <w:left w:val="single" w:sz="4" w:space="0" w:color="auto"/>
              <w:bottom w:val="single" w:sz="4" w:space="0" w:color="auto"/>
              <w:right w:val="single" w:sz="4" w:space="0" w:color="auto"/>
            </w:tcBorders>
            <w:vAlign w:val="center"/>
            <w:hideMark/>
          </w:tcPr>
          <w:p w:rsidR="00110EE2" w:rsidRPr="00837FDD" w:rsidRDefault="00837FDD">
            <w:pPr>
              <w:spacing w:line="240" w:lineRule="auto"/>
              <w:jc w:val="center"/>
              <w:rPr>
                <w:rFonts w:ascii="Times New Roman" w:hAnsi="Times New Roman"/>
              </w:rPr>
            </w:pPr>
            <w:r>
              <w:rPr>
                <w:rFonts w:ascii="Times New Roman" w:hAnsi="Times New Roman"/>
              </w:rPr>
              <w:t xml:space="preserve">«політична і </w:t>
            </w:r>
            <w:r w:rsidR="00110EE2" w:rsidRPr="00837FDD">
              <w:rPr>
                <w:rFonts w:ascii="Times New Roman" w:hAnsi="Times New Roman"/>
              </w:rPr>
              <w:t>економічна ситуація</w:t>
            </w:r>
          </w:p>
          <w:p w:rsidR="00110EE2" w:rsidRPr="00837FDD" w:rsidRDefault="00837FDD" w:rsidP="00837FDD">
            <w:pPr>
              <w:spacing w:line="240" w:lineRule="auto"/>
              <w:jc w:val="center"/>
              <w:rPr>
                <w:rFonts w:ascii="Times New Roman" w:hAnsi="Times New Roman"/>
              </w:rPr>
            </w:pPr>
            <w:r>
              <w:rPr>
                <w:rFonts w:ascii="Times New Roman" w:hAnsi="Times New Roman"/>
              </w:rPr>
              <w:t xml:space="preserve">в країні; </w:t>
            </w:r>
            <w:r w:rsidR="00110EE2" w:rsidRPr="00837FDD">
              <w:rPr>
                <w:rFonts w:ascii="Times New Roman" w:hAnsi="Times New Roman"/>
              </w:rPr>
              <w:t>політика НБУ;</w:t>
            </w:r>
            <w:r>
              <w:rPr>
                <w:rFonts w:ascii="Times New Roman" w:hAnsi="Times New Roman"/>
              </w:rPr>
              <w:t xml:space="preserve"> рівень інфляції; динаміка ВВП; </w:t>
            </w:r>
            <w:r w:rsidR="00110EE2" w:rsidRPr="00837FDD">
              <w:rPr>
                <w:rFonts w:ascii="Times New Roman" w:hAnsi="Times New Roman"/>
              </w:rPr>
              <w:t>розвинений</w:t>
            </w:r>
          </w:p>
          <w:p w:rsidR="00110EE2" w:rsidRPr="00837FDD" w:rsidRDefault="00110EE2">
            <w:pPr>
              <w:spacing w:line="240" w:lineRule="auto"/>
              <w:jc w:val="center"/>
              <w:rPr>
                <w:rFonts w:ascii="Times New Roman" w:hAnsi="Times New Roman"/>
              </w:rPr>
            </w:pPr>
            <w:r w:rsidRPr="00837FDD">
              <w:rPr>
                <w:rFonts w:ascii="Times New Roman" w:hAnsi="Times New Roman"/>
              </w:rPr>
              <w:t>фінансовий та</w:t>
            </w:r>
          </w:p>
          <w:p w:rsidR="00110EE2" w:rsidRPr="00837FDD" w:rsidRDefault="00837FDD" w:rsidP="00837FDD">
            <w:pPr>
              <w:spacing w:line="240" w:lineRule="auto"/>
              <w:jc w:val="center"/>
              <w:rPr>
                <w:rFonts w:ascii="Times New Roman" w:hAnsi="Times New Roman"/>
              </w:rPr>
            </w:pPr>
            <w:r>
              <w:rPr>
                <w:rFonts w:ascii="Times New Roman" w:hAnsi="Times New Roman"/>
              </w:rPr>
              <w:t xml:space="preserve">міжбанківський </w:t>
            </w:r>
            <w:r w:rsidR="00110EE2" w:rsidRPr="00837FDD">
              <w:rPr>
                <w:rFonts w:ascii="Times New Roman" w:hAnsi="Times New Roman"/>
              </w:rPr>
              <w:t>ринок»</w:t>
            </w:r>
          </w:p>
        </w:tc>
        <w:tc>
          <w:tcPr>
            <w:tcW w:w="2121" w:type="dxa"/>
            <w:tcBorders>
              <w:top w:val="single" w:sz="4" w:space="0" w:color="auto"/>
              <w:left w:val="single" w:sz="4" w:space="0" w:color="auto"/>
              <w:bottom w:val="single" w:sz="4" w:space="0" w:color="auto"/>
              <w:right w:val="single" w:sz="4" w:space="0" w:color="auto"/>
            </w:tcBorders>
            <w:vAlign w:val="center"/>
            <w:hideMark/>
          </w:tcPr>
          <w:p w:rsidR="00110EE2" w:rsidRPr="00837FDD" w:rsidRDefault="00110EE2">
            <w:pPr>
              <w:spacing w:line="240" w:lineRule="auto"/>
              <w:jc w:val="center"/>
              <w:rPr>
                <w:rFonts w:ascii="Times New Roman" w:hAnsi="Times New Roman"/>
              </w:rPr>
            </w:pPr>
            <w:r w:rsidRPr="00837FDD">
              <w:rPr>
                <w:rFonts w:ascii="Times New Roman" w:hAnsi="Times New Roman"/>
              </w:rPr>
              <w:t>«довіра до органів</w:t>
            </w:r>
          </w:p>
          <w:p w:rsidR="00110EE2" w:rsidRPr="00837FDD" w:rsidRDefault="00110EE2">
            <w:pPr>
              <w:spacing w:line="240" w:lineRule="auto"/>
              <w:jc w:val="center"/>
              <w:rPr>
                <w:rFonts w:ascii="Times New Roman" w:hAnsi="Times New Roman"/>
              </w:rPr>
            </w:pPr>
            <w:r w:rsidRPr="00837FDD">
              <w:rPr>
                <w:rFonts w:ascii="Times New Roman" w:hAnsi="Times New Roman"/>
              </w:rPr>
              <w:t>державної влади; особливості регіонального</w:t>
            </w:r>
          </w:p>
          <w:p w:rsidR="00110EE2" w:rsidRPr="00837FDD" w:rsidRDefault="00110EE2">
            <w:pPr>
              <w:spacing w:line="240" w:lineRule="auto"/>
              <w:jc w:val="center"/>
              <w:rPr>
                <w:rFonts w:ascii="Times New Roman" w:hAnsi="Times New Roman"/>
              </w:rPr>
            </w:pPr>
            <w:r w:rsidRPr="00837FDD">
              <w:rPr>
                <w:rFonts w:ascii="Times New Roman" w:hAnsi="Times New Roman"/>
              </w:rPr>
              <w:t>розвитку економіки»</w:t>
            </w:r>
          </w:p>
        </w:tc>
      </w:tr>
    </w:tbl>
    <w:p w:rsidR="002242D9" w:rsidRPr="002242D9" w:rsidRDefault="002242D9" w:rsidP="00A053BC">
      <w:pPr>
        <w:pStyle w:val="a4"/>
        <w:spacing w:before="120" w:after="0" w:line="360" w:lineRule="auto"/>
        <w:ind w:left="0" w:firstLine="709"/>
        <w:jc w:val="both"/>
        <w:rPr>
          <w:rFonts w:ascii="Times New Roman" w:hAnsi="Times New Roman" w:cs="Times New Roman"/>
          <w:sz w:val="24"/>
          <w:szCs w:val="24"/>
        </w:rPr>
      </w:pPr>
      <w:r w:rsidRPr="002242D9">
        <w:rPr>
          <w:rFonts w:ascii="Times New Roman" w:hAnsi="Times New Roman" w:cs="Times New Roman"/>
          <w:sz w:val="24"/>
          <w:szCs w:val="24"/>
        </w:rPr>
        <w:t>Джерело: [2 с. 24; 21, с. 261; 22 с. 102]</w:t>
      </w:r>
    </w:p>
    <w:p w:rsidR="00110EE2" w:rsidRDefault="00110EE2" w:rsidP="002242D9">
      <w:pPr>
        <w:pStyle w:val="a4"/>
        <w:spacing w:before="24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чином, «фактори впливу на ліквідність банку можна розглядати як корисну інформацію для ухвалення управлінських рішень. Недостатній рівень ліквідності спричиняє не лише неспроможність банку розраховуватися за своїми зобов’язаннями, а й неможливість залучення коштів для стабільного і ефективного функціонування» [</w:t>
      </w:r>
      <w:r w:rsidR="00154DC1" w:rsidRPr="00154DC1">
        <w:rPr>
          <w:rFonts w:ascii="Times New Roman" w:hAnsi="Times New Roman" w:cs="Times New Roman"/>
          <w:sz w:val="28"/>
          <w:szCs w:val="28"/>
        </w:rPr>
        <w:t>22</w:t>
      </w:r>
      <w:r>
        <w:rPr>
          <w:rFonts w:ascii="Times New Roman" w:hAnsi="Times New Roman" w:cs="Times New Roman"/>
          <w:sz w:val="28"/>
          <w:szCs w:val="28"/>
        </w:rPr>
        <w:t>, с. 103].</w:t>
      </w:r>
    </w:p>
    <w:p w:rsidR="00044BC8" w:rsidRDefault="002D016A" w:rsidP="00110EE2">
      <w:pPr>
        <w:pStyle w:val="a4"/>
        <w:spacing w:before="120" w:after="0" w:line="360" w:lineRule="auto"/>
        <w:ind w:left="0" w:firstLine="709"/>
        <w:jc w:val="both"/>
        <w:rPr>
          <w:rFonts w:ascii="Times New Roman" w:hAnsi="Times New Roman" w:cs="Times New Roman"/>
          <w:sz w:val="28"/>
          <w:szCs w:val="28"/>
        </w:rPr>
      </w:pPr>
      <w:r w:rsidRPr="002D016A">
        <w:rPr>
          <w:rFonts w:ascii="Times New Roman" w:hAnsi="Times New Roman" w:cs="Times New Roman"/>
          <w:sz w:val="28"/>
          <w:szCs w:val="28"/>
        </w:rPr>
        <w:t>Відсутня єдність погляд</w:t>
      </w:r>
      <w:r>
        <w:rPr>
          <w:rFonts w:ascii="Times New Roman" w:hAnsi="Times New Roman" w:cs="Times New Roman"/>
          <w:sz w:val="28"/>
          <w:szCs w:val="28"/>
        </w:rPr>
        <w:t xml:space="preserve">ів </w:t>
      </w:r>
      <w:r w:rsidRPr="002D016A">
        <w:rPr>
          <w:rFonts w:ascii="Times New Roman" w:hAnsi="Times New Roman" w:cs="Times New Roman"/>
          <w:sz w:val="28"/>
          <w:szCs w:val="28"/>
        </w:rPr>
        <w:t>серед вчених - економ</w:t>
      </w:r>
      <w:r>
        <w:rPr>
          <w:rFonts w:ascii="Times New Roman" w:hAnsi="Times New Roman" w:cs="Times New Roman"/>
          <w:sz w:val="28"/>
          <w:szCs w:val="28"/>
        </w:rPr>
        <w:t>і</w:t>
      </w:r>
      <w:r w:rsidRPr="002D016A">
        <w:rPr>
          <w:rFonts w:ascii="Times New Roman" w:hAnsi="Times New Roman" w:cs="Times New Roman"/>
          <w:sz w:val="28"/>
          <w:szCs w:val="28"/>
        </w:rPr>
        <w:t>ст</w:t>
      </w:r>
      <w:r>
        <w:rPr>
          <w:rFonts w:ascii="Times New Roman" w:hAnsi="Times New Roman" w:cs="Times New Roman"/>
          <w:sz w:val="28"/>
          <w:szCs w:val="28"/>
        </w:rPr>
        <w:t>і</w:t>
      </w:r>
      <w:r w:rsidRPr="002D016A">
        <w:rPr>
          <w:rFonts w:ascii="Times New Roman" w:hAnsi="Times New Roman" w:cs="Times New Roman"/>
          <w:sz w:val="28"/>
          <w:szCs w:val="28"/>
        </w:rPr>
        <w:t>в</w:t>
      </w:r>
      <w:r>
        <w:rPr>
          <w:rFonts w:ascii="Times New Roman" w:hAnsi="Times New Roman" w:cs="Times New Roman"/>
          <w:sz w:val="28"/>
          <w:szCs w:val="28"/>
        </w:rPr>
        <w:t xml:space="preserve"> і щодо різновидів ліквід</w:t>
      </w:r>
      <w:r w:rsidRPr="002D016A">
        <w:rPr>
          <w:rFonts w:ascii="Times New Roman" w:hAnsi="Times New Roman" w:cs="Times New Roman"/>
          <w:sz w:val="28"/>
          <w:szCs w:val="28"/>
        </w:rPr>
        <w:t xml:space="preserve">ності </w:t>
      </w:r>
      <w:r>
        <w:rPr>
          <w:rFonts w:ascii="Times New Roman" w:hAnsi="Times New Roman" w:cs="Times New Roman"/>
          <w:sz w:val="28"/>
          <w:szCs w:val="28"/>
        </w:rPr>
        <w:t>комерційного банку</w:t>
      </w:r>
      <w:r w:rsidRPr="002D016A">
        <w:rPr>
          <w:rFonts w:ascii="Times New Roman" w:hAnsi="Times New Roman" w:cs="Times New Roman"/>
          <w:sz w:val="28"/>
          <w:szCs w:val="28"/>
        </w:rPr>
        <w:t xml:space="preserve">. </w:t>
      </w:r>
      <w:r>
        <w:rPr>
          <w:rFonts w:ascii="Times New Roman" w:hAnsi="Times New Roman" w:cs="Times New Roman"/>
          <w:sz w:val="28"/>
          <w:szCs w:val="28"/>
        </w:rPr>
        <w:t>В загалі в</w:t>
      </w:r>
      <w:r w:rsidRPr="002D016A">
        <w:rPr>
          <w:rFonts w:ascii="Times New Roman" w:hAnsi="Times New Roman" w:cs="Times New Roman"/>
          <w:sz w:val="28"/>
          <w:szCs w:val="28"/>
        </w:rPr>
        <w:t xml:space="preserve">иокремлюються </w:t>
      </w:r>
      <w:r>
        <w:rPr>
          <w:rFonts w:ascii="Times New Roman" w:hAnsi="Times New Roman" w:cs="Times New Roman"/>
          <w:sz w:val="28"/>
          <w:szCs w:val="28"/>
        </w:rPr>
        <w:t>наступні форми лік</w:t>
      </w:r>
      <w:r w:rsidRPr="002D016A">
        <w:rPr>
          <w:rFonts w:ascii="Times New Roman" w:hAnsi="Times New Roman" w:cs="Times New Roman"/>
          <w:sz w:val="28"/>
          <w:szCs w:val="28"/>
        </w:rPr>
        <w:t xml:space="preserve">відності </w:t>
      </w:r>
      <w:r>
        <w:rPr>
          <w:rFonts w:ascii="Times New Roman" w:hAnsi="Times New Roman" w:cs="Times New Roman"/>
          <w:sz w:val="28"/>
          <w:szCs w:val="28"/>
        </w:rPr>
        <w:t>комерційного банку</w:t>
      </w:r>
      <w:r w:rsidRPr="002D016A">
        <w:rPr>
          <w:rFonts w:ascii="Times New Roman" w:hAnsi="Times New Roman" w:cs="Times New Roman"/>
          <w:sz w:val="28"/>
          <w:szCs w:val="28"/>
        </w:rPr>
        <w:t xml:space="preserve">, як: </w:t>
      </w:r>
    </w:p>
    <w:p w:rsidR="00044BC8" w:rsidRDefault="00044BC8" w:rsidP="00110EE2">
      <w:pPr>
        <w:pStyle w:val="a4"/>
        <w:spacing w:before="12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ліквідність –</w:t>
      </w:r>
      <w:r w:rsidR="002D016A" w:rsidRPr="002D016A">
        <w:rPr>
          <w:rFonts w:ascii="Times New Roman" w:hAnsi="Times New Roman" w:cs="Times New Roman"/>
          <w:sz w:val="28"/>
          <w:szCs w:val="28"/>
        </w:rPr>
        <w:t xml:space="preserve"> трансакція</w:t>
      </w:r>
      <w:r>
        <w:rPr>
          <w:rFonts w:ascii="Times New Roman" w:hAnsi="Times New Roman" w:cs="Times New Roman"/>
          <w:sz w:val="28"/>
          <w:szCs w:val="28"/>
        </w:rPr>
        <w:t>;</w:t>
      </w:r>
    </w:p>
    <w:p w:rsidR="00044BC8" w:rsidRDefault="00672272" w:rsidP="00110EE2">
      <w:pPr>
        <w:pStyle w:val="a4"/>
        <w:spacing w:before="12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ліквід</w:t>
      </w:r>
      <w:r w:rsidR="00044BC8">
        <w:rPr>
          <w:rFonts w:ascii="Times New Roman" w:hAnsi="Times New Roman" w:cs="Times New Roman"/>
          <w:sz w:val="28"/>
          <w:szCs w:val="28"/>
        </w:rPr>
        <w:t>ність – інструмент;</w:t>
      </w:r>
    </w:p>
    <w:p w:rsidR="00044BC8" w:rsidRDefault="00044BC8" w:rsidP="00110EE2">
      <w:pPr>
        <w:pStyle w:val="a4"/>
        <w:spacing w:before="12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ліквідність –</w:t>
      </w:r>
      <w:r w:rsidR="002D016A" w:rsidRPr="002D016A">
        <w:rPr>
          <w:rFonts w:ascii="Times New Roman" w:hAnsi="Times New Roman" w:cs="Times New Roman"/>
          <w:sz w:val="28"/>
          <w:szCs w:val="28"/>
        </w:rPr>
        <w:t xml:space="preserve"> актив</w:t>
      </w:r>
      <w:r>
        <w:rPr>
          <w:rFonts w:ascii="Times New Roman" w:hAnsi="Times New Roman" w:cs="Times New Roman"/>
          <w:sz w:val="28"/>
          <w:szCs w:val="28"/>
        </w:rPr>
        <w:t>;</w:t>
      </w:r>
      <w:r w:rsidR="002D016A" w:rsidRPr="002D016A">
        <w:rPr>
          <w:rFonts w:ascii="Times New Roman" w:hAnsi="Times New Roman" w:cs="Times New Roman"/>
          <w:sz w:val="28"/>
          <w:szCs w:val="28"/>
        </w:rPr>
        <w:t xml:space="preserve"> </w:t>
      </w:r>
    </w:p>
    <w:p w:rsidR="00044BC8" w:rsidRDefault="00044BC8" w:rsidP="00110EE2">
      <w:pPr>
        <w:pStyle w:val="a4"/>
        <w:spacing w:before="12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016A" w:rsidRPr="002D016A">
        <w:rPr>
          <w:rFonts w:ascii="Times New Roman" w:hAnsi="Times New Roman" w:cs="Times New Roman"/>
          <w:sz w:val="28"/>
          <w:szCs w:val="28"/>
        </w:rPr>
        <w:t xml:space="preserve">ліквідність </w:t>
      </w:r>
      <w:r>
        <w:rPr>
          <w:rFonts w:ascii="Times New Roman" w:hAnsi="Times New Roman" w:cs="Times New Roman"/>
          <w:sz w:val="28"/>
          <w:szCs w:val="28"/>
        </w:rPr>
        <w:t>–</w:t>
      </w:r>
      <w:r w:rsidR="002D016A" w:rsidRPr="002D016A">
        <w:rPr>
          <w:rFonts w:ascii="Times New Roman" w:hAnsi="Times New Roman" w:cs="Times New Roman"/>
          <w:sz w:val="28"/>
          <w:szCs w:val="28"/>
        </w:rPr>
        <w:t xml:space="preserve"> засіб</w:t>
      </w:r>
      <w:r>
        <w:rPr>
          <w:rFonts w:ascii="Times New Roman" w:hAnsi="Times New Roman" w:cs="Times New Roman"/>
          <w:sz w:val="28"/>
          <w:szCs w:val="28"/>
        </w:rPr>
        <w:t xml:space="preserve">; </w:t>
      </w:r>
    </w:p>
    <w:p w:rsidR="00154DC1" w:rsidRDefault="00044BC8" w:rsidP="00110EE2">
      <w:pPr>
        <w:pStyle w:val="a4"/>
        <w:spacing w:before="12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ліквідність -</w:t>
      </w:r>
      <w:r w:rsidR="002D016A" w:rsidRPr="002D016A">
        <w:rPr>
          <w:rFonts w:ascii="Times New Roman" w:hAnsi="Times New Roman" w:cs="Times New Roman"/>
          <w:sz w:val="28"/>
          <w:szCs w:val="28"/>
        </w:rPr>
        <w:t xml:space="preserve"> інститут [</w:t>
      </w:r>
      <w:r w:rsidR="007152C1">
        <w:rPr>
          <w:rFonts w:ascii="Times New Roman" w:hAnsi="Times New Roman" w:cs="Times New Roman"/>
          <w:sz w:val="28"/>
          <w:szCs w:val="28"/>
        </w:rPr>
        <w:t>23</w:t>
      </w:r>
      <w:r w:rsidR="000174C1">
        <w:rPr>
          <w:rFonts w:ascii="Times New Roman" w:hAnsi="Times New Roman" w:cs="Times New Roman"/>
          <w:sz w:val="28"/>
          <w:szCs w:val="28"/>
        </w:rPr>
        <w:t>, c. 184-</w:t>
      </w:r>
      <w:r w:rsidR="002D016A" w:rsidRPr="002D016A">
        <w:rPr>
          <w:rFonts w:ascii="Times New Roman" w:hAnsi="Times New Roman" w:cs="Times New Roman"/>
          <w:sz w:val="28"/>
          <w:szCs w:val="28"/>
        </w:rPr>
        <w:t>186].</w:t>
      </w:r>
    </w:p>
    <w:p w:rsidR="00D3097B" w:rsidRDefault="00D3097B" w:rsidP="00110EE2">
      <w:pPr>
        <w:pStyle w:val="a4"/>
        <w:spacing w:before="12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Виділяють стаціонарну (на конкретну дату за ба</w:t>
      </w:r>
      <w:r w:rsidRPr="00D3097B">
        <w:rPr>
          <w:rFonts w:ascii="Times New Roman" w:hAnsi="Times New Roman" w:cs="Times New Roman"/>
          <w:sz w:val="28"/>
          <w:szCs w:val="28"/>
        </w:rPr>
        <w:t xml:space="preserve">лансом), поточну (за </w:t>
      </w:r>
      <w:r>
        <w:rPr>
          <w:rFonts w:ascii="Times New Roman" w:hAnsi="Times New Roman" w:cs="Times New Roman"/>
          <w:sz w:val="28"/>
          <w:szCs w:val="28"/>
        </w:rPr>
        <w:t>певний період у минулому) і пер</w:t>
      </w:r>
      <w:r w:rsidRPr="00D3097B">
        <w:rPr>
          <w:rFonts w:ascii="Times New Roman" w:hAnsi="Times New Roman" w:cs="Times New Roman"/>
          <w:sz w:val="28"/>
          <w:szCs w:val="28"/>
        </w:rPr>
        <w:t>спективну, сукупну, адекватну ліквідність [</w:t>
      </w:r>
      <w:r>
        <w:rPr>
          <w:rFonts w:ascii="Times New Roman" w:hAnsi="Times New Roman" w:cs="Times New Roman"/>
          <w:sz w:val="28"/>
          <w:szCs w:val="28"/>
        </w:rPr>
        <w:t>19</w:t>
      </w:r>
      <w:r w:rsidRPr="00D3097B">
        <w:rPr>
          <w:rFonts w:ascii="Times New Roman" w:hAnsi="Times New Roman" w:cs="Times New Roman"/>
          <w:sz w:val="28"/>
          <w:szCs w:val="28"/>
        </w:rPr>
        <w:t xml:space="preserve">, c. </w:t>
      </w:r>
      <w:r>
        <w:rPr>
          <w:rFonts w:ascii="Times New Roman" w:hAnsi="Times New Roman" w:cs="Times New Roman"/>
          <w:sz w:val="28"/>
          <w:szCs w:val="28"/>
        </w:rPr>
        <w:t>76</w:t>
      </w:r>
      <w:r w:rsidRPr="00D3097B">
        <w:rPr>
          <w:rFonts w:ascii="Times New Roman" w:hAnsi="Times New Roman" w:cs="Times New Roman"/>
          <w:sz w:val="28"/>
          <w:szCs w:val="28"/>
        </w:rPr>
        <w:t>].</w:t>
      </w:r>
    </w:p>
    <w:p w:rsidR="00D3097B" w:rsidRDefault="006B447B" w:rsidP="00110EE2">
      <w:pPr>
        <w:pStyle w:val="a4"/>
        <w:spacing w:before="12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Деякі вчені акцентують увагу на на</w:t>
      </w:r>
      <w:r w:rsidRPr="006B447B">
        <w:rPr>
          <w:rFonts w:ascii="Times New Roman" w:hAnsi="Times New Roman" w:cs="Times New Roman"/>
          <w:sz w:val="28"/>
          <w:szCs w:val="28"/>
        </w:rPr>
        <w:t>копиченій ліквідност</w:t>
      </w:r>
      <w:r>
        <w:rPr>
          <w:rFonts w:ascii="Times New Roman" w:hAnsi="Times New Roman" w:cs="Times New Roman"/>
          <w:sz w:val="28"/>
          <w:szCs w:val="28"/>
        </w:rPr>
        <w:t>і (що існує у формі грошових ре</w:t>
      </w:r>
      <w:r w:rsidRPr="006B447B">
        <w:rPr>
          <w:rFonts w:ascii="Times New Roman" w:hAnsi="Times New Roman" w:cs="Times New Roman"/>
          <w:sz w:val="28"/>
          <w:szCs w:val="28"/>
        </w:rPr>
        <w:t>зервів, або резервів дру</w:t>
      </w:r>
      <w:r>
        <w:rPr>
          <w:rFonts w:ascii="Times New Roman" w:hAnsi="Times New Roman" w:cs="Times New Roman"/>
          <w:sz w:val="28"/>
          <w:szCs w:val="28"/>
        </w:rPr>
        <w:t>гої черги) і купівельній ліквід</w:t>
      </w:r>
      <w:r w:rsidRPr="006B447B">
        <w:rPr>
          <w:rFonts w:ascii="Times New Roman" w:hAnsi="Times New Roman" w:cs="Times New Roman"/>
          <w:sz w:val="28"/>
          <w:szCs w:val="28"/>
        </w:rPr>
        <w:t>ності (оцінюється я</w:t>
      </w:r>
      <w:r>
        <w:rPr>
          <w:rFonts w:ascii="Times New Roman" w:hAnsi="Times New Roman" w:cs="Times New Roman"/>
          <w:sz w:val="28"/>
          <w:szCs w:val="28"/>
        </w:rPr>
        <w:t>к сукупний обсяг кредитних лімі</w:t>
      </w:r>
      <w:r w:rsidRPr="006B447B">
        <w:rPr>
          <w:rFonts w:ascii="Times New Roman" w:hAnsi="Times New Roman" w:cs="Times New Roman"/>
          <w:sz w:val="28"/>
          <w:szCs w:val="28"/>
        </w:rPr>
        <w:t xml:space="preserve">тів, відкритих на банк), </w:t>
      </w:r>
      <w:r>
        <w:rPr>
          <w:rFonts w:ascii="Times New Roman" w:hAnsi="Times New Roman" w:cs="Times New Roman"/>
          <w:sz w:val="28"/>
          <w:szCs w:val="28"/>
        </w:rPr>
        <w:t>зазначаючи, що співвідношен</w:t>
      </w:r>
      <w:r w:rsidRPr="006B447B">
        <w:rPr>
          <w:rFonts w:ascii="Times New Roman" w:hAnsi="Times New Roman" w:cs="Times New Roman"/>
          <w:sz w:val="28"/>
          <w:szCs w:val="28"/>
        </w:rPr>
        <w:t>ня між ними і проблема ви</w:t>
      </w:r>
      <w:r>
        <w:rPr>
          <w:rFonts w:ascii="Times New Roman" w:hAnsi="Times New Roman" w:cs="Times New Roman"/>
          <w:sz w:val="28"/>
          <w:szCs w:val="28"/>
        </w:rPr>
        <w:t>значення сукупної потреби банку в ліквідності залишаються одними з основних</w:t>
      </w:r>
      <w:r w:rsidRPr="006B447B">
        <w:rPr>
          <w:rFonts w:ascii="Times New Roman" w:hAnsi="Times New Roman" w:cs="Times New Roman"/>
          <w:sz w:val="28"/>
          <w:szCs w:val="28"/>
        </w:rPr>
        <w:t xml:space="preserve"> проблем управління а</w:t>
      </w:r>
      <w:r w:rsidR="0082142F">
        <w:rPr>
          <w:rFonts w:ascii="Times New Roman" w:hAnsi="Times New Roman" w:cs="Times New Roman"/>
          <w:sz w:val="28"/>
          <w:szCs w:val="28"/>
        </w:rPr>
        <w:t>ктивами і пасивами, оскільки рі</w:t>
      </w:r>
      <w:r w:rsidRPr="006B447B">
        <w:rPr>
          <w:rFonts w:ascii="Times New Roman" w:hAnsi="Times New Roman" w:cs="Times New Roman"/>
          <w:sz w:val="28"/>
          <w:szCs w:val="28"/>
        </w:rPr>
        <w:t>вень попиту на кред</w:t>
      </w:r>
      <w:r w:rsidR="0082142F">
        <w:rPr>
          <w:rFonts w:ascii="Times New Roman" w:hAnsi="Times New Roman" w:cs="Times New Roman"/>
          <w:sz w:val="28"/>
          <w:szCs w:val="28"/>
        </w:rPr>
        <w:t>ити і можливість залучення депо</w:t>
      </w:r>
      <w:r w:rsidRPr="006B447B">
        <w:rPr>
          <w:rFonts w:ascii="Times New Roman" w:hAnsi="Times New Roman" w:cs="Times New Roman"/>
          <w:sz w:val="28"/>
          <w:szCs w:val="28"/>
        </w:rPr>
        <w:t>зитів залежать не лише від внутрішніх характеристик фінансового стану банк</w:t>
      </w:r>
      <w:r w:rsidR="0082142F">
        <w:rPr>
          <w:rFonts w:ascii="Times New Roman" w:hAnsi="Times New Roman" w:cs="Times New Roman"/>
          <w:sz w:val="28"/>
          <w:szCs w:val="28"/>
        </w:rPr>
        <w:t>у і його бізнесу, а й від множи</w:t>
      </w:r>
      <w:r w:rsidRPr="006B447B">
        <w:rPr>
          <w:rFonts w:ascii="Times New Roman" w:hAnsi="Times New Roman" w:cs="Times New Roman"/>
          <w:sz w:val="28"/>
          <w:szCs w:val="28"/>
        </w:rPr>
        <w:t>ни зовнішніх чинників [</w:t>
      </w:r>
      <w:r w:rsidR="0082142F">
        <w:rPr>
          <w:rFonts w:ascii="Times New Roman" w:hAnsi="Times New Roman" w:cs="Times New Roman"/>
          <w:sz w:val="28"/>
          <w:szCs w:val="28"/>
        </w:rPr>
        <w:t>24, c. 94-</w:t>
      </w:r>
      <w:r w:rsidRPr="006B447B">
        <w:rPr>
          <w:rFonts w:ascii="Times New Roman" w:hAnsi="Times New Roman" w:cs="Times New Roman"/>
          <w:sz w:val="28"/>
          <w:szCs w:val="28"/>
        </w:rPr>
        <w:t>95]</w:t>
      </w:r>
      <w:r w:rsidR="0082142F">
        <w:rPr>
          <w:rFonts w:ascii="Times New Roman" w:hAnsi="Times New Roman" w:cs="Times New Roman"/>
          <w:sz w:val="28"/>
          <w:szCs w:val="28"/>
        </w:rPr>
        <w:t>.</w:t>
      </w:r>
    </w:p>
    <w:p w:rsidR="00D3097B" w:rsidRDefault="002C1283" w:rsidP="00110EE2">
      <w:pPr>
        <w:pStyle w:val="a4"/>
        <w:spacing w:before="120" w:after="0" w:line="360" w:lineRule="auto"/>
        <w:ind w:left="0" w:firstLine="709"/>
        <w:jc w:val="both"/>
        <w:rPr>
          <w:rFonts w:ascii="Times New Roman" w:hAnsi="Times New Roman" w:cs="Times New Roman"/>
          <w:sz w:val="28"/>
          <w:szCs w:val="28"/>
        </w:rPr>
      </w:pPr>
      <w:r w:rsidRPr="002C1283">
        <w:rPr>
          <w:rFonts w:ascii="Times New Roman" w:hAnsi="Times New Roman" w:cs="Times New Roman"/>
          <w:sz w:val="28"/>
          <w:szCs w:val="28"/>
        </w:rPr>
        <w:t>У зарубіжній прак</w:t>
      </w:r>
      <w:r>
        <w:rPr>
          <w:rFonts w:ascii="Times New Roman" w:hAnsi="Times New Roman" w:cs="Times New Roman"/>
          <w:sz w:val="28"/>
          <w:szCs w:val="28"/>
        </w:rPr>
        <w:t>тиці загальний резерв ліквідності банку</w:t>
      </w:r>
      <w:r w:rsidRPr="002C1283">
        <w:rPr>
          <w:rFonts w:ascii="Times New Roman" w:hAnsi="Times New Roman" w:cs="Times New Roman"/>
          <w:sz w:val="28"/>
          <w:szCs w:val="28"/>
        </w:rPr>
        <w:t xml:space="preserve"> поділяють</w:t>
      </w:r>
      <w:r>
        <w:rPr>
          <w:rFonts w:ascii="Times New Roman" w:hAnsi="Times New Roman" w:cs="Times New Roman"/>
          <w:sz w:val="28"/>
          <w:szCs w:val="28"/>
        </w:rPr>
        <w:t xml:space="preserve"> на первинний і вторинний резер</w:t>
      </w:r>
      <w:r w:rsidRPr="002C1283">
        <w:rPr>
          <w:rFonts w:ascii="Times New Roman" w:hAnsi="Times New Roman" w:cs="Times New Roman"/>
          <w:sz w:val="28"/>
          <w:szCs w:val="28"/>
        </w:rPr>
        <w:t>ви. Первинний резерв ліквідності являє собою активи,</w:t>
      </w:r>
      <w:r w:rsidRPr="002C1283">
        <w:t xml:space="preserve"> </w:t>
      </w:r>
      <w:r w:rsidRPr="002C1283">
        <w:rPr>
          <w:rFonts w:ascii="Times New Roman" w:hAnsi="Times New Roman" w:cs="Times New Roman"/>
          <w:sz w:val="28"/>
          <w:szCs w:val="28"/>
        </w:rPr>
        <w:t>що включаються у стат</w:t>
      </w:r>
      <w:r>
        <w:rPr>
          <w:rFonts w:ascii="Times New Roman" w:hAnsi="Times New Roman" w:cs="Times New Roman"/>
          <w:sz w:val="28"/>
          <w:szCs w:val="28"/>
        </w:rPr>
        <w:t>тю «готівка і заборгованість ін</w:t>
      </w:r>
      <w:r w:rsidRPr="002C1283">
        <w:rPr>
          <w:rFonts w:ascii="Times New Roman" w:hAnsi="Times New Roman" w:cs="Times New Roman"/>
          <w:sz w:val="28"/>
          <w:szCs w:val="28"/>
        </w:rPr>
        <w:t xml:space="preserve">ших банків». Вторинний резерв ліквідності потрібний для поповнення первинного, </w:t>
      </w:r>
      <w:r>
        <w:rPr>
          <w:rFonts w:ascii="Times New Roman" w:hAnsi="Times New Roman" w:cs="Times New Roman"/>
          <w:sz w:val="28"/>
          <w:szCs w:val="28"/>
        </w:rPr>
        <w:t xml:space="preserve">до нього належать менш ліквідні активи, які також можна трансформувати в </w:t>
      </w:r>
      <w:r w:rsidRPr="002C1283">
        <w:rPr>
          <w:rFonts w:ascii="Times New Roman" w:hAnsi="Times New Roman" w:cs="Times New Roman"/>
          <w:sz w:val="28"/>
          <w:szCs w:val="28"/>
        </w:rPr>
        <w:t>готівку в мінімальні</w:t>
      </w:r>
      <w:r>
        <w:rPr>
          <w:rFonts w:ascii="Times New Roman" w:hAnsi="Times New Roman" w:cs="Times New Roman"/>
          <w:sz w:val="28"/>
          <w:szCs w:val="28"/>
        </w:rPr>
        <w:t xml:space="preserve"> строки і з мінімальними ризика</w:t>
      </w:r>
      <w:r w:rsidRPr="002C1283">
        <w:rPr>
          <w:rFonts w:ascii="Times New Roman" w:hAnsi="Times New Roman" w:cs="Times New Roman"/>
          <w:sz w:val="28"/>
          <w:szCs w:val="28"/>
        </w:rPr>
        <w:t>ми</w:t>
      </w:r>
      <w:r>
        <w:rPr>
          <w:rFonts w:ascii="Times New Roman" w:hAnsi="Times New Roman" w:cs="Times New Roman"/>
          <w:sz w:val="28"/>
          <w:szCs w:val="28"/>
        </w:rPr>
        <w:t xml:space="preserve"> [19, с. 76</w:t>
      </w:r>
      <w:r w:rsidRPr="002C1283">
        <w:rPr>
          <w:rFonts w:ascii="Times New Roman" w:hAnsi="Times New Roman" w:cs="Times New Roman"/>
          <w:sz w:val="28"/>
          <w:szCs w:val="28"/>
        </w:rPr>
        <w:t>]</w:t>
      </w:r>
      <w:r>
        <w:rPr>
          <w:rFonts w:ascii="Times New Roman" w:hAnsi="Times New Roman" w:cs="Times New Roman"/>
          <w:sz w:val="28"/>
          <w:szCs w:val="28"/>
        </w:rPr>
        <w:t>.</w:t>
      </w:r>
    </w:p>
    <w:p w:rsidR="000174C1" w:rsidRDefault="001A2933" w:rsidP="00110EE2">
      <w:pPr>
        <w:pStyle w:val="a4"/>
        <w:spacing w:before="12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Отже, </w:t>
      </w:r>
      <w:r w:rsidR="001A634A">
        <w:rPr>
          <w:rFonts w:ascii="Times New Roman" w:hAnsi="Times New Roman" w:cs="Times New Roman"/>
          <w:sz w:val="28"/>
          <w:szCs w:val="28"/>
        </w:rPr>
        <w:t>ґрунтуючись</w:t>
      </w:r>
      <w:r>
        <w:rPr>
          <w:rFonts w:ascii="Times New Roman" w:hAnsi="Times New Roman" w:cs="Times New Roman"/>
          <w:sz w:val="28"/>
          <w:szCs w:val="28"/>
        </w:rPr>
        <w:t xml:space="preserve"> </w:t>
      </w:r>
      <w:r w:rsidR="001A634A">
        <w:rPr>
          <w:rFonts w:ascii="Times New Roman" w:hAnsi="Times New Roman" w:cs="Times New Roman"/>
          <w:sz w:val="28"/>
          <w:szCs w:val="28"/>
        </w:rPr>
        <w:t>на позиціях вчених та зарубіжному досвіді, р</w:t>
      </w:r>
      <w:r w:rsidR="000174C1">
        <w:rPr>
          <w:rFonts w:ascii="Times New Roman" w:hAnsi="Times New Roman" w:cs="Times New Roman"/>
          <w:sz w:val="28"/>
          <w:szCs w:val="28"/>
        </w:rPr>
        <w:t>озглянемо класифікацію різ</w:t>
      </w:r>
      <w:r w:rsidR="000174C1" w:rsidRPr="000174C1">
        <w:rPr>
          <w:rFonts w:ascii="Times New Roman" w:hAnsi="Times New Roman" w:cs="Times New Roman"/>
          <w:sz w:val="28"/>
          <w:szCs w:val="28"/>
        </w:rPr>
        <w:t xml:space="preserve">новидів ліквідності </w:t>
      </w:r>
      <w:r w:rsidR="000174C1">
        <w:rPr>
          <w:rFonts w:ascii="Times New Roman" w:hAnsi="Times New Roman" w:cs="Times New Roman"/>
          <w:sz w:val="28"/>
          <w:szCs w:val="28"/>
        </w:rPr>
        <w:t>комерційних банків, яка, на наш погляд, є найбільш вдалою та повною (</w:t>
      </w:r>
      <w:r w:rsidR="00574C41">
        <w:rPr>
          <w:rFonts w:ascii="Times New Roman" w:hAnsi="Times New Roman" w:cs="Times New Roman"/>
          <w:sz w:val="28"/>
          <w:szCs w:val="28"/>
        </w:rPr>
        <w:t xml:space="preserve">див. </w:t>
      </w:r>
      <w:r w:rsidR="000174C1" w:rsidRPr="000174C1">
        <w:rPr>
          <w:rFonts w:ascii="Times New Roman" w:hAnsi="Times New Roman" w:cs="Times New Roman"/>
          <w:sz w:val="28"/>
          <w:szCs w:val="28"/>
        </w:rPr>
        <w:t>табл. 1.</w:t>
      </w:r>
      <w:r w:rsidR="004A522B">
        <w:rPr>
          <w:rFonts w:ascii="Times New Roman" w:hAnsi="Times New Roman" w:cs="Times New Roman"/>
          <w:sz w:val="28"/>
          <w:szCs w:val="28"/>
        </w:rPr>
        <w:t>5</w:t>
      </w:r>
      <w:r w:rsidR="000174C1">
        <w:rPr>
          <w:rFonts w:ascii="Times New Roman" w:hAnsi="Times New Roman" w:cs="Times New Roman"/>
          <w:sz w:val="28"/>
          <w:szCs w:val="28"/>
        </w:rPr>
        <w:t>)</w:t>
      </w:r>
      <w:r w:rsidR="00574C41">
        <w:rPr>
          <w:rFonts w:ascii="Times New Roman" w:hAnsi="Times New Roman" w:cs="Times New Roman"/>
          <w:sz w:val="28"/>
          <w:szCs w:val="28"/>
        </w:rPr>
        <w:t>.</w:t>
      </w:r>
    </w:p>
    <w:p w:rsidR="001A634A" w:rsidRDefault="000174C1" w:rsidP="001A634A">
      <w:pPr>
        <w:pStyle w:val="a4"/>
        <w:spacing w:before="120" w:after="0" w:line="360" w:lineRule="auto"/>
        <w:ind w:left="0" w:firstLine="709"/>
        <w:jc w:val="right"/>
        <w:rPr>
          <w:rFonts w:ascii="Times New Roman" w:hAnsi="Times New Roman" w:cs="Times New Roman"/>
          <w:sz w:val="28"/>
          <w:szCs w:val="28"/>
        </w:rPr>
      </w:pPr>
      <w:r w:rsidRPr="000174C1">
        <w:rPr>
          <w:rFonts w:ascii="Times New Roman" w:hAnsi="Times New Roman" w:cs="Times New Roman"/>
          <w:sz w:val="28"/>
          <w:szCs w:val="28"/>
        </w:rPr>
        <w:t>Таблиця 1</w:t>
      </w:r>
      <w:r w:rsidR="001A634A">
        <w:rPr>
          <w:rFonts w:ascii="Times New Roman" w:hAnsi="Times New Roman" w:cs="Times New Roman"/>
          <w:sz w:val="28"/>
          <w:szCs w:val="28"/>
        </w:rPr>
        <w:t>.</w:t>
      </w:r>
      <w:r w:rsidR="004A522B">
        <w:rPr>
          <w:rFonts w:ascii="Times New Roman" w:hAnsi="Times New Roman" w:cs="Times New Roman"/>
          <w:sz w:val="28"/>
          <w:szCs w:val="28"/>
        </w:rPr>
        <w:t>5</w:t>
      </w:r>
    </w:p>
    <w:p w:rsidR="00154DC1" w:rsidRDefault="000174C1" w:rsidP="001A634A">
      <w:pPr>
        <w:pStyle w:val="a4"/>
        <w:spacing w:before="120" w:after="0" w:line="360" w:lineRule="auto"/>
        <w:ind w:left="0" w:firstLine="709"/>
        <w:jc w:val="center"/>
        <w:rPr>
          <w:rFonts w:ascii="Times New Roman" w:hAnsi="Times New Roman" w:cs="Times New Roman"/>
          <w:sz w:val="28"/>
          <w:szCs w:val="28"/>
        </w:rPr>
      </w:pPr>
      <w:r w:rsidRPr="000174C1">
        <w:rPr>
          <w:rFonts w:ascii="Times New Roman" w:hAnsi="Times New Roman" w:cs="Times New Roman"/>
          <w:sz w:val="28"/>
          <w:szCs w:val="28"/>
        </w:rPr>
        <w:t xml:space="preserve">Класифікація різновидів ліквідності </w:t>
      </w:r>
      <w:r w:rsidR="001A634A">
        <w:rPr>
          <w:rFonts w:ascii="Times New Roman" w:hAnsi="Times New Roman" w:cs="Times New Roman"/>
          <w:sz w:val="28"/>
          <w:szCs w:val="28"/>
        </w:rPr>
        <w:t xml:space="preserve">комерційних банків </w:t>
      </w:r>
    </w:p>
    <w:tbl>
      <w:tblPr>
        <w:tblStyle w:val="a5"/>
        <w:tblW w:w="0" w:type="auto"/>
        <w:jc w:val="center"/>
        <w:tblInd w:w="0" w:type="dxa"/>
        <w:tblLook w:val="04A0" w:firstRow="1" w:lastRow="0" w:firstColumn="1" w:lastColumn="0" w:noHBand="0" w:noVBand="1"/>
      </w:tblPr>
      <w:tblGrid>
        <w:gridCol w:w="2689"/>
        <w:gridCol w:w="6940"/>
      </w:tblGrid>
      <w:tr w:rsidR="001A634A" w:rsidTr="00270B1D">
        <w:trPr>
          <w:trHeight w:val="279"/>
          <w:jc w:val="center"/>
        </w:trPr>
        <w:tc>
          <w:tcPr>
            <w:tcW w:w="2689" w:type="dxa"/>
            <w:vAlign w:val="center"/>
          </w:tcPr>
          <w:p w:rsidR="001A634A" w:rsidRPr="001A634A" w:rsidRDefault="001A634A" w:rsidP="001A634A">
            <w:pPr>
              <w:pStyle w:val="a4"/>
              <w:spacing w:before="120" w:line="360" w:lineRule="auto"/>
              <w:ind w:left="0"/>
              <w:jc w:val="center"/>
              <w:rPr>
                <w:rFonts w:ascii="Times New Roman" w:hAnsi="Times New Roman" w:cs="Times New Roman"/>
                <w:b/>
                <w:sz w:val="24"/>
                <w:szCs w:val="24"/>
              </w:rPr>
            </w:pPr>
            <w:r w:rsidRPr="001A634A">
              <w:rPr>
                <w:rFonts w:ascii="Times New Roman" w:hAnsi="Times New Roman" w:cs="Times New Roman"/>
                <w:b/>
                <w:sz w:val="24"/>
                <w:szCs w:val="24"/>
              </w:rPr>
              <w:t>Критерії класифікації</w:t>
            </w:r>
          </w:p>
        </w:tc>
        <w:tc>
          <w:tcPr>
            <w:tcW w:w="6940" w:type="dxa"/>
            <w:vAlign w:val="center"/>
          </w:tcPr>
          <w:p w:rsidR="001A634A" w:rsidRPr="001A634A" w:rsidRDefault="001A634A" w:rsidP="00270B1D">
            <w:pPr>
              <w:pStyle w:val="a4"/>
              <w:spacing w:before="120" w:line="360" w:lineRule="auto"/>
              <w:ind w:left="0"/>
              <w:jc w:val="center"/>
              <w:rPr>
                <w:rFonts w:ascii="Times New Roman" w:hAnsi="Times New Roman" w:cs="Times New Roman"/>
                <w:b/>
                <w:sz w:val="24"/>
                <w:szCs w:val="24"/>
              </w:rPr>
            </w:pPr>
            <w:r w:rsidRPr="001A634A">
              <w:rPr>
                <w:rFonts w:ascii="Times New Roman" w:hAnsi="Times New Roman" w:cs="Times New Roman"/>
                <w:b/>
                <w:sz w:val="24"/>
                <w:szCs w:val="24"/>
              </w:rPr>
              <w:t>Різновиди ліквідності комерційн</w:t>
            </w:r>
            <w:r w:rsidR="00270B1D">
              <w:rPr>
                <w:rFonts w:ascii="Times New Roman" w:hAnsi="Times New Roman" w:cs="Times New Roman"/>
                <w:b/>
                <w:sz w:val="24"/>
                <w:szCs w:val="24"/>
              </w:rPr>
              <w:t>ого</w:t>
            </w:r>
            <w:r w:rsidRPr="001A634A">
              <w:rPr>
                <w:rFonts w:ascii="Times New Roman" w:hAnsi="Times New Roman" w:cs="Times New Roman"/>
                <w:b/>
                <w:sz w:val="24"/>
                <w:szCs w:val="24"/>
              </w:rPr>
              <w:t xml:space="preserve"> банк</w:t>
            </w:r>
            <w:r w:rsidR="00270B1D">
              <w:rPr>
                <w:rFonts w:ascii="Times New Roman" w:hAnsi="Times New Roman" w:cs="Times New Roman"/>
                <w:b/>
                <w:sz w:val="24"/>
                <w:szCs w:val="24"/>
              </w:rPr>
              <w:t>у</w:t>
            </w:r>
          </w:p>
        </w:tc>
      </w:tr>
      <w:tr w:rsidR="001A634A" w:rsidRPr="001A634A" w:rsidTr="00270B1D">
        <w:trPr>
          <w:trHeight w:val="397"/>
          <w:jc w:val="center"/>
        </w:trPr>
        <w:tc>
          <w:tcPr>
            <w:tcW w:w="2689"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Наявність</w:t>
            </w:r>
          </w:p>
        </w:tc>
        <w:tc>
          <w:tcPr>
            <w:tcW w:w="6940"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існуюча, перспективна, очікувана,  потенційно можлива</w:t>
            </w:r>
          </w:p>
        </w:tc>
      </w:tr>
      <w:tr w:rsidR="001A634A" w:rsidRPr="001A634A" w:rsidTr="00270B1D">
        <w:trPr>
          <w:trHeight w:val="397"/>
          <w:jc w:val="center"/>
        </w:trPr>
        <w:tc>
          <w:tcPr>
            <w:tcW w:w="2689"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Характер</w:t>
            </w:r>
          </w:p>
        </w:tc>
        <w:tc>
          <w:tcPr>
            <w:tcW w:w="6940"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270B1D">
              <w:rPr>
                <w:rFonts w:ascii="Times New Roman" w:hAnsi="Times New Roman" w:cs="Times New Roman"/>
                <w:sz w:val="24"/>
                <w:szCs w:val="24"/>
              </w:rPr>
              <w:t>накопичена, купівельна, абсорбована</w:t>
            </w:r>
          </w:p>
        </w:tc>
      </w:tr>
      <w:tr w:rsidR="001A634A" w:rsidRPr="001A634A" w:rsidTr="00270B1D">
        <w:trPr>
          <w:trHeight w:val="397"/>
          <w:jc w:val="center"/>
        </w:trPr>
        <w:tc>
          <w:tcPr>
            <w:tcW w:w="2689"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Збалансованість</w:t>
            </w:r>
          </w:p>
        </w:tc>
        <w:tc>
          <w:tcPr>
            <w:tcW w:w="6940"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збалансована, незбалансована</w:t>
            </w:r>
          </w:p>
        </w:tc>
      </w:tr>
      <w:tr w:rsidR="001A634A" w:rsidRPr="001A634A" w:rsidTr="00270B1D">
        <w:trPr>
          <w:trHeight w:val="397"/>
          <w:jc w:val="center"/>
        </w:trPr>
        <w:tc>
          <w:tcPr>
            <w:tcW w:w="2689"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Рівень</w:t>
            </w:r>
          </w:p>
        </w:tc>
        <w:tc>
          <w:tcPr>
            <w:tcW w:w="6940"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максимальна, надлишкова, нормальна</w:t>
            </w:r>
          </w:p>
        </w:tc>
      </w:tr>
      <w:tr w:rsidR="001A634A" w:rsidRPr="001A634A" w:rsidTr="00270B1D">
        <w:trPr>
          <w:trHeight w:val="397"/>
          <w:jc w:val="center"/>
        </w:trPr>
        <w:tc>
          <w:tcPr>
            <w:tcW w:w="2689"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Стан</w:t>
            </w:r>
          </w:p>
        </w:tc>
        <w:tc>
          <w:tcPr>
            <w:tcW w:w="6940"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миттєва, поточна, коротко-, середньо-, довгострокова</w:t>
            </w:r>
          </w:p>
        </w:tc>
      </w:tr>
      <w:tr w:rsidR="001A634A" w:rsidRPr="001A634A" w:rsidTr="00270B1D">
        <w:trPr>
          <w:trHeight w:val="397"/>
          <w:jc w:val="center"/>
        </w:trPr>
        <w:tc>
          <w:tcPr>
            <w:tcW w:w="2689"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Форма</w:t>
            </w:r>
          </w:p>
        </w:tc>
        <w:tc>
          <w:tcPr>
            <w:tcW w:w="6940" w:type="dxa"/>
            <w:vAlign w:val="center"/>
          </w:tcPr>
          <w:p w:rsidR="001A634A" w:rsidRPr="001A634A" w:rsidRDefault="001A634A" w:rsidP="00270B1D">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 xml:space="preserve">ліквідність </w:t>
            </w:r>
            <w:r w:rsidR="00270B1D">
              <w:rPr>
                <w:rFonts w:ascii="Times New Roman" w:hAnsi="Times New Roman" w:cs="Times New Roman"/>
                <w:sz w:val="24"/>
                <w:szCs w:val="24"/>
              </w:rPr>
              <w:t>-</w:t>
            </w:r>
            <w:r w:rsidRPr="001A634A">
              <w:rPr>
                <w:rFonts w:ascii="Times New Roman" w:hAnsi="Times New Roman" w:cs="Times New Roman"/>
                <w:sz w:val="24"/>
                <w:szCs w:val="24"/>
              </w:rPr>
              <w:t xml:space="preserve"> трансакція, ліквідність </w:t>
            </w:r>
            <w:r w:rsidR="00270B1D">
              <w:rPr>
                <w:rFonts w:ascii="Times New Roman" w:hAnsi="Times New Roman" w:cs="Times New Roman"/>
                <w:sz w:val="24"/>
                <w:szCs w:val="24"/>
              </w:rPr>
              <w:t>- інструмент,</w:t>
            </w:r>
            <w:r w:rsidRPr="001A634A">
              <w:rPr>
                <w:rFonts w:ascii="Times New Roman" w:hAnsi="Times New Roman" w:cs="Times New Roman"/>
                <w:sz w:val="24"/>
                <w:szCs w:val="24"/>
              </w:rPr>
              <w:t xml:space="preserve"> ліквідність </w:t>
            </w:r>
            <w:r w:rsidR="00270B1D">
              <w:rPr>
                <w:rFonts w:ascii="Times New Roman" w:hAnsi="Times New Roman" w:cs="Times New Roman"/>
                <w:sz w:val="24"/>
                <w:szCs w:val="24"/>
              </w:rPr>
              <w:t>- актив, ліквідність - засіб, ліквідність -</w:t>
            </w:r>
            <w:r w:rsidRPr="001A634A">
              <w:rPr>
                <w:rFonts w:ascii="Times New Roman" w:hAnsi="Times New Roman" w:cs="Times New Roman"/>
                <w:sz w:val="24"/>
                <w:szCs w:val="24"/>
              </w:rPr>
              <w:t xml:space="preserve"> інститут</w:t>
            </w:r>
          </w:p>
        </w:tc>
      </w:tr>
      <w:tr w:rsidR="001A634A" w:rsidRPr="001A634A" w:rsidTr="00270B1D">
        <w:trPr>
          <w:trHeight w:val="397"/>
          <w:jc w:val="center"/>
        </w:trPr>
        <w:tc>
          <w:tcPr>
            <w:tcW w:w="2689"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Сталість</w:t>
            </w:r>
          </w:p>
        </w:tc>
        <w:tc>
          <w:tcPr>
            <w:tcW w:w="6940"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п</w:t>
            </w:r>
            <w:r w:rsidRPr="001A634A">
              <w:rPr>
                <w:rFonts w:ascii="Times New Roman" w:hAnsi="Times New Roman" w:cs="Times New Roman"/>
                <w:sz w:val="24"/>
                <w:szCs w:val="24"/>
              </w:rPr>
              <w:t>остійна, тимчасова, циклічна</w:t>
            </w:r>
          </w:p>
        </w:tc>
      </w:tr>
      <w:tr w:rsidR="001A634A" w:rsidRPr="001A634A" w:rsidTr="00270B1D">
        <w:trPr>
          <w:trHeight w:val="397"/>
          <w:jc w:val="center"/>
        </w:trPr>
        <w:tc>
          <w:tcPr>
            <w:tcW w:w="2689"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Джерело надання</w:t>
            </w:r>
          </w:p>
        </w:tc>
        <w:tc>
          <w:tcPr>
            <w:tcW w:w="6940"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о</w:t>
            </w:r>
            <w:r w:rsidR="00270B1D">
              <w:rPr>
                <w:rFonts w:ascii="Times New Roman" w:hAnsi="Times New Roman" w:cs="Times New Roman"/>
                <w:sz w:val="24"/>
                <w:szCs w:val="24"/>
              </w:rPr>
              <w:t>фіційна (що надається державою,</w:t>
            </w:r>
            <w:r w:rsidRPr="001A634A">
              <w:rPr>
                <w:rFonts w:ascii="Times New Roman" w:hAnsi="Times New Roman" w:cs="Times New Roman"/>
                <w:sz w:val="24"/>
                <w:szCs w:val="24"/>
              </w:rPr>
              <w:t xml:space="preserve"> регуляторами), емітована центробанком, приватна</w:t>
            </w:r>
          </w:p>
        </w:tc>
      </w:tr>
      <w:tr w:rsidR="001A634A" w:rsidRPr="001A634A" w:rsidTr="00270B1D">
        <w:trPr>
          <w:trHeight w:val="397"/>
          <w:jc w:val="center"/>
        </w:trPr>
        <w:tc>
          <w:tcPr>
            <w:tcW w:w="2689"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 xml:space="preserve">Первинність </w:t>
            </w:r>
          </w:p>
        </w:tc>
        <w:tc>
          <w:tcPr>
            <w:tcW w:w="6940"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базова, додатково надана</w:t>
            </w:r>
          </w:p>
        </w:tc>
      </w:tr>
      <w:tr w:rsidR="001A634A" w:rsidRPr="001A634A" w:rsidTr="00270B1D">
        <w:trPr>
          <w:trHeight w:val="397"/>
          <w:jc w:val="center"/>
        </w:trPr>
        <w:tc>
          <w:tcPr>
            <w:tcW w:w="2689"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Адекватність</w:t>
            </w:r>
          </w:p>
        </w:tc>
        <w:tc>
          <w:tcPr>
            <w:tcW w:w="6940" w:type="dxa"/>
            <w:vAlign w:val="center"/>
          </w:tcPr>
          <w:p w:rsidR="001A634A" w:rsidRPr="001A634A" w:rsidRDefault="001A634A" w:rsidP="001A634A">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адекватна, неадекватна</w:t>
            </w:r>
          </w:p>
        </w:tc>
      </w:tr>
      <w:tr w:rsidR="00A053BC" w:rsidRPr="001A634A" w:rsidTr="003650EF">
        <w:trPr>
          <w:trHeight w:val="397"/>
          <w:jc w:val="center"/>
        </w:trPr>
        <w:tc>
          <w:tcPr>
            <w:tcW w:w="2689" w:type="dxa"/>
            <w:vAlign w:val="center"/>
          </w:tcPr>
          <w:p w:rsidR="00A053BC" w:rsidRPr="001A634A" w:rsidRDefault="00A053BC" w:rsidP="003650EF">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Об’єкт</w:t>
            </w:r>
          </w:p>
        </w:tc>
        <w:tc>
          <w:tcPr>
            <w:tcW w:w="6940" w:type="dxa"/>
            <w:vAlign w:val="center"/>
          </w:tcPr>
          <w:p w:rsidR="00A053BC" w:rsidRPr="001A634A" w:rsidRDefault="00A053BC" w:rsidP="003650EF">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 xml:space="preserve">активів, балансу, забезпечення, </w:t>
            </w:r>
            <w:r>
              <w:rPr>
                <w:rFonts w:ascii="Times New Roman" w:hAnsi="Times New Roman" w:cs="Times New Roman"/>
                <w:sz w:val="24"/>
                <w:szCs w:val="24"/>
              </w:rPr>
              <w:t>комерційного банку</w:t>
            </w:r>
            <w:r w:rsidRPr="001A634A">
              <w:rPr>
                <w:rFonts w:ascii="Times New Roman" w:hAnsi="Times New Roman" w:cs="Times New Roman"/>
                <w:sz w:val="24"/>
                <w:szCs w:val="24"/>
              </w:rPr>
              <w:t xml:space="preserve"> загалом</w:t>
            </w:r>
          </w:p>
        </w:tc>
      </w:tr>
    </w:tbl>
    <w:p w:rsidR="00A53E77" w:rsidRPr="00A53E77" w:rsidRDefault="00574C41" w:rsidP="00A53E77">
      <w:pPr>
        <w:pStyle w:val="a4"/>
        <w:spacing w:before="120"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1.5</w:t>
      </w:r>
    </w:p>
    <w:tbl>
      <w:tblPr>
        <w:tblStyle w:val="a5"/>
        <w:tblW w:w="0" w:type="auto"/>
        <w:jc w:val="center"/>
        <w:tblInd w:w="0" w:type="dxa"/>
        <w:tblLook w:val="04A0" w:firstRow="1" w:lastRow="0" w:firstColumn="1" w:lastColumn="0" w:noHBand="0" w:noVBand="1"/>
      </w:tblPr>
      <w:tblGrid>
        <w:gridCol w:w="2689"/>
        <w:gridCol w:w="6940"/>
      </w:tblGrid>
      <w:tr w:rsidR="00A53E77" w:rsidTr="00042D5E">
        <w:trPr>
          <w:trHeight w:val="279"/>
          <w:jc w:val="center"/>
        </w:trPr>
        <w:tc>
          <w:tcPr>
            <w:tcW w:w="2689" w:type="dxa"/>
            <w:vAlign w:val="center"/>
          </w:tcPr>
          <w:p w:rsidR="00A53E77" w:rsidRPr="001A634A" w:rsidRDefault="00A53E77" w:rsidP="00042D5E">
            <w:pPr>
              <w:pStyle w:val="a4"/>
              <w:spacing w:before="120" w:line="360" w:lineRule="auto"/>
              <w:ind w:left="0"/>
              <w:jc w:val="center"/>
              <w:rPr>
                <w:rFonts w:ascii="Times New Roman" w:hAnsi="Times New Roman" w:cs="Times New Roman"/>
                <w:b/>
                <w:sz w:val="24"/>
                <w:szCs w:val="24"/>
              </w:rPr>
            </w:pPr>
            <w:r w:rsidRPr="001A634A">
              <w:rPr>
                <w:rFonts w:ascii="Times New Roman" w:hAnsi="Times New Roman" w:cs="Times New Roman"/>
                <w:b/>
                <w:sz w:val="24"/>
                <w:szCs w:val="24"/>
              </w:rPr>
              <w:t>Критерії класифікації</w:t>
            </w:r>
          </w:p>
        </w:tc>
        <w:tc>
          <w:tcPr>
            <w:tcW w:w="6940" w:type="dxa"/>
            <w:vAlign w:val="center"/>
          </w:tcPr>
          <w:p w:rsidR="00A53E77" w:rsidRPr="001A634A" w:rsidRDefault="00A53E77" w:rsidP="00042D5E">
            <w:pPr>
              <w:pStyle w:val="a4"/>
              <w:spacing w:before="120" w:line="360" w:lineRule="auto"/>
              <w:ind w:left="0"/>
              <w:jc w:val="center"/>
              <w:rPr>
                <w:rFonts w:ascii="Times New Roman" w:hAnsi="Times New Roman" w:cs="Times New Roman"/>
                <w:b/>
                <w:sz w:val="24"/>
                <w:szCs w:val="24"/>
              </w:rPr>
            </w:pPr>
            <w:r w:rsidRPr="001A634A">
              <w:rPr>
                <w:rFonts w:ascii="Times New Roman" w:hAnsi="Times New Roman" w:cs="Times New Roman"/>
                <w:b/>
                <w:sz w:val="24"/>
                <w:szCs w:val="24"/>
              </w:rPr>
              <w:t>Різновиди ліквідності комерційн</w:t>
            </w:r>
            <w:r>
              <w:rPr>
                <w:rFonts w:ascii="Times New Roman" w:hAnsi="Times New Roman" w:cs="Times New Roman"/>
                <w:b/>
                <w:sz w:val="24"/>
                <w:szCs w:val="24"/>
              </w:rPr>
              <w:t>ого</w:t>
            </w:r>
            <w:r w:rsidRPr="001A634A">
              <w:rPr>
                <w:rFonts w:ascii="Times New Roman" w:hAnsi="Times New Roman" w:cs="Times New Roman"/>
                <w:b/>
                <w:sz w:val="24"/>
                <w:szCs w:val="24"/>
              </w:rPr>
              <w:t xml:space="preserve"> банк</w:t>
            </w:r>
            <w:r>
              <w:rPr>
                <w:rFonts w:ascii="Times New Roman" w:hAnsi="Times New Roman" w:cs="Times New Roman"/>
                <w:b/>
                <w:sz w:val="24"/>
                <w:szCs w:val="24"/>
              </w:rPr>
              <w:t>у</w:t>
            </w:r>
          </w:p>
        </w:tc>
      </w:tr>
      <w:tr w:rsidR="00A53E77" w:rsidRPr="001A634A" w:rsidTr="00042D5E">
        <w:trPr>
          <w:trHeight w:val="397"/>
          <w:jc w:val="center"/>
        </w:trPr>
        <w:tc>
          <w:tcPr>
            <w:tcW w:w="2689" w:type="dxa"/>
            <w:vAlign w:val="center"/>
          </w:tcPr>
          <w:p w:rsidR="00A53E77" w:rsidRPr="001A634A" w:rsidRDefault="00A53E77" w:rsidP="00042D5E">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Мета управління</w:t>
            </w:r>
          </w:p>
        </w:tc>
        <w:tc>
          <w:tcPr>
            <w:tcW w:w="6940" w:type="dxa"/>
            <w:vAlign w:val="center"/>
          </w:tcPr>
          <w:p w:rsidR="00A53E77" w:rsidRPr="001A634A" w:rsidRDefault="00A53E77" w:rsidP="00042D5E">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стратегічна, тактична</w:t>
            </w:r>
          </w:p>
        </w:tc>
      </w:tr>
      <w:tr w:rsidR="00A53E77" w:rsidRPr="001A634A" w:rsidTr="00042D5E">
        <w:trPr>
          <w:trHeight w:val="397"/>
          <w:jc w:val="center"/>
        </w:trPr>
        <w:tc>
          <w:tcPr>
            <w:tcW w:w="2689" w:type="dxa"/>
            <w:vAlign w:val="center"/>
          </w:tcPr>
          <w:p w:rsidR="00A53E77" w:rsidRPr="001A634A" w:rsidRDefault="00A53E77" w:rsidP="00042D5E">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Види валюти</w:t>
            </w:r>
          </w:p>
        </w:tc>
        <w:tc>
          <w:tcPr>
            <w:tcW w:w="6940" w:type="dxa"/>
            <w:vAlign w:val="center"/>
          </w:tcPr>
          <w:p w:rsidR="00A53E77" w:rsidRPr="001A634A" w:rsidRDefault="00A53E77" w:rsidP="00042D5E">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у національній валюті, в іноземній валюті</w:t>
            </w:r>
          </w:p>
        </w:tc>
      </w:tr>
      <w:tr w:rsidR="00A53E77" w:rsidRPr="001A634A" w:rsidTr="00042D5E">
        <w:trPr>
          <w:trHeight w:val="397"/>
          <w:jc w:val="center"/>
        </w:trPr>
        <w:tc>
          <w:tcPr>
            <w:tcW w:w="2689" w:type="dxa"/>
            <w:vAlign w:val="center"/>
          </w:tcPr>
          <w:p w:rsidR="00A53E77" w:rsidRPr="001A634A" w:rsidRDefault="00A53E77" w:rsidP="00042D5E">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Достатність</w:t>
            </w:r>
          </w:p>
        </w:tc>
        <w:tc>
          <w:tcPr>
            <w:tcW w:w="6940" w:type="dxa"/>
            <w:vAlign w:val="center"/>
          </w:tcPr>
          <w:p w:rsidR="00A53E77" w:rsidRPr="001A634A" w:rsidRDefault="00A53E77" w:rsidP="00042D5E">
            <w:pPr>
              <w:pStyle w:val="a4"/>
              <w:spacing w:line="240" w:lineRule="auto"/>
              <w:ind w:left="0"/>
              <w:jc w:val="both"/>
              <w:rPr>
                <w:rFonts w:ascii="Times New Roman" w:hAnsi="Times New Roman" w:cs="Times New Roman"/>
                <w:sz w:val="24"/>
                <w:szCs w:val="24"/>
              </w:rPr>
            </w:pPr>
            <w:r w:rsidRPr="001A634A">
              <w:rPr>
                <w:rFonts w:ascii="Times New Roman" w:hAnsi="Times New Roman" w:cs="Times New Roman"/>
                <w:sz w:val="24"/>
                <w:szCs w:val="24"/>
              </w:rPr>
              <w:t>достатня, недостатня</w:t>
            </w:r>
          </w:p>
        </w:tc>
      </w:tr>
    </w:tbl>
    <w:p w:rsidR="00154DC1" w:rsidRPr="002242D9" w:rsidRDefault="002242D9" w:rsidP="00110EE2">
      <w:pPr>
        <w:pStyle w:val="a4"/>
        <w:spacing w:before="120" w:after="0" w:line="360" w:lineRule="auto"/>
        <w:ind w:left="0" w:firstLine="709"/>
        <w:jc w:val="both"/>
        <w:rPr>
          <w:rFonts w:ascii="Times New Roman" w:hAnsi="Times New Roman" w:cs="Times New Roman"/>
          <w:sz w:val="24"/>
          <w:szCs w:val="24"/>
        </w:rPr>
      </w:pPr>
      <w:r w:rsidRPr="002242D9">
        <w:rPr>
          <w:rFonts w:ascii="Times New Roman" w:hAnsi="Times New Roman" w:cs="Times New Roman"/>
          <w:sz w:val="24"/>
          <w:szCs w:val="24"/>
        </w:rPr>
        <w:t>Джерело: [19, с. 76]</w:t>
      </w:r>
    </w:p>
    <w:p w:rsidR="00154DC1" w:rsidRPr="008C490A" w:rsidRDefault="008C490A" w:rsidP="00A53E77">
      <w:pPr>
        <w:pStyle w:val="a4"/>
        <w:spacing w:before="240" w:after="0" w:line="360" w:lineRule="auto"/>
        <w:ind w:left="0" w:firstLine="709"/>
        <w:jc w:val="both"/>
        <w:rPr>
          <w:rFonts w:ascii="Times New Roman" w:hAnsi="Times New Roman" w:cs="Times New Roman"/>
          <w:sz w:val="28"/>
          <w:szCs w:val="28"/>
        </w:rPr>
      </w:pPr>
      <w:r w:rsidRPr="008C490A">
        <w:rPr>
          <w:rFonts w:ascii="Times New Roman" w:hAnsi="Times New Roman" w:cs="Times New Roman"/>
          <w:sz w:val="28"/>
          <w:szCs w:val="28"/>
        </w:rPr>
        <w:t>У світовій банківській теорії і практиці ліквідність прийнято розуміти як «запас» або як «потік». Відповідно ліквідність як «запас» означає рівень можливостей комерційного банку виконувати свої зобов’язання перед клієнтами відповідно до конкретного моменту часу шляхом зміни структури активів на користь їх високоліквідних статей за рахунок наявних у цій області невикористаних резервів. З точки зору оцінку ліквідності запасу характеризують як доволі вузьке розуміння, оскільки до уваги не беруться ліквідні кошти, які банк може отримати на кредитних ринках або у вигляді доходів.</w:t>
      </w:r>
    </w:p>
    <w:p w:rsidR="003F363C" w:rsidRDefault="008C490A" w:rsidP="003D076F">
      <w:pPr>
        <w:pStyle w:val="a4"/>
        <w:spacing w:after="0" w:line="360" w:lineRule="auto"/>
        <w:ind w:left="0" w:firstLine="709"/>
        <w:jc w:val="both"/>
        <w:rPr>
          <w:rFonts w:ascii="Times New Roman" w:hAnsi="Times New Roman" w:cs="Times New Roman"/>
          <w:sz w:val="28"/>
          <w:szCs w:val="28"/>
        </w:rPr>
      </w:pPr>
      <w:r w:rsidRPr="008C490A">
        <w:rPr>
          <w:rFonts w:ascii="Times New Roman" w:hAnsi="Times New Roman" w:cs="Times New Roman"/>
          <w:sz w:val="28"/>
          <w:szCs w:val="28"/>
        </w:rPr>
        <w:t>Ліквідність як «потік» аналізується з погляду динаміки, що припускає оцінку здатності комерційного банку протягом певного періоду часу змінювати несприятливий рівень ліквідності, що склався, або запобігати погіршенню досягнутого, об’єктивно необхідного рівня ліквідності (зберігати його) за рахунок ефективного управління відповідними статтями активів і пасивів, залучення додаткових позикових засобів, підвищення фінансової стійкості банку шляхом зростання доходів [</w:t>
      </w:r>
      <w:r>
        <w:rPr>
          <w:rFonts w:ascii="Times New Roman" w:hAnsi="Times New Roman" w:cs="Times New Roman"/>
          <w:sz w:val="28"/>
          <w:szCs w:val="28"/>
        </w:rPr>
        <w:t>25, с. 588</w:t>
      </w:r>
      <w:r w:rsidR="003F363C">
        <w:rPr>
          <w:rFonts w:ascii="Times New Roman" w:hAnsi="Times New Roman" w:cs="Times New Roman"/>
          <w:sz w:val="28"/>
          <w:szCs w:val="28"/>
        </w:rPr>
        <w:t>].</w:t>
      </w:r>
    </w:p>
    <w:p w:rsidR="00154DC1" w:rsidRDefault="003F363C" w:rsidP="003F363C">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Ліквідність комерційного банку </w:t>
      </w:r>
      <w:r w:rsidR="003D076F" w:rsidRPr="003D076F">
        <w:rPr>
          <w:rFonts w:ascii="Times New Roman" w:hAnsi="Times New Roman" w:cs="Times New Roman"/>
          <w:sz w:val="28"/>
          <w:szCs w:val="28"/>
        </w:rPr>
        <w:t xml:space="preserve">залежить від багатьох чинників, які </w:t>
      </w:r>
      <w:r>
        <w:rPr>
          <w:rFonts w:ascii="Times New Roman" w:hAnsi="Times New Roman" w:cs="Times New Roman"/>
          <w:sz w:val="28"/>
          <w:szCs w:val="28"/>
        </w:rPr>
        <w:t>умовно можна поділити дві групи:</w:t>
      </w:r>
      <w:r w:rsidRPr="003F363C">
        <w:rPr>
          <w:rFonts w:ascii="Times New Roman" w:hAnsi="Times New Roman" w:cs="Times New Roman"/>
          <w:sz w:val="28"/>
          <w:szCs w:val="28"/>
        </w:rPr>
        <w:t xml:space="preserve"> внутрішні та</w:t>
      </w:r>
      <w:r w:rsidR="003D076F" w:rsidRPr="003F363C">
        <w:rPr>
          <w:rFonts w:ascii="Times New Roman" w:hAnsi="Times New Roman" w:cs="Times New Roman"/>
          <w:sz w:val="28"/>
          <w:szCs w:val="28"/>
        </w:rPr>
        <w:t xml:space="preserve"> зовнішні. До зовнішніх факторів відносяться всі</w:t>
      </w:r>
      <w:r>
        <w:rPr>
          <w:rFonts w:ascii="Times New Roman" w:hAnsi="Times New Roman" w:cs="Times New Roman"/>
          <w:sz w:val="28"/>
          <w:szCs w:val="28"/>
        </w:rPr>
        <w:t xml:space="preserve"> </w:t>
      </w:r>
      <w:r w:rsidR="003D076F" w:rsidRPr="003F363C">
        <w:rPr>
          <w:rFonts w:ascii="Times New Roman" w:hAnsi="Times New Roman" w:cs="Times New Roman"/>
          <w:sz w:val="28"/>
          <w:szCs w:val="28"/>
        </w:rPr>
        <w:t xml:space="preserve">фактори, які банк не може контролювати та </w:t>
      </w:r>
      <w:r>
        <w:rPr>
          <w:rFonts w:ascii="Times New Roman" w:hAnsi="Times New Roman" w:cs="Times New Roman"/>
          <w:sz w:val="28"/>
          <w:szCs w:val="28"/>
        </w:rPr>
        <w:t xml:space="preserve">керувати ними, а до внутрішніх - </w:t>
      </w:r>
      <w:r w:rsidR="003D076F" w:rsidRPr="003F363C">
        <w:rPr>
          <w:rFonts w:ascii="Times New Roman" w:hAnsi="Times New Roman" w:cs="Times New Roman"/>
          <w:sz w:val="28"/>
          <w:szCs w:val="28"/>
        </w:rPr>
        <w:t>ті, на які банк може впливати та корегувати їх (</w:t>
      </w:r>
      <w:r w:rsidR="00574C41">
        <w:rPr>
          <w:rFonts w:ascii="Times New Roman" w:hAnsi="Times New Roman" w:cs="Times New Roman"/>
          <w:sz w:val="28"/>
          <w:szCs w:val="28"/>
        </w:rPr>
        <w:t xml:space="preserve">див. </w:t>
      </w:r>
      <w:r w:rsidR="003D076F" w:rsidRPr="003F363C">
        <w:rPr>
          <w:rFonts w:ascii="Times New Roman" w:hAnsi="Times New Roman" w:cs="Times New Roman"/>
          <w:sz w:val="28"/>
          <w:szCs w:val="28"/>
        </w:rPr>
        <w:t xml:space="preserve">рис. </w:t>
      </w:r>
      <w:r w:rsidR="0014637F">
        <w:rPr>
          <w:rFonts w:ascii="Times New Roman" w:hAnsi="Times New Roman" w:cs="Times New Roman"/>
          <w:sz w:val="28"/>
          <w:szCs w:val="28"/>
        </w:rPr>
        <w:t>1.5</w:t>
      </w:r>
      <w:r w:rsidR="003D076F" w:rsidRPr="003F363C">
        <w:rPr>
          <w:rFonts w:ascii="Times New Roman" w:hAnsi="Times New Roman" w:cs="Times New Roman"/>
          <w:sz w:val="28"/>
          <w:szCs w:val="28"/>
        </w:rPr>
        <w:t>).</w:t>
      </w:r>
    </w:p>
    <w:p w:rsidR="00A53E77" w:rsidRPr="003F363C" w:rsidRDefault="00A53E77" w:rsidP="00A53E77">
      <w:pPr>
        <w:pStyle w:val="a4"/>
        <w:spacing w:after="0" w:line="360" w:lineRule="auto"/>
        <w:ind w:left="0" w:firstLine="709"/>
        <w:jc w:val="both"/>
        <w:rPr>
          <w:rFonts w:ascii="Times New Roman" w:hAnsi="Times New Roman" w:cs="Times New Roman"/>
          <w:sz w:val="28"/>
          <w:szCs w:val="28"/>
        </w:rPr>
      </w:pPr>
      <w:r w:rsidRPr="007909C1">
        <w:rPr>
          <w:rFonts w:ascii="Times New Roman" w:hAnsi="Times New Roman" w:cs="Times New Roman"/>
          <w:sz w:val="28"/>
          <w:szCs w:val="28"/>
        </w:rPr>
        <w:t>Ліквідність комерційного банку базується на постійній підтримці</w:t>
      </w:r>
      <w:r>
        <w:rPr>
          <w:rFonts w:ascii="Times New Roman" w:hAnsi="Times New Roman" w:cs="Times New Roman"/>
          <w:sz w:val="28"/>
          <w:szCs w:val="28"/>
        </w:rPr>
        <w:t xml:space="preserve"> </w:t>
      </w:r>
      <w:r w:rsidRPr="007909C1">
        <w:rPr>
          <w:rFonts w:ascii="Times New Roman" w:hAnsi="Times New Roman" w:cs="Times New Roman"/>
          <w:sz w:val="28"/>
          <w:szCs w:val="28"/>
        </w:rPr>
        <w:t>об’єктивно необхідного співвідношення між</w:t>
      </w:r>
      <w:r>
        <w:rPr>
          <w:rFonts w:ascii="Times New Roman" w:hAnsi="Times New Roman" w:cs="Times New Roman"/>
          <w:sz w:val="28"/>
          <w:szCs w:val="28"/>
        </w:rPr>
        <w:t xml:space="preserve"> трьома її складовими - власним </w:t>
      </w:r>
      <w:r w:rsidRPr="00594B33">
        <w:rPr>
          <w:rFonts w:ascii="Times New Roman" w:hAnsi="Times New Roman" w:cs="Times New Roman"/>
          <w:sz w:val="28"/>
          <w:szCs w:val="28"/>
        </w:rPr>
        <w:t>капіталом банку, залученими і розміщеними ним засобами шляхом</w:t>
      </w:r>
      <w:r>
        <w:rPr>
          <w:rFonts w:ascii="Times New Roman" w:hAnsi="Times New Roman" w:cs="Times New Roman"/>
          <w:sz w:val="28"/>
          <w:szCs w:val="28"/>
        </w:rPr>
        <w:t xml:space="preserve"> </w:t>
      </w:r>
      <w:r w:rsidRPr="00594B33">
        <w:rPr>
          <w:rFonts w:ascii="Times New Roman" w:hAnsi="Times New Roman" w:cs="Times New Roman"/>
          <w:sz w:val="28"/>
          <w:szCs w:val="28"/>
        </w:rPr>
        <w:t>оперативного управління їх структурними елементами. Ліквідність банку</w:t>
      </w:r>
      <w:r>
        <w:rPr>
          <w:rFonts w:ascii="Times New Roman" w:hAnsi="Times New Roman" w:cs="Times New Roman"/>
          <w:sz w:val="28"/>
          <w:szCs w:val="28"/>
        </w:rPr>
        <w:t xml:space="preserve"> </w:t>
      </w:r>
      <w:r w:rsidRPr="00594B33">
        <w:rPr>
          <w:rFonts w:ascii="Times New Roman" w:hAnsi="Times New Roman" w:cs="Times New Roman"/>
          <w:sz w:val="28"/>
          <w:szCs w:val="28"/>
        </w:rPr>
        <w:t xml:space="preserve">постійно змінюється під впливом попиту </w:t>
      </w:r>
      <w:r>
        <w:rPr>
          <w:rFonts w:ascii="Times New Roman" w:hAnsi="Times New Roman" w:cs="Times New Roman"/>
          <w:sz w:val="28"/>
          <w:szCs w:val="28"/>
        </w:rPr>
        <w:t>і пропозиції на грошові ресурси [26, с. 159-160</w:t>
      </w:r>
      <w:r w:rsidRPr="007909C1">
        <w:rPr>
          <w:rFonts w:ascii="Times New Roman" w:hAnsi="Times New Roman" w:cs="Times New Roman"/>
          <w:sz w:val="28"/>
          <w:szCs w:val="28"/>
        </w:rPr>
        <w:t>].</w:t>
      </w:r>
    </w:p>
    <w:p w:rsidR="00A53E77" w:rsidRDefault="00A53E77" w:rsidP="003F363C">
      <w:pPr>
        <w:pStyle w:val="a4"/>
        <w:spacing w:after="0" w:line="360" w:lineRule="auto"/>
        <w:ind w:left="0" w:firstLine="709"/>
        <w:jc w:val="both"/>
        <w:rPr>
          <w:rFonts w:ascii="Times New Roman" w:hAnsi="Times New Roman" w:cs="Times New Roman"/>
          <w:sz w:val="28"/>
          <w:szCs w:val="28"/>
        </w:rPr>
      </w:pPr>
    </w:p>
    <w:p w:rsidR="00D3097B" w:rsidRDefault="007A55B5" w:rsidP="007A55B5">
      <w:pPr>
        <w:pStyle w:val="a4"/>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mc:AlternateContent>
          <mc:Choice Requires="wpc">
            <w:drawing>
              <wp:inline distT="0" distB="0" distL="0" distR="0">
                <wp:extent cx="6080760" cy="6316980"/>
                <wp:effectExtent l="0" t="0" r="0" b="7620"/>
                <wp:docPr id="111" name="Полотно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2" name="Прямоугольник 112"/>
                        <wps:cNvSpPr/>
                        <wps:spPr>
                          <a:xfrm>
                            <a:off x="1546860" y="190500"/>
                            <a:ext cx="3009900" cy="3352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A55B5" w:rsidRDefault="00F821E3" w:rsidP="007A55B5">
                              <w:pPr>
                                <w:jc w:val="center"/>
                                <w:rPr>
                                  <w:rFonts w:ascii="Times New Roman" w:hAnsi="Times New Roman"/>
                                  <w:color w:val="000000" w:themeColor="text1"/>
                                  <w:sz w:val="24"/>
                                  <w:szCs w:val="24"/>
                                </w:rPr>
                              </w:pPr>
                              <w:r w:rsidRPr="007A55B5">
                                <w:rPr>
                                  <w:rFonts w:ascii="Times New Roman" w:hAnsi="Times New Roman"/>
                                  <w:color w:val="000000" w:themeColor="text1"/>
                                  <w:sz w:val="24"/>
                                  <w:szCs w:val="24"/>
                                </w:rPr>
                                <w:t>Фактори впливу на ліквідність банку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Прямая со стрелкой 113"/>
                        <wps:cNvCnPr>
                          <a:stCxn id="112" idx="2"/>
                        </wps:cNvCnPr>
                        <wps:spPr>
                          <a:xfrm flipH="1">
                            <a:off x="1546860" y="525780"/>
                            <a:ext cx="150495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Прямая со стрелкой 114"/>
                        <wps:cNvCnPr>
                          <a:stCxn id="112" idx="2"/>
                        </wps:cNvCnPr>
                        <wps:spPr>
                          <a:xfrm>
                            <a:off x="3051810" y="525780"/>
                            <a:ext cx="154305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Прямоугольник 115"/>
                        <wps:cNvSpPr/>
                        <wps:spPr>
                          <a:xfrm>
                            <a:off x="190500" y="685800"/>
                            <a:ext cx="2606040" cy="3124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A55B5" w:rsidRDefault="00F821E3" w:rsidP="007A55B5">
                              <w:pPr>
                                <w:jc w:val="center"/>
                                <w:rPr>
                                  <w:rFonts w:ascii="Times New Roman" w:hAnsi="Times New Roman"/>
                                  <w:color w:val="000000" w:themeColor="text1"/>
                                  <w:sz w:val="24"/>
                                  <w:szCs w:val="24"/>
                                </w:rPr>
                              </w:pPr>
                              <w:r w:rsidRPr="007A55B5">
                                <w:rPr>
                                  <w:rFonts w:ascii="Times New Roman" w:hAnsi="Times New Roman"/>
                                  <w:color w:val="000000" w:themeColor="text1"/>
                                  <w:sz w:val="24"/>
                                  <w:szCs w:val="24"/>
                                </w:rPr>
                                <w:t>Зовнішні фактори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a:off x="3238500" y="685800"/>
                            <a:ext cx="2552700" cy="3124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A55B5" w:rsidRDefault="00F821E3" w:rsidP="007A55B5">
                              <w:pPr>
                                <w:jc w:val="center"/>
                                <w:rPr>
                                  <w:rFonts w:ascii="Times New Roman" w:hAnsi="Times New Roman"/>
                                  <w:color w:val="000000" w:themeColor="text1"/>
                                  <w:sz w:val="24"/>
                                  <w:szCs w:val="24"/>
                                </w:rPr>
                              </w:pPr>
                              <w:r w:rsidRPr="007A55B5">
                                <w:rPr>
                                  <w:rFonts w:ascii="Times New Roman" w:hAnsi="Times New Roman"/>
                                  <w:color w:val="000000" w:themeColor="text1"/>
                                  <w:sz w:val="24"/>
                                  <w:szCs w:val="24"/>
                                </w:rPr>
                                <w:t>Внутрішні фактори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190500" y="1097280"/>
                            <a:ext cx="260604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7A55B5">
                              <w:pPr>
                                <w:jc w:val="center"/>
                              </w:pPr>
                              <w:r w:rsidRPr="007A55B5">
                                <w:rPr>
                                  <w:rFonts w:ascii="Times New Roman" w:hAnsi="Times New Roman"/>
                                  <w:color w:val="000000" w:themeColor="text1"/>
                                </w:rPr>
                                <w:t>Фактори непрямого в</w:t>
                              </w:r>
                              <w:r>
                                <w:rPr>
                                  <w:rFonts w:ascii="Times New Roman" w:hAnsi="Times New Roman"/>
                                  <w:color w:val="000000" w:themeColor="text1"/>
                                </w:rPr>
                                <w:t>пливу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Прямая соединительная линия 119"/>
                        <wps:cNvCnPr/>
                        <wps:spPr>
                          <a:xfrm flipH="1">
                            <a:off x="83820" y="838200"/>
                            <a:ext cx="106680" cy="0"/>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Прямая соединительная линия 120"/>
                        <wps:cNvCnPr/>
                        <wps:spPr>
                          <a:xfrm>
                            <a:off x="83820" y="838200"/>
                            <a:ext cx="0" cy="411480"/>
                          </a:xfrm>
                          <a:prstGeom prst="line">
                            <a:avLst/>
                          </a:prstGeom>
                        </wps:spPr>
                        <wps:style>
                          <a:lnRef idx="1">
                            <a:schemeClr val="dk1"/>
                          </a:lnRef>
                          <a:fillRef idx="0">
                            <a:schemeClr val="dk1"/>
                          </a:fillRef>
                          <a:effectRef idx="0">
                            <a:schemeClr val="dk1"/>
                          </a:effectRef>
                          <a:fontRef idx="minor">
                            <a:schemeClr val="tx1"/>
                          </a:fontRef>
                        </wps:style>
                        <wps:bodyPr/>
                      </wps:wsp>
                      <wps:wsp>
                        <wps:cNvPr id="121" name="Прямая соединительная линия 121"/>
                        <wps:cNvCnPr>
                          <a:endCxn id="118" idx="1"/>
                        </wps:cNvCnPr>
                        <wps:spPr>
                          <a:xfrm flipV="1">
                            <a:off x="83820" y="1249680"/>
                            <a:ext cx="10668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Прямоугольник 122"/>
                        <wps:cNvSpPr/>
                        <wps:spPr>
                          <a:xfrm>
                            <a:off x="190500" y="1440180"/>
                            <a:ext cx="2606040" cy="15849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6E6124" w:rsidRDefault="00F821E3" w:rsidP="006E6124">
                              <w:pPr>
                                <w:spacing w:after="0" w:line="240" w:lineRule="auto"/>
                                <w:jc w:val="center"/>
                                <w:rPr>
                                  <w:rFonts w:ascii="Times New Roman" w:hAnsi="Times New Roman"/>
                                  <w:color w:val="000000" w:themeColor="text1"/>
                                  <w:u w:val="single"/>
                                </w:rPr>
                              </w:pPr>
                              <w:r w:rsidRPr="006E6124">
                                <w:rPr>
                                  <w:rFonts w:ascii="Times New Roman" w:hAnsi="Times New Roman"/>
                                  <w:color w:val="000000" w:themeColor="text1"/>
                                  <w:u w:val="single"/>
                                </w:rPr>
                                <w:t>Мега фактори</w:t>
                              </w:r>
                            </w:p>
                            <w:p w:rsidR="00F821E3" w:rsidRPr="006E6124" w:rsidRDefault="00F821E3" w:rsidP="006E6124">
                              <w:pPr>
                                <w:spacing w:after="0" w:line="240" w:lineRule="auto"/>
                                <w:jc w:val="center"/>
                                <w:rPr>
                                  <w:rFonts w:ascii="Times New Roman" w:hAnsi="Times New Roman"/>
                                  <w:color w:val="000000" w:themeColor="text1"/>
                                  <w:u w:val="single"/>
                                </w:rPr>
                              </w:pPr>
                              <w:r w:rsidRPr="006E6124">
                                <w:rPr>
                                  <w:rFonts w:ascii="Times New Roman" w:hAnsi="Times New Roman"/>
                                  <w:color w:val="000000" w:themeColor="text1"/>
                                  <w:u w:val="single"/>
                                </w:rPr>
                                <w:t>(на рівні світової економіки чи іноземних держав)</w:t>
                              </w:r>
                            </w:p>
                            <w:p w:rsidR="00F821E3" w:rsidRPr="006E6124" w:rsidRDefault="00F821E3" w:rsidP="006E6124">
                              <w:pPr>
                                <w:spacing w:after="0" w:line="240" w:lineRule="auto"/>
                                <w:jc w:val="both"/>
                                <w:rPr>
                                  <w:rFonts w:ascii="Times New Roman" w:hAnsi="Times New Roman"/>
                                  <w:color w:val="000000" w:themeColor="text1"/>
                                </w:rPr>
                              </w:pPr>
                              <w:r w:rsidRPr="006E6124">
                                <w:rPr>
                                  <w:rFonts w:ascii="Times New Roman" w:hAnsi="Times New Roman"/>
                                  <w:color w:val="000000" w:themeColor="text1"/>
                                </w:rPr>
                                <w:t>- світові кризи;</w:t>
                              </w:r>
                            </w:p>
                            <w:p w:rsidR="00F821E3" w:rsidRPr="006E6124" w:rsidRDefault="00F821E3" w:rsidP="006E6124">
                              <w:pPr>
                                <w:spacing w:after="0" w:line="240" w:lineRule="auto"/>
                                <w:jc w:val="both"/>
                                <w:rPr>
                                  <w:rFonts w:ascii="Times New Roman" w:hAnsi="Times New Roman"/>
                                  <w:color w:val="000000" w:themeColor="text1"/>
                                </w:rPr>
                              </w:pPr>
                              <w:r w:rsidRPr="006E6124">
                                <w:rPr>
                                  <w:rFonts w:ascii="Times New Roman" w:hAnsi="Times New Roman"/>
                                  <w:color w:val="000000" w:themeColor="text1"/>
                                </w:rPr>
                                <w:t>- стан світової економіки;</w:t>
                              </w:r>
                            </w:p>
                            <w:p w:rsidR="00F821E3" w:rsidRPr="006E6124" w:rsidRDefault="00F821E3" w:rsidP="006E6124">
                              <w:pPr>
                                <w:spacing w:after="0" w:line="240" w:lineRule="auto"/>
                                <w:jc w:val="both"/>
                                <w:rPr>
                                  <w:rFonts w:ascii="Times New Roman" w:hAnsi="Times New Roman"/>
                                  <w:color w:val="000000" w:themeColor="text1"/>
                                </w:rPr>
                              </w:pPr>
                              <w:r w:rsidRPr="006E6124">
                                <w:rPr>
                                  <w:rFonts w:ascii="Times New Roman" w:hAnsi="Times New Roman"/>
                                  <w:color w:val="000000" w:themeColor="text1"/>
                                </w:rPr>
                                <w:t>- стан економіки держави, де розташ</w:t>
                              </w:r>
                              <w:r>
                                <w:rPr>
                                  <w:rFonts w:ascii="Times New Roman" w:hAnsi="Times New Roman"/>
                                  <w:color w:val="000000" w:themeColor="text1"/>
                                </w:rPr>
                                <w:t xml:space="preserve">овані </w:t>
                              </w:r>
                              <w:r w:rsidRPr="006E6124">
                                <w:rPr>
                                  <w:rFonts w:ascii="Times New Roman" w:hAnsi="Times New Roman"/>
                                  <w:color w:val="000000" w:themeColor="text1"/>
                                </w:rPr>
                                <w:t>материнські чи дочірні структури;</w:t>
                              </w:r>
                            </w:p>
                            <w:p w:rsidR="00F821E3" w:rsidRPr="006E6124" w:rsidRDefault="00F821E3" w:rsidP="006E6124">
                              <w:pPr>
                                <w:jc w:val="both"/>
                                <w:rPr>
                                  <w:rFonts w:ascii="Times New Roman" w:hAnsi="Times New Roman"/>
                                  <w:color w:val="000000" w:themeColor="text1"/>
                                </w:rPr>
                              </w:pPr>
                              <w:r w:rsidRPr="006E6124">
                                <w:rPr>
                                  <w:rFonts w:ascii="Times New Roman" w:hAnsi="Times New Roman"/>
                                  <w:color w:val="000000" w:themeColor="text1"/>
                                </w:rPr>
                                <w:t>- стан світових фінансових ринків</w:t>
                              </w: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Прямоугольник 123"/>
                        <wps:cNvSpPr/>
                        <wps:spPr>
                          <a:xfrm>
                            <a:off x="190500" y="3063240"/>
                            <a:ext cx="2606040" cy="9372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6E6124" w:rsidRDefault="00F821E3" w:rsidP="006E6124">
                              <w:pPr>
                                <w:spacing w:after="0" w:line="240" w:lineRule="auto"/>
                                <w:jc w:val="center"/>
                                <w:rPr>
                                  <w:rFonts w:ascii="Times New Roman" w:hAnsi="Times New Roman"/>
                                  <w:color w:val="000000" w:themeColor="text1"/>
                                  <w:u w:val="single"/>
                                </w:rPr>
                              </w:pPr>
                              <w:proofErr w:type="spellStart"/>
                              <w:r w:rsidRPr="006E6124">
                                <w:rPr>
                                  <w:rFonts w:ascii="Times New Roman" w:hAnsi="Times New Roman"/>
                                  <w:color w:val="000000" w:themeColor="text1"/>
                                  <w:u w:val="single"/>
                                </w:rPr>
                                <w:t>Макро</w:t>
                              </w:r>
                              <w:proofErr w:type="spellEnd"/>
                              <w:r w:rsidRPr="006E6124">
                                <w:rPr>
                                  <w:rFonts w:ascii="Times New Roman" w:hAnsi="Times New Roman"/>
                                  <w:color w:val="000000" w:themeColor="text1"/>
                                  <w:u w:val="single"/>
                                </w:rPr>
                                <w:t xml:space="preserve"> фактори</w:t>
                              </w:r>
                            </w:p>
                            <w:p w:rsidR="00F821E3" w:rsidRPr="006E6124" w:rsidRDefault="00F821E3" w:rsidP="006E6124">
                              <w:pPr>
                                <w:spacing w:after="0" w:line="240" w:lineRule="auto"/>
                                <w:jc w:val="center"/>
                                <w:rPr>
                                  <w:rFonts w:ascii="Times New Roman" w:hAnsi="Times New Roman"/>
                                  <w:color w:val="000000" w:themeColor="text1"/>
                                  <w:u w:val="single"/>
                                </w:rPr>
                              </w:pPr>
                              <w:r w:rsidRPr="006E6124">
                                <w:rPr>
                                  <w:rFonts w:ascii="Times New Roman" w:hAnsi="Times New Roman"/>
                                  <w:color w:val="000000" w:themeColor="text1"/>
                                  <w:u w:val="single"/>
                                </w:rPr>
                                <w:t>(на рівні національної економіки)</w:t>
                              </w:r>
                            </w:p>
                            <w:p w:rsidR="00F821E3" w:rsidRPr="006E6124" w:rsidRDefault="00F821E3" w:rsidP="006E6124">
                              <w:pPr>
                                <w:spacing w:after="0" w:line="240" w:lineRule="auto"/>
                                <w:jc w:val="both"/>
                                <w:rPr>
                                  <w:rFonts w:ascii="Times New Roman" w:hAnsi="Times New Roman"/>
                                  <w:color w:val="000000" w:themeColor="text1"/>
                                </w:rPr>
                              </w:pPr>
                              <w:r w:rsidRPr="006E6124">
                                <w:rPr>
                                  <w:rFonts w:ascii="Times New Roman" w:hAnsi="Times New Roman"/>
                                  <w:color w:val="000000" w:themeColor="text1"/>
                                </w:rPr>
                                <w:t>- економічні фактори;</w:t>
                              </w:r>
                            </w:p>
                            <w:p w:rsidR="00F821E3" w:rsidRPr="006E6124" w:rsidRDefault="00F821E3" w:rsidP="006E6124">
                              <w:pPr>
                                <w:spacing w:after="0" w:line="240" w:lineRule="auto"/>
                                <w:jc w:val="both"/>
                                <w:rPr>
                                  <w:rFonts w:ascii="Times New Roman" w:hAnsi="Times New Roman"/>
                                  <w:color w:val="000000" w:themeColor="text1"/>
                                </w:rPr>
                              </w:pPr>
                              <w:r w:rsidRPr="006E6124">
                                <w:rPr>
                                  <w:rFonts w:ascii="Times New Roman" w:hAnsi="Times New Roman"/>
                                  <w:color w:val="000000" w:themeColor="text1"/>
                                </w:rPr>
                                <w:t>- політичні фактори;</w:t>
                              </w:r>
                            </w:p>
                            <w:p w:rsidR="00F821E3" w:rsidRPr="006E6124" w:rsidRDefault="00F821E3" w:rsidP="006E6124">
                              <w:pPr>
                                <w:spacing w:after="0" w:line="240" w:lineRule="auto"/>
                                <w:jc w:val="both"/>
                                <w:rPr>
                                  <w:rFonts w:ascii="Times New Roman" w:hAnsi="Times New Roman"/>
                                  <w:color w:val="000000" w:themeColor="text1"/>
                                </w:rPr>
                              </w:pPr>
                              <w:r>
                                <w:rPr>
                                  <w:rFonts w:ascii="Times New Roman" w:hAnsi="Times New Roman"/>
                                  <w:color w:val="000000" w:themeColor="text1"/>
                                </w:rPr>
                                <w:t>- соціальні фактори тощо.</w:t>
                              </w:r>
                            </w:p>
                            <w:p w:rsidR="00F821E3" w:rsidRDefault="00F821E3" w:rsidP="006E6124">
                              <w:pPr>
                                <w:jc w:val="center"/>
                              </w:pPr>
                              <w:r>
                                <w:t>- технологічні фактори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Прямоугольник 124"/>
                        <wps:cNvSpPr/>
                        <wps:spPr>
                          <a:xfrm>
                            <a:off x="190500" y="4061460"/>
                            <a:ext cx="2606040" cy="365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411B3F" w:rsidRDefault="00F821E3" w:rsidP="00411B3F">
                              <w:pPr>
                                <w:jc w:val="center"/>
                                <w:rPr>
                                  <w:rFonts w:ascii="Times New Roman" w:hAnsi="Times New Roman"/>
                                  <w:color w:val="000000" w:themeColor="text1"/>
                                </w:rPr>
                              </w:pPr>
                              <w:r w:rsidRPr="00411B3F">
                                <w:rPr>
                                  <w:rFonts w:ascii="Times New Roman" w:hAnsi="Times New Roman"/>
                                  <w:color w:val="000000" w:themeColor="text1"/>
                                </w:rPr>
                                <w:t>Фактори прямого впливу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Прямая соединительная линия 125"/>
                        <wps:cNvCnPr/>
                        <wps:spPr>
                          <a:xfrm>
                            <a:off x="2796540" y="838200"/>
                            <a:ext cx="175260" cy="0"/>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Прямая соединительная линия 126"/>
                        <wps:cNvCnPr/>
                        <wps:spPr>
                          <a:xfrm>
                            <a:off x="2971800" y="838200"/>
                            <a:ext cx="0" cy="3383280"/>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Прямая соединительная линия 127"/>
                        <wps:cNvCnPr/>
                        <wps:spPr>
                          <a:xfrm flipH="1">
                            <a:off x="2796540" y="4221480"/>
                            <a:ext cx="175260" cy="0"/>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Прямоугольник 128"/>
                        <wps:cNvSpPr/>
                        <wps:spPr>
                          <a:xfrm>
                            <a:off x="190500" y="4488180"/>
                            <a:ext cx="2606040" cy="17830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411B3F" w:rsidRDefault="00F821E3" w:rsidP="00411B3F">
                              <w:pPr>
                                <w:spacing w:after="0" w:line="240" w:lineRule="auto"/>
                                <w:jc w:val="center"/>
                                <w:rPr>
                                  <w:rFonts w:ascii="Times New Roman" w:hAnsi="Times New Roman"/>
                                  <w:color w:val="000000" w:themeColor="text1"/>
                                  <w:u w:val="single"/>
                                </w:rPr>
                              </w:pPr>
                              <w:proofErr w:type="spellStart"/>
                              <w:r w:rsidRPr="00411B3F">
                                <w:rPr>
                                  <w:rFonts w:ascii="Times New Roman" w:hAnsi="Times New Roman"/>
                                  <w:color w:val="000000" w:themeColor="text1"/>
                                  <w:u w:val="single"/>
                                </w:rPr>
                                <w:t>Мезо</w:t>
                              </w:r>
                              <w:proofErr w:type="spellEnd"/>
                              <w:r w:rsidRPr="00411B3F">
                                <w:rPr>
                                  <w:rFonts w:ascii="Times New Roman" w:hAnsi="Times New Roman"/>
                                  <w:color w:val="000000" w:themeColor="text1"/>
                                  <w:u w:val="single"/>
                                </w:rPr>
                                <w:t xml:space="preserve"> фактори</w:t>
                              </w:r>
                            </w:p>
                            <w:p w:rsidR="00F821E3" w:rsidRPr="00411B3F" w:rsidRDefault="00F821E3" w:rsidP="00411B3F">
                              <w:pPr>
                                <w:spacing w:after="0" w:line="240" w:lineRule="auto"/>
                                <w:jc w:val="center"/>
                                <w:rPr>
                                  <w:rFonts w:ascii="Times New Roman" w:hAnsi="Times New Roman"/>
                                  <w:color w:val="000000" w:themeColor="text1"/>
                                  <w:u w:val="single"/>
                                </w:rPr>
                              </w:pPr>
                              <w:r w:rsidRPr="00411B3F">
                                <w:rPr>
                                  <w:rFonts w:ascii="Times New Roman" w:hAnsi="Times New Roman"/>
                                  <w:color w:val="000000" w:themeColor="text1"/>
                                  <w:u w:val="single"/>
                                </w:rPr>
                                <w:t>(на рівні банківської системи)</w:t>
                              </w:r>
                            </w:p>
                            <w:p w:rsidR="00F821E3" w:rsidRPr="00411B3F" w:rsidRDefault="00F821E3" w:rsidP="00411B3F">
                              <w:pPr>
                                <w:spacing w:after="0" w:line="240" w:lineRule="auto"/>
                                <w:jc w:val="both"/>
                                <w:rPr>
                                  <w:rFonts w:ascii="Times New Roman" w:hAnsi="Times New Roman"/>
                                  <w:color w:val="000000" w:themeColor="text1"/>
                                </w:rPr>
                              </w:pPr>
                              <w:r w:rsidRPr="00411B3F">
                                <w:rPr>
                                  <w:rFonts w:ascii="Times New Roman" w:hAnsi="Times New Roman"/>
                                  <w:color w:val="000000" w:themeColor="text1"/>
                                </w:rPr>
                                <w:t>- рівень регул</w:t>
                              </w:r>
                              <w:r>
                                <w:rPr>
                                  <w:rFonts w:ascii="Times New Roman" w:hAnsi="Times New Roman"/>
                                  <w:color w:val="000000" w:themeColor="text1"/>
                                </w:rPr>
                                <w:t xml:space="preserve">ювання діяльності банків з боку </w:t>
                              </w:r>
                              <w:r w:rsidRPr="00411B3F">
                                <w:rPr>
                                  <w:rFonts w:ascii="Times New Roman" w:hAnsi="Times New Roman"/>
                                  <w:color w:val="000000" w:themeColor="text1"/>
                                </w:rPr>
                                <w:t>держави;</w:t>
                              </w:r>
                            </w:p>
                            <w:p w:rsidR="00F821E3" w:rsidRPr="00411B3F" w:rsidRDefault="00F821E3" w:rsidP="00411B3F">
                              <w:pPr>
                                <w:spacing w:after="0" w:line="240" w:lineRule="auto"/>
                                <w:jc w:val="both"/>
                                <w:rPr>
                                  <w:rFonts w:ascii="Times New Roman" w:hAnsi="Times New Roman"/>
                                  <w:color w:val="000000" w:themeColor="text1"/>
                                </w:rPr>
                              </w:pPr>
                              <w:r w:rsidRPr="00411B3F">
                                <w:rPr>
                                  <w:rFonts w:ascii="Times New Roman" w:hAnsi="Times New Roman"/>
                                  <w:color w:val="000000" w:themeColor="text1"/>
                                </w:rPr>
                                <w:t xml:space="preserve">- грошово-кредитна політика </w:t>
                              </w:r>
                              <w:r>
                                <w:rPr>
                                  <w:rFonts w:ascii="Times New Roman" w:hAnsi="Times New Roman"/>
                                  <w:color w:val="000000" w:themeColor="text1"/>
                                </w:rPr>
                                <w:t xml:space="preserve">центрального </w:t>
                              </w:r>
                              <w:r w:rsidRPr="00411B3F">
                                <w:rPr>
                                  <w:rFonts w:ascii="Times New Roman" w:hAnsi="Times New Roman"/>
                                  <w:color w:val="000000" w:themeColor="text1"/>
                                </w:rPr>
                                <w:t>банку;</w:t>
                              </w:r>
                            </w:p>
                            <w:p w:rsidR="00F821E3" w:rsidRPr="00411B3F" w:rsidRDefault="00F821E3" w:rsidP="00411B3F">
                              <w:pPr>
                                <w:spacing w:after="0" w:line="240" w:lineRule="auto"/>
                                <w:jc w:val="both"/>
                                <w:rPr>
                                  <w:rFonts w:ascii="Times New Roman" w:hAnsi="Times New Roman"/>
                                  <w:color w:val="000000" w:themeColor="text1"/>
                                </w:rPr>
                              </w:pPr>
                              <w:r w:rsidRPr="00411B3F">
                                <w:rPr>
                                  <w:rFonts w:ascii="Times New Roman" w:hAnsi="Times New Roman"/>
                                  <w:color w:val="000000" w:themeColor="text1"/>
                                </w:rPr>
                                <w:t>- розвиток міжбанківського ринку;</w:t>
                              </w:r>
                            </w:p>
                            <w:p w:rsidR="00F821E3" w:rsidRPr="00411B3F" w:rsidRDefault="00F821E3" w:rsidP="00411B3F">
                              <w:pPr>
                                <w:spacing w:after="0" w:line="240" w:lineRule="auto"/>
                                <w:jc w:val="both"/>
                                <w:rPr>
                                  <w:rFonts w:ascii="Times New Roman" w:hAnsi="Times New Roman"/>
                                  <w:color w:val="000000" w:themeColor="text1"/>
                                </w:rPr>
                              </w:pPr>
                              <w:r w:rsidRPr="00411B3F">
                                <w:rPr>
                                  <w:rFonts w:ascii="Times New Roman" w:hAnsi="Times New Roman"/>
                                  <w:color w:val="000000" w:themeColor="text1"/>
                                </w:rPr>
                                <w:t>- рівень банківської конкуренції;</w:t>
                              </w:r>
                            </w:p>
                            <w:p w:rsidR="00F821E3" w:rsidRPr="00411B3F" w:rsidRDefault="00F821E3" w:rsidP="00411B3F">
                              <w:pPr>
                                <w:jc w:val="both"/>
                                <w:rPr>
                                  <w:rFonts w:ascii="Times New Roman" w:hAnsi="Times New Roman"/>
                                  <w:color w:val="000000" w:themeColor="text1"/>
                                </w:rPr>
                              </w:pPr>
                              <w:r>
                                <w:rPr>
                                  <w:rFonts w:ascii="Times New Roman" w:hAnsi="Times New Roman"/>
                                  <w:color w:val="000000" w:themeColor="text1"/>
                                </w:rPr>
                                <w:t>-</w:t>
                              </w:r>
                              <w:r w:rsidRPr="00411B3F">
                                <w:rPr>
                                  <w:rFonts w:ascii="Times New Roman" w:hAnsi="Times New Roman"/>
                                  <w:color w:val="000000" w:themeColor="text1"/>
                                </w:rPr>
                                <w:t xml:space="preserve"> структура і стабільність банківської системи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Прямоугольник 129"/>
                        <wps:cNvSpPr/>
                        <wps:spPr>
                          <a:xfrm>
                            <a:off x="3238500" y="1043940"/>
                            <a:ext cx="2552700" cy="52273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C77B11" w:rsidRDefault="00F821E3" w:rsidP="00C77B11">
                              <w:pPr>
                                <w:spacing w:after="0" w:line="240" w:lineRule="auto"/>
                                <w:jc w:val="center"/>
                                <w:rPr>
                                  <w:rFonts w:ascii="Times New Roman" w:hAnsi="Times New Roman"/>
                                  <w:color w:val="000000" w:themeColor="text1"/>
                                  <w:u w:val="single"/>
                                </w:rPr>
                              </w:pPr>
                              <w:r w:rsidRPr="00C77B11">
                                <w:rPr>
                                  <w:rFonts w:ascii="Times New Roman" w:hAnsi="Times New Roman"/>
                                  <w:color w:val="000000" w:themeColor="text1"/>
                                  <w:u w:val="single"/>
                                </w:rPr>
                                <w:t>Мікро фактори (на рівні банку)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фінансовий стан і розмір банку;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ділова репутація банку;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структура і динаміка клієнтської бази;</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структура і динаміка активів і пасивів банку;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якість активів (кредитного портфеля і</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портфеля цінних паперів) і пасивів</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(депозитного портфеля);</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стан позабалансових вимог та зобов’язань;</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відповідніст</w:t>
                              </w:r>
                              <w:r>
                                <w:rPr>
                                  <w:rFonts w:ascii="Times New Roman" w:hAnsi="Times New Roman"/>
                                  <w:color w:val="000000" w:themeColor="text1"/>
                                </w:rPr>
                                <w:t xml:space="preserve">ь активів і пасивів за сумами і </w:t>
                              </w:r>
                              <w:r w:rsidRPr="00C77B11">
                                <w:rPr>
                                  <w:rFonts w:ascii="Times New Roman" w:hAnsi="Times New Roman"/>
                                  <w:color w:val="000000" w:themeColor="text1"/>
                                </w:rPr>
                                <w:t>строками;</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спеціалізація банку;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xml:space="preserve">- помірна </w:t>
                              </w:r>
                              <w:r>
                                <w:rPr>
                                  <w:rFonts w:ascii="Times New Roman" w:hAnsi="Times New Roman"/>
                                  <w:color w:val="000000" w:themeColor="text1"/>
                                </w:rPr>
                                <w:t xml:space="preserve">залежність від зовнішніх джерел </w:t>
                              </w:r>
                              <w:r w:rsidRPr="00C77B11">
                                <w:rPr>
                                  <w:rFonts w:ascii="Times New Roman" w:hAnsi="Times New Roman"/>
                                  <w:color w:val="000000" w:themeColor="text1"/>
                                </w:rPr>
                                <w:t>запозичення;</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можливіст</w:t>
                              </w:r>
                              <w:r>
                                <w:rPr>
                                  <w:rFonts w:ascii="Times New Roman" w:hAnsi="Times New Roman"/>
                                  <w:color w:val="000000" w:themeColor="text1"/>
                                </w:rPr>
                                <w:t xml:space="preserve">ь залучення коштів із </w:t>
                              </w:r>
                              <w:r w:rsidRPr="00C77B11">
                                <w:rPr>
                                  <w:rFonts w:ascii="Times New Roman" w:hAnsi="Times New Roman"/>
                                  <w:color w:val="000000" w:themeColor="text1"/>
                                </w:rPr>
                                <w:t>зовнішніх джерел та достатність власних коштів;</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розмір і достатність капіталу;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вибір стратегії управління ліквідністю;</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диверсифікація банківських послуг;</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рівень ризикованості діяльності;</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кваліфікація і досвід управлінського</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персоналу банку;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рівень організації банківського менеджменту і маркетингу;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організаційна побудова та розподіл</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повноважень структурних підрозділів банку, що приймають участь в процесі управління ліквідністю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11" o:spid="_x0000_s1083" editas="canvas" style="width:478.8pt;height:497.4pt;mso-position-horizontal-relative:char;mso-position-vertical-relative:line" coordsize="60807,6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">
                <v:shape id="_x0000_s1084" type="#_x0000_t75" style="position:absolute;width:60807;height:63169;visibility:visible;mso-wrap-style:square">
                  <v:fill o:detectmouseclick="t"/>
                  <v:path o:connecttype="none"/>
                </v:shape>
                <v:rect id="Прямоугольник 112" o:spid="_x0000_s1085" style="position:absolute;left:15468;top:1905;width:30099;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" fillcolor="white [3212]" strokecolor="black [3213]" strokeweight="1pt">
                  <v:textbox>
                    <w:txbxContent>
                      <w:p w:rsidR="00F821E3" w:rsidRPr="007A55B5" w:rsidRDefault="00F821E3" w:rsidP="007A55B5">
                        <w:pPr>
                          <w:jc w:val="center"/>
                          <w:rPr>
                            <w:rFonts w:ascii="Times New Roman" w:hAnsi="Times New Roman"/>
                            <w:color w:val="000000" w:themeColor="text1"/>
                            <w:sz w:val="24"/>
                            <w:szCs w:val="24"/>
                          </w:rPr>
                        </w:pPr>
                        <w:r w:rsidRPr="007A55B5">
                          <w:rPr>
                            <w:rFonts w:ascii="Times New Roman" w:hAnsi="Times New Roman"/>
                            <w:color w:val="000000" w:themeColor="text1"/>
                            <w:sz w:val="24"/>
                            <w:szCs w:val="24"/>
                          </w:rPr>
                          <w:t>Фактори впливу на ліквідність банку</w:t>
                        </w:r>
                      </w:p>
                    </w:txbxContent>
                  </v:textbox>
                </v:rect>
                <v:shape id="Прямая со стрелкой 113" o:spid="_x0000_s1086" type="#_x0000_t32" style="position:absolute;left:15468;top:5257;width:15050;height:13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" strokecolor="black [3200]" strokeweight=".5pt">
                  <v:stroke endarrow="block" joinstyle="miter"/>
                </v:shape>
                <v:shape id="Прямая со стрелкой 114" o:spid="_x0000_s1087" type="#_x0000_t32" style="position:absolute;left:30518;top:5257;width:1543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" strokecolor="black [3200]" strokeweight=".5pt">
                  <v:stroke endarrow="block" joinstyle="miter"/>
                </v:shape>
                <v:rect id="Прямоугольник 115" o:spid="_x0000_s1088" style="position:absolute;left:1905;top:6858;width:26060;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" fillcolor="white [3212]" strokecolor="black [3213]" strokeweight="1pt">
                  <v:textbox>
                    <w:txbxContent>
                      <w:p w:rsidR="00F821E3" w:rsidRPr="007A55B5" w:rsidRDefault="00F821E3" w:rsidP="007A55B5">
                        <w:pPr>
                          <w:jc w:val="center"/>
                          <w:rPr>
                            <w:rFonts w:ascii="Times New Roman" w:hAnsi="Times New Roman"/>
                            <w:color w:val="000000" w:themeColor="text1"/>
                            <w:sz w:val="24"/>
                            <w:szCs w:val="24"/>
                          </w:rPr>
                        </w:pPr>
                        <w:r w:rsidRPr="007A55B5">
                          <w:rPr>
                            <w:rFonts w:ascii="Times New Roman" w:hAnsi="Times New Roman"/>
                            <w:color w:val="000000" w:themeColor="text1"/>
                            <w:sz w:val="24"/>
                            <w:szCs w:val="24"/>
                          </w:rPr>
                          <w:t>Зовнішні фактори</w:t>
                        </w:r>
                      </w:p>
                    </w:txbxContent>
                  </v:textbox>
                </v:rect>
                <v:rect id="Прямоугольник 116" o:spid="_x0000_s1089" style="position:absolute;left:32385;top:6858;width:25527;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" fillcolor="white [3212]" strokecolor="black [3213]" strokeweight="1pt">
                  <v:textbox>
                    <w:txbxContent>
                      <w:p w:rsidR="00F821E3" w:rsidRPr="007A55B5" w:rsidRDefault="00F821E3" w:rsidP="007A55B5">
                        <w:pPr>
                          <w:jc w:val="center"/>
                          <w:rPr>
                            <w:rFonts w:ascii="Times New Roman" w:hAnsi="Times New Roman"/>
                            <w:color w:val="000000" w:themeColor="text1"/>
                            <w:sz w:val="24"/>
                            <w:szCs w:val="24"/>
                          </w:rPr>
                        </w:pPr>
                        <w:r w:rsidRPr="007A55B5">
                          <w:rPr>
                            <w:rFonts w:ascii="Times New Roman" w:hAnsi="Times New Roman"/>
                            <w:color w:val="000000" w:themeColor="text1"/>
                            <w:sz w:val="24"/>
                            <w:szCs w:val="24"/>
                          </w:rPr>
                          <w:t>Внутрішні фактори</w:t>
                        </w:r>
                      </w:p>
                    </w:txbxContent>
                  </v:textbox>
                </v:rect>
                <v:rect id="Прямоугольник 118" o:spid="_x0000_s1090" style="position:absolute;left:1905;top:10972;width:2606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" fillcolor="white [3212]" strokecolor="black [3213]" strokeweight="1pt">
                  <v:textbox>
                    <w:txbxContent>
                      <w:p w:rsidR="00F821E3" w:rsidRDefault="00F821E3" w:rsidP="007A55B5">
                        <w:pPr>
                          <w:jc w:val="center"/>
                        </w:pPr>
                        <w:r w:rsidRPr="007A55B5">
                          <w:rPr>
                            <w:rFonts w:ascii="Times New Roman" w:hAnsi="Times New Roman"/>
                            <w:color w:val="000000" w:themeColor="text1"/>
                          </w:rPr>
                          <w:t>Фактори непрямого в</w:t>
                        </w:r>
                        <w:r>
                          <w:rPr>
                            <w:rFonts w:ascii="Times New Roman" w:hAnsi="Times New Roman"/>
                            <w:color w:val="000000" w:themeColor="text1"/>
                          </w:rPr>
                          <w:t>пливу</w:t>
                        </w:r>
                      </w:p>
                    </w:txbxContent>
                  </v:textbox>
                </v:rect>
                <v:line id="Прямая соединительная линия 119" o:spid="_x0000_s1091" style="position:absolute;flip:x;visibility:visible;mso-wrap-style:square" from="838,8382" to="1905,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" strokecolor="black [3200]" strokeweight=".5pt">
                  <v:stroke joinstyle="miter"/>
                </v:line>
                <v:line id="Прямая соединительная линия 120" o:spid="_x0000_s1092" style="position:absolute;visibility:visible;mso-wrap-style:square" from="838,8382" to="838,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SI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eDLMzKBXv0BAAD//wMAUEsBAi0AFAAGAAgAAAAhANvh9svuAAAAhQEAABMAAAAAAAAA&#10;AAAAAAAAAAAAAFtDb250ZW50X1R5cGVzXS54bWxQSwECLQAUAAYACAAAACEAWvQsW78AAAAVAQAA&#10;CwAAAAAAAAAAAAAAAAAfAQAAX3JlbHMvLnJlbHNQSwECLQAUAAYACAAAACEAy3JkiMYAAADcAAAA&#10;DwAAAAAAAAAAAAAAAAAHAgAAZHJzL2Rvd25yZXYueG1sUEsFBgAAAAADAAMAtwAAAPoCAAAAAA==&#10;" strokecolor="black [3200]" strokeweight=".5pt">
                  <v:stroke joinstyle="miter"/>
                </v:line>
                <v:line id="Прямая соединительная линия 121" o:spid="_x0000_s1093" style="position:absolute;flip:y;visibility:visible;mso-wrap-style:square" from="838,12496" to="190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" strokecolor="black [3200]" strokeweight=".5pt">
                  <v:stroke joinstyle="miter"/>
                </v:line>
                <v:rect id="Прямоугольник 122" o:spid="_x0000_s1094" style="position:absolute;left:1905;top:14401;width:26060;height:15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" fillcolor="white [3212]" strokecolor="black [3213]" strokeweight="1pt">
                  <v:textbox>
                    <w:txbxContent>
                      <w:p w:rsidR="00F821E3" w:rsidRPr="006E6124" w:rsidRDefault="00F821E3" w:rsidP="006E6124">
                        <w:pPr>
                          <w:spacing w:after="0" w:line="240" w:lineRule="auto"/>
                          <w:jc w:val="center"/>
                          <w:rPr>
                            <w:rFonts w:ascii="Times New Roman" w:hAnsi="Times New Roman"/>
                            <w:color w:val="000000" w:themeColor="text1"/>
                            <w:u w:val="single"/>
                          </w:rPr>
                        </w:pPr>
                        <w:r w:rsidRPr="006E6124">
                          <w:rPr>
                            <w:rFonts w:ascii="Times New Roman" w:hAnsi="Times New Roman"/>
                            <w:color w:val="000000" w:themeColor="text1"/>
                            <w:u w:val="single"/>
                          </w:rPr>
                          <w:t>Мега фактори</w:t>
                        </w:r>
                      </w:p>
                      <w:p w:rsidR="00F821E3" w:rsidRPr="006E6124" w:rsidRDefault="00F821E3" w:rsidP="006E6124">
                        <w:pPr>
                          <w:spacing w:after="0" w:line="240" w:lineRule="auto"/>
                          <w:jc w:val="center"/>
                          <w:rPr>
                            <w:rFonts w:ascii="Times New Roman" w:hAnsi="Times New Roman"/>
                            <w:color w:val="000000" w:themeColor="text1"/>
                            <w:u w:val="single"/>
                          </w:rPr>
                        </w:pPr>
                        <w:r w:rsidRPr="006E6124">
                          <w:rPr>
                            <w:rFonts w:ascii="Times New Roman" w:hAnsi="Times New Roman"/>
                            <w:color w:val="000000" w:themeColor="text1"/>
                            <w:u w:val="single"/>
                          </w:rPr>
                          <w:t>(на рівні світової економіки чи іноземних держав)</w:t>
                        </w:r>
                      </w:p>
                      <w:p w:rsidR="00F821E3" w:rsidRPr="006E6124" w:rsidRDefault="00F821E3" w:rsidP="006E6124">
                        <w:pPr>
                          <w:spacing w:after="0" w:line="240" w:lineRule="auto"/>
                          <w:jc w:val="both"/>
                          <w:rPr>
                            <w:rFonts w:ascii="Times New Roman" w:hAnsi="Times New Roman"/>
                            <w:color w:val="000000" w:themeColor="text1"/>
                          </w:rPr>
                        </w:pPr>
                        <w:r w:rsidRPr="006E6124">
                          <w:rPr>
                            <w:rFonts w:ascii="Times New Roman" w:hAnsi="Times New Roman"/>
                            <w:color w:val="000000" w:themeColor="text1"/>
                          </w:rPr>
                          <w:t>- світові кризи;</w:t>
                        </w:r>
                      </w:p>
                      <w:p w:rsidR="00F821E3" w:rsidRPr="006E6124" w:rsidRDefault="00F821E3" w:rsidP="006E6124">
                        <w:pPr>
                          <w:spacing w:after="0" w:line="240" w:lineRule="auto"/>
                          <w:jc w:val="both"/>
                          <w:rPr>
                            <w:rFonts w:ascii="Times New Roman" w:hAnsi="Times New Roman"/>
                            <w:color w:val="000000" w:themeColor="text1"/>
                          </w:rPr>
                        </w:pPr>
                        <w:r w:rsidRPr="006E6124">
                          <w:rPr>
                            <w:rFonts w:ascii="Times New Roman" w:hAnsi="Times New Roman"/>
                            <w:color w:val="000000" w:themeColor="text1"/>
                          </w:rPr>
                          <w:t>- стан світової економіки;</w:t>
                        </w:r>
                      </w:p>
                      <w:p w:rsidR="00F821E3" w:rsidRPr="006E6124" w:rsidRDefault="00F821E3" w:rsidP="006E6124">
                        <w:pPr>
                          <w:spacing w:after="0" w:line="240" w:lineRule="auto"/>
                          <w:jc w:val="both"/>
                          <w:rPr>
                            <w:rFonts w:ascii="Times New Roman" w:hAnsi="Times New Roman"/>
                            <w:color w:val="000000" w:themeColor="text1"/>
                          </w:rPr>
                        </w:pPr>
                        <w:r w:rsidRPr="006E6124">
                          <w:rPr>
                            <w:rFonts w:ascii="Times New Roman" w:hAnsi="Times New Roman"/>
                            <w:color w:val="000000" w:themeColor="text1"/>
                          </w:rPr>
                          <w:t>- стан економіки держави, де розташ</w:t>
                        </w:r>
                        <w:r>
                          <w:rPr>
                            <w:rFonts w:ascii="Times New Roman" w:hAnsi="Times New Roman"/>
                            <w:color w:val="000000" w:themeColor="text1"/>
                          </w:rPr>
                          <w:t xml:space="preserve">овані </w:t>
                        </w:r>
                        <w:r w:rsidRPr="006E6124">
                          <w:rPr>
                            <w:rFonts w:ascii="Times New Roman" w:hAnsi="Times New Roman"/>
                            <w:color w:val="000000" w:themeColor="text1"/>
                          </w:rPr>
                          <w:t>материнські чи дочірні структури;</w:t>
                        </w:r>
                      </w:p>
                      <w:p w:rsidR="00F821E3" w:rsidRPr="006E6124" w:rsidRDefault="00F821E3" w:rsidP="006E6124">
                        <w:pPr>
                          <w:jc w:val="both"/>
                          <w:rPr>
                            <w:rFonts w:ascii="Times New Roman" w:hAnsi="Times New Roman"/>
                            <w:color w:val="000000" w:themeColor="text1"/>
                          </w:rPr>
                        </w:pPr>
                        <w:r w:rsidRPr="006E6124">
                          <w:rPr>
                            <w:rFonts w:ascii="Times New Roman" w:hAnsi="Times New Roman"/>
                            <w:color w:val="000000" w:themeColor="text1"/>
                          </w:rPr>
                          <w:t>- стан світових фінансових ринків</w:t>
                        </w:r>
                        <w:r>
                          <w:rPr>
                            <w:rFonts w:ascii="Times New Roman" w:hAnsi="Times New Roman"/>
                            <w:color w:val="000000" w:themeColor="text1"/>
                          </w:rPr>
                          <w:t>.</w:t>
                        </w:r>
                      </w:p>
                    </w:txbxContent>
                  </v:textbox>
                </v:rect>
                <v:rect id="Прямоугольник 123" o:spid="_x0000_s1095" style="position:absolute;left:1905;top:30632;width:26060;height:9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" fillcolor="white [3212]" strokecolor="black [3213]" strokeweight="1pt">
                  <v:textbox>
                    <w:txbxContent>
                      <w:p w:rsidR="00F821E3" w:rsidRPr="006E6124" w:rsidRDefault="00F821E3" w:rsidP="006E6124">
                        <w:pPr>
                          <w:spacing w:after="0" w:line="240" w:lineRule="auto"/>
                          <w:jc w:val="center"/>
                          <w:rPr>
                            <w:rFonts w:ascii="Times New Roman" w:hAnsi="Times New Roman"/>
                            <w:color w:val="000000" w:themeColor="text1"/>
                            <w:u w:val="single"/>
                          </w:rPr>
                        </w:pPr>
                        <w:proofErr w:type="spellStart"/>
                        <w:r w:rsidRPr="006E6124">
                          <w:rPr>
                            <w:rFonts w:ascii="Times New Roman" w:hAnsi="Times New Roman"/>
                            <w:color w:val="000000" w:themeColor="text1"/>
                            <w:u w:val="single"/>
                          </w:rPr>
                          <w:t>Макро</w:t>
                        </w:r>
                        <w:proofErr w:type="spellEnd"/>
                        <w:r w:rsidRPr="006E6124">
                          <w:rPr>
                            <w:rFonts w:ascii="Times New Roman" w:hAnsi="Times New Roman"/>
                            <w:color w:val="000000" w:themeColor="text1"/>
                            <w:u w:val="single"/>
                          </w:rPr>
                          <w:t xml:space="preserve"> фактори</w:t>
                        </w:r>
                      </w:p>
                      <w:p w:rsidR="00F821E3" w:rsidRPr="006E6124" w:rsidRDefault="00F821E3" w:rsidP="006E6124">
                        <w:pPr>
                          <w:spacing w:after="0" w:line="240" w:lineRule="auto"/>
                          <w:jc w:val="center"/>
                          <w:rPr>
                            <w:rFonts w:ascii="Times New Roman" w:hAnsi="Times New Roman"/>
                            <w:color w:val="000000" w:themeColor="text1"/>
                            <w:u w:val="single"/>
                          </w:rPr>
                        </w:pPr>
                        <w:r w:rsidRPr="006E6124">
                          <w:rPr>
                            <w:rFonts w:ascii="Times New Roman" w:hAnsi="Times New Roman"/>
                            <w:color w:val="000000" w:themeColor="text1"/>
                            <w:u w:val="single"/>
                          </w:rPr>
                          <w:t>(на рівні національної економіки)</w:t>
                        </w:r>
                      </w:p>
                      <w:p w:rsidR="00F821E3" w:rsidRPr="006E6124" w:rsidRDefault="00F821E3" w:rsidP="006E6124">
                        <w:pPr>
                          <w:spacing w:after="0" w:line="240" w:lineRule="auto"/>
                          <w:jc w:val="both"/>
                          <w:rPr>
                            <w:rFonts w:ascii="Times New Roman" w:hAnsi="Times New Roman"/>
                            <w:color w:val="000000" w:themeColor="text1"/>
                          </w:rPr>
                        </w:pPr>
                        <w:r w:rsidRPr="006E6124">
                          <w:rPr>
                            <w:rFonts w:ascii="Times New Roman" w:hAnsi="Times New Roman"/>
                            <w:color w:val="000000" w:themeColor="text1"/>
                          </w:rPr>
                          <w:t>- економічні фактори;</w:t>
                        </w:r>
                      </w:p>
                      <w:p w:rsidR="00F821E3" w:rsidRPr="006E6124" w:rsidRDefault="00F821E3" w:rsidP="006E6124">
                        <w:pPr>
                          <w:spacing w:after="0" w:line="240" w:lineRule="auto"/>
                          <w:jc w:val="both"/>
                          <w:rPr>
                            <w:rFonts w:ascii="Times New Roman" w:hAnsi="Times New Roman"/>
                            <w:color w:val="000000" w:themeColor="text1"/>
                          </w:rPr>
                        </w:pPr>
                        <w:r w:rsidRPr="006E6124">
                          <w:rPr>
                            <w:rFonts w:ascii="Times New Roman" w:hAnsi="Times New Roman"/>
                            <w:color w:val="000000" w:themeColor="text1"/>
                          </w:rPr>
                          <w:t>- політичні фактори;</w:t>
                        </w:r>
                      </w:p>
                      <w:p w:rsidR="00F821E3" w:rsidRPr="006E6124" w:rsidRDefault="00F821E3" w:rsidP="006E6124">
                        <w:pPr>
                          <w:spacing w:after="0" w:line="240" w:lineRule="auto"/>
                          <w:jc w:val="both"/>
                          <w:rPr>
                            <w:rFonts w:ascii="Times New Roman" w:hAnsi="Times New Roman"/>
                            <w:color w:val="000000" w:themeColor="text1"/>
                          </w:rPr>
                        </w:pPr>
                        <w:r>
                          <w:rPr>
                            <w:rFonts w:ascii="Times New Roman" w:hAnsi="Times New Roman"/>
                            <w:color w:val="000000" w:themeColor="text1"/>
                          </w:rPr>
                          <w:t>- соціальні фактори тощо.</w:t>
                        </w:r>
                      </w:p>
                      <w:p w:rsidR="00F821E3" w:rsidRDefault="00F821E3" w:rsidP="006E6124">
                        <w:pPr>
                          <w:jc w:val="center"/>
                        </w:pPr>
                        <w:r>
                          <w:t>- технологічні фактори</w:t>
                        </w:r>
                      </w:p>
                    </w:txbxContent>
                  </v:textbox>
                </v:rect>
                <v:rect id="Прямоугольник 124" o:spid="_x0000_s1096" style="position:absolute;left:1905;top:40614;width:2606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" fillcolor="white [3212]" strokecolor="black [3213]" strokeweight="1pt">
                  <v:textbox>
                    <w:txbxContent>
                      <w:p w:rsidR="00F821E3" w:rsidRPr="00411B3F" w:rsidRDefault="00F821E3" w:rsidP="00411B3F">
                        <w:pPr>
                          <w:jc w:val="center"/>
                          <w:rPr>
                            <w:rFonts w:ascii="Times New Roman" w:hAnsi="Times New Roman"/>
                            <w:color w:val="000000" w:themeColor="text1"/>
                          </w:rPr>
                        </w:pPr>
                        <w:r w:rsidRPr="00411B3F">
                          <w:rPr>
                            <w:rFonts w:ascii="Times New Roman" w:hAnsi="Times New Roman"/>
                            <w:color w:val="000000" w:themeColor="text1"/>
                          </w:rPr>
                          <w:t>Фактори прямого впливу</w:t>
                        </w:r>
                      </w:p>
                    </w:txbxContent>
                  </v:textbox>
                </v:rect>
                <v:line id="Прямая соединительная линия 125" o:spid="_x0000_s1097" style="position:absolute;visibility:visible;mso-wrap-style:square" from="27965,8382" to="29718,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" strokecolor="black [3200]" strokeweight=".5pt">
                  <v:stroke joinstyle="miter"/>
                </v:line>
                <v:line id="Прямая соединительная линия 126" o:spid="_x0000_s1098" style="position:absolute;visibility:visible;mso-wrap-style:square" from="29718,8382" to="29718,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" strokecolor="black [3200]" strokeweight=".5pt">
                  <v:stroke joinstyle="miter"/>
                </v:line>
                <v:line id="Прямая соединительная линия 127" o:spid="_x0000_s1099" style="position:absolute;flip:x;visibility:visible;mso-wrap-style:square" from="27965,42214" to="29718,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" strokecolor="black [3200]" strokeweight=".5pt">
                  <v:stroke joinstyle="miter"/>
                </v:line>
                <v:rect id="Прямоугольник 128" o:spid="_x0000_s1100" style="position:absolute;left:1905;top:44881;width:26060;height:1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" fillcolor="white [3212]" strokecolor="black [3213]" strokeweight="1pt">
                  <v:textbox>
                    <w:txbxContent>
                      <w:p w:rsidR="00F821E3" w:rsidRPr="00411B3F" w:rsidRDefault="00F821E3" w:rsidP="00411B3F">
                        <w:pPr>
                          <w:spacing w:after="0" w:line="240" w:lineRule="auto"/>
                          <w:jc w:val="center"/>
                          <w:rPr>
                            <w:rFonts w:ascii="Times New Roman" w:hAnsi="Times New Roman"/>
                            <w:color w:val="000000" w:themeColor="text1"/>
                            <w:u w:val="single"/>
                          </w:rPr>
                        </w:pPr>
                        <w:proofErr w:type="spellStart"/>
                        <w:r w:rsidRPr="00411B3F">
                          <w:rPr>
                            <w:rFonts w:ascii="Times New Roman" w:hAnsi="Times New Roman"/>
                            <w:color w:val="000000" w:themeColor="text1"/>
                            <w:u w:val="single"/>
                          </w:rPr>
                          <w:t>Мезо</w:t>
                        </w:r>
                        <w:proofErr w:type="spellEnd"/>
                        <w:r w:rsidRPr="00411B3F">
                          <w:rPr>
                            <w:rFonts w:ascii="Times New Roman" w:hAnsi="Times New Roman"/>
                            <w:color w:val="000000" w:themeColor="text1"/>
                            <w:u w:val="single"/>
                          </w:rPr>
                          <w:t xml:space="preserve"> фактори</w:t>
                        </w:r>
                      </w:p>
                      <w:p w:rsidR="00F821E3" w:rsidRPr="00411B3F" w:rsidRDefault="00F821E3" w:rsidP="00411B3F">
                        <w:pPr>
                          <w:spacing w:after="0" w:line="240" w:lineRule="auto"/>
                          <w:jc w:val="center"/>
                          <w:rPr>
                            <w:rFonts w:ascii="Times New Roman" w:hAnsi="Times New Roman"/>
                            <w:color w:val="000000" w:themeColor="text1"/>
                            <w:u w:val="single"/>
                          </w:rPr>
                        </w:pPr>
                        <w:r w:rsidRPr="00411B3F">
                          <w:rPr>
                            <w:rFonts w:ascii="Times New Roman" w:hAnsi="Times New Roman"/>
                            <w:color w:val="000000" w:themeColor="text1"/>
                            <w:u w:val="single"/>
                          </w:rPr>
                          <w:t>(на рівні банківської системи)</w:t>
                        </w:r>
                      </w:p>
                      <w:p w:rsidR="00F821E3" w:rsidRPr="00411B3F" w:rsidRDefault="00F821E3" w:rsidP="00411B3F">
                        <w:pPr>
                          <w:spacing w:after="0" w:line="240" w:lineRule="auto"/>
                          <w:jc w:val="both"/>
                          <w:rPr>
                            <w:rFonts w:ascii="Times New Roman" w:hAnsi="Times New Roman"/>
                            <w:color w:val="000000" w:themeColor="text1"/>
                          </w:rPr>
                        </w:pPr>
                        <w:r w:rsidRPr="00411B3F">
                          <w:rPr>
                            <w:rFonts w:ascii="Times New Roman" w:hAnsi="Times New Roman"/>
                            <w:color w:val="000000" w:themeColor="text1"/>
                          </w:rPr>
                          <w:t>- рівень регул</w:t>
                        </w:r>
                        <w:r>
                          <w:rPr>
                            <w:rFonts w:ascii="Times New Roman" w:hAnsi="Times New Roman"/>
                            <w:color w:val="000000" w:themeColor="text1"/>
                          </w:rPr>
                          <w:t xml:space="preserve">ювання діяльності банків з боку </w:t>
                        </w:r>
                        <w:r w:rsidRPr="00411B3F">
                          <w:rPr>
                            <w:rFonts w:ascii="Times New Roman" w:hAnsi="Times New Roman"/>
                            <w:color w:val="000000" w:themeColor="text1"/>
                          </w:rPr>
                          <w:t>держави;</w:t>
                        </w:r>
                      </w:p>
                      <w:p w:rsidR="00F821E3" w:rsidRPr="00411B3F" w:rsidRDefault="00F821E3" w:rsidP="00411B3F">
                        <w:pPr>
                          <w:spacing w:after="0" w:line="240" w:lineRule="auto"/>
                          <w:jc w:val="both"/>
                          <w:rPr>
                            <w:rFonts w:ascii="Times New Roman" w:hAnsi="Times New Roman"/>
                            <w:color w:val="000000" w:themeColor="text1"/>
                          </w:rPr>
                        </w:pPr>
                        <w:r w:rsidRPr="00411B3F">
                          <w:rPr>
                            <w:rFonts w:ascii="Times New Roman" w:hAnsi="Times New Roman"/>
                            <w:color w:val="000000" w:themeColor="text1"/>
                          </w:rPr>
                          <w:t xml:space="preserve">- грошово-кредитна політика </w:t>
                        </w:r>
                        <w:r>
                          <w:rPr>
                            <w:rFonts w:ascii="Times New Roman" w:hAnsi="Times New Roman"/>
                            <w:color w:val="000000" w:themeColor="text1"/>
                          </w:rPr>
                          <w:t xml:space="preserve">центрального </w:t>
                        </w:r>
                        <w:r w:rsidRPr="00411B3F">
                          <w:rPr>
                            <w:rFonts w:ascii="Times New Roman" w:hAnsi="Times New Roman"/>
                            <w:color w:val="000000" w:themeColor="text1"/>
                          </w:rPr>
                          <w:t>банку;</w:t>
                        </w:r>
                      </w:p>
                      <w:p w:rsidR="00F821E3" w:rsidRPr="00411B3F" w:rsidRDefault="00F821E3" w:rsidP="00411B3F">
                        <w:pPr>
                          <w:spacing w:after="0" w:line="240" w:lineRule="auto"/>
                          <w:jc w:val="both"/>
                          <w:rPr>
                            <w:rFonts w:ascii="Times New Roman" w:hAnsi="Times New Roman"/>
                            <w:color w:val="000000" w:themeColor="text1"/>
                          </w:rPr>
                        </w:pPr>
                        <w:r w:rsidRPr="00411B3F">
                          <w:rPr>
                            <w:rFonts w:ascii="Times New Roman" w:hAnsi="Times New Roman"/>
                            <w:color w:val="000000" w:themeColor="text1"/>
                          </w:rPr>
                          <w:t>- розвиток міжбанківського ринку;</w:t>
                        </w:r>
                      </w:p>
                      <w:p w:rsidR="00F821E3" w:rsidRPr="00411B3F" w:rsidRDefault="00F821E3" w:rsidP="00411B3F">
                        <w:pPr>
                          <w:spacing w:after="0" w:line="240" w:lineRule="auto"/>
                          <w:jc w:val="both"/>
                          <w:rPr>
                            <w:rFonts w:ascii="Times New Roman" w:hAnsi="Times New Roman"/>
                            <w:color w:val="000000" w:themeColor="text1"/>
                          </w:rPr>
                        </w:pPr>
                        <w:r w:rsidRPr="00411B3F">
                          <w:rPr>
                            <w:rFonts w:ascii="Times New Roman" w:hAnsi="Times New Roman"/>
                            <w:color w:val="000000" w:themeColor="text1"/>
                          </w:rPr>
                          <w:t>- рівень банківської конкуренції;</w:t>
                        </w:r>
                      </w:p>
                      <w:p w:rsidR="00F821E3" w:rsidRPr="00411B3F" w:rsidRDefault="00F821E3" w:rsidP="00411B3F">
                        <w:pPr>
                          <w:jc w:val="both"/>
                          <w:rPr>
                            <w:rFonts w:ascii="Times New Roman" w:hAnsi="Times New Roman"/>
                            <w:color w:val="000000" w:themeColor="text1"/>
                          </w:rPr>
                        </w:pPr>
                        <w:r>
                          <w:rPr>
                            <w:rFonts w:ascii="Times New Roman" w:hAnsi="Times New Roman"/>
                            <w:color w:val="000000" w:themeColor="text1"/>
                          </w:rPr>
                          <w:t>-</w:t>
                        </w:r>
                        <w:r w:rsidRPr="00411B3F">
                          <w:rPr>
                            <w:rFonts w:ascii="Times New Roman" w:hAnsi="Times New Roman"/>
                            <w:color w:val="000000" w:themeColor="text1"/>
                          </w:rPr>
                          <w:t xml:space="preserve"> структура і стабільність банківської системи тощо.</w:t>
                        </w:r>
                      </w:p>
                    </w:txbxContent>
                  </v:textbox>
                </v:rect>
                <v:rect id="Прямоугольник 129" o:spid="_x0000_s1101" style="position:absolute;left:32385;top:10439;width:25527;height:5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" fillcolor="white [3212]" strokecolor="black [3213]" strokeweight="1pt">
                  <v:textbox>
                    <w:txbxContent>
                      <w:p w:rsidR="00F821E3" w:rsidRPr="00C77B11" w:rsidRDefault="00F821E3" w:rsidP="00C77B11">
                        <w:pPr>
                          <w:spacing w:after="0" w:line="240" w:lineRule="auto"/>
                          <w:jc w:val="center"/>
                          <w:rPr>
                            <w:rFonts w:ascii="Times New Roman" w:hAnsi="Times New Roman"/>
                            <w:color w:val="000000" w:themeColor="text1"/>
                            <w:u w:val="single"/>
                          </w:rPr>
                        </w:pPr>
                        <w:r w:rsidRPr="00C77B11">
                          <w:rPr>
                            <w:rFonts w:ascii="Times New Roman" w:hAnsi="Times New Roman"/>
                            <w:color w:val="000000" w:themeColor="text1"/>
                            <w:u w:val="single"/>
                          </w:rPr>
                          <w:t>Мікро фактори (на рівні банку)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фінансовий стан і розмір банку;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ділова репутація банку;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структура і динаміка клієнтської бази;</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структура і динаміка активів і пасивів банку;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якість активів (кредитного портфеля і</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портфеля цінних паперів) і пасивів</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(депозитного портфеля);</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стан позабалансових вимог та зобов’язань;</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відповідніст</w:t>
                        </w:r>
                        <w:r>
                          <w:rPr>
                            <w:rFonts w:ascii="Times New Roman" w:hAnsi="Times New Roman"/>
                            <w:color w:val="000000" w:themeColor="text1"/>
                          </w:rPr>
                          <w:t xml:space="preserve">ь активів і пасивів за сумами і </w:t>
                        </w:r>
                        <w:r w:rsidRPr="00C77B11">
                          <w:rPr>
                            <w:rFonts w:ascii="Times New Roman" w:hAnsi="Times New Roman"/>
                            <w:color w:val="000000" w:themeColor="text1"/>
                          </w:rPr>
                          <w:t>строками;</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спеціалізація банку;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xml:space="preserve">- помірна </w:t>
                        </w:r>
                        <w:r>
                          <w:rPr>
                            <w:rFonts w:ascii="Times New Roman" w:hAnsi="Times New Roman"/>
                            <w:color w:val="000000" w:themeColor="text1"/>
                          </w:rPr>
                          <w:t xml:space="preserve">залежність від зовнішніх джерел </w:t>
                        </w:r>
                        <w:r w:rsidRPr="00C77B11">
                          <w:rPr>
                            <w:rFonts w:ascii="Times New Roman" w:hAnsi="Times New Roman"/>
                            <w:color w:val="000000" w:themeColor="text1"/>
                          </w:rPr>
                          <w:t>запозичення;</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можливіст</w:t>
                        </w:r>
                        <w:r>
                          <w:rPr>
                            <w:rFonts w:ascii="Times New Roman" w:hAnsi="Times New Roman"/>
                            <w:color w:val="000000" w:themeColor="text1"/>
                          </w:rPr>
                          <w:t xml:space="preserve">ь залучення коштів із </w:t>
                        </w:r>
                        <w:r w:rsidRPr="00C77B11">
                          <w:rPr>
                            <w:rFonts w:ascii="Times New Roman" w:hAnsi="Times New Roman"/>
                            <w:color w:val="000000" w:themeColor="text1"/>
                          </w:rPr>
                          <w:t>зовнішніх джерел та достатність власних коштів;</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розмір і достатність капіталу;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вибір стратегії управління ліквідністю;</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диверсифікація банківських послуг;</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рівень ризикованості діяльності;</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кваліфікація і досвід управлінського</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персоналу банку;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рівень організації банківського менеджменту і маркетингу;</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 організаційна побудова та розподіл</w:t>
                        </w:r>
                      </w:p>
                      <w:p w:rsidR="00F821E3" w:rsidRPr="00C77B11" w:rsidRDefault="00F821E3" w:rsidP="00C77B11">
                        <w:pPr>
                          <w:spacing w:after="0" w:line="240" w:lineRule="auto"/>
                          <w:jc w:val="both"/>
                          <w:rPr>
                            <w:rFonts w:ascii="Times New Roman" w:hAnsi="Times New Roman"/>
                            <w:color w:val="000000" w:themeColor="text1"/>
                          </w:rPr>
                        </w:pPr>
                        <w:r w:rsidRPr="00C77B11">
                          <w:rPr>
                            <w:rFonts w:ascii="Times New Roman" w:hAnsi="Times New Roman"/>
                            <w:color w:val="000000" w:themeColor="text1"/>
                          </w:rPr>
                          <w:t>повноважень структурних підрозділів банку, що приймають участь в процесі управління ліквідністю тощо</w:t>
                        </w:r>
                      </w:p>
                    </w:txbxContent>
                  </v:textbox>
                </v:rect>
                <w10:anchorlock/>
              </v:group>
            </w:pict>
          </mc:Fallback>
        </mc:AlternateContent>
      </w:r>
    </w:p>
    <w:p w:rsidR="00D93046" w:rsidRPr="00C77B11" w:rsidRDefault="0014637F" w:rsidP="0014637F">
      <w:pPr>
        <w:pStyle w:val="a4"/>
        <w:spacing w:after="24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 1.5</w:t>
      </w:r>
      <w:r w:rsidR="00C77B11">
        <w:rPr>
          <w:rFonts w:ascii="Times New Roman" w:hAnsi="Times New Roman" w:cs="Times New Roman"/>
          <w:sz w:val="28"/>
          <w:szCs w:val="28"/>
        </w:rPr>
        <w:t xml:space="preserve">. </w:t>
      </w:r>
      <w:r w:rsidR="00C77B11" w:rsidRPr="00C77B11">
        <w:rPr>
          <w:rFonts w:ascii="Times New Roman" w:hAnsi="Times New Roman" w:cs="Times New Roman"/>
          <w:sz w:val="28"/>
          <w:szCs w:val="28"/>
        </w:rPr>
        <w:t>Класифікація факторів впливу на ліквідність банку</w:t>
      </w:r>
      <w:r w:rsidR="00141C5A">
        <w:rPr>
          <w:rFonts w:ascii="Times New Roman" w:hAnsi="Times New Roman" w:cs="Times New Roman"/>
          <w:sz w:val="28"/>
          <w:szCs w:val="28"/>
        </w:rPr>
        <w:t xml:space="preserve"> </w:t>
      </w:r>
      <w:r w:rsidR="00141C5A" w:rsidRPr="00141C5A">
        <w:rPr>
          <w:rFonts w:ascii="Times New Roman" w:hAnsi="Times New Roman" w:cs="Times New Roman"/>
          <w:sz w:val="28"/>
          <w:szCs w:val="28"/>
        </w:rPr>
        <w:t>[</w:t>
      </w:r>
      <w:r w:rsidR="00141C5A">
        <w:rPr>
          <w:rFonts w:ascii="Times New Roman" w:hAnsi="Times New Roman" w:cs="Times New Roman"/>
          <w:sz w:val="28"/>
          <w:szCs w:val="28"/>
        </w:rPr>
        <w:t>27]</w:t>
      </w:r>
    </w:p>
    <w:p w:rsidR="00F426D7" w:rsidRPr="007909C1" w:rsidRDefault="00F426D7" w:rsidP="0014637F">
      <w:pPr>
        <w:pStyle w:val="a4"/>
        <w:spacing w:before="240" w:after="0" w:line="360" w:lineRule="auto"/>
        <w:ind w:left="0" w:firstLine="709"/>
        <w:jc w:val="both"/>
        <w:rPr>
          <w:rFonts w:ascii="Times New Roman" w:hAnsi="Times New Roman" w:cs="Times New Roman"/>
          <w:sz w:val="28"/>
          <w:szCs w:val="28"/>
        </w:rPr>
      </w:pPr>
      <w:r w:rsidRPr="00594B33">
        <w:rPr>
          <w:rFonts w:ascii="Times New Roman" w:hAnsi="Times New Roman" w:cs="Times New Roman"/>
          <w:sz w:val="28"/>
          <w:szCs w:val="28"/>
        </w:rPr>
        <w:t>Ліквідність банківської установи знаходиться в обернено пропорційному</w:t>
      </w:r>
      <w:r>
        <w:rPr>
          <w:rFonts w:ascii="Times New Roman" w:hAnsi="Times New Roman" w:cs="Times New Roman"/>
          <w:sz w:val="28"/>
          <w:szCs w:val="28"/>
        </w:rPr>
        <w:t xml:space="preserve"> </w:t>
      </w:r>
      <w:r w:rsidRPr="007909C1">
        <w:rPr>
          <w:rFonts w:ascii="Times New Roman" w:hAnsi="Times New Roman" w:cs="Times New Roman"/>
          <w:sz w:val="28"/>
          <w:szCs w:val="28"/>
        </w:rPr>
        <w:t>зв’язку із його дохідністю. Чим більше активі</w:t>
      </w:r>
      <w:r>
        <w:rPr>
          <w:rFonts w:ascii="Times New Roman" w:hAnsi="Times New Roman" w:cs="Times New Roman"/>
          <w:sz w:val="28"/>
          <w:szCs w:val="28"/>
        </w:rPr>
        <w:t xml:space="preserve">в банк тримає в ліквідній формі </w:t>
      </w:r>
      <w:r w:rsidRPr="00594B33">
        <w:rPr>
          <w:rFonts w:ascii="Times New Roman" w:hAnsi="Times New Roman" w:cs="Times New Roman"/>
          <w:sz w:val="28"/>
          <w:szCs w:val="28"/>
        </w:rPr>
        <w:t>тим менша їх частина залишається для отримання доходів, і навпаки. Тобто</w:t>
      </w:r>
      <w:r>
        <w:rPr>
          <w:rFonts w:ascii="Times New Roman" w:hAnsi="Times New Roman" w:cs="Times New Roman"/>
          <w:sz w:val="28"/>
          <w:szCs w:val="28"/>
        </w:rPr>
        <w:t xml:space="preserve"> </w:t>
      </w:r>
      <w:r w:rsidRPr="007909C1">
        <w:rPr>
          <w:rFonts w:ascii="Times New Roman" w:hAnsi="Times New Roman" w:cs="Times New Roman"/>
          <w:sz w:val="28"/>
          <w:szCs w:val="28"/>
        </w:rPr>
        <w:t>керівництво будь-якого банку постійно вирішує дилему «ліквідність</w:t>
      </w:r>
      <w:r>
        <w:rPr>
          <w:rFonts w:ascii="Times New Roman" w:hAnsi="Times New Roman" w:cs="Times New Roman"/>
          <w:sz w:val="28"/>
          <w:szCs w:val="28"/>
        </w:rPr>
        <w:t>-дохідність» [26, с. 159-160</w:t>
      </w:r>
      <w:r w:rsidRPr="007909C1">
        <w:rPr>
          <w:rFonts w:ascii="Times New Roman" w:hAnsi="Times New Roman" w:cs="Times New Roman"/>
          <w:sz w:val="28"/>
          <w:szCs w:val="28"/>
        </w:rPr>
        <w:t>].</w:t>
      </w:r>
    </w:p>
    <w:p w:rsidR="00F426D7" w:rsidRDefault="00F426D7" w:rsidP="00F426D7">
      <w:pPr>
        <w:pStyle w:val="a4"/>
        <w:spacing w:after="0" w:line="360" w:lineRule="auto"/>
        <w:ind w:left="0" w:firstLine="709"/>
        <w:jc w:val="both"/>
        <w:rPr>
          <w:rFonts w:ascii="Times New Roman" w:hAnsi="Times New Roman" w:cs="Times New Roman"/>
          <w:sz w:val="28"/>
          <w:szCs w:val="28"/>
        </w:rPr>
      </w:pPr>
      <w:r w:rsidRPr="007909C1">
        <w:rPr>
          <w:rFonts w:ascii="Times New Roman" w:hAnsi="Times New Roman" w:cs="Times New Roman"/>
          <w:sz w:val="28"/>
          <w:szCs w:val="28"/>
        </w:rPr>
        <w:t>Ліквідність банку визначається збалансо</w:t>
      </w:r>
      <w:r>
        <w:rPr>
          <w:rFonts w:ascii="Times New Roman" w:hAnsi="Times New Roman" w:cs="Times New Roman"/>
          <w:sz w:val="28"/>
          <w:szCs w:val="28"/>
        </w:rPr>
        <w:t xml:space="preserve">ваністю активів і пасивів як за </w:t>
      </w:r>
      <w:r w:rsidRPr="007909C1">
        <w:rPr>
          <w:rFonts w:ascii="Times New Roman" w:hAnsi="Times New Roman" w:cs="Times New Roman"/>
          <w:sz w:val="28"/>
          <w:szCs w:val="28"/>
        </w:rPr>
        <w:t>термінами, так і за сумами. Баланс банку вважається ліквідн</w:t>
      </w:r>
      <w:r>
        <w:rPr>
          <w:rFonts w:ascii="Times New Roman" w:hAnsi="Times New Roman" w:cs="Times New Roman"/>
          <w:sz w:val="28"/>
          <w:szCs w:val="28"/>
        </w:rPr>
        <w:t xml:space="preserve">им, якщо його стан </w:t>
      </w:r>
      <w:r w:rsidRPr="00594B33">
        <w:rPr>
          <w:rFonts w:ascii="Times New Roman" w:hAnsi="Times New Roman" w:cs="Times New Roman"/>
          <w:sz w:val="28"/>
          <w:szCs w:val="28"/>
        </w:rPr>
        <w:t>дає змогу за швидкої реалізації коштів вчасно виконати зобов’язання за</w:t>
      </w:r>
      <w:r>
        <w:rPr>
          <w:rFonts w:ascii="Times New Roman" w:hAnsi="Times New Roman" w:cs="Times New Roman"/>
          <w:sz w:val="28"/>
          <w:szCs w:val="28"/>
        </w:rPr>
        <w:t xml:space="preserve"> </w:t>
      </w:r>
      <w:r w:rsidRPr="00594B33">
        <w:rPr>
          <w:rFonts w:ascii="Times New Roman" w:hAnsi="Times New Roman" w:cs="Times New Roman"/>
          <w:sz w:val="28"/>
          <w:szCs w:val="28"/>
        </w:rPr>
        <w:t>пасивами. Для підтримки своєї стабільності в банку також має бути певний</w:t>
      </w:r>
      <w:r>
        <w:rPr>
          <w:rFonts w:ascii="Times New Roman" w:hAnsi="Times New Roman" w:cs="Times New Roman"/>
          <w:sz w:val="28"/>
          <w:szCs w:val="28"/>
        </w:rPr>
        <w:t xml:space="preserve"> </w:t>
      </w:r>
      <w:r w:rsidRPr="00594B33">
        <w:rPr>
          <w:rFonts w:ascii="Times New Roman" w:hAnsi="Times New Roman" w:cs="Times New Roman"/>
          <w:sz w:val="28"/>
          <w:szCs w:val="28"/>
        </w:rPr>
        <w:lastRenderedPageBreak/>
        <w:t>ліквідний резерв для виконання непередбачених зобов’язань, зумовлених</w:t>
      </w:r>
      <w:r>
        <w:rPr>
          <w:rFonts w:ascii="Times New Roman" w:hAnsi="Times New Roman" w:cs="Times New Roman"/>
          <w:sz w:val="28"/>
          <w:szCs w:val="28"/>
        </w:rPr>
        <w:t xml:space="preserve"> </w:t>
      </w:r>
      <w:r w:rsidRPr="007909C1">
        <w:rPr>
          <w:rFonts w:ascii="Times New Roman" w:hAnsi="Times New Roman" w:cs="Times New Roman"/>
          <w:sz w:val="28"/>
          <w:szCs w:val="28"/>
        </w:rPr>
        <w:t xml:space="preserve">змінами стану фінансового ринку, </w:t>
      </w:r>
      <w:r>
        <w:rPr>
          <w:rFonts w:ascii="Times New Roman" w:hAnsi="Times New Roman" w:cs="Times New Roman"/>
          <w:sz w:val="28"/>
          <w:szCs w:val="28"/>
        </w:rPr>
        <w:t xml:space="preserve">фінансового стану партнерів або </w:t>
      </w:r>
      <w:r w:rsidRPr="007909C1">
        <w:rPr>
          <w:rFonts w:ascii="Times New Roman" w:hAnsi="Times New Roman" w:cs="Times New Roman"/>
          <w:sz w:val="28"/>
          <w:szCs w:val="28"/>
        </w:rPr>
        <w:t>клієнтів.</w:t>
      </w:r>
    </w:p>
    <w:p w:rsidR="001577A8" w:rsidRDefault="00D448F9" w:rsidP="003E7D9D">
      <w:pPr>
        <w:pStyle w:val="a4"/>
        <w:spacing w:after="0" w:line="360" w:lineRule="auto"/>
        <w:ind w:left="0" w:firstLine="709"/>
        <w:jc w:val="both"/>
        <w:rPr>
          <w:rFonts w:ascii="Times New Roman" w:hAnsi="Times New Roman" w:cs="Times New Roman"/>
          <w:sz w:val="28"/>
          <w:szCs w:val="28"/>
        </w:rPr>
      </w:pPr>
      <w:r w:rsidRPr="00D448F9">
        <w:rPr>
          <w:rFonts w:ascii="Times New Roman" w:hAnsi="Times New Roman" w:cs="Times New Roman"/>
          <w:sz w:val="28"/>
          <w:szCs w:val="28"/>
        </w:rPr>
        <w:t xml:space="preserve">Сутність проблеми ліквідності полягає в тому, що попит на ліквідні засоби </w:t>
      </w:r>
      <w:proofErr w:type="spellStart"/>
      <w:r w:rsidRPr="00D448F9">
        <w:rPr>
          <w:rFonts w:ascii="Times New Roman" w:hAnsi="Times New Roman" w:cs="Times New Roman"/>
          <w:sz w:val="28"/>
          <w:szCs w:val="28"/>
        </w:rPr>
        <w:t>рідко</w:t>
      </w:r>
      <w:proofErr w:type="spellEnd"/>
      <w:r w:rsidRPr="00D448F9">
        <w:rPr>
          <w:rFonts w:ascii="Times New Roman" w:hAnsi="Times New Roman" w:cs="Times New Roman"/>
          <w:sz w:val="28"/>
          <w:szCs w:val="28"/>
        </w:rPr>
        <w:t xml:space="preserve"> дорівнює їх пропозиції в будь-який момент часу, тому банк постійно має справу або з дефіцитом ліквідних коштів, або з їх надлишком. Дефіцит ліквідних засобів призводить до порушення нормативних вимог централь</w:t>
      </w:r>
      <w:r>
        <w:rPr>
          <w:rFonts w:ascii="Times New Roman" w:hAnsi="Times New Roman" w:cs="Times New Roman"/>
          <w:sz w:val="28"/>
          <w:szCs w:val="28"/>
        </w:rPr>
        <w:t>них банків, штрафних санкцій і -</w:t>
      </w:r>
      <w:r w:rsidRPr="00D448F9">
        <w:rPr>
          <w:rFonts w:ascii="Times New Roman" w:hAnsi="Times New Roman" w:cs="Times New Roman"/>
          <w:sz w:val="28"/>
          <w:szCs w:val="28"/>
        </w:rPr>
        <w:t xml:space="preserve"> що на</w:t>
      </w:r>
      <w:r>
        <w:rPr>
          <w:rFonts w:ascii="Times New Roman" w:hAnsi="Times New Roman" w:cs="Times New Roman"/>
          <w:sz w:val="28"/>
          <w:szCs w:val="28"/>
        </w:rPr>
        <w:t>йнебезпечніше для банку -</w:t>
      </w:r>
      <w:r w:rsidRPr="00D448F9">
        <w:rPr>
          <w:rFonts w:ascii="Times New Roman" w:hAnsi="Times New Roman" w:cs="Times New Roman"/>
          <w:sz w:val="28"/>
          <w:szCs w:val="28"/>
        </w:rPr>
        <w:t xml:space="preserve"> до втрати депозитів. Надмірна ліквідніст</w:t>
      </w:r>
      <w:r>
        <w:rPr>
          <w:rFonts w:ascii="Times New Roman" w:hAnsi="Times New Roman" w:cs="Times New Roman"/>
          <w:sz w:val="28"/>
          <w:szCs w:val="28"/>
        </w:rPr>
        <w:t>ь породжує дилему «ліквідність -</w:t>
      </w:r>
      <w:r w:rsidRPr="00D448F9">
        <w:rPr>
          <w:rFonts w:ascii="Times New Roman" w:hAnsi="Times New Roman" w:cs="Times New Roman"/>
          <w:sz w:val="28"/>
          <w:szCs w:val="28"/>
        </w:rPr>
        <w:t xml:space="preserve"> прибутковість», адже найбільш ліквідні активи не генерують доходів. Якщо фактична ліквідність значно перевищує необхідний рівень або встановлені нормативи, то діяльність банку негативно оцінюється акціонерами з погляду не повністю використаних можливостей для отримання прибутку</w:t>
      </w:r>
      <w:r w:rsidR="001577A8">
        <w:rPr>
          <w:rFonts w:ascii="Times New Roman" w:hAnsi="Times New Roman" w:cs="Times New Roman"/>
          <w:sz w:val="28"/>
          <w:szCs w:val="28"/>
        </w:rPr>
        <w:t xml:space="preserve"> </w:t>
      </w:r>
      <w:r w:rsidR="001577A8" w:rsidRPr="001577A8">
        <w:rPr>
          <w:rFonts w:ascii="Times New Roman" w:hAnsi="Times New Roman" w:cs="Times New Roman"/>
          <w:sz w:val="28"/>
          <w:szCs w:val="28"/>
        </w:rPr>
        <w:t>[26, с. 160].</w:t>
      </w:r>
      <w:r w:rsidRPr="00D448F9">
        <w:rPr>
          <w:rFonts w:ascii="Times New Roman" w:hAnsi="Times New Roman" w:cs="Times New Roman"/>
          <w:sz w:val="28"/>
          <w:szCs w:val="28"/>
        </w:rPr>
        <w:t xml:space="preserve"> </w:t>
      </w:r>
    </w:p>
    <w:p w:rsidR="00D93046" w:rsidRPr="003E7D9D" w:rsidRDefault="00D448F9" w:rsidP="009E590A">
      <w:pPr>
        <w:pStyle w:val="a4"/>
        <w:spacing w:after="0" w:line="360" w:lineRule="auto"/>
        <w:ind w:left="113" w:firstLine="709"/>
        <w:jc w:val="both"/>
        <w:rPr>
          <w:rFonts w:ascii="Times New Roman" w:hAnsi="Times New Roman" w:cs="Times New Roman"/>
          <w:sz w:val="28"/>
          <w:szCs w:val="28"/>
        </w:rPr>
      </w:pPr>
      <w:r w:rsidRPr="00D448F9">
        <w:rPr>
          <w:rFonts w:ascii="Times New Roman" w:hAnsi="Times New Roman" w:cs="Times New Roman"/>
          <w:sz w:val="28"/>
          <w:szCs w:val="28"/>
        </w:rPr>
        <w:t>Ймовірність настання ситуації невідповідності між попитом і пропозицією ліквідних коштів називають ризиком незбалансованої ліквідності</w:t>
      </w:r>
      <w:r w:rsidR="001577A8">
        <w:rPr>
          <w:rFonts w:ascii="Times New Roman" w:hAnsi="Times New Roman" w:cs="Times New Roman"/>
          <w:sz w:val="28"/>
          <w:szCs w:val="28"/>
        </w:rPr>
        <w:t xml:space="preserve">. </w:t>
      </w:r>
      <w:r w:rsidR="001577A8" w:rsidRPr="001577A8">
        <w:rPr>
          <w:rFonts w:ascii="Times New Roman" w:hAnsi="Times New Roman" w:cs="Times New Roman"/>
          <w:sz w:val="28"/>
          <w:szCs w:val="28"/>
        </w:rPr>
        <w:t>Очевидно, що ризик ліквідності майж</w:t>
      </w:r>
      <w:r w:rsidR="003E7D9D">
        <w:rPr>
          <w:rFonts w:ascii="Times New Roman" w:hAnsi="Times New Roman" w:cs="Times New Roman"/>
          <w:sz w:val="28"/>
          <w:szCs w:val="28"/>
        </w:rPr>
        <w:t xml:space="preserve">е завжди супроводжує банківську </w:t>
      </w:r>
      <w:r w:rsidR="001577A8" w:rsidRPr="003E7D9D">
        <w:rPr>
          <w:rFonts w:ascii="Times New Roman" w:hAnsi="Times New Roman" w:cs="Times New Roman"/>
          <w:sz w:val="28"/>
          <w:szCs w:val="28"/>
        </w:rPr>
        <w:t>діяльність</w:t>
      </w:r>
      <w:r w:rsidRPr="003E7D9D">
        <w:rPr>
          <w:rFonts w:ascii="Times New Roman" w:hAnsi="Times New Roman" w:cs="Times New Roman"/>
          <w:sz w:val="28"/>
          <w:szCs w:val="28"/>
        </w:rPr>
        <w:t xml:space="preserve"> [</w:t>
      </w:r>
      <w:r w:rsidR="001577A8" w:rsidRPr="003E7D9D">
        <w:rPr>
          <w:rFonts w:ascii="Times New Roman" w:hAnsi="Times New Roman" w:cs="Times New Roman"/>
          <w:sz w:val="28"/>
          <w:szCs w:val="28"/>
        </w:rPr>
        <w:t>2</w:t>
      </w:r>
      <w:r w:rsidRPr="003E7D9D">
        <w:rPr>
          <w:rFonts w:ascii="Times New Roman" w:hAnsi="Times New Roman" w:cs="Times New Roman"/>
          <w:sz w:val="28"/>
          <w:szCs w:val="28"/>
        </w:rPr>
        <w:t xml:space="preserve">, с. </w:t>
      </w:r>
      <w:r w:rsidR="001577A8" w:rsidRPr="003E7D9D">
        <w:rPr>
          <w:rFonts w:ascii="Times New Roman" w:hAnsi="Times New Roman" w:cs="Times New Roman"/>
          <w:sz w:val="28"/>
          <w:szCs w:val="28"/>
        </w:rPr>
        <w:t>8</w:t>
      </w:r>
      <w:r w:rsidRPr="003E7D9D">
        <w:rPr>
          <w:rFonts w:ascii="Times New Roman" w:hAnsi="Times New Roman" w:cs="Times New Roman"/>
          <w:sz w:val="28"/>
          <w:szCs w:val="28"/>
        </w:rPr>
        <w:t>].</w:t>
      </w:r>
    </w:p>
    <w:p w:rsidR="00911513" w:rsidRDefault="009E590A" w:rsidP="009E590A">
      <w:pPr>
        <w:pStyle w:val="a4"/>
        <w:spacing w:after="0" w:line="360" w:lineRule="auto"/>
        <w:ind w:left="113" w:firstLine="709"/>
        <w:jc w:val="both"/>
        <w:rPr>
          <w:rFonts w:ascii="Times New Roman" w:hAnsi="Times New Roman" w:cs="Times New Roman"/>
          <w:sz w:val="28"/>
          <w:szCs w:val="28"/>
        </w:rPr>
      </w:pPr>
      <w:r>
        <w:rPr>
          <w:rFonts w:ascii="Times New Roman" w:hAnsi="Times New Roman" w:cs="Times New Roman"/>
          <w:sz w:val="28"/>
          <w:szCs w:val="28"/>
        </w:rPr>
        <w:t>Отже</w:t>
      </w:r>
      <w:r w:rsidRPr="009E590A">
        <w:rPr>
          <w:rFonts w:ascii="Times New Roman" w:hAnsi="Times New Roman" w:cs="Times New Roman"/>
          <w:sz w:val="28"/>
          <w:szCs w:val="28"/>
        </w:rPr>
        <w:t xml:space="preserve">, </w:t>
      </w:r>
      <w:r>
        <w:rPr>
          <w:rFonts w:ascii="Times New Roman" w:hAnsi="Times New Roman" w:cs="Times New Roman"/>
          <w:sz w:val="28"/>
          <w:szCs w:val="28"/>
        </w:rPr>
        <w:t xml:space="preserve">комерційний </w:t>
      </w:r>
      <w:r w:rsidRPr="009E590A">
        <w:rPr>
          <w:rFonts w:ascii="Times New Roman" w:hAnsi="Times New Roman" w:cs="Times New Roman"/>
          <w:sz w:val="28"/>
          <w:szCs w:val="28"/>
        </w:rPr>
        <w:t>банк постійно має с</w:t>
      </w:r>
      <w:r>
        <w:rPr>
          <w:rFonts w:ascii="Times New Roman" w:hAnsi="Times New Roman" w:cs="Times New Roman"/>
          <w:sz w:val="28"/>
          <w:szCs w:val="28"/>
        </w:rPr>
        <w:t xml:space="preserve">праву або з дефіцитом ліквідних </w:t>
      </w:r>
      <w:r w:rsidRPr="009E590A">
        <w:rPr>
          <w:rFonts w:ascii="Times New Roman" w:hAnsi="Times New Roman" w:cs="Times New Roman"/>
          <w:sz w:val="28"/>
          <w:szCs w:val="28"/>
        </w:rPr>
        <w:t xml:space="preserve">коштів, або з їхнім </w:t>
      </w:r>
      <w:r>
        <w:rPr>
          <w:rFonts w:ascii="Times New Roman" w:hAnsi="Times New Roman" w:cs="Times New Roman"/>
          <w:sz w:val="28"/>
          <w:szCs w:val="28"/>
        </w:rPr>
        <w:t xml:space="preserve">профіцитом </w:t>
      </w:r>
      <w:r w:rsidRPr="009E590A">
        <w:rPr>
          <w:rFonts w:ascii="Times New Roman" w:hAnsi="Times New Roman" w:cs="Times New Roman"/>
          <w:sz w:val="28"/>
          <w:szCs w:val="28"/>
        </w:rPr>
        <w:t>(</w:t>
      </w:r>
      <w:r>
        <w:rPr>
          <w:rFonts w:ascii="Times New Roman" w:hAnsi="Times New Roman" w:cs="Times New Roman"/>
          <w:sz w:val="28"/>
          <w:szCs w:val="28"/>
        </w:rPr>
        <w:t xml:space="preserve">див. </w:t>
      </w:r>
      <w:r w:rsidRPr="009E590A">
        <w:rPr>
          <w:rFonts w:ascii="Times New Roman" w:hAnsi="Times New Roman" w:cs="Times New Roman"/>
          <w:sz w:val="28"/>
          <w:szCs w:val="28"/>
        </w:rPr>
        <w:t xml:space="preserve">рис. </w:t>
      </w:r>
      <w:r w:rsidR="0014637F">
        <w:rPr>
          <w:rFonts w:ascii="Times New Roman" w:hAnsi="Times New Roman" w:cs="Times New Roman"/>
          <w:sz w:val="28"/>
          <w:szCs w:val="28"/>
        </w:rPr>
        <w:t>1.6</w:t>
      </w:r>
      <w:r w:rsidRPr="009E590A">
        <w:rPr>
          <w:rFonts w:ascii="Times New Roman" w:hAnsi="Times New Roman" w:cs="Times New Roman"/>
          <w:sz w:val="28"/>
          <w:szCs w:val="28"/>
        </w:rPr>
        <w:t>)</w:t>
      </w:r>
      <w:r>
        <w:rPr>
          <w:rFonts w:ascii="Times New Roman" w:hAnsi="Times New Roman" w:cs="Times New Roman"/>
          <w:sz w:val="28"/>
          <w:szCs w:val="28"/>
        </w:rPr>
        <w:t>.</w:t>
      </w:r>
    </w:p>
    <w:p w:rsidR="00D93046" w:rsidRPr="009E590A" w:rsidRDefault="00911513" w:rsidP="00911513">
      <w:pPr>
        <w:pStyle w:val="a4"/>
        <w:spacing w:after="0" w:line="360" w:lineRule="auto"/>
        <w:ind w:left="113" w:firstLine="2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c">
            <w:drawing>
              <wp:inline distT="0" distB="0" distL="0" distR="0">
                <wp:extent cx="5486400" cy="2952170"/>
                <wp:effectExtent l="0" t="0" r="0" b="19685"/>
                <wp:docPr id="130" name="Полотно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1" name="Прямоугольник 131"/>
                        <wps:cNvSpPr/>
                        <wps:spPr>
                          <a:xfrm>
                            <a:off x="1546860" y="119819"/>
                            <a:ext cx="2415540" cy="365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911513" w:rsidRDefault="00F821E3" w:rsidP="00911513">
                              <w:pPr>
                                <w:jc w:val="center"/>
                                <w:rPr>
                                  <w:rFonts w:ascii="Times New Roman" w:hAnsi="Times New Roman"/>
                                  <w:color w:val="000000" w:themeColor="text1"/>
                                  <w:sz w:val="24"/>
                                  <w:szCs w:val="24"/>
                                </w:rPr>
                              </w:pPr>
                              <w:r w:rsidRPr="00911513">
                                <w:rPr>
                                  <w:rFonts w:ascii="Times New Roman" w:hAnsi="Times New Roman"/>
                                  <w:color w:val="000000" w:themeColor="text1"/>
                                  <w:sz w:val="24"/>
                                  <w:szCs w:val="24"/>
                                </w:rPr>
                                <w:t>Стан комерційного банку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Прямая соединительная линия 132"/>
                        <wps:cNvCnPr>
                          <a:stCxn id="131" idx="2"/>
                        </wps:cNvCnPr>
                        <wps:spPr>
                          <a:xfrm flipH="1">
                            <a:off x="1074420" y="485579"/>
                            <a:ext cx="168021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33" name="Прямая соединительная линия 133"/>
                        <wps:cNvCnPr>
                          <a:stCxn id="131" idx="2"/>
                        </wps:cNvCnPr>
                        <wps:spPr>
                          <a:xfrm>
                            <a:off x="2754630" y="485579"/>
                            <a:ext cx="155067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Прямоугольник 135"/>
                        <wps:cNvSpPr/>
                        <wps:spPr>
                          <a:xfrm>
                            <a:off x="274320" y="637979"/>
                            <a:ext cx="2263140" cy="3352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AD1F0D" w:rsidRDefault="00F821E3" w:rsidP="00AD1F0D">
                              <w:pPr>
                                <w:spacing w:after="0" w:line="240" w:lineRule="auto"/>
                                <w:jc w:val="center"/>
                                <w:rPr>
                                  <w:rFonts w:ascii="Times New Roman" w:hAnsi="Times New Roman"/>
                                  <w:color w:val="000000" w:themeColor="text1"/>
                                  <w:sz w:val="24"/>
                                  <w:szCs w:val="24"/>
                                </w:rPr>
                              </w:pPr>
                              <w:r w:rsidRPr="00AD1F0D">
                                <w:rPr>
                                  <w:rFonts w:ascii="Times New Roman" w:hAnsi="Times New Roman"/>
                                  <w:color w:val="000000" w:themeColor="text1"/>
                                  <w:sz w:val="24"/>
                                  <w:szCs w:val="24"/>
                                </w:rPr>
                                <w:t>Дефіцит ліквідних засобів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Прямая со стрелкой 136"/>
                        <wps:cNvCnPr/>
                        <wps:spPr>
                          <a:xfrm>
                            <a:off x="1402080" y="973259"/>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Прямоугольник 137"/>
                        <wps:cNvSpPr/>
                        <wps:spPr>
                          <a:xfrm>
                            <a:off x="274320" y="1194239"/>
                            <a:ext cx="2217420" cy="419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AD1F0D" w:rsidRDefault="00F821E3" w:rsidP="00AD1F0D">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Штрафні </w:t>
                              </w:r>
                              <w:r w:rsidRPr="00AD1F0D">
                                <w:rPr>
                                  <w:rFonts w:ascii="Times New Roman" w:hAnsi="Times New Roman"/>
                                  <w:color w:val="000000" w:themeColor="text1"/>
                                  <w:sz w:val="24"/>
                                  <w:szCs w:val="24"/>
                                </w:rPr>
                                <w:t>санкції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Прямая со стрелкой 138"/>
                        <wps:cNvCnPr>
                          <a:stCxn id="137" idx="2"/>
                        </wps:cNvCnPr>
                        <wps:spPr>
                          <a:xfrm>
                            <a:off x="1383030" y="1613339"/>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 name="Прямоугольник 140"/>
                        <wps:cNvSpPr/>
                        <wps:spPr>
                          <a:xfrm>
                            <a:off x="297180" y="1880039"/>
                            <a:ext cx="2217420" cy="365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AD1F0D" w:rsidRDefault="00F821E3" w:rsidP="00AD1F0D">
                              <w:pPr>
                                <w:jc w:val="center"/>
                                <w:rPr>
                                  <w:rFonts w:ascii="Times New Roman" w:hAnsi="Times New Roman"/>
                                  <w:color w:val="000000" w:themeColor="text1"/>
                                  <w:sz w:val="24"/>
                                  <w:szCs w:val="24"/>
                                </w:rPr>
                              </w:pPr>
                              <w:r w:rsidRPr="00AD1F0D">
                                <w:rPr>
                                  <w:rFonts w:ascii="Times New Roman" w:hAnsi="Times New Roman"/>
                                  <w:color w:val="000000" w:themeColor="text1"/>
                                  <w:sz w:val="24"/>
                                  <w:szCs w:val="24"/>
                                </w:rPr>
                                <w:t>Втрата депозитів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ая со стрелкой 141"/>
                        <wps:cNvCnPr>
                          <a:stCxn id="140" idx="2"/>
                        </wps:cNvCnPr>
                        <wps:spPr>
                          <a:xfrm flipH="1">
                            <a:off x="1402080" y="2245799"/>
                            <a:ext cx="381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Прямоугольник 142"/>
                        <wps:cNvSpPr/>
                        <wps:spPr>
                          <a:xfrm>
                            <a:off x="312420" y="2516949"/>
                            <a:ext cx="2202180" cy="34055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AD1F0D" w:rsidRDefault="00F821E3" w:rsidP="00AD1F0D">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Криза </w:t>
                              </w:r>
                              <w:r w:rsidRPr="00AD1F0D">
                                <w:rPr>
                                  <w:rFonts w:ascii="Times New Roman" w:hAnsi="Times New Roman"/>
                                  <w:color w:val="000000" w:themeColor="text1"/>
                                  <w:sz w:val="24"/>
                                  <w:szCs w:val="24"/>
                                </w:rPr>
                                <w:t>ліквідності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оугольник 143"/>
                        <wps:cNvSpPr/>
                        <wps:spPr>
                          <a:xfrm>
                            <a:off x="3223260" y="637558"/>
                            <a:ext cx="2095500" cy="33556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AD1F0D" w:rsidRDefault="00F821E3" w:rsidP="00AD1F0D">
                              <w:pPr>
                                <w:jc w:val="center"/>
                                <w:rPr>
                                  <w:rFonts w:ascii="Times New Roman" w:hAnsi="Times New Roman"/>
                                  <w:color w:val="000000" w:themeColor="text1"/>
                                  <w:sz w:val="24"/>
                                  <w:szCs w:val="24"/>
                                </w:rPr>
                              </w:pPr>
                              <w:r w:rsidRPr="00AD1F0D">
                                <w:rPr>
                                  <w:rFonts w:ascii="Times New Roman" w:hAnsi="Times New Roman"/>
                                  <w:color w:val="000000" w:themeColor="text1"/>
                                  <w:sz w:val="24"/>
                                  <w:szCs w:val="24"/>
                                </w:rPr>
                                <w:t>Профіцит ліквідних засобів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Прямая со стрелкой 144"/>
                        <wps:cNvCnPr/>
                        <wps:spPr>
                          <a:xfrm>
                            <a:off x="4305300" y="973127"/>
                            <a:ext cx="0" cy="220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 name="Прямоугольник 145"/>
                        <wps:cNvSpPr/>
                        <wps:spPr>
                          <a:xfrm>
                            <a:off x="3185160" y="1193155"/>
                            <a:ext cx="2133600" cy="5137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AD1F0D">
                              <w:pPr>
                                <w:spacing w:after="0" w:line="240" w:lineRule="auto"/>
                                <w:jc w:val="center"/>
                              </w:pPr>
                              <w:r>
                                <w:rPr>
                                  <w:rFonts w:ascii="Times New Roman" w:hAnsi="Times New Roman"/>
                                  <w:color w:val="000000" w:themeColor="text1"/>
                                  <w:sz w:val="24"/>
                                  <w:szCs w:val="24"/>
                                </w:rPr>
                                <w:t>Невизначеність</w:t>
                              </w:r>
                            </w:p>
                            <w:p w:rsidR="00F821E3" w:rsidRPr="00AD1F0D" w:rsidRDefault="00F821E3" w:rsidP="00AD1F0D">
                              <w:pPr>
                                <w:spacing w:after="0" w:line="240" w:lineRule="auto"/>
                                <w:jc w:val="center"/>
                                <w:rPr>
                                  <w:rFonts w:ascii="Times New Roman" w:hAnsi="Times New Roman"/>
                                  <w:color w:val="000000" w:themeColor="text1"/>
                                  <w:sz w:val="24"/>
                                  <w:szCs w:val="24"/>
                                </w:rPr>
                              </w:pPr>
                              <w:r w:rsidRPr="00AD1F0D">
                                <w:rPr>
                                  <w:rFonts w:ascii="Times New Roman" w:hAnsi="Times New Roman"/>
                                  <w:color w:val="000000" w:themeColor="text1"/>
                                  <w:sz w:val="24"/>
                                  <w:szCs w:val="24"/>
                                </w:rPr>
                                <w:t>«ліквідність</w:t>
                              </w:r>
                              <w:r>
                                <w:rPr>
                                  <w:rFonts w:ascii="Times New Roman" w:hAnsi="Times New Roman"/>
                                  <w:color w:val="000000" w:themeColor="text1"/>
                                  <w:sz w:val="24"/>
                                  <w:szCs w:val="24"/>
                                </w:rPr>
                                <w:t>-</w:t>
                              </w:r>
                              <w:r w:rsidRPr="00AD1F0D">
                                <w:rPr>
                                  <w:rFonts w:ascii="Times New Roman" w:hAnsi="Times New Roman"/>
                                  <w:color w:val="000000" w:themeColor="text1"/>
                                  <w:sz w:val="24"/>
                                  <w:szCs w:val="24"/>
                                </w:rPr>
                                <w:t>прибутковість»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Прямая со стрелкой 146"/>
                        <wps:cNvCnPr/>
                        <wps:spPr>
                          <a:xfrm>
                            <a:off x="4305300" y="170688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 name="Прямоугольник 147"/>
                        <wps:cNvSpPr/>
                        <wps:spPr>
                          <a:xfrm>
                            <a:off x="3185160" y="1958340"/>
                            <a:ext cx="2194560" cy="9938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8B74D5" w:rsidRDefault="00F821E3" w:rsidP="008B74D5">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Негативна оцінка банку </w:t>
                              </w:r>
                              <w:r w:rsidRPr="008B74D5">
                                <w:rPr>
                                  <w:rFonts w:ascii="Times New Roman" w:hAnsi="Times New Roman"/>
                                  <w:color w:val="000000" w:themeColor="text1"/>
                                  <w:sz w:val="24"/>
                                  <w:szCs w:val="24"/>
                                </w:rPr>
                                <w:t>акціонерами через</w:t>
                              </w:r>
                            </w:p>
                            <w:p w:rsidR="00F821E3" w:rsidRPr="008B74D5" w:rsidRDefault="00F821E3" w:rsidP="008B74D5">
                              <w:pPr>
                                <w:spacing w:after="0" w:line="240" w:lineRule="auto"/>
                                <w:jc w:val="center"/>
                                <w:rPr>
                                  <w:rFonts w:ascii="Times New Roman" w:hAnsi="Times New Roman"/>
                                  <w:color w:val="000000" w:themeColor="text1"/>
                                  <w:sz w:val="24"/>
                                  <w:szCs w:val="24"/>
                                </w:rPr>
                              </w:pPr>
                              <w:r w:rsidRPr="008B74D5">
                                <w:rPr>
                                  <w:rFonts w:ascii="Times New Roman" w:hAnsi="Times New Roman"/>
                                  <w:color w:val="000000" w:themeColor="text1"/>
                                  <w:sz w:val="24"/>
                                  <w:szCs w:val="24"/>
                                </w:rPr>
                                <w:t>неповн</w:t>
                              </w:r>
                              <w:r>
                                <w:rPr>
                                  <w:rFonts w:ascii="Times New Roman" w:hAnsi="Times New Roman"/>
                                  <w:color w:val="000000" w:themeColor="text1"/>
                                  <w:sz w:val="24"/>
                                  <w:szCs w:val="24"/>
                                </w:rPr>
                                <w:t xml:space="preserve">істю використані можливості для </w:t>
                              </w:r>
                              <w:r w:rsidRPr="008B74D5">
                                <w:rPr>
                                  <w:rFonts w:ascii="Times New Roman" w:hAnsi="Times New Roman"/>
                                  <w:color w:val="000000" w:themeColor="text1"/>
                                  <w:sz w:val="24"/>
                                  <w:szCs w:val="24"/>
                                </w:rPr>
                                <w:t>отримання прибутку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30" o:spid="_x0000_s1102" editas="canvas" style="width:6in;height:232.45pt;mso-position-horizontal-relative:char;mso-position-vertical-relative:line" coordsize="54864,2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">
                <v:shape id="_x0000_s1103" type="#_x0000_t75" style="position:absolute;width:54864;height:29521;visibility:visible;mso-wrap-style:square">
                  <v:fill o:detectmouseclick="t"/>
                  <v:path o:connecttype="none"/>
                </v:shape>
                <v:rect id="Прямоугольник 131" o:spid="_x0000_s1104" style="position:absolute;left:15468;top:1198;width:24156;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" fillcolor="white [3212]" strokecolor="black [3213]" strokeweight="1pt">
                  <v:textbox>
                    <w:txbxContent>
                      <w:p w:rsidR="00F821E3" w:rsidRPr="00911513" w:rsidRDefault="00F821E3" w:rsidP="00911513">
                        <w:pPr>
                          <w:jc w:val="center"/>
                          <w:rPr>
                            <w:rFonts w:ascii="Times New Roman" w:hAnsi="Times New Roman"/>
                            <w:color w:val="000000" w:themeColor="text1"/>
                            <w:sz w:val="24"/>
                            <w:szCs w:val="24"/>
                          </w:rPr>
                        </w:pPr>
                        <w:r w:rsidRPr="00911513">
                          <w:rPr>
                            <w:rFonts w:ascii="Times New Roman" w:hAnsi="Times New Roman"/>
                            <w:color w:val="000000" w:themeColor="text1"/>
                            <w:sz w:val="24"/>
                            <w:szCs w:val="24"/>
                          </w:rPr>
                          <w:t>Стан комерційного банку</w:t>
                        </w:r>
                      </w:p>
                    </w:txbxContent>
                  </v:textbox>
                </v:rect>
                <v:line id="Прямая соединительная линия 132" o:spid="_x0000_s1105" style="position:absolute;flip:x;visibility:visible;mso-wrap-style:square" from="10744,4855" to="27546,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" strokecolor="black [3200]" strokeweight=".5pt">
                  <v:stroke joinstyle="miter"/>
                </v:line>
                <v:line id="Прямая соединительная линия 133" o:spid="_x0000_s1106" style="position:absolute;visibility:visible;mso-wrap-style:square" from="27546,4855" to="43053,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" strokecolor="black [3200]" strokeweight=".5pt">
                  <v:stroke joinstyle="miter"/>
                </v:line>
                <v:rect id="Прямоугольник 135" o:spid="_x0000_s1107" style="position:absolute;left:2743;top:6379;width:2263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" fillcolor="white [3212]" strokecolor="black [3213]" strokeweight="1pt">
                  <v:textbox>
                    <w:txbxContent>
                      <w:p w:rsidR="00F821E3" w:rsidRPr="00AD1F0D" w:rsidRDefault="00F821E3" w:rsidP="00AD1F0D">
                        <w:pPr>
                          <w:spacing w:after="0" w:line="240" w:lineRule="auto"/>
                          <w:jc w:val="center"/>
                          <w:rPr>
                            <w:rFonts w:ascii="Times New Roman" w:hAnsi="Times New Roman"/>
                            <w:color w:val="000000" w:themeColor="text1"/>
                            <w:sz w:val="24"/>
                            <w:szCs w:val="24"/>
                          </w:rPr>
                        </w:pPr>
                        <w:r w:rsidRPr="00AD1F0D">
                          <w:rPr>
                            <w:rFonts w:ascii="Times New Roman" w:hAnsi="Times New Roman"/>
                            <w:color w:val="000000" w:themeColor="text1"/>
                            <w:sz w:val="24"/>
                            <w:szCs w:val="24"/>
                          </w:rPr>
                          <w:t>Дефіцит ліквідних засобів</w:t>
                        </w:r>
                      </w:p>
                    </w:txbxContent>
                  </v:textbox>
                </v:rect>
                <v:shape id="Прямая со стрелкой 136" o:spid="_x0000_s1108" type="#_x0000_t32" style="position:absolute;left:14020;top:9732;width:0;height:2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" strokecolor="black [3200]" strokeweight=".5pt">
                  <v:stroke endarrow="block" joinstyle="miter"/>
                </v:shape>
                <v:rect id="Прямоугольник 137" o:spid="_x0000_s1109" style="position:absolute;left:2743;top:11942;width:2217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" fillcolor="white [3212]" strokecolor="black [3213]" strokeweight="1pt">
                  <v:textbox>
                    <w:txbxContent>
                      <w:p w:rsidR="00F821E3" w:rsidRPr="00AD1F0D" w:rsidRDefault="00F821E3" w:rsidP="00AD1F0D">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Штрафні </w:t>
                        </w:r>
                        <w:r w:rsidRPr="00AD1F0D">
                          <w:rPr>
                            <w:rFonts w:ascii="Times New Roman" w:hAnsi="Times New Roman"/>
                            <w:color w:val="000000" w:themeColor="text1"/>
                            <w:sz w:val="24"/>
                            <w:szCs w:val="24"/>
                          </w:rPr>
                          <w:t>санкції</w:t>
                        </w:r>
                      </w:p>
                    </w:txbxContent>
                  </v:textbox>
                </v:rect>
                <v:shape id="Прямая со стрелкой 138" o:spid="_x0000_s1110" type="#_x0000_t32" style="position:absolute;left:13830;top:16133;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" strokecolor="black [3200]" strokeweight=".5pt">
                  <v:stroke endarrow="block" joinstyle="miter"/>
                </v:shape>
                <v:rect id="Прямоугольник 140" o:spid="_x0000_s1111" style="position:absolute;left:2971;top:18800;width:2217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" fillcolor="white [3212]" strokecolor="black [3213]" strokeweight="1pt">
                  <v:textbox>
                    <w:txbxContent>
                      <w:p w:rsidR="00F821E3" w:rsidRPr="00AD1F0D" w:rsidRDefault="00F821E3" w:rsidP="00AD1F0D">
                        <w:pPr>
                          <w:jc w:val="center"/>
                          <w:rPr>
                            <w:rFonts w:ascii="Times New Roman" w:hAnsi="Times New Roman"/>
                            <w:color w:val="000000" w:themeColor="text1"/>
                            <w:sz w:val="24"/>
                            <w:szCs w:val="24"/>
                          </w:rPr>
                        </w:pPr>
                        <w:r w:rsidRPr="00AD1F0D">
                          <w:rPr>
                            <w:rFonts w:ascii="Times New Roman" w:hAnsi="Times New Roman"/>
                            <w:color w:val="000000" w:themeColor="text1"/>
                            <w:sz w:val="24"/>
                            <w:szCs w:val="24"/>
                          </w:rPr>
                          <w:t>Втрата депозитів</w:t>
                        </w:r>
                      </w:p>
                    </w:txbxContent>
                  </v:textbox>
                </v:rect>
                <v:shape id="Прямая со стрелкой 141" o:spid="_x0000_s1112" type="#_x0000_t32" style="position:absolute;left:14020;top:22457;width:38;height:28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" strokecolor="black [3200]" strokeweight=".5pt">
                  <v:stroke endarrow="block" joinstyle="miter"/>
                </v:shape>
                <v:rect id="Прямоугольник 142" o:spid="_x0000_s1113" style="position:absolute;left:3124;top:25169;width:22022;height:3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" fillcolor="white [3212]" strokecolor="black [3213]" strokeweight="1pt">
                  <v:textbox>
                    <w:txbxContent>
                      <w:p w:rsidR="00F821E3" w:rsidRPr="00AD1F0D" w:rsidRDefault="00F821E3" w:rsidP="00AD1F0D">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Криза </w:t>
                        </w:r>
                        <w:r w:rsidRPr="00AD1F0D">
                          <w:rPr>
                            <w:rFonts w:ascii="Times New Roman" w:hAnsi="Times New Roman"/>
                            <w:color w:val="000000" w:themeColor="text1"/>
                            <w:sz w:val="24"/>
                            <w:szCs w:val="24"/>
                          </w:rPr>
                          <w:t>ліквідності</w:t>
                        </w:r>
                      </w:p>
                    </w:txbxContent>
                  </v:textbox>
                </v:rect>
                <v:rect id="Прямоугольник 143" o:spid="_x0000_s1114" style="position:absolute;left:32232;top:6375;width:20955;height:3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" fillcolor="white [3212]" strokecolor="black [3213]" strokeweight="1pt">
                  <v:textbox>
                    <w:txbxContent>
                      <w:p w:rsidR="00F821E3" w:rsidRPr="00AD1F0D" w:rsidRDefault="00F821E3" w:rsidP="00AD1F0D">
                        <w:pPr>
                          <w:jc w:val="center"/>
                          <w:rPr>
                            <w:rFonts w:ascii="Times New Roman" w:hAnsi="Times New Roman"/>
                            <w:color w:val="000000" w:themeColor="text1"/>
                            <w:sz w:val="24"/>
                            <w:szCs w:val="24"/>
                          </w:rPr>
                        </w:pPr>
                        <w:r w:rsidRPr="00AD1F0D">
                          <w:rPr>
                            <w:rFonts w:ascii="Times New Roman" w:hAnsi="Times New Roman"/>
                            <w:color w:val="000000" w:themeColor="text1"/>
                            <w:sz w:val="24"/>
                            <w:szCs w:val="24"/>
                          </w:rPr>
                          <w:t>Профіцит ліквідних засобів</w:t>
                        </w:r>
                      </w:p>
                    </w:txbxContent>
                  </v:textbox>
                </v:rect>
                <v:shape id="Прямая со стрелкой 144" o:spid="_x0000_s1115" type="#_x0000_t32" style="position:absolute;left:43053;top:9731;width:0;height:2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" strokecolor="black [3200]" strokeweight=".5pt">
                  <v:stroke endarrow="block" joinstyle="miter"/>
                </v:shape>
                <v:rect id="Прямоугольник 145" o:spid="_x0000_s1116" style="position:absolute;left:31851;top:11931;width:21336;height:5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" fillcolor="white [3212]" strokecolor="black [3213]" strokeweight="1pt">
                  <v:textbox>
                    <w:txbxContent>
                      <w:p w:rsidR="00F821E3" w:rsidRDefault="00F821E3" w:rsidP="00AD1F0D">
                        <w:pPr>
                          <w:spacing w:after="0" w:line="240" w:lineRule="auto"/>
                          <w:jc w:val="center"/>
                        </w:pPr>
                        <w:r>
                          <w:rPr>
                            <w:rFonts w:ascii="Times New Roman" w:hAnsi="Times New Roman"/>
                            <w:color w:val="000000" w:themeColor="text1"/>
                            <w:sz w:val="24"/>
                            <w:szCs w:val="24"/>
                          </w:rPr>
                          <w:t>Невизначеність</w:t>
                        </w:r>
                      </w:p>
                      <w:p w:rsidR="00F821E3" w:rsidRPr="00AD1F0D" w:rsidRDefault="00F821E3" w:rsidP="00AD1F0D">
                        <w:pPr>
                          <w:spacing w:after="0" w:line="240" w:lineRule="auto"/>
                          <w:jc w:val="center"/>
                          <w:rPr>
                            <w:rFonts w:ascii="Times New Roman" w:hAnsi="Times New Roman"/>
                            <w:color w:val="000000" w:themeColor="text1"/>
                            <w:sz w:val="24"/>
                            <w:szCs w:val="24"/>
                          </w:rPr>
                        </w:pPr>
                        <w:r w:rsidRPr="00AD1F0D">
                          <w:rPr>
                            <w:rFonts w:ascii="Times New Roman" w:hAnsi="Times New Roman"/>
                            <w:color w:val="000000" w:themeColor="text1"/>
                            <w:sz w:val="24"/>
                            <w:szCs w:val="24"/>
                          </w:rPr>
                          <w:t>«ліквідність</w:t>
                        </w:r>
                        <w:r>
                          <w:rPr>
                            <w:rFonts w:ascii="Times New Roman" w:hAnsi="Times New Roman"/>
                            <w:color w:val="000000" w:themeColor="text1"/>
                            <w:sz w:val="24"/>
                            <w:szCs w:val="24"/>
                          </w:rPr>
                          <w:t>-</w:t>
                        </w:r>
                        <w:r w:rsidRPr="00AD1F0D">
                          <w:rPr>
                            <w:rFonts w:ascii="Times New Roman" w:hAnsi="Times New Roman"/>
                            <w:color w:val="000000" w:themeColor="text1"/>
                            <w:sz w:val="24"/>
                            <w:szCs w:val="24"/>
                          </w:rPr>
                          <w:t>прибутковість»</w:t>
                        </w:r>
                      </w:p>
                    </w:txbxContent>
                  </v:textbox>
                </v:rect>
                <v:shape id="Прямая со стрелкой 146" o:spid="_x0000_s1117" type="#_x0000_t32" style="position:absolute;left:43053;top:17068;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" strokecolor="black [3200]" strokeweight=".5pt">
                  <v:stroke endarrow="block" joinstyle="miter"/>
                </v:shape>
                <v:rect id="Прямоугольник 147" o:spid="_x0000_s1118" style="position:absolute;left:31851;top:19583;width:21946;height:9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" fillcolor="white [3212]" strokecolor="black [3213]" strokeweight="1pt">
                  <v:textbox>
                    <w:txbxContent>
                      <w:p w:rsidR="00F821E3" w:rsidRPr="008B74D5" w:rsidRDefault="00F821E3" w:rsidP="008B74D5">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Негативна оцінка банку </w:t>
                        </w:r>
                        <w:r w:rsidRPr="008B74D5">
                          <w:rPr>
                            <w:rFonts w:ascii="Times New Roman" w:hAnsi="Times New Roman"/>
                            <w:color w:val="000000" w:themeColor="text1"/>
                            <w:sz w:val="24"/>
                            <w:szCs w:val="24"/>
                          </w:rPr>
                          <w:t>акціонерами через</w:t>
                        </w:r>
                      </w:p>
                      <w:p w:rsidR="00F821E3" w:rsidRPr="008B74D5" w:rsidRDefault="00F821E3" w:rsidP="008B74D5">
                        <w:pPr>
                          <w:spacing w:after="0" w:line="240" w:lineRule="auto"/>
                          <w:jc w:val="center"/>
                          <w:rPr>
                            <w:rFonts w:ascii="Times New Roman" w:hAnsi="Times New Roman"/>
                            <w:color w:val="000000" w:themeColor="text1"/>
                            <w:sz w:val="24"/>
                            <w:szCs w:val="24"/>
                          </w:rPr>
                        </w:pPr>
                        <w:r w:rsidRPr="008B74D5">
                          <w:rPr>
                            <w:rFonts w:ascii="Times New Roman" w:hAnsi="Times New Roman"/>
                            <w:color w:val="000000" w:themeColor="text1"/>
                            <w:sz w:val="24"/>
                            <w:szCs w:val="24"/>
                          </w:rPr>
                          <w:t>неповн</w:t>
                        </w:r>
                        <w:r>
                          <w:rPr>
                            <w:rFonts w:ascii="Times New Roman" w:hAnsi="Times New Roman"/>
                            <w:color w:val="000000" w:themeColor="text1"/>
                            <w:sz w:val="24"/>
                            <w:szCs w:val="24"/>
                          </w:rPr>
                          <w:t xml:space="preserve">істю використані можливості для </w:t>
                        </w:r>
                        <w:r w:rsidRPr="008B74D5">
                          <w:rPr>
                            <w:rFonts w:ascii="Times New Roman" w:hAnsi="Times New Roman"/>
                            <w:color w:val="000000" w:themeColor="text1"/>
                            <w:sz w:val="24"/>
                            <w:szCs w:val="24"/>
                          </w:rPr>
                          <w:t>отримання прибутку</w:t>
                        </w:r>
                      </w:p>
                    </w:txbxContent>
                  </v:textbox>
                </v:rect>
                <w10:anchorlock/>
              </v:group>
            </w:pict>
          </mc:Fallback>
        </mc:AlternateContent>
      </w:r>
    </w:p>
    <w:p w:rsidR="000D0B7F" w:rsidRPr="008B74D5" w:rsidRDefault="0014637F" w:rsidP="008B74D5">
      <w:pPr>
        <w:pStyle w:val="a4"/>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 1.6</w:t>
      </w:r>
      <w:r w:rsidR="008B74D5">
        <w:rPr>
          <w:rFonts w:ascii="Times New Roman" w:hAnsi="Times New Roman" w:cs="Times New Roman"/>
          <w:sz w:val="28"/>
          <w:szCs w:val="28"/>
        </w:rPr>
        <w:t xml:space="preserve">. </w:t>
      </w:r>
      <w:r w:rsidR="008B74D5" w:rsidRPr="008B74D5">
        <w:rPr>
          <w:rFonts w:ascii="Times New Roman" w:hAnsi="Times New Roman" w:cs="Times New Roman"/>
          <w:sz w:val="28"/>
          <w:szCs w:val="28"/>
        </w:rPr>
        <w:t>Визначення стану ліквідності банку</w:t>
      </w:r>
      <w:r w:rsidR="008B74D5">
        <w:rPr>
          <w:rFonts w:ascii="Times New Roman" w:hAnsi="Times New Roman" w:cs="Times New Roman"/>
          <w:sz w:val="28"/>
          <w:szCs w:val="28"/>
        </w:rPr>
        <w:t xml:space="preserve"> [21, с. 261]</w:t>
      </w:r>
    </w:p>
    <w:p w:rsidR="00110EE2" w:rsidRDefault="0059098D" w:rsidP="00110EE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Отже б</w:t>
      </w:r>
      <w:r w:rsidR="00110EE2">
        <w:rPr>
          <w:rFonts w:ascii="Times New Roman" w:hAnsi="Times New Roman" w:cs="Times New Roman"/>
          <w:sz w:val="28"/>
          <w:szCs w:val="28"/>
        </w:rPr>
        <w:t xml:space="preserve">азуючись на існуючих підходах визначення поняття «ліквідність банку», а також з урахуванням факторів впливу, структури ліквідних активів у </w:t>
      </w:r>
      <w:r w:rsidR="00110EE2">
        <w:rPr>
          <w:rFonts w:ascii="Times New Roman" w:hAnsi="Times New Roman" w:cs="Times New Roman"/>
          <w:sz w:val="28"/>
          <w:szCs w:val="28"/>
        </w:rPr>
        <w:lastRenderedPageBreak/>
        <w:t xml:space="preserve">монографії «Управління ліквідністю банківської системи України» </w:t>
      </w:r>
      <w:proofErr w:type="spellStart"/>
      <w:r w:rsidR="00110EE2">
        <w:rPr>
          <w:rFonts w:ascii="Times New Roman" w:hAnsi="Times New Roman" w:cs="Times New Roman"/>
          <w:sz w:val="28"/>
          <w:szCs w:val="28"/>
        </w:rPr>
        <w:t>Дзюблюком</w:t>
      </w:r>
      <w:proofErr w:type="spellEnd"/>
      <w:r w:rsidR="00110EE2">
        <w:rPr>
          <w:rFonts w:ascii="Times New Roman" w:hAnsi="Times New Roman" w:cs="Times New Roman"/>
          <w:sz w:val="28"/>
          <w:szCs w:val="28"/>
        </w:rPr>
        <w:t xml:space="preserve"> О. В., </w:t>
      </w:r>
      <w:proofErr w:type="spellStart"/>
      <w:r w:rsidR="00110EE2">
        <w:rPr>
          <w:rFonts w:ascii="Times New Roman" w:hAnsi="Times New Roman" w:cs="Times New Roman"/>
          <w:sz w:val="28"/>
          <w:szCs w:val="28"/>
        </w:rPr>
        <w:t>Руданом</w:t>
      </w:r>
      <w:proofErr w:type="spellEnd"/>
      <w:r w:rsidR="00110EE2">
        <w:rPr>
          <w:rFonts w:ascii="Times New Roman" w:hAnsi="Times New Roman" w:cs="Times New Roman"/>
          <w:sz w:val="28"/>
          <w:szCs w:val="28"/>
        </w:rPr>
        <w:t xml:space="preserve"> В. Я. було запропоновано власне визначення поняття «ліквідність банку»</w:t>
      </w:r>
      <w:r w:rsidR="00110EE2">
        <w:t xml:space="preserve"> </w:t>
      </w:r>
      <w:r w:rsidR="00110EE2">
        <w:rPr>
          <w:rFonts w:ascii="Times New Roman" w:hAnsi="Times New Roman" w:cs="Times New Roman"/>
          <w:sz w:val="28"/>
          <w:szCs w:val="28"/>
        </w:rPr>
        <w:t>у широкому та вузькому розумінні, яке, на наш погляд, є найбільш структурованим, змістовним та повною мірою відображає його економічну сутність.</w:t>
      </w:r>
    </w:p>
    <w:p w:rsidR="00110EE2" w:rsidRPr="00C00692" w:rsidRDefault="00110EE2" w:rsidP="00110EE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 «ліквідність комерційно</w:t>
      </w:r>
      <w:r w:rsidR="00574C41">
        <w:rPr>
          <w:rFonts w:ascii="Times New Roman" w:hAnsi="Times New Roman" w:cs="Times New Roman"/>
          <w:sz w:val="28"/>
          <w:szCs w:val="28"/>
        </w:rPr>
        <w:t>го банку» у широкому розумінні -</w:t>
      </w:r>
      <w:r>
        <w:rPr>
          <w:rFonts w:ascii="Times New Roman" w:hAnsi="Times New Roman" w:cs="Times New Roman"/>
          <w:sz w:val="28"/>
          <w:szCs w:val="28"/>
        </w:rPr>
        <w:t xml:space="preserve"> «це його спроможність без втрат або з мінімальними втратами виконувати зобов’язання за пасивними операціями відповідно до їх строковості, а також </w:t>
      </w:r>
      <w:proofErr w:type="spellStart"/>
      <w:r>
        <w:rPr>
          <w:rFonts w:ascii="Times New Roman" w:hAnsi="Times New Roman" w:cs="Times New Roman"/>
          <w:sz w:val="28"/>
          <w:szCs w:val="28"/>
        </w:rPr>
        <w:t>забалансові</w:t>
      </w:r>
      <w:proofErr w:type="spellEnd"/>
      <w:r>
        <w:rPr>
          <w:rFonts w:ascii="Times New Roman" w:hAnsi="Times New Roman" w:cs="Times New Roman"/>
          <w:sz w:val="28"/>
          <w:szCs w:val="28"/>
        </w:rPr>
        <w:t xml:space="preserve"> зобов’язання щодо деяких видів активів, зокрема надання кредитів» [2, с. 28]. Як </w:t>
      </w:r>
      <w:r w:rsidRPr="00C00692">
        <w:rPr>
          <w:rFonts w:ascii="Times New Roman" w:hAnsi="Times New Roman" w:cs="Times New Roman"/>
          <w:sz w:val="28"/>
          <w:szCs w:val="28"/>
        </w:rPr>
        <w:t xml:space="preserve">бачимо основною характеристикою «ліквідності банку» в даному випадку є час, тобто термін, за який банк має бути спроможним виконати свої зобов’язання (див. </w:t>
      </w:r>
      <w:r w:rsidR="00C00692" w:rsidRPr="00C00692">
        <w:rPr>
          <w:rFonts w:ascii="Times New Roman" w:hAnsi="Times New Roman" w:cs="Times New Roman"/>
          <w:sz w:val="28"/>
          <w:szCs w:val="28"/>
        </w:rPr>
        <w:t>рис. 1.6.</w:t>
      </w:r>
      <w:r w:rsidRPr="00C00692">
        <w:rPr>
          <w:rFonts w:ascii="Times New Roman" w:hAnsi="Times New Roman" w:cs="Times New Roman"/>
          <w:sz w:val="28"/>
          <w:szCs w:val="28"/>
        </w:rPr>
        <w:t xml:space="preserve">). «Ліквідність комерційного банку» у вузькому розумінні – «це такий стан активу і пасиву балансу банку, який дозволяє оперативно і в повному обсязі відповідати за своїми зобов’язаннями» [2, с. 28]. Розглядаючи «ліквідність банку» у вузькому розумінні основною характеристикою є «ліквідність балансу» (див. </w:t>
      </w:r>
      <w:r w:rsidR="0014637F">
        <w:rPr>
          <w:rFonts w:ascii="Times New Roman" w:hAnsi="Times New Roman" w:cs="Times New Roman"/>
          <w:sz w:val="28"/>
          <w:szCs w:val="28"/>
        </w:rPr>
        <w:t>рис. 1.7</w:t>
      </w:r>
      <w:r w:rsidRPr="00C00692">
        <w:rPr>
          <w:rFonts w:ascii="Times New Roman" w:hAnsi="Times New Roman" w:cs="Times New Roman"/>
          <w:sz w:val="28"/>
          <w:szCs w:val="28"/>
        </w:rPr>
        <w:t xml:space="preserve">). </w:t>
      </w:r>
    </w:p>
    <w:p w:rsidR="00110EE2" w:rsidRPr="00C00692" w:rsidRDefault="00110EE2" w:rsidP="00110EE2">
      <w:pPr>
        <w:pStyle w:val="a4"/>
        <w:spacing w:after="0" w:line="360" w:lineRule="auto"/>
        <w:ind w:left="0" w:firstLine="709"/>
        <w:jc w:val="center"/>
        <w:rPr>
          <w:rFonts w:ascii="Times New Roman" w:hAnsi="Times New Roman" w:cs="Times New Roman"/>
          <w:sz w:val="28"/>
          <w:szCs w:val="28"/>
        </w:rPr>
      </w:pPr>
      <w:r w:rsidRPr="00C00692">
        <w:rPr>
          <w:noProof/>
          <w:lang w:eastAsia="uk-UA"/>
        </w:rPr>
        <mc:AlternateContent>
          <mc:Choice Requires="wpc">
            <w:drawing>
              <wp:inline distT="0" distB="0" distL="0" distR="0">
                <wp:extent cx="4091940" cy="937260"/>
                <wp:effectExtent l="9525" t="0" r="3810" b="0"/>
                <wp:docPr id="71" name="Полотно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Прямоугольник 41"/>
                        <wps:cNvSpPr>
                          <a:spLocks noChangeArrowheads="1"/>
                        </wps:cNvSpPr>
                        <wps:spPr bwMode="auto">
                          <a:xfrm>
                            <a:off x="0" y="259017"/>
                            <a:ext cx="1002010" cy="510633"/>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F821E3" w:rsidRDefault="00F821E3" w:rsidP="00110EE2">
                              <w:pPr>
                                <w:jc w:val="center"/>
                                <w:rPr>
                                  <w:rFonts w:ascii="Times New Roman" w:hAnsi="Times New Roman"/>
                                  <w:color w:val="000000" w:themeColor="text1"/>
                                </w:rPr>
                              </w:pPr>
                              <w:r>
                                <w:rPr>
                                  <w:rFonts w:ascii="Times New Roman" w:hAnsi="Times New Roman"/>
                                  <w:color w:val="000000" w:themeColor="text1"/>
                                </w:rPr>
                                <w:t>Ліквідність банку</w:t>
                              </w:r>
                            </w:p>
                          </w:txbxContent>
                        </wps:txbx>
                        <wps:bodyPr rot="0" vert="horz" wrap="square" lIns="91440" tIns="45720" rIns="91440" bIns="45720" anchor="ctr" anchorCtr="0" upright="1">
                          <a:noAutofit/>
                        </wps:bodyPr>
                      </wps:wsp>
                      <wps:wsp>
                        <wps:cNvPr id="67" name="Прямая со стрелкой 42"/>
                        <wps:cNvCnPr>
                          <a:cxnSpLocks noChangeShapeType="1"/>
                        </wps:cNvCnPr>
                        <wps:spPr bwMode="auto">
                          <a:xfrm flipV="1">
                            <a:off x="1002010" y="259017"/>
                            <a:ext cx="868708" cy="221014"/>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8" name="Прямая со стрелкой 43"/>
                        <wps:cNvCnPr>
                          <a:cxnSpLocks noChangeShapeType="1"/>
                        </wps:cNvCnPr>
                        <wps:spPr bwMode="auto">
                          <a:xfrm>
                            <a:off x="1002010" y="518133"/>
                            <a:ext cx="868708" cy="175311"/>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9" name="Прямоугольник 44"/>
                        <wps:cNvSpPr>
                          <a:spLocks noChangeArrowheads="1"/>
                        </wps:cNvSpPr>
                        <wps:spPr bwMode="auto">
                          <a:xfrm>
                            <a:off x="1870718" y="106607"/>
                            <a:ext cx="1927819" cy="297219"/>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jc w:val="center"/>
                                <w:rPr>
                                  <w:rFonts w:ascii="Times New Roman" w:hAnsi="Times New Roman"/>
                                  <w:color w:val="000000" w:themeColor="text1"/>
                                  <w:sz w:val="24"/>
                                  <w:szCs w:val="24"/>
                                </w:rPr>
                              </w:pPr>
                              <w:r>
                                <w:rPr>
                                  <w:rFonts w:ascii="Times New Roman" w:hAnsi="Times New Roman"/>
                                  <w:color w:val="000000" w:themeColor="text1"/>
                                  <w:sz w:val="24"/>
                                  <w:szCs w:val="24"/>
                                </w:rPr>
                                <w:t>ліквідність як потік</w:t>
                              </w:r>
                            </w:p>
                          </w:txbxContent>
                        </wps:txbx>
                        <wps:bodyPr rot="0" vert="horz" wrap="square" lIns="91440" tIns="45720" rIns="91440" bIns="45720" anchor="ctr" anchorCtr="0" upright="1">
                          <a:noAutofit/>
                        </wps:bodyPr>
                      </wps:wsp>
                      <wps:wsp>
                        <wps:cNvPr id="70" name="Прямоугольник 45"/>
                        <wps:cNvSpPr>
                          <a:spLocks noChangeArrowheads="1"/>
                        </wps:cNvSpPr>
                        <wps:spPr bwMode="auto">
                          <a:xfrm>
                            <a:off x="1870718" y="561036"/>
                            <a:ext cx="1927819" cy="297119"/>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jc w:val="center"/>
                                <w:rPr>
                                  <w:rFonts w:ascii="Times New Roman" w:hAnsi="Times New Roman"/>
                                  <w:color w:val="000000" w:themeColor="text1"/>
                                  <w:sz w:val="24"/>
                                  <w:szCs w:val="24"/>
                                </w:rPr>
                              </w:pPr>
                              <w:r>
                                <w:rPr>
                                  <w:rFonts w:ascii="Times New Roman" w:hAnsi="Times New Roman"/>
                                  <w:color w:val="000000" w:themeColor="text1"/>
                                  <w:sz w:val="24"/>
                                  <w:szCs w:val="24"/>
                                </w:rPr>
                                <w:t>ліквідність як запас</w:t>
                              </w:r>
                            </w:p>
                          </w:txbxContent>
                        </wps:txbx>
                        <wps:bodyPr rot="0" vert="horz" wrap="square" lIns="91440" tIns="45720" rIns="91440" bIns="45720" anchor="ctr" anchorCtr="0" upright="1">
                          <a:noAutofit/>
                        </wps:bodyPr>
                      </wps:wsp>
                    </wpc:wpc>
                  </a:graphicData>
                </a:graphic>
              </wp:inline>
            </w:drawing>
          </mc:Choice>
          <mc:Fallback>
            <w:pict>
              <v:group id="Полотно 71" o:spid="_x0000_s1119" editas="canvas" style="width:322.2pt;height:73.8pt;mso-position-horizontal-relative:char;mso-position-vertical-relative:line" coordsize="40919,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">
                <v:shape id="_x0000_s1120" type="#_x0000_t75" style="position:absolute;width:40919;height:9372;visibility:visible;mso-wrap-style:square">
                  <v:fill o:detectmouseclick="t"/>
                  <v:path o:connecttype="none"/>
                </v:shape>
                <v:rect id="Прямоугольник 41" o:spid="_x0000_s1121" style="position:absolute;top:2590;width:10020;height:5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" fillcolor="white [3201]" strokecolor="black [3213]" strokeweight="1pt">
                  <v:textbox>
                    <w:txbxContent>
                      <w:p w:rsidR="00F821E3" w:rsidRDefault="00F821E3" w:rsidP="00110EE2">
                        <w:pPr>
                          <w:jc w:val="center"/>
                          <w:rPr>
                            <w:rFonts w:ascii="Times New Roman" w:hAnsi="Times New Roman"/>
                            <w:color w:val="000000" w:themeColor="text1"/>
                          </w:rPr>
                        </w:pPr>
                        <w:r>
                          <w:rPr>
                            <w:rFonts w:ascii="Times New Roman" w:hAnsi="Times New Roman"/>
                            <w:color w:val="000000" w:themeColor="text1"/>
                          </w:rPr>
                          <w:t>Ліквідність банку</w:t>
                        </w:r>
                      </w:p>
                    </w:txbxContent>
                  </v:textbox>
                </v:rect>
                <v:shape id="Прямая со стрелкой 42" o:spid="_x0000_s1122" type="#_x0000_t32" style="position:absolute;left:10020;top:2590;width:8687;height:2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" strokecolor="black [3200]" strokeweight=".5pt">
                  <v:stroke endarrow="block" joinstyle="miter"/>
                </v:shape>
                <v:shape id="Прямая со стрелкой 43" o:spid="_x0000_s1123" type="#_x0000_t32" style="position:absolute;left:10020;top:5181;width:8687;height:1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" strokecolor="black [3200]" strokeweight=".5pt">
                  <v:stroke endarrow="block" joinstyle="miter"/>
                </v:shape>
                <v:rect id="Прямоугольник 44" o:spid="_x0000_s1124" style="position:absolute;left:18707;top:1066;width:1927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" fillcolor="white [3212]" strokecolor="black [3213]" strokeweight="1pt">
                  <v:textbox>
                    <w:txbxContent>
                      <w:p w:rsidR="00F821E3" w:rsidRDefault="00F821E3" w:rsidP="00110EE2">
                        <w:pPr>
                          <w:jc w:val="center"/>
                          <w:rPr>
                            <w:rFonts w:ascii="Times New Roman" w:hAnsi="Times New Roman"/>
                            <w:color w:val="000000" w:themeColor="text1"/>
                            <w:sz w:val="24"/>
                            <w:szCs w:val="24"/>
                          </w:rPr>
                        </w:pPr>
                        <w:r>
                          <w:rPr>
                            <w:rFonts w:ascii="Times New Roman" w:hAnsi="Times New Roman"/>
                            <w:color w:val="000000" w:themeColor="text1"/>
                            <w:sz w:val="24"/>
                            <w:szCs w:val="24"/>
                          </w:rPr>
                          <w:t>ліквідність як потік</w:t>
                        </w:r>
                      </w:p>
                    </w:txbxContent>
                  </v:textbox>
                </v:rect>
                <v:rect id="Прямоугольник 45" o:spid="_x0000_s1125" style="position:absolute;left:18707;top:5610;width:19278;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" fillcolor="white [3212]" strokecolor="black [3213]" strokeweight="1pt">
                  <v:textbox>
                    <w:txbxContent>
                      <w:p w:rsidR="00F821E3" w:rsidRDefault="00F821E3" w:rsidP="00110EE2">
                        <w:pPr>
                          <w:jc w:val="center"/>
                          <w:rPr>
                            <w:rFonts w:ascii="Times New Roman" w:hAnsi="Times New Roman"/>
                            <w:color w:val="000000" w:themeColor="text1"/>
                            <w:sz w:val="24"/>
                            <w:szCs w:val="24"/>
                          </w:rPr>
                        </w:pPr>
                        <w:r>
                          <w:rPr>
                            <w:rFonts w:ascii="Times New Roman" w:hAnsi="Times New Roman"/>
                            <w:color w:val="000000" w:themeColor="text1"/>
                            <w:sz w:val="24"/>
                            <w:szCs w:val="24"/>
                          </w:rPr>
                          <w:t>ліквідність як запас</w:t>
                        </w:r>
                      </w:p>
                    </w:txbxContent>
                  </v:textbox>
                </v:rect>
                <w10:anchorlock/>
              </v:group>
            </w:pict>
          </mc:Fallback>
        </mc:AlternateContent>
      </w:r>
    </w:p>
    <w:p w:rsidR="00110EE2" w:rsidRDefault="0014637F" w:rsidP="00110EE2">
      <w:pPr>
        <w:pStyle w:val="a4"/>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 1.7</w:t>
      </w:r>
      <w:r w:rsidR="00110EE2" w:rsidRPr="00C00692">
        <w:rPr>
          <w:rFonts w:ascii="Times New Roman" w:hAnsi="Times New Roman" w:cs="Times New Roman"/>
          <w:sz w:val="28"/>
          <w:szCs w:val="28"/>
        </w:rPr>
        <w:t>. Основні</w:t>
      </w:r>
      <w:r w:rsidR="00110EE2">
        <w:rPr>
          <w:rFonts w:ascii="Times New Roman" w:hAnsi="Times New Roman" w:cs="Times New Roman"/>
          <w:sz w:val="28"/>
          <w:szCs w:val="28"/>
        </w:rPr>
        <w:t xml:space="preserve"> характеристики «ліквідності банку» в залежності від сенсу розуміння [2, с. 28]</w:t>
      </w:r>
    </w:p>
    <w:p w:rsidR="00110EE2" w:rsidRDefault="00110EE2" w:rsidP="007606D9">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Акцентуємо, що «ліквідність комерційного банку» в світовій банківській теорії та практиці також розуміють як запас, або потік. Отже, ліквідність-запас є характеристикою ліквідності банку на даний момент, тобто відображає наявність ресурсів для задоволення зобов’язань в конкретно визначений період. А от ліквідність-потік є характеристикою майбутнього, тобто надає можливість здійснити прогноз змін.</w:t>
      </w:r>
    </w:p>
    <w:p w:rsidR="00110EE2" w:rsidRDefault="00110EE2" w:rsidP="007606D9">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Ґрунтуючись на проведеному дослідженні вважаємо, що саме розуміння «ліквідності банку» у широкому та вузькому сенсі дозволить розробити оптимальні підходи до її управління та ефективно застосовувати їх на практиці.</w:t>
      </w:r>
    </w:p>
    <w:p w:rsidR="00110EE2" w:rsidRDefault="00110EE2" w:rsidP="00110EE2">
      <w:pPr>
        <w:pStyle w:val="a4"/>
        <w:numPr>
          <w:ilvl w:val="1"/>
          <w:numId w:val="1"/>
        </w:numPr>
        <w:spacing w:after="0" w:line="360" w:lineRule="auto"/>
        <w:jc w:val="both"/>
        <w:rPr>
          <w:rFonts w:ascii="Times New Roman" w:hAnsi="Times New Roman" w:cs="Times New Roman"/>
          <w:sz w:val="28"/>
          <w:szCs w:val="28"/>
        </w:rPr>
      </w:pPr>
      <w:r w:rsidRPr="004F1B21">
        <w:rPr>
          <w:rFonts w:ascii="Times New Roman" w:hAnsi="Times New Roman" w:cs="Times New Roman"/>
          <w:sz w:val="28"/>
          <w:szCs w:val="28"/>
        </w:rPr>
        <w:lastRenderedPageBreak/>
        <w:t>Основні підходи до оцінки ліквідності комерційного банку</w:t>
      </w:r>
    </w:p>
    <w:p w:rsidR="004F1B21" w:rsidRPr="004F1B21" w:rsidRDefault="004F1B21" w:rsidP="004F1B21">
      <w:pPr>
        <w:pStyle w:val="a4"/>
        <w:spacing w:after="0" w:line="360" w:lineRule="auto"/>
        <w:ind w:left="1489"/>
        <w:jc w:val="both"/>
        <w:rPr>
          <w:rFonts w:ascii="Times New Roman" w:hAnsi="Times New Roman" w:cs="Times New Roman"/>
          <w:sz w:val="28"/>
          <w:szCs w:val="28"/>
        </w:rPr>
      </w:pPr>
    </w:p>
    <w:p w:rsidR="00BE23CB" w:rsidRDefault="00110EE2" w:rsidP="007606D9">
      <w:pPr>
        <w:spacing w:after="0" w:line="367" w:lineRule="auto"/>
        <w:ind w:firstLine="709"/>
        <w:jc w:val="both"/>
        <w:rPr>
          <w:rFonts w:ascii="Times New Roman" w:hAnsi="Times New Roman"/>
          <w:sz w:val="28"/>
          <w:szCs w:val="28"/>
        </w:rPr>
      </w:pPr>
      <w:r>
        <w:rPr>
          <w:rFonts w:ascii="Times New Roman" w:hAnsi="Times New Roman"/>
          <w:sz w:val="28"/>
          <w:szCs w:val="28"/>
        </w:rPr>
        <w:t xml:space="preserve">Розглянувши дефініцію поняття та економічну сутність «ліквідність </w:t>
      </w:r>
      <w:r w:rsidR="001871EE">
        <w:rPr>
          <w:rFonts w:ascii="Times New Roman" w:hAnsi="Times New Roman"/>
          <w:sz w:val="28"/>
          <w:szCs w:val="28"/>
        </w:rPr>
        <w:t xml:space="preserve">комерційного </w:t>
      </w:r>
      <w:r>
        <w:rPr>
          <w:rFonts w:ascii="Times New Roman" w:hAnsi="Times New Roman"/>
          <w:sz w:val="28"/>
          <w:szCs w:val="28"/>
        </w:rPr>
        <w:t xml:space="preserve">банку» вважаємо, що варто зупинитись на визначенні основних підходів до її оцінки. </w:t>
      </w:r>
    </w:p>
    <w:p w:rsidR="00110EE2" w:rsidRDefault="00110EE2" w:rsidP="007606D9">
      <w:pPr>
        <w:spacing w:after="0" w:line="367" w:lineRule="auto"/>
        <w:ind w:firstLine="709"/>
        <w:jc w:val="both"/>
        <w:rPr>
          <w:rFonts w:ascii="Times New Roman" w:hAnsi="Times New Roman"/>
          <w:sz w:val="28"/>
          <w:szCs w:val="28"/>
        </w:rPr>
      </w:pPr>
      <w:r>
        <w:rPr>
          <w:rFonts w:ascii="Times New Roman" w:hAnsi="Times New Roman"/>
          <w:sz w:val="28"/>
          <w:szCs w:val="28"/>
        </w:rPr>
        <w:t>Одним з основних етапів управління ліквідністю банка є оцінка</w:t>
      </w:r>
      <w:r w:rsidR="00BE23CB">
        <w:rPr>
          <w:rFonts w:ascii="Times New Roman" w:hAnsi="Times New Roman"/>
          <w:sz w:val="28"/>
          <w:szCs w:val="28"/>
        </w:rPr>
        <w:t xml:space="preserve"> (аналіз),</w:t>
      </w:r>
      <w:r>
        <w:rPr>
          <w:rFonts w:ascii="Times New Roman" w:hAnsi="Times New Roman"/>
          <w:sz w:val="28"/>
          <w:szCs w:val="28"/>
        </w:rPr>
        <w:t xml:space="preserve"> прогнозування</w:t>
      </w:r>
      <w:r w:rsidR="00BE23CB">
        <w:rPr>
          <w:rFonts w:ascii="Times New Roman" w:hAnsi="Times New Roman"/>
          <w:sz w:val="28"/>
          <w:szCs w:val="28"/>
        </w:rPr>
        <w:t>, управління</w:t>
      </w:r>
      <w:r>
        <w:rPr>
          <w:rFonts w:ascii="Times New Roman" w:hAnsi="Times New Roman"/>
          <w:sz w:val="28"/>
          <w:szCs w:val="28"/>
        </w:rPr>
        <w:t>. Аналіз, оцінка та управління тісно пов’язані між собою, проте завдання щодо них можуть відрізнятись в залежності від цілей – підвищення прибутку, прийняття рішень, відповідності загальним нормативам Національного банку України та інші.</w:t>
      </w:r>
    </w:p>
    <w:p w:rsidR="00BE23CB" w:rsidRDefault="00BE23CB" w:rsidP="007606D9">
      <w:pPr>
        <w:spacing w:after="0" w:line="367" w:lineRule="auto"/>
        <w:ind w:firstLine="709"/>
        <w:jc w:val="both"/>
        <w:rPr>
          <w:rFonts w:ascii="Times New Roman" w:hAnsi="Times New Roman"/>
          <w:sz w:val="28"/>
          <w:szCs w:val="28"/>
        </w:rPr>
      </w:pPr>
      <w:r w:rsidRPr="00BE23CB">
        <w:rPr>
          <w:rFonts w:ascii="Times New Roman" w:hAnsi="Times New Roman"/>
          <w:sz w:val="28"/>
          <w:szCs w:val="28"/>
        </w:rPr>
        <w:t>Проблема забезпечення ефективного аналізу банківської ліквідності є надзвичайно важливою для усієї б</w:t>
      </w:r>
      <w:r>
        <w:rPr>
          <w:rFonts w:ascii="Times New Roman" w:hAnsi="Times New Roman"/>
          <w:sz w:val="28"/>
          <w:szCs w:val="28"/>
        </w:rPr>
        <w:t>анківської системи, оскільки за умов недосконалого управління ліквідністю грошово-кредитна політика</w:t>
      </w:r>
      <w:r w:rsidRPr="00BE23CB">
        <w:rPr>
          <w:rFonts w:ascii="Times New Roman" w:hAnsi="Times New Roman"/>
          <w:sz w:val="28"/>
          <w:szCs w:val="28"/>
        </w:rPr>
        <w:t xml:space="preserve"> може вплинути на кредитну пропозицію банків через канал банківського кредитування</w:t>
      </w:r>
      <w:r>
        <w:rPr>
          <w:rFonts w:ascii="Times New Roman" w:hAnsi="Times New Roman"/>
          <w:sz w:val="28"/>
          <w:szCs w:val="28"/>
        </w:rPr>
        <w:t xml:space="preserve"> [28</w:t>
      </w:r>
      <w:r w:rsidRPr="00BE23CB">
        <w:rPr>
          <w:rFonts w:ascii="Times New Roman" w:hAnsi="Times New Roman"/>
          <w:sz w:val="28"/>
          <w:szCs w:val="28"/>
        </w:rPr>
        <w:t xml:space="preserve">, с. </w:t>
      </w:r>
      <w:r>
        <w:rPr>
          <w:rFonts w:ascii="Times New Roman" w:hAnsi="Times New Roman"/>
          <w:sz w:val="28"/>
          <w:szCs w:val="28"/>
        </w:rPr>
        <w:t>179</w:t>
      </w:r>
      <w:r w:rsidRPr="00BE23CB">
        <w:rPr>
          <w:rFonts w:ascii="Times New Roman" w:hAnsi="Times New Roman"/>
          <w:sz w:val="28"/>
          <w:szCs w:val="28"/>
        </w:rPr>
        <w:t>].</w:t>
      </w:r>
    </w:p>
    <w:p w:rsidR="00110EE2" w:rsidRDefault="00110EE2" w:rsidP="007606D9">
      <w:pPr>
        <w:spacing w:after="0" w:line="367" w:lineRule="auto"/>
        <w:ind w:firstLine="709"/>
        <w:jc w:val="both"/>
        <w:rPr>
          <w:rFonts w:ascii="Times New Roman" w:hAnsi="Times New Roman"/>
          <w:sz w:val="28"/>
          <w:szCs w:val="28"/>
        </w:rPr>
      </w:pPr>
      <w:r>
        <w:rPr>
          <w:rFonts w:ascii="Times New Roman" w:hAnsi="Times New Roman"/>
          <w:sz w:val="28"/>
          <w:szCs w:val="28"/>
        </w:rPr>
        <w:t>Як слушно зазначають Ларіонова К. Л., Донченко Т. В.: «Аналіз ліквідності банку є процесом дослідження чинників, які впливають на рівень його ліквідності в динаміці, який відносять до складової механізму управління ліквідністю банку. Це відбувається для виявлення відхилень від планових або нормативних значень та безпосереднього визначення впливу отриманих відхилень на діяльність банку загалом. Отримані обґрунтовані результати створюють основу для оцінки ризиків діяльності банку, прийняття правильних управлінських рішень та є підґрунтям для планування ефективної політики банку щодо залучення та роз</w:t>
      </w:r>
      <w:r w:rsidR="00265D6C">
        <w:rPr>
          <w:rFonts w:ascii="Times New Roman" w:hAnsi="Times New Roman"/>
          <w:sz w:val="28"/>
          <w:szCs w:val="28"/>
        </w:rPr>
        <w:t>міщення фінансових ресурсів» [29</w:t>
      </w:r>
      <w:r>
        <w:rPr>
          <w:rFonts w:ascii="Times New Roman" w:hAnsi="Times New Roman"/>
          <w:sz w:val="28"/>
          <w:szCs w:val="28"/>
        </w:rPr>
        <w:t>, с. 77].</w:t>
      </w:r>
    </w:p>
    <w:p w:rsidR="00110EE2" w:rsidRDefault="00110EE2" w:rsidP="007606D9">
      <w:pPr>
        <w:spacing w:after="0" w:line="367" w:lineRule="auto"/>
        <w:ind w:firstLine="709"/>
        <w:jc w:val="both"/>
        <w:rPr>
          <w:rFonts w:ascii="Times New Roman" w:hAnsi="Times New Roman"/>
          <w:sz w:val="28"/>
          <w:szCs w:val="28"/>
        </w:rPr>
      </w:pPr>
      <w:r>
        <w:rPr>
          <w:rFonts w:ascii="Times New Roman" w:hAnsi="Times New Roman"/>
          <w:sz w:val="28"/>
          <w:szCs w:val="28"/>
        </w:rPr>
        <w:t xml:space="preserve">До основних цілей аналізу ліквідності банку можна віднести наступні: </w:t>
      </w:r>
    </w:p>
    <w:p w:rsidR="00110EE2" w:rsidRDefault="00110EE2" w:rsidP="007606D9">
      <w:pPr>
        <w:spacing w:after="0" w:line="367" w:lineRule="auto"/>
        <w:ind w:firstLine="709"/>
        <w:jc w:val="both"/>
        <w:rPr>
          <w:rFonts w:ascii="Times New Roman" w:hAnsi="Times New Roman"/>
          <w:sz w:val="28"/>
          <w:szCs w:val="28"/>
        </w:rPr>
      </w:pPr>
      <w:r>
        <w:rPr>
          <w:rFonts w:ascii="Times New Roman" w:hAnsi="Times New Roman"/>
          <w:sz w:val="28"/>
          <w:szCs w:val="28"/>
        </w:rPr>
        <w:t>«- виявлення факторів негативного впливу на ліквідність банку та банківської системи;</w:t>
      </w:r>
    </w:p>
    <w:p w:rsidR="00110EE2" w:rsidRDefault="00110EE2" w:rsidP="007606D9">
      <w:pPr>
        <w:spacing w:after="0" w:line="367" w:lineRule="auto"/>
        <w:ind w:firstLine="709"/>
        <w:jc w:val="both"/>
        <w:rPr>
          <w:rFonts w:ascii="Times New Roman" w:hAnsi="Times New Roman"/>
          <w:sz w:val="28"/>
          <w:szCs w:val="28"/>
        </w:rPr>
      </w:pPr>
      <w:r>
        <w:rPr>
          <w:rFonts w:ascii="Times New Roman" w:hAnsi="Times New Roman"/>
          <w:sz w:val="28"/>
          <w:szCs w:val="28"/>
        </w:rPr>
        <w:t>- уточнення розрахункової системи оціночних коефіцієнтів, виявлення можливих прорахунків при розрахунку та усунення даних проблем;</w:t>
      </w:r>
    </w:p>
    <w:p w:rsidR="00110EE2" w:rsidRDefault="00110EE2" w:rsidP="007606D9">
      <w:pPr>
        <w:spacing w:after="0" w:line="367" w:lineRule="auto"/>
        <w:ind w:firstLine="709"/>
        <w:jc w:val="both"/>
        <w:rPr>
          <w:rFonts w:ascii="Times New Roman" w:hAnsi="Times New Roman"/>
          <w:sz w:val="28"/>
          <w:szCs w:val="28"/>
        </w:rPr>
      </w:pPr>
      <w:r>
        <w:rPr>
          <w:rFonts w:ascii="Times New Roman" w:hAnsi="Times New Roman"/>
          <w:sz w:val="28"/>
          <w:szCs w:val="28"/>
        </w:rPr>
        <w:lastRenderedPageBreak/>
        <w:t>- виявлення реальних або потенційних негативних тенденцій погіршення ліквідності балансу банку і прийняття відповідних заходів щодо їх зміни;</w:t>
      </w:r>
    </w:p>
    <w:p w:rsidR="00110EE2" w:rsidRDefault="00110EE2" w:rsidP="007606D9">
      <w:pPr>
        <w:spacing w:after="0" w:line="367" w:lineRule="auto"/>
        <w:ind w:firstLine="709"/>
        <w:jc w:val="both"/>
        <w:rPr>
          <w:rFonts w:ascii="Times New Roman" w:hAnsi="Times New Roman"/>
          <w:sz w:val="28"/>
          <w:szCs w:val="28"/>
        </w:rPr>
      </w:pPr>
      <w:r>
        <w:rPr>
          <w:rFonts w:ascii="Times New Roman" w:hAnsi="Times New Roman"/>
          <w:sz w:val="28"/>
          <w:szCs w:val="28"/>
        </w:rPr>
        <w:t>- формування аналітичних матеріалів про стан ліквідності банку;</w:t>
      </w:r>
    </w:p>
    <w:p w:rsidR="00110EE2" w:rsidRDefault="00110EE2" w:rsidP="007606D9">
      <w:pPr>
        <w:spacing w:after="0" w:line="367" w:lineRule="auto"/>
        <w:ind w:firstLine="709"/>
        <w:jc w:val="both"/>
        <w:rPr>
          <w:rFonts w:ascii="Times New Roman" w:hAnsi="Times New Roman"/>
          <w:sz w:val="28"/>
          <w:szCs w:val="28"/>
        </w:rPr>
      </w:pPr>
      <w:r>
        <w:rPr>
          <w:rFonts w:ascii="Times New Roman" w:hAnsi="Times New Roman"/>
          <w:sz w:val="28"/>
          <w:szCs w:val="28"/>
        </w:rPr>
        <w:t>- вироблення рекомендацій відносно управління банком і визначення стратегії розвитку з врах</w:t>
      </w:r>
      <w:r w:rsidR="00265D6C">
        <w:rPr>
          <w:rFonts w:ascii="Times New Roman" w:hAnsi="Times New Roman"/>
          <w:sz w:val="28"/>
          <w:szCs w:val="28"/>
        </w:rPr>
        <w:t>уванням результатів аналізу» [30</w:t>
      </w:r>
      <w:r>
        <w:rPr>
          <w:rFonts w:ascii="Times New Roman" w:hAnsi="Times New Roman"/>
          <w:sz w:val="28"/>
          <w:szCs w:val="28"/>
        </w:rPr>
        <w:t>, c. 246].</w:t>
      </w:r>
    </w:p>
    <w:p w:rsidR="00110EE2" w:rsidRDefault="00110EE2" w:rsidP="007606D9">
      <w:pPr>
        <w:spacing w:after="0" w:line="367" w:lineRule="auto"/>
        <w:ind w:firstLine="709"/>
        <w:jc w:val="both"/>
        <w:rPr>
          <w:rFonts w:ascii="Times New Roman" w:hAnsi="Times New Roman"/>
          <w:sz w:val="28"/>
          <w:szCs w:val="28"/>
        </w:rPr>
      </w:pPr>
      <w:r>
        <w:rPr>
          <w:rFonts w:ascii="Times New Roman" w:hAnsi="Times New Roman"/>
          <w:sz w:val="28"/>
          <w:szCs w:val="28"/>
        </w:rPr>
        <w:t>На підставі аналізу сучасної наукової літератури зауважимо, що на сьогодні відсутній єдиний підхід щодо аналізу ліквідності банку, проте присутня єдність основних напрямів та етапів різних методик його проведень та вони можуть бути сформовані в наступний алгоритм (див</w:t>
      </w:r>
      <w:r w:rsidR="002700E3">
        <w:rPr>
          <w:rFonts w:ascii="Times New Roman" w:hAnsi="Times New Roman"/>
          <w:sz w:val="28"/>
          <w:szCs w:val="28"/>
        </w:rPr>
        <w:t>. рис. 1.8</w:t>
      </w:r>
      <w:r w:rsidRPr="00384B0D">
        <w:rPr>
          <w:rFonts w:ascii="Times New Roman" w:hAnsi="Times New Roman"/>
          <w:sz w:val="28"/>
          <w:szCs w:val="28"/>
        </w:rPr>
        <w:t>.).</w:t>
      </w:r>
    </w:p>
    <w:p w:rsidR="00110EE2" w:rsidRDefault="00110EE2" w:rsidP="00110EE2">
      <w:pPr>
        <w:spacing w:after="0" w:line="360" w:lineRule="auto"/>
        <w:jc w:val="both"/>
        <w:rPr>
          <w:rFonts w:ascii="Times New Roman" w:hAnsi="Times New Roman"/>
          <w:sz w:val="28"/>
          <w:szCs w:val="28"/>
        </w:rPr>
      </w:pPr>
      <w:r>
        <w:rPr>
          <w:rFonts w:asciiTheme="minorHAnsi" w:hAnsiTheme="minorHAnsi" w:cstheme="minorBidi"/>
          <w:noProof/>
          <w:lang w:eastAsia="uk-UA"/>
        </w:rPr>
        <mc:AlternateContent>
          <mc:Choice Requires="wpc">
            <w:drawing>
              <wp:inline distT="0" distB="0" distL="0" distR="0">
                <wp:extent cx="6156960" cy="3284220"/>
                <wp:effectExtent l="0" t="0" r="0" b="0"/>
                <wp:docPr id="65" name="Полотно 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 name="Скругленный прямоугольник 49"/>
                        <wps:cNvSpPr>
                          <a:spLocks noChangeArrowheads="1"/>
                        </wps:cNvSpPr>
                        <wps:spPr bwMode="auto">
                          <a:xfrm>
                            <a:off x="30400" y="152343"/>
                            <a:ext cx="1150711" cy="358209"/>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jc w:val="center"/>
                                <w:rPr>
                                  <w:rFonts w:ascii="Times New Roman" w:hAnsi="Times New Roman"/>
                                  <w:color w:val="000000" w:themeColor="text1"/>
                                  <w:sz w:val="28"/>
                                  <w:szCs w:val="28"/>
                                </w:rPr>
                              </w:pPr>
                              <w:r>
                                <w:rPr>
                                  <w:rFonts w:ascii="Times New Roman" w:hAnsi="Times New Roman"/>
                                  <w:color w:val="000000" w:themeColor="text1"/>
                                  <w:sz w:val="28"/>
                                  <w:szCs w:val="28"/>
                                </w:rPr>
                                <w:t>1 етап</w:t>
                              </w:r>
                            </w:p>
                          </w:txbxContent>
                        </wps:txbx>
                        <wps:bodyPr rot="0" vert="horz" wrap="square" lIns="91440" tIns="45720" rIns="91440" bIns="45720" anchor="ctr" anchorCtr="0" upright="1">
                          <a:noAutofit/>
                        </wps:bodyPr>
                      </wps:wsp>
                      <wps:wsp>
                        <wps:cNvPr id="47" name="Скругленный прямоугольник 50"/>
                        <wps:cNvSpPr>
                          <a:spLocks noChangeArrowheads="1"/>
                        </wps:cNvSpPr>
                        <wps:spPr bwMode="auto">
                          <a:xfrm>
                            <a:off x="30400" y="789559"/>
                            <a:ext cx="1150711" cy="358209"/>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pStyle w:val="a3"/>
                                <w:spacing w:before="0" w:beforeAutospacing="0" w:after="160" w:afterAutospacing="0" w:line="254" w:lineRule="auto"/>
                                <w:jc w:val="center"/>
                              </w:pPr>
                              <w:r>
                                <w:rPr>
                                  <w:rFonts w:eastAsia="Calibri"/>
                                  <w:color w:val="000000"/>
                                  <w:sz w:val="28"/>
                                  <w:szCs w:val="28"/>
                                </w:rPr>
                                <w:t>2 етап</w:t>
                              </w:r>
                            </w:p>
                          </w:txbxContent>
                        </wps:txbx>
                        <wps:bodyPr rot="0" vert="horz" wrap="square" lIns="91440" tIns="45720" rIns="91440" bIns="45720" anchor="ctr" anchorCtr="0" upright="1">
                          <a:noAutofit/>
                        </wps:bodyPr>
                      </wps:wsp>
                      <wps:wsp>
                        <wps:cNvPr id="48" name="Скругленный прямоугольник 51"/>
                        <wps:cNvSpPr>
                          <a:spLocks noChangeArrowheads="1"/>
                        </wps:cNvSpPr>
                        <wps:spPr bwMode="auto">
                          <a:xfrm>
                            <a:off x="30400" y="1422076"/>
                            <a:ext cx="1150711" cy="358109"/>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pStyle w:val="a3"/>
                                <w:spacing w:before="0" w:beforeAutospacing="0" w:after="160" w:afterAutospacing="0" w:line="254" w:lineRule="auto"/>
                                <w:jc w:val="center"/>
                              </w:pPr>
                              <w:r>
                                <w:rPr>
                                  <w:rFonts w:eastAsia="Calibri"/>
                                  <w:color w:val="000000"/>
                                  <w:sz w:val="28"/>
                                  <w:szCs w:val="28"/>
                                </w:rPr>
                                <w:t>3 етап</w:t>
                              </w:r>
                            </w:p>
                          </w:txbxContent>
                        </wps:txbx>
                        <wps:bodyPr rot="0" vert="horz" wrap="square" lIns="91440" tIns="45720" rIns="91440" bIns="45720" anchor="ctr" anchorCtr="0" upright="1">
                          <a:noAutofit/>
                        </wps:bodyPr>
                      </wps:wsp>
                      <wps:wsp>
                        <wps:cNvPr id="49" name="Скругленный прямоугольник 52"/>
                        <wps:cNvSpPr>
                          <a:spLocks noChangeArrowheads="1"/>
                        </wps:cNvSpPr>
                        <wps:spPr bwMode="auto">
                          <a:xfrm>
                            <a:off x="30400" y="2046892"/>
                            <a:ext cx="1150711" cy="358209"/>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pStyle w:val="a3"/>
                                <w:spacing w:before="0" w:beforeAutospacing="0" w:after="160" w:afterAutospacing="0" w:line="254" w:lineRule="auto"/>
                                <w:jc w:val="center"/>
                              </w:pPr>
                              <w:r>
                                <w:rPr>
                                  <w:rFonts w:eastAsia="Calibri"/>
                                  <w:color w:val="000000"/>
                                  <w:sz w:val="28"/>
                                  <w:szCs w:val="28"/>
                                </w:rPr>
                                <w:t>4 етап</w:t>
                              </w:r>
                            </w:p>
                          </w:txbxContent>
                        </wps:txbx>
                        <wps:bodyPr rot="0" vert="horz" wrap="square" lIns="91440" tIns="45720" rIns="91440" bIns="45720" anchor="ctr" anchorCtr="0" upright="1">
                          <a:noAutofit/>
                        </wps:bodyPr>
                      </wps:wsp>
                      <wps:wsp>
                        <wps:cNvPr id="50" name="Скругленный прямоугольник 53"/>
                        <wps:cNvSpPr>
                          <a:spLocks noChangeArrowheads="1"/>
                        </wps:cNvSpPr>
                        <wps:spPr bwMode="auto">
                          <a:xfrm>
                            <a:off x="30400" y="2671808"/>
                            <a:ext cx="1150711" cy="358109"/>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pStyle w:val="a3"/>
                                <w:spacing w:before="0" w:beforeAutospacing="0" w:after="160" w:afterAutospacing="0" w:line="254" w:lineRule="auto"/>
                                <w:jc w:val="center"/>
                              </w:pPr>
                              <w:r>
                                <w:rPr>
                                  <w:rFonts w:eastAsia="Calibri"/>
                                  <w:color w:val="000000"/>
                                  <w:sz w:val="28"/>
                                  <w:szCs w:val="28"/>
                                </w:rPr>
                                <w:t>5 етап</w:t>
                              </w:r>
                            </w:p>
                          </w:txbxContent>
                        </wps:txbx>
                        <wps:bodyPr rot="0" vert="horz" wrap="square" lIns="91440" tIns="45720" rIns="91440" bIns="45720" anchor="ctr" anchorCtr="0" upright="1">
                          <a:noAutofit/>
                        </wps:bodyPr>
                      </wps:wsp>
                      <wps:wsp>
                        <wps:cNvPr id="51" name="Скругленный прямоугольник 54"/>
                        <wps:cNvSpPr>
                          <a:spLocks noChangeArrowheads="1"/>
                        </wps:cNvSpPr>
                        <wps:spPr bwMode="auto">
                          <a:xfrm>
                            <a:off x="1493515" y="106641"/>
                            <a:ext cx="4114840" cy="487713"/>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Оцінка фінансового стану банку з точки зору його</w:t>
                              </w:r>
                            </w:p>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ліквідності</w:t>
                              </w:r>
                            </w:p>
                          </w:txbxContent>
                        </wps:txbx>
                        <wps:bodyPr rot="0" vert="horz" wrap="square" lIns="91440" tIns="45720" rIns="91440" bIns="45720" anchor="ctr" anchorCtr="0" upright="1">
                          <a:noAutofit/>
                        </wps:bodyPr>
                      </wps:wsp>
                      <wps:wsp>
                        <wps:cNvPr id="52" name="Скругленный прямоугольник 55"/>
                        <wps:cNvSpPr>
                          <a:spLocks noChangeArrowheads="1"/>
                        </wps:cNvSpPr>
                        <wps:spPr bwMode="auto">
                          <a:xfrm>
                            <a:off x="1493515" y="720957"/>
                            <a:ext cx="4114840" cy="475412"/>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pStyle w:val="a3"/>
                                <w:spacing w:before="0" w:beforeAutospacing="0" w:after="0" w:afterAutospacing="0"/>
                                <w:jc w:val="center"/>
                                <w:rPr>
                                  <w:rFonts w:eastAsia="Calibri"/>
                                  <w:color w:val="000000"/>
                                </w:rPr>
                              </w:pPr>
                              <w:r>
                                <w:rPr>
                                  <w:rFonts w:eastAsia="Calibri"/>
                                  <w:color w:val="000000"/>
                                </w:rPr>
                                <w:t>Аналіз факторів негативного впливу на</w:t>
                              </w:r>
                            </w:p>
                            <w:p w:rsidR="00F821E3" w:rsidRDefault="00F821E3" w:rsidP="00110EE2">
                              <w:pPr>
                                <w:pStyle w:val="a3"/>
                                <w:spacing w:before="0" w:beforeAutospacing="0" w:after="0" w:afterAutospacing="0"/>
                                <w:jc w:val="center"/>
                              </w:pPr>
                              <w:r>
                                <w:rPr>
                                  <w:rFonts w:eastAsia="Calibri"/>
                                  <w:color w:val="000000"/>
                                </w:rPr>
                                <w:t>ліквідність банку</w:t>
                              </w:r>
                            </w:p>
                          </w:txbxContent>
                        </wps:txbx>
                        <wps:bodyPr rot="0" vert="horz" wrap="square" lIns="91440" tIns="45720" rIns="91440" bIns="45720" anchor="ctr" anchorCtr="0" upright="1">
                          <a:noAutofit/>
                        </wps:bodyPr>
                      </wps:wsp>
                      <wps:wsp>
                        <wps:cNvPr id="53" name="Скругленный прямоугольник 56"/>
                        <wps:cNvSpPr>
                          <a:spLocks noChangeArrowheads="1"/>
                        </wps:cNvSpPr>
                        <wps:spPr bwMode="auto">
                          <a:xfrm>
                            <a:off x="1493515" y="1396275"/>
                            <a:ext cx="4114840" cy="383910"/>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pStyle w:val="a3"/>
                                <w:spacing w:before="0" w:beforeAutospacing="0" w:after="160" w:afterAutospacing="0" w:line="252" w:lineRule="auto"/>
                                <w:jc w:val="center"/>
                              </w:pPr>
                              <w:r>
                                <w:rPr>
                                  <w:rFonts w:eastAsia="Calibri"/>
                                  <w:color w:val="000000"/>
                                </w:rPr>
                                <w:t xml:space="preserve">Розрахунок і аналіз коефіцієнтів ліквідності </w:t>
                              </w:r>
                            </w:p>
                          </w:txbxContent>
                        </wps:txbx>
                        <wps:bodyPr rot="0" vert="horz" wrap="square" lIns="91440" tIns="45720" rIns="91440" bIns="45720" anchor="ctr" anchorCtr="0" upright="1">
                          <a:noAutofit/>
                        </wps:bodyPr>
                      </wps:wsp>
                      <wps:wsp>
                        <wps:cNvPr id="54" name="Скругленный прямоугольник 57"/>
                        <wps:cNvSpPr>
                          <a:spLocks noChangeArrowheads="1"/>
                        </wps:cNvSpPr>
                        <wps:spPr bwMode="auto">
                          <a:xfrm>
                            <a:off x="1493515" y="1975490"/>
                            <a:ext cx="4114840" cy="485813"/>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pStyle w:val="a3"/>
                                <w:spacing w:before="0" w:beforeAutospacing="0" w:after="0" w:afterAutospacing="0"/>
                                <w:jc w:val="center"/>
                                <w:rPr>
                                  <w:color w:val="000000" w:themeColor="text1"/>
                                </w:rPr>
                              </w:pPr>
                              <w:r>
                                <w:rPr>
                                  <w:color w:val="000000" w:themeColor="text1"/>
                                </w:rPr>
                                <w:t>Оцінка ефективності стратегії управління</w:t>
                              </w:r>
                            </w:p>
                            <w:p w:rsidR="00F821E3" w:rsidRDefault="00F821E3" w:rsidP="00110EE2">
                              <w:pPr>
                                <w:pStyle w:val="a3"/>
                                <w:spacing w:before="0" w:beforeAutospacing="0" w:after="0" w:afterAutospacing="0"/>
                                <w:jc w:val="center"/>
                                <w:rPr>
                                  <w:color w:val="000000" w:themeColor="text1"/>
                                </w:rPr>
                              </w:pPr>
                              <w:r>
                                <w:rPr>
                                  <w:color w:val="000000" w:themeColor="text1"/>
                                </w:rPr>
                                <w:t>активами і пасивами</w:t>
                              </w:r>
                            </w:p>
                          </w:txbxContent>
                        </wps:txbx>
                        <wps:bodyPr rot="0" vert="horz" wrap="square" lIns="91440" tIns="45720" rIns="91440" bIns="45720" anchor="ctr" anchorCtr="0" upright="1">
                          <a:noAutofit/>
                        </wps:bodyPr>
                      </wps:wsp>
                      <wps:wsp>
                        <wps:cNvPr id="55" name="Скругленный прямоугольник 58"/>
                        <wps:cNvSpPr>
                          <a:spLocks noChangeArrowheads="1"/>
                        </wps:cNvSpPr>
                        <wps:spPr bwMode="auto">
                          <a:xfrm>
                            <a:off x="1493515" y="2610806"/>
                            <a:ext cx="4114840" cy="521014"/>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pStyle w:val="a3"/>
                                <w:spacing w:before="0" w:beforeAutospacing="0" w:after="0" w:afterAutospacing="0"/>
                                <w:jc w:val="center"/>
                                <w:rPr>
                                  <w:rFonts w:eastAsia="Times New Roman"/>
                                  <w:color w:val="000000"/>
                                </w:rPr>
                              </w:pPr>
                              <w:r>
                                <w:rPr>
                                  <w:rFonts w:eastAsia="Times New Roman"/>
                                  <w:color w:val="000000"/>
                                </w:rPr>
                                <w:t>Вироблення рекомендацій для подальшого</w:t>
                              </w:r>
                            </w:p>
                            <w:p w:rsidR="00F821E3" w:rsidRDefault="00F821E3" w:rsidP="00110EE2">
                              <w:pPr>
                                <w:pStyle w:val="a3"/>
                                <w:spacing w:before="0" w:beforeAutospacing="0" w:after="0" w:afterAutospacing="0"/>
                                <w:jc w:val="center"/>
                              </w:pPr>
                              <w:r>
                                <w:rPr>
                                  <w:rFonts w:eastAsia="Times New Roman"/>
                                  <w:color w:val="000000"/>
                                </w:rPr>
                                <w:t>управління ліквідністю</w:t>
                              </w:r>
                            </w:p>
                          </w:txbxContent>
                        </wps:txbx>
                        <wps:bodyPr rot="0" vert="horz" wrap="square" lIns="91440" tIns="45720" rIns="91440" bIns="45720" anchor="ctr" anchorCtr="0" upright="1">
                          <a:noAutofit/>
                        </wps:bodyPr>
                      </wps:wsp>
                      <wps:wsp>
                        <wps:cNvPr id="56" name="Прямая соединительная линия 59"/>
                        <wps:cNvCnPr>
                          <a:cxnSpLocks noChangeShapeType="1"/>
                          <a:stCxn id="46" idx="3"/>
                          <a:endCxn id="51" idx="1"/>
                        </wps:cNvCnPr>
                        <wps:spPr bwMode="auto">
                          <a:xfrm>
                            <a:off x="1181112" y="331447"/>
                            <a:ext cx="312403" cy="190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7" name="Прямая соединительная линия 60"/>
                        <wps:cNvCnPr>
                          <a:cxnSpLocks noChangeShapeType="1"/>
                          <a:stCxn id="47" idx="3"/>
                          <a:endCxn id="52" idx="1"/>
                        </wps:cNvCnPr>
                        <wps:spPr bwMode="auto">
                          <a:xfrm flipV="1">
                            <a:off x="1181112" y="958664"/>
                            <a:ext cx="312403" cy="100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8" name="Прямая соединительная линия 61"/>
                        <wps:cNvCnPr>
                          <a:cxnSpLocks noChangeShapeType="1"/>
                          <a:endCxn id="53" idx="1"/>
                        </wps:cNvCnPr>
                        <wps:spPr bwMode="auto">
                          <a:xfrm flipV="1">
                            <a:off x="1181112" y="1588280"/>
                            <a:ext cx="312403" cy="43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9" name="Прямая соединительная линия 62"/>
                        <wps:cNvCnPr>
                          <a:cxnSpLocks noChangeShapeType="1"/>
                          <a:stCxn id="49" idx="3"/>
                          <a:endCxn id="54" idx="1"/>
                        </wps:cNvCnPr>
                        <wps:spPr bwMode="auto">
                          <a:xfrm flipV="1">
                            <a:off x="1181112" y="2218396"/>
                            <a:ext cx="312403" cy="76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 name="Прямая соединительная линия 63"/>
                        <wps:cNvCnPr>
                          <a:cxnSpLocks noChangeShapeType="1"/>
                          <a:endCxn id="55" idx="1"/>
                        </wps:cNvCnPr>
                        <wps:spPr bwMode="auto">
                          <a:xfrm flipV="1">
                            <a:off x="1181112" y="2871313"/>
                            <a:ext cx="312403" cy="15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1" name="Выгнутая вправо стрелка 64"/>
                        <wps:cNvSpPr>
                          <a:spLocks noChangeArrowheads="1"/>
                        </wps:cNvSpPr>
                        <wps:spPr bwMode="auto">
                          <a:xfrm>
                            <a:off x="5608355" y="2184095"/>
                            <a:ext cx="396204" cy="819121"/>
                          </a:xfrm>
                          <a:prstGeom prst="curvedLeftArrow">
                            <a:avLst>
                              <a:gd name="adj1" fmla="val 25000"/>
                              <a:gd name="adj2" fmla="val 50000"/>
                              <a:gd name="adj3" fmla="val 25000"/>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2" name="Выгнутая вправо стрелка 65"/>
                        <wps:cNvSpPr>
                          <a:spLocks noChangeArrowheads="1"/>
                        </wps:cNvSpPr>
                        <wps:spPr bwMode="auto">
                          <a:xfrm>
                            <a:off x="5608355" y="1558679"/>
                            <a:ext cx="396204" cy="807721"/>
                          </a:xfrm>
                          <a:prstGeom prst="curvedLeftArrow">
                            <a:avLst>
                              <a:gd name="adj1" fmla="val 25011"/>
                              <a:gd name="adj2" fmla="val 50003"/>
                              <a:gd name="adj3" fmla="val 25000"/>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3" name="Выгнутая вправо стрелка 66"/>
                        <wps:cNvSpPr>
                          <a:spLocks noChangeArrowheads="1"/>
                        </wps:cNvSpPr>
                        <wps:spPr bwMode="auto">
                          <a:xfrm>
                            <a:off x="5608355" y="940563"/>
                            <a:ext cx="396204" cy="807721"/>
                          </a:xfrm>
                          <a:prstGeom prst="curvedLeftArrow">
                            <a:avLst>
                              <a:gd name="adj1" fmla="val 25011"/>
                              <a:gd name="adj2" fmla="val 50003"/>
                              <a:gd name="adj3" fmla="val 25000"/>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4" name="Выгнутая вправо стрелка 67"/>
                        <wps:cNvSpPr>
                          <a:spLocks noChangeArrowheads="1"/>
                        </wps:cNvSpPr>
                        <wps:spPr bwMode="auto">
                          <a:xfrm>
                            <a:off x="5608355" y="271446"/>
                            <a:ext cx="396204" cy="807721"/>
                          </a:xfrm>
                          <a:prstGeom prst="curvedLeftArrow">
                            <a:avLst>
                              <a:gd name="adj1" fmla="val 25011"/>
                              <a:gd name="adj2" fmla="val 50003"/>
                              <a:gd name="adj3" fmla="val 25000"/>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c:wpc>
                  </a:graphicData>
                </a:graphic>
              </wp:inline>
            </w:drawing>
          </mc:Choice>
          <mc:Fallback>
            <w:pict>
              <v:group id="Полотно 65" o:spid="_x0000_s1126" editas="canvas" style="width:484.8pt;height:258.6pt;mso-position-horizontal-relative:char;mso-position-vertical-relative:line" coordsize="61569,3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">
                <v:shape id="_x0000_s1127" type="#_x0000_t75" style="position:absolute;width:61569;height:32842;visibility:visible;mso-wrap-style:square">
                  <v:fill o:detectmouseclick="t"/>
                  <v:path o:connecttype="none"/>
                </v:shape>
                <v:roundrect id="Скругленный прямоугольник 49" o:spid="_x0000_s1128" style="position:absolute;left:304;top:1523;width:11507;height:3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" fillcolor="white [3212]" strokecolor="black [3213]" strokeweight="1pt">
                  <v:stroke joinstyle="miter"/>
                  <v:textbox>
                    <w:txbxContent>
                      <w:p w:rsidR="00F821E3" w:rsidRDefault="00F821E3" w:rsidP="00110EE2">
                        <w:pPr>
                          <w:jc w:val="center"/>
                          <w:rPr>
                            <w:rFonts w:ascii="Times New Roman" w:hAnsi="Times New Roman"/>
                            <w:color w:val="000000" w:themeColor="text1"/>
                            <w:sz w:val="28"/>
                            <w:szCs w:val="28"/>
                          </w:rPr>
                        </w:pPr>
                        <w:r>
                          <w:rPr>
                            <w:rFonts w:ascii="Times New Roman" w:hAnsi="Times New Roman"/>
                            <w:color w:val="000000" w:themeColor="text1"/>
                            <w:sz w:val="28"/>
                            <w:szCs w:val="28"/>
                          </w:rPr>
                          <w:t>1 етап</w:t>
                        </w:r>
                      </w:p>
                    </w:txbxContent>
                  </v:textbox>
                </v:roundrect>
                <v:roundrect id="Скругленный прямоугольник 50" o:spid="_x0000_s1129" style="position:absolute;left:304;top:7895;width:11507;height:3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" fillcolor="white [3212]" strokecolor="black [3213]" strokeweight="1pt">
                  <v:stroke joinstyle="miter"/>
                  <v:textbox>
                    <w:txbxContent>
                      <w:p w:rsidR="00F821E3" w:rsidRDefault="00F821E3" w:rsidP="00110EE2">
                        <w:pPr>
                          <w:pStyle w:val="a3"/>
                          <w:spacing w:before="0" w:beforeAutospacing="0" w:after="160" w:afterAutospacing="0" w:line="254" w:lineRule="auto"/>
                          <w:jc w:val="center"/>
                        </w:pPr>
                        <w:r>
                          <w:rPr>
                            <w:rFonts w:eastAsia="Calibri"/>
                            <w:color w:val="000000"/>
                            <w:sz w:val="28"/>
                            <w:szCs w:val="28"/>
                          </w:rPr>
                          <w:t>2 етап</w:t>
                        </w:r>
                      </w:p>
                    </w:txbxContent>
                  </v:textbox>
                </v:roundrect>
                <v:roundrect id="Скругленный прямоугольник 51" o:spid="_x0000_s1130" style="position:absolute;left:304;top:14220;width:11507;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" fillcolor="white [3212]" strokecolor="black [3213]" strokeweight="1pt">
                  <v:stroke joinstyle="miter"/>
                  <v:textbox>
                    <w:txbxContent>
                      <w:p w:rsidR="00F821E3" w:rsidRDefault="00F821E3" w:rsidP="00110EE2">
                        <w:pPr>
                          <w:pStyle w:val="a3"/>
                          <w:spacing w:before="0" w:beforeAutospacing="0" w:after="160" w:afterAutospacing="0" w:line="254" w:lineRule="auto"/>
                          <w:jc w:val="center"/>
                        </w:pPr>
                        <w:r>
                          <w:rPr>
                            <w:rFonts w:eastAsia="Calibri"/>
                            <w:color w:val="000000"/>
                            <w:sz w:val="28"/>
                            <w:szCs w:val="28"/>
                          </w:rPr>
                          <w:t>3 етап</w:t>
                        </w:r>
                      </w:p>
                    </w:txbxContent>
                  </v:textbox>
                </v:roundrect>
                <v:roundrect id="Скругленный прямоугольник 52" o:spid="_x0000_s1131" style="position:absolute;left:304;top:20468;width:11507;height:3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" fillcolor="white [3212]" strokecolor="black [3213]" strokeweight="1pt">
                  <v:stroke joinstyle="miter"/>
                  <v:textbox>
                    <w:txbxContent>
                      <w:p w:rsidR="00F821E3" w:rsidRDefault="00F821E3" w:rsidP="00110EE2">
                        <w:pPr>
                          <w:pStyle w:val="a3"/>
                          <w:spacing w:before="0" w:beforeAutospacing="0" w:after="160" w:afterAutospacing="0" w:line="254" w:lineRule="auto"/>
                          <w:jc w:val="center"/>
                        </w:pPr>
                        <w:r>
                          <w:rPr>
                            <w:rFonts w:eastAsia="Calibri"/>
                            <w:color w:val="000000"/>
                            <w:sz w:val="28"/>
                            <w:szCs w:val="28"/>
                          </w:rPr>
                          <w:t>4 етап</w:t>
                        </w:r>
                      </w:p>
                    </w:txbxContent>
                  </v:textbox>
                </v:roundrect>
                <v:roundrect id="Скругленный прямоугольник 53" o:spid="_x0000_s1132" style="position:absolute;left:304;top:26718;width:11507;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" fillcolor="white [3212]" strokecolor="black [3213]" strokeweight="1pt">
                  <v:stroke joinstyle="miter"/>
                  <v:textbox>
                    <w:txbxContent>
                      <w:p w:rsidR="00F821E3" w:rsidRDefault="00F821E3" w:rsidP="00110EE2">
                        <w:pPr>
                          <w:pStyle w:val="a3"/>
                          <w:spacing w:before="0" w:beforeAutospacing="0" w:after="160" w:afterAutospacing="0" w:line="254" w:lineRule="auto"/>
                          <w:jc w:val="center"/>
                        </w:pPr>
                        <w:r>
                          <w:rPr>
                            <w:rFonts w:eastAsia="Calibri"/>
                            <w:color w:val="000000"/>
                            <w:sz w:val="28"/>
                            <w:szCs w:val="28"/>
                          </w:rPr>
                          <w:t>5 етап</w:t>
                        </w:r>
                      </w:p>
                    </w:txbxContent>
                  </v:textbox>
                </v:roundrect>
                <v:roundrect id="Скругленный прямоугольник 54" o:spid="_x0000_s1133" style="position:absolute;left:14935;top:1066;width:41148;height:4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" fillcolor="white [3212]" strokecolor="black [3213]" strokeweight="1pt">
                  <v:stroke joinstyle="miter"/>
                  <v:textbox>
                    <w:txbxContent>
                      <w:p w:rsidR="00F821E3" w:rsidRDefault="00F821E3" w:rsidP="00110EE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Оцінка фінансового стану банку з точки зору його</w:t>
                        </w:r>
                      </w:p>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ліквідності</w:t>
                        </w:r>
                      </w:p>
                    </w:txbxContent>
                  </v:textbox>
                </v:roundrect>
                <v:roundrect id="Скругленный прямоугольник 55" o:spid="_x0000_s1134" style="position:absolute;left:14935;top:7209;width:41148;height:4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" fillcolor="white [3212]" strokecolor="black [3213]" strokeweight="1pt">
                  <v:stroke joinstyle="miter"/>
                  <v:textbox>
                    <w:txbxContent>
                      <w:p w:rsidR="00F821E3" w:rsidRDefault="00F821E3" w:rsidP="00110EE2">
                        <w:pPr>
                          <w:pStyle w:val="a3"/>
                          <w:spacing w:before="0" w:beforeAutospacing="0" w:after="0" w:afterAutospacing="0"/>
                          <w:jc w:val="center"/>
                          <w:rPr>
                            <w:rFonts w:eastAsia="Calibri"/>
                            <w:color w:val="000000"/>
                          </w:rPr>
                        </w:pPr>
                        <w:r>
                          <w:rPr>
                            <w:rFonts w:eastAsia="Calibri"/>
                            <w:color w:val="000000"/>
                          </w:rPr>
                          <w:t>Аналіз факторів негативного впливу на</w:t>
                        </w:r>
                      </w:p>
                      <w:p w:rsidR="00F821E3" w:rsidRDefault="00F821E3" w:rsidP="00110EE2">
                        <w:pPr>
                          <w:pStyle w:val="a3"/>
                          <w:spacing w:before="0" w:beforeAutospacing="0" w:after="0" w:afterAutospacing="0"/>
                          <w:jc w:val="center"/>
                        </w:pPr>
                        <w:r>
                          <w:rPr>
                            <w:rFonts w:eastAsia="Calibri"/>
                            <w:color w:val="000000"/>
                          </w:rPr>
                          <w:t>ліквідність банку</w:t>
                        </w:r>
                      </w:p>
                    </w:txbxContent>
                  </v:textbox>
                </v:roundrect>
                <v:roundrect id="Скругленный прямоугольник 56" o:spid="_x0000_s1135" style="position:absolute;left:14935;top:13962;width:41148;height:3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" fillcolor="white [3212]" strokecolor="black [3213]" strokeweight="1pt">
                  <v:stroke joinstyle="miter"/>
                  <v:textbox>
                    <w:txbxContent>
                      <w:p w:rsidR="00F821E3" w:rsidRDefault="00F821E3" w:rsidP="00110EE2">
                        <w:pPr>
                          <w:pStyle w:val="a3"/>
                          <w:spacing w:before="0" w:beforeAutospacing="0" w:after="160" w:afterAutospacing="0" w:line="252" w:lineRule="auto"/>
                          <w:jc w:val="center"/>
                        </w:pPr>
                        <w:r>
                          <w:rPr>
                            <w:rFonts w:eastAsia="Calibri"/>
                            <w:color w:val="000000"/>
                          </w:rPr>
                          <w:t xml:space="preserve">Розрахунок і аналіз коефіцієнтів ліквідності </w:t>
                        </w:r>
                      </w:p>
                    </w:txbxContent>
                  </v:textbox>
                </v:roundrect>
                <v:roundrect id="Скругленный прямоугольник 57" o:spid="_x0000_s1136" style="position:absolute;left:14935;top:19754;width:41148;height:4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" fillcolor="white [3212]" strokecolor="black [3213]" strokeweight="1pt">
                  <v:stroke joinstyle="miter"/>
                  <v:textbox>
                    <w:txbxContent>
                      <w:p w:rsidR="00F821E3" w:rsidRDefault="00F821E3" w:rsidP="00110EE2">
                        <w:pPr>
                          <w:pStyle w:val="a3"/>
                          <w:spacing w:before="0" w:beforeAutospacing="0" w:after="0" w:afterAutospacing="0"/>
                          <w:jc w:val="center"/>
                          <w:rPr>
                            <w:color w:val="000000" w:themeColor="text1"/>
                          </w:rPr>
                        </w:pPr>
                        <w:r>
                          <w:rPr>
                            <w:color w:val="000000" w:themeColor="text1"/>
                          </w:rPr>
                          <w:t>Оцінка ефективності стратегії управління</w:t>
                        </w:r>
                      </w:p>
                      <w:p w:rsidR="00F821E3" w:rsidRDefault="00F821E3" w:rsidP="00110EE2">
                        <w:pPr>
                          <w:pStyle w:val="a3"/>
                          <w:spacing w:before="0" w:beforeAutospacing="0" w:after="0" w:afterAutospacing="0"/>
                          <w:jc w:val="center"/>
                          <w:rPr>
                            <w:color w:val="000000" w:themeColor="text1"/>
                          </w:rPr>
                        </w:pPr>
                        <w:r>
                          <w:rPr>
                            <w:color w:val="000000" w:themeColor="text1"/>
                          </w:rPr>
                          <w:t>активами і пасивами</w:t>
                        </w:r>
                      </w:p>
                    </w:txbxContent>
                  </v:textbox>
                </v:roundrect>
                <v:roundrect id="Скругленный прямоугольник 58" o:spid="_x0000_s1137" style="position:absolute;left:14935;top:26108;width:41148;height:5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" fillcolor="white [3212]" strokecolor="black [3213]" strokeweight="1pt">
                  <v:stroke joinstyle="miter"/>
                  <v:textbox>
                    <w:txbxContent>
                      <w:p w:rsidR="00F821E3" w:rsidRDefault="00F821E3" w:rsidP="00110EE2">
                        <w:pPr>
                          <w:pStyle w:val="a3"/>
                          <w:spacing w:before="0" w:beforeAutospacing="0" w:after="0" w:afterAutospacing="0"/>
                          <w:jc w:val="center"/>
                          <w:rPr>
                            <w:rFonts w:eastAsia="Times New Roman"/>
                            <w:color w:val="000000"/>
                          </w:rPr>
                        </w:pPr>
                        <w:r>
                          <w:rPr>
                            <w:rFonts w:eastAsia="Times New Roman"/>
                            <w:color w:val="000000"/>
                          </w:rPr>
                          <w:t>Вироблення рекомендацій для подальшого</w:t>
                        </w:r>
                      </w:p>
                      <w:p w:rsidR="00F821E3" w:rsidRDefault="00F821E3" w:rsidP="00110EE2">
                        <w:pPr>
                          <w:pStyle w:val="a3"/>
                          <w:spacing w:before="0" w:beforeAutospacing="0" w:after="0" w:afterAutospacing="0"/>
                          <w:jc w:val="center"/>
                        </w:pPr>
                        <w:r>
                          <w:rPr>
                            <w:rFonts w:eastAsia="Times New Roman"/>
                            <w:color w:val="000000"/>
                          </w:rPr>
                          <w:t>управління ліквідністю</w:t>
                        </w:r>
                      </w:p>
                    </w:txbxContent>
                  </v:textbox>
                </v:roundrect>
                <v:line id="Прямая соединительная линия 59" o:spid="_x0000_s1138" style="position:absolute;visibility:visible;mso-wrap-style:square" from="11811,3314" to="14935,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ucxQAAANsAAAAPAAAAZHJzL2Rvd25yZXYueG1sRI9Ba8JA&#10;FITvQv/D8gpepG6sNN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BnDvucxQAAANsAAAAP&#10;AAAAAAAAAAAAAAAAAAcCAABkcnMvZG93bnJldi54bWxQSwUGAAAAAAMAAwC3AAAA+QIAAAAA&#10;" strokecolor="black [3200]" strokeweight=".5pt">
                  <v:stroke joinstyle="miter"/>
                </v:line>
                <v:line id="Прямая соединительная линия 60" o:spid="_x0000_s1139" style="position:absolute;flip:y;visibility:visible;mso-wrap-style:square" from="11811,9586" to="14935,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" strokecolor="black [3200]" strokeweight=".5pt">
                  <v:stroke joinstyle="miter"/>
                </v:line>
                <v:line id="Прямая соединительная линия 61" o:spid="_x0000_s1140" style="position:absolute;flip:y;visibility:visible;mso-wrap-style:square" from="11811,15882" to="14935,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" strokecolor="black [3200]" strokeweight=".5pt">
                  <v:stroke joinstyle="miter"/>
                </v:line>
                <v:line id="Прямая соединительная линия 62" o:spid="_x0000_s1141" style="position:absolute;flip:y;visibility:visible;mso-wrap-style:square" from="11811,22183" to="14935,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" strokecolor="black [3200]" strokeweight=".5pt">
                  <v:stroke joinstyle="miter"/>
                </v:line>
                <v:line id="Прямая соединительная линия 63" o:spid="_x0000_s1142" style="position:absolute;flip:y;visibility:visible;mso-wrap-style:square" from="11811,28713" to="14935,2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" strokecolor="black [3200]" strokeweight=".5pt">
                  <v:stroke joinstyle="miter"/>
                </v:lin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64" o:spid="_x0000_s1143" type="#_x0000_t103" style="position:absolute;left:56083;top:21840;width:3962;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" adj="16376,20294,5400" fillcolor="white [3212]" strokecolor="black [3213]" strokeweight="1pt"/>
                <v:shape id="Выгнутая вправо стрелка 65" o:spid="_x0000_s1144" type="#_x0000_t103" style="position:absolute;left:56083;top:15586;width:3962;height:8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" adj="16302,20276,5400" fillcolor="white [3212]" strokecolor="black [3213]" strokeweight="1pt"/>
                <v:shape id="Выгнутая вправо стрелка 66" o:spid="_x0000_s1145" type="#_x0000_t103" style="position:absolute;left:56083;top:9405;width:3962;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" adj="16302,20276,5400" fillcolor="white [3212]" strokecolor="black [3213]" strokeweight="1pt"/>
                <v:shape id="Выгнутая вправо стрелка 67" o:spid="_x0000_s1146" type="#_x0000_t103" style="position:absolute;left:56083;top:2714;width:3962;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" adj="16302,20276,5400" fillcolor="white [3212]" strokecolor="black [3213]" strokeweight="1pt"/>
                <w10:anchorlock/>
              </v:group>
            </w:pict>
          </mc:Fallback>
        </mc:AlternateContent>
      </w:r>
    </w:p>
    <w:p w:rsidR="00110EE2" w:rsidRDefault="00B85D1A" w:rsidP="00110EE2">
      <w:pPr>
        <w:spacing w:after="0" w:line="360" w:lineRule="auto"/>
        <w:jc w:val="center"/>
        <w:rPr>
          <w:rFonts w:ascii="Times New Roman" w:hAnsi="Times New Roman"/>
          <w:sz w:val="28"/>
          <w:szCs w:val="28"/>
        </w:rPr>
      </w:pPr>
      <w:r>
        <w:rPr>
          <w:rFonts w:ascii="Times New Roman" w:hAnsi="Times New Roman"/>
          <w:sz w:val="28"/>
          <w:szCs w:val="28"/>
        </w:rPr>
        <w:t>Ри</w:t>
      </w:r>
      <w:r w:rsidR="002700E3">
        <w:rPr>
          <w:rFonts w:ascii="Times New Roman" w:hAnsi="Times New Roman"/>
          <w:sz w:val="28"/>
          <w:szCs w:val="28"/>
        </w:rPr>
        <w:t>с. 1.8</w:t>
      </w:r>
      <w:r w:rsidR="00110EE2" w:rsidRPr="00B85D1A">
        <w:rPr>
          <w:rFonts w:ascii="Times New Roman" w:hAnsi="Times New Roman"/>
          <w:sz w:val="28"/>
          <w:szCs w:val="28"/>
        </w:rPr>
        <w:t>.</w:t>
      </w:r>
      <w:r w:rsidR="00110EE2">
        <w:rPr>
          <w:rFonts w:ascii="Times New Roman" w:hAnsi="Times New Roman"/>
          <w:sz w:val="28"/>
          <w:szCs w:val="28"/>
        </w:rPr>
        <w:t xml:space="preserve"> Алгоритм проведення аналізу ліквідності банку</w:t>
      </w:r>
    </w:p>
    <w:p w:rsidR="002700E3" w:rsidRDefault="002700E3" w:rsidP="002700E3">
      <w:pPr>
        <w:spacing w:after="0" w:line="360" w:lineRule="auto"/>
        <w:ind w:firstLine="708"/>
        <w:jc w:val="both"/>
        <w:rPr>
          <w:rFonts w:ascii="Times New Roman" w:hAnsi="Times New Roman"/>
          <w:sz w:val="28"/>
          <w:szCs w:val="28"/>
        </w:rPr>
      </w:pPr>
      <w:r>
        <w:rPr>
          <w:rFonts w:ascii="Times New Roman" w:hAnsi="Times New Roman"/>
          <w:sz w:val="28"/>
          <w:szCs w:val="28"/>
        </w:rPr>
        <w:t xml:space="preserve">Склавши алгоритм проведення аналізу ліквідності банку вважаємо за доцільне розглянути більш детально кожний з його </w:t>
      </w:r>
      <w:r w:rsidR="00574C41">
        <w:rPr>
          <w:rFonts w:ascii="Times New Roman" w:hAnsi="Times New Roman"/>
          <w:sz w:val="28"/>
          <w:szCs w:val="28"/>
        </w:rPr>
        <w:t>етапів (див. табл. 1.5</w:t>
      </w:r>
      <w:r w:rsidRPr="00B85D1A">
        <w:rPr>
          <w:rFonts w:ascii="Times New Roman" w:hAnsi="Times New Roman"/>
          <w:sz w:val="28"/>
          <w:szCs w:val="28"/>
        </w:rPr>
        <w:t>).</w:t>
      </w:r>
    </w:p>
    <w:p w:rsidR="00B85D1A" w:rsidRDefault="00B85D1A" w:rsidP="00B85D1A">
      <w:pPr>
        <w:spacing w:after="0" w:line="360" w:lineRule="auto"/>
        <w:ind w:firstLine="708"/>
        <w:jc w:val="right"/>
        <w:rPr>
          <w:rFonts w:ascii="Times New Roman" w:hAnsi="Times New Roman"/>
          <w:sz w:val="28"/>
          <w:szCs w:val="28"/>
        </w:rPr>
      </w:pPr>
      <w:r w:rsidRPr="00B85D1A">
        <w:rPr>
          <w:rFonts w:ascii="Times New Roman" w:hAnsi="Times New Roman"/>
          <w:sz w:val="28"/>
          <w:szCs w:val="28"/>
        </w:rPr>
        <w:t>Таблиця 1.5</w:t>
      </w:r>
    </w:p>
    <w:p w:rsidR="00110EE2" w:rsidRDefault="00110EE2" w:rsidP="00B85D1A">
      <w:pPr>
        <w:spacing w:after="0" w:line="360" w:lineRule="auto"/>
        <w:ind w:firstLine="708"/>
        <w:jc w:val="center"/>
        <w:rPr>
          <w:rFonts w:ascii="Times New Roman" w:hAnsi="Times New Roman"/>
          <w:sz w:val="28"/>
          <w:szCs w:val="28"/>
        </w:rPr>
      </w:pPr>
      <w:r>
        <w:rPr>
          <w:rFonts w:ascii="Times New Roman" w:hAnsi="Times New Roman"/>
          <w:sz w:val="28"/>
          <w:szCs w:val="28"/>
        </w:rPr>
        <w:t>Характеристика етапів аналізу ліквідності банку</w:t>
      </w:r>
    </w:p>
    <w:tbl>
      <w:tblPr>
        <w:tblStyle w:val="a5"/>
        <w:tblW w:w="0" w:type="auto"/>
        <w:jc w:val="center"/>
        <w:tblInd w:w="0" w:type="dxa"/>
        <w:tblLook w:val="04A0" w:firstRow="1" w:lastRow="0" w:firstColumn="1" w:lastColumn="0" w:noHBand="0" w:noVBand="1"/>
      </w:tblPr>
      <w:tblGrid>
        <w:gridCol w:w="562"/>
        <w:gridCol w:w="2268"/>
        <w:gridCol w:w="3402"/>
        <w:gridCol w:w="3397"/>
      </w:tblGrid>
      <w:tr w:rsidR="002700E3" w:rsidTr="00042D5E">
        <w:trPr>
          <w:trHeight w:val="355"/>
          <w:jc w:val="center"/>
        </w:trPr>
        <w:tc>
          <w:tcPr>
            <w:tcW w:w="562" w:type="dxa"/>
            <w:tcBorders>
              <w:top w:val="single" w:sz="4" w:space="0" w:color="auto"/>
              <w:left w:val="single" w:sz="4" w:space="0" w:color="auto"/>
              <w:bottom w:val="single" w:sz="4" w:space="0" w:color="auto"/>
              <w:right w:val="single" w:sz="4" w:space="0" w:color="auto"/>
            </w:tcBorders>
            <w:hideMark/>
          </w:tcPr>
          <w:p w:rsidR="002700E3" w:rsidRDefault="002700E3" w:rsidP="00042D5E">
            <w:pPr>
              <w:spacing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Найменування етапу</w:t>
            </w:r>
          </w:p>
        </w:tc>
        <w:tc>
          <w:tcPr>
            <w:tcW w:w="3402"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Характеристика</w:t>
            </w:r>
          </w:p>
        </w:tc>
        <w:tc>
          <w:tcPr>
            <w:tcW w:w="3397"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Перспективи</w:t>
            </w:r>
          </w:p>
        </w:tc>
      </w:tr>
      <w:tr w:rsidR="00110EE2" w:rsidTr="00110EE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rPr>
            </w:pPr>
            <w:r>
              <w:rPr>
                <w:rFonts w:ascii="Times New Roman" w:hAnsi="Times New Roman" w:cs="Times New Roman"/>
              </w:rPr>
              <w:t>Оцінка фінансового стану банку з точки зору його ліквідності</w:t>
            </w:r>
          </w:p>
        </w:tc>
        <w:tc>
          <w:tcPr>
            <w:tcW w:w="3402" w:type="dxa"/>
            <w:tcBorders>
              <w:top w:val="single" w:sz="4" w:space="0" w:color="auto"/>
              <w:left w:val="single" w:sz="4" w:space="0" w:color="auto"/>
              <w:bottom w:val="single" w:sz="4" w:space="0" w:color="auto"/>
              <w:right w:val="single" w:sz="4" w:space="0" w:color="auto"/>
            </w:tcBorders>
            <w:vAlign w:val="center"/>
            <w:hideMark/>
          </w:tcPr>
          <w:p w:rsidR="00110EE2" w:rsidRDefault="00110EE2">
            <w:pPr>
              <w:spacing w:line="240" w:lineRule="auto"/>
              <w:jc w:val="both"/>
              <w:rPr>
                <w:rFonts w:ascii="Times New Roman" w:hAnsi="Times New Roman"/>
              </w:rPr>
            </w:pPr>
            <w:r>
              <w:rPr>
                <w:rFonts w:ascii="Times New Roman" w:hAnsi="Times New Roman"/>
              </w:rPr>
              <w:t>Підготовчий. Здійснюється визначення ліквідності банку на момент початку аналізу. Завдання – визначити бази, вихідної точки для подальшого аналізу</w:t>
            </w:r>
          </w:p>
        </w:tc>
        <w:tc>
          <w:tcPr>
            <w:tcW w:w="3397" w:type="dxa"/>
            <w:tcBorders>
              <w:top w:val="single" w:sz="4" w:space="0" w:color="auto"/>
              <w:left w:val="single" w:sz="4" w:space="0" w:color="auto"/>
              <w:bottom w:val="single" w:sz="4" w:space="0" w:color="auto"/>
              <w:right w:val="single" w:sz="4" w:space="0" w:color="auto"/>
            </w:tcBorders>
            <w:vAlign w:val="center"/>
            <w:hideMark/>
          </w:tcPr>
          <w:p w:rsidR="00110EE2" w:rsidRDefault="00110EE2">
            <w:pPr>
              <w:spacing w:line="240" w:lineRule="auto"/>
              <w:jc w:val="both"/>
              <w:rPr>
                <w:rFonts w:ascii="Times New Roman" w:hAnsi="Times New Roman"/>
              </w:rPr>
            </w:pPr>
            <w:r>
              <w:rPr>
                <w:rFonts w:ascii="Times New Roman" w:hAnsi="Times New Roman"/>
                <w:u w:val="single"/>
              </w:rPr>
              <w:t>Не виявлено проблем</w:t>
            </w:r>
            <w:r>
              <w:rPr>
                <w:rFonts w:ascii="Times New Roman" w:hAnsi="Times New Roman"/>
              </w:rPr>
              <w:t xml:space="preserve">: </w:t>
            </w:r>
          </w:p>
          <w:p w:rsidR="00110EE2" w:rsidRDefault="00110EE2">
            <w:pPr>
              <w:spacing w:line="240" w:lineRule="auto"/>
              <w:jc w:val="both"/>
              <w:rPr>
                <w:rFonts w:ascii="Times New Roman" w:hAnsi="Times New Roman"/>
              </w:rPr>
            </w:pPr>
            <w:r>
              <w:rPr>
                <w:rFonts w:ascii="Times New Roman" w:hAnsi="Times New Roman"/>
              </w:rPr>
              <w:t xml:space="preserve">«проведення подальшого аналізу з метою виявлення тенденцій перспектив розвитку ситуації». </w:t>
            </w:r>
          </w:p>
          <w:p w:rsidR="00110EE2" w:rsidRDefault="00110EE2">
            <w:pPr>
              <w:spacing w:line="240" w:lineRule="auto"/>
              <w:jc w:val="both"/>
              <w:rPr>
                <w:rFonts w:ascii="Times New Roman" w:hAnsi="Times New Roman"/>
              </w:rPr>
            </w:pPr>
            <w:r>
              <w:rPr>
                <w:rFonts w:ascii="Times New Roman" w:hAnsi="Times New Roman"/>
                <w:u w:val="single"/>
              </w:rPr>
              <w:t>Виявлено проблеми</w:t>
            </w:r>
            <w:r>
              <w:rPr>
                <w:rFonts w:ascii="Times New Roman" w:hAnsi="Times New Roman"/>
              </w:rPr>
              <w:t>:</w:t>
            </w:r>
          </w:p>
          <w:p w:rsidR="00110EE2" w:rsidRDefault="00110EE2">
            <w:pPr>
              <w:spacing w:line="240" w:lineRule="auto"/>
              <w:jc w:val="both"/>
              <w:rPr>
                <w:rFonts w:ascii="Times New Roman" w:hAnsi="Times New Roman"/>
              </w:rPr>
            </w:pPr>
            <w:r>
              <w:rPr>
                <w:rFonts w:ascii="Times New Roman" w:hAnsi="Times New Roman"/>
              </w:rPr>
              <w:t>«подальший аналіз дозволить виявити причини ситуації, що склалася, і розробити шляхи виходу з неї»</w:t>
            </w:r>
          </w:p>
        </w:tc>
      </w:tr>
    </w:tbl>
    <w:p w:rsidR="002700E3" w:rsidRPr="002E6ED9" w:rsidRDefault="00574C41" w:rsidP="002700E3">
      <w:pPr>
        <w:spacing w:before="120" w:after="0" w:line="360" w:lineRule="auto"/>
        <w:ind w:firstLine="709"/>
        <w:jc w:val="right"/>
        <w:rPr>
          <w:rFonts w:ascii="Times New Roman" w:hAnsi="Times New Roman"/>
          <w:sz w:val="28"/>
          <w:szCs w:val="28"/>
        </w:rPr>
      </w:pPr>
      <w:r>
        <w:rPr>
          <w:rFonts w:ascii="Times New Roman" w:hAnsi="Times New Roman"/>
          <w:sz w:val="28"/>
          <w:szCs w:val="28"/>
        </w:rPr>
        <w:lastRenderedPageBreak/>
        <w:t>Продовження таблиці 1.5</w:t>
      </w:r>
    </w:p>
    <w:tbl>
      <w:tblPr>
        <w:tblStyle w:val="a5"/>
        <w:tblW w:w="0" w:type="auto"/>
        <w:jc w:val="center"/>
        <w:tblInd w:w="0" w:type="dxa"/>
        <w:tblLook w:val="04A0" w:firstRow="1" w:lastRow="0" w:firstColumn="1" w:lastColumn="0" w:noHBand="0" w:noVBand="1"/>
      </w:tblPr>
      <w:tblGrid>
        <w:gridCol w:w="562"/>
        <w:gridCol w:w="2268"/>
        <w:gridCol w:w="3402"/>
        <w:gridCol w:w="3397"/>
      </w:tblGrid>
      <w:tr w:rsidR="002700E3" w:rsidTr="00042D5E">
        <w:trPr>
          <w:trHeight w:val="355"/>
          <w:jc w:val="center"/>
        </w:trPr>
        <w:tc>
          <w:tcPr>
            <w:tcW w:w="562" w:type="dxa"/>
            <w:tcBorders>
              <w:top w:val="single" w:sz="4" w:space="0" w:color="auto"/>
              <w:left w:val="single" w:sz="4" w:space="0" w:color="auto"/>
              <w:bottom w:val="single" w:sz="4" w:space="0" w:color="auto"/>
              <w:right w:val="single" w:sz="4" w:space="0" w:color="auto"/>
            </w:tcBorders>
            <w:hideMark/>
          </w:tcPr>
          <w:p w:rsidR="002700E3" w:rsidRDefault="002700E3" w:rsidP="00042D5E">
            <w:pPr>
              <w:spacing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Найменування етапу</w:t>
            </w:r>
          </w:p>
        </w:tc>
        <w:tc>
          <w:tcPr>
            <w:tcW w:w="3402"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Характеристика</w:t>
            </w:r>
          </w:p>
        </w:tc>
        <w:tc>
          <w:tcPr>
            <w:tcW w:w="3397"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Перспективи</w:t>
            </w:r>
          </w:p>
        </w:tc>
      </w:tr>
      <w:tr w:rsidR="002700E3" w:rsidTr="00042D5E">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360" w:lineRule="auto"/>
              <w:jc w:val="center"/>
              <w:rPr>
                <w:rFonts w:ascii="Times New Roman" w:hAnsi="Times New Roman"/>
                <w:sz w:val="24"/>
                <w:szCs w:val="24"/>
              </w:rPr>
            </w:pPr>
            <w:r>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both"/>
              <w:rPr>
                <w:rFonts w:ascii="Times New Roman" w:hAnsi="Times New Roman"/>
              </w:rPr>
            </w:pPr>
            <w:r>
              <w:rPr>
                <w:rFonts w:ascii="Times New Roman" w:hAnsi="Times New Roman"/>
              </w:rPr>
              <w:t>Аналіз факторів негативного впливу на ліквідність банку</w:t>
            </w:r>
          </w:p>
        </w:tc>
        <w:tc>
          <w:tcPr>
            <w:tcW w:w="3402"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both"/>
              <w:rPr>
                <w:rFonts w:ascii="Times New Roman" w:hAnsi="Times New Roman"/>
              </w:rPr>
            </w:pPr>
            <w:r>
              <w:rPr>
                <w:rFonts w:ascii="Times New Roman" w:hAnsi="Times New Roman"/>
              </w:rPr>
              <w:t>Виявлення основних факторів, що</w:t>
            </w:r>
          </w:p>
          <w:p w:rsidR="002700E3" w:rsidRDefault="002700E3" w:rsidP="00042D5E">
            <w:pPr>
              <w:spacing w:line="240" w:lineRule="auto"/>
              <w:jc w:val="both"/>
              <w:rPr>
                <w:rFonts w:ascii="Times New Roman" w:hAnsi="Times New Roman"/>
              </w:rPr>
            </w:pPr>
            <w:r>
              <w:rPr>
                <w:rFonts w:ascii="Times New Roman" w:hAnsi="Times New Roman"/>
              </w:rPr>
              <w:t>призвели до негативних тенденцій; аналіз їх негативної дії;</w:t>
            </w:r>
          </w:p>
          <w:p w:rsidR="002700E3" w:rsidRDefault="002700E3" w:rsidP="00042D5E">
            <w:pPr>
              <w:spacing w:line="240" w:lineRule="auto"/>
              <w:jc w:val="both"/>
              <w:rPr>
                <w:rFonts w:ascii="Times New Roman" w:hAnsi="Times New Roman"/>
              </w:rPr>
            </w:pPr>
            <w:r>
              <w:rPr>
                <w:rFonts w:ascii="Times New Roman" w:hAnsi="Times New Roman"/>
              </w:rPr>
              <w:t>вироблення рекомендацій щодо зміни політики банку з метою попередження негативних наслідків</w:t>
            </w:r>
          </w:p>
        </w:tc>
        <w:tc>
          <w:tcPr>
            <w:tcW w:w="3397"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both"/>
              <w:rPr>
                <w:rFonts w:ascii="Times New Roman" w:hAnsi="Times New Roman"/>
              </w:rPr>
            </w:pPr>
            <w:r>
              <w:rPr>
                <w:rFonts w:ascii="Times New Roman" w:hAnsi="Times New Roman"/>
              </w:rPr>
              <w:t>Врахування впливу внутрішніх і зовнішніх факторів на політику</w:t>
            </w:r>
          </w:p>
          <w:p w:rsidR="002700E3" w:rsidRDefault="002700E3" w:rsidP="00042D5E">
            <w:pPr>
              <w:spacing w:line="240" w:lineRule="auto"/>
              <w:jc w:val="both"/>
              <w:rPr>
                <w:rFonts w:ascii="Times New Roman" w:hAnsi="Times New Roman"/>
              </w:rPr>
            </w:pPr>
            <w:r>
              <w:rPr>
                <w:rFonts w:ascii="Times New Roman" w:hAnsi="Times New Roman"/>
              </w:rPr>
              <w:t>банку в цілому і зокрема на його ліквідність</w:t>
            </w:r>
          </w:p>
        </w:tc>
      </w:tr>
      <w:tr w:rsidR="002700E3" w:rsidTr="00042D5E">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360" w:lineRule="auto"/>
              <w:jc w:val="center"/>
              <w:rPr>
                <w:rFonts w:ascii="Times New Roman" w:hAnsi="Times New Roman"/>
                <w:sz w:val="24"/>
                <w:szCs w:val="24"/>
              </w:rPr>
            </w:pPr>
            <w:r>
              <w:rPr>
                <w:rFonts w:ascii="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both"/>
              <w:rPr>
                <w:rFonts w:ascii="Times New Roman" w:hAnsi="Times New Roman"/>
              </w:rPr>
            </w:pPr>
            <w:r>
              <w:rPr>
                <w:rFonts w:ascii="Times New Roman" w:hAnsi="Times New Roman"/>
              </w:rPr>
              <w:t>Розрахунок і аналіз коефіцієнтів ліквідності</w:t>
            </w:r>
          </w:p>
        </w:tc>
        <w:tc>
          <w:tcPr>
            <w:tcW w:w="3402"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both"/>
              <w:rPr>
                <w:rFonts w:ascii="Times New Roman" w:hAnsi="Times New Roman"/>
              </w:rPr>
            </w:pPr>
            <w:r>
              <w:rPr>
                <w:rFonts w:ascii="Times New Roman" w:hAnsi="Times New Roman"/>
              </w:rPr>
              <w:t>Аналіз ліквідності здійснюється методом коефіцієнтного аналізу. Сутність методу – розрахунок коефіцієнтів ліквідності балансу. Зазначені коефіцієнти показують стабільність зобов’язань банку і потреби в додаткових коштах. Деякі коефіцієнти є нормативами та використовуються регулятором для контролю за рівнем ліквідності банку</w:t>
            </w:r>
          </w:p>
        </w:tc>
        <w:tc>
          <w:tcPr>
            <w:tcW w:w="3397"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both"/>
              <w:rPr>
                <w:rFonts w:ascii="Times New Roman" w:hAnsi="Times New Roman"/>
              </w:rPr>
            </w:pPr>
            <w:r>
              <w:rPr>
                <w:rFonts w:ascii="Times New Roman" w:hAnsi="Times New Roman"/>
              </w:rPr>
              <w:t>З метою мінімізації недоліків коефіцієнтного аналізу та підвищення ефективності аналізу ліквідності банку застосовується метод аналізу активів і пасивів банку</w:t>
            </w:r>
          </w:p>
        </w:tc>
      </w:tr>
      <w:tr w:rsidR="002700E3" w:rsidTr="00042D5E">
        <w:trPr>
          <w:trHeight w:val="1779"/>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360" w:lineRule="auto"/>
              <w:jc w:val="center"/>
              <w:rPr>
                <w:rFonts w:ascii="Times New Roman" w:hAnsi="Times New Roman"/>
                <w:sz w:val="24"/>
                <w:szCs w:val="24"/>
              </w:rPr>
            </w:pPr>
            <w:r>
              <w:rPr>
                <w:rFonts w:ascii="Times New Roman" w:hAnsi="Times New Roman"/>
                <w:sz w:val="24"/>
                <w:szCs w:val="24"/>
              </w:rPr>
              <w:t xml:space="preserve">4 </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both"/>
              <w:rPr>
                <w:rFonts w:ascii="Times New Roman" w:hAnsi="Times New Roman"/>
              </w:rPr>
            </w:pPr>
            <w:r>
              <w:rPr>
                <w:rFonts w:ascii="Times New Roman" w:hAnsi="Times New Roman"/>
              </w:rPr>
              <w:t>Оцінка ефективності стратегії управління</w:t>
            </w:r>
          </w:p>
          <w:p w:rsidR="002700E3" w:rsidRDefault="002700E3" w:rsidP="00042D5E">
            <w:pPr>
              <w:spacing w:line="240" w:lineRule="auto"/>
              <w:jc w:val="both"/>
              <w:rPr>
                <w:rFonts w:ascii="Times New Roman" w:hAnsi="Times New Roman"/>
              </w:rPr>
            </w:pPr>
            <w:r>
              <w:rPr>
                <w:rFonts w:ascii="Times New Roman" w:hAnsi="Times New Roman"/>
              </w:rPr>
              <w:t>активами і пасивами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both"/>
              <w:rPr>
                <w:rFonts w:ascii="Times New Roman" w:hAnsi="Times New Roman"/>
              </w:rPr>
            </w:pPr>
            <w:r>
              <w:rPr>
                <w:rFonts w:ascii="Times New Roman" w:hAnsi="Times New Roman"/>
              </w:rPr>
              <w:t>Мета - забезпечення оптимального рівня ліквідності банку. Структурний аналіз активів і пасивів банку є невід’ємною частиною аналізу його ліквідності</w:t>
            </w:r>
          </w:p>
        </w:tc>
        <w:tc>
          <w:tcPr>
            <w:tcW w:w="3397"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both"/>
              <w:rPr>
                <w:rFonts w:ascii="Times New Roman" w:hAnsi="Times New Roman"/>
              </w:rPr>
            </w:pPr>
            <w:r>
              <w:rPr>
                <w:rFonts w:ascii="Times New Roman" w:hAnsi="Times New Roman"/>
              </w:rPr>
              <w:t>Формування структури балансу при якій активи, не втрачаючи своєї вартості, можуть своєчасно трансформуватися в грошові кошти в міру зростання потреби в пасивах.</w:t>
            </w:r>
          </w:p>
        </w:tc>
      </w:tr>
      <w:tr w:rsidR="002700E3" w:rsidTr="00042D5E">
        <w:trPr>
          <w:trHeight w:val="155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360" w:lineRule="auto"/>
              <w:jc w:val="center"/>
              <w:rPr>
                <w:rFonts w:ascii="Times New Roman" w:hAnsi="Times New Roman"/>
                <w:sz w:val="24"/>
                <w:szCs w:val="24"/>
              </w:rPr>
            </w:pPr>
            <w:r>
              <w:rPr>
                <w:rFonts w:ascii="Times New Roman" w:hAnsi="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both"/>
              <w:rPr>
                <w:rFonts w:ascii="Times New Roman" w:hAnsi="Times New Roman"/>
              </w:rPr>
            </w:pPr>
            <w:r>
              <w:rPr>
                <w:rFonts w:ascii="Times New Roman" w:hAnsi="Times New Roman"/>
              </w:rPr>
              <w:t>Вироблення рекомендацій для подальшого управління ліквідністю</w:t>
            </w:r>
          </w:p>
        </w:tc>
        <w:tc>
          <w:tcPr>
            <w:tcW w:w="3402"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both"/>
              <w:rPr>
                <w:rFonts w:ascii="Times New Roman" w:hAnsi="Times New Roman"/>
              </w:rPr>
            </w:pPr>
            <w:r>
              <w:rPr>
                <w:rFonts w:ascii="Times New Roman" w:hAnsi="Times New Roman"/>
              </w:rPr>
              <w:t>Розробка і</w:t>
            </w:r>
          </w:p>
          <w:p w:rsidR="002700E3" w:rsidRDefault="002700E3" w:rsidP="00042D5E">
            <w:pPr>
              <w:spacing w:line="240" w:lineRule="auto"/>
              <w:jc w:val="both"/>
              <w:rPr>
                <w:rFonts w:ascii="Times New Roman" w:hAnsi="Times New Roman"/>
              </w:rPr>
            </w:pPr>
            <w:r>
              <w:rPr>
                <w:rFonts w:ascii="Times New Roman" w:hAnsi="Times New Roman"/>
              </w:rPr>
              <w:t>обґрунтування рекомендацій щодо управління ліквідністю</w:t>
            </w:r>
          </w:p>
        </w:tc>
        <w:tc>
          <w:tcPr>
            <w:tcW w:w="3397" w:type="dxa"/>
            <w:tcBorders>
              <w:top w:val="single" w:sz="4" w:space="0" w:color="auto"/>
              <w:left w:val="single" w:sz="4" w:space="0" w:color="auto"/>
              <w:bottom w:val="single" w:sz="4" w:space="0" w:color="auto"/>
              <w:right w:val="single" w:sz="4" w:space="0" w:color="auto"/>
            </w:tcBorders>
            <w:vAlign w:val="center"/>
            <w:hideMark/>
          </w:tcPr>
          <w:p w:rsidR="002700E3" w:rsidRDefault="002700E3" w:rsidP="00042D5E">
            <w:pPr>
              <w:spacing w:line="240" w:lineRule="auto"/>
              <w:jc w:val="both"/>
              <w:rPr>
                <w:rFonts w:ascii="Times New Roman" w:hAnsi="Times New Roman"/>
              </w:rPr>
            </w:pPr>
            <w:r>
              <w:rPr>
                <w:rFonts w:ascii="Times New Roman" w:hAnsi="Times New Roman"/>
              </w:rPr>
              <w:t>Забезпечення економічної стабільності</w:t>
            </w:r>
          </w:p>
        </w:tc>
      </w:tr>
    </w:tbl>
    <w:p w:rsidR="00B85D1A" w:rsidRPr="00413E8E" w:rsidRDefault="00B85D1A" w:rsidP="00110EE2">
      <w:pPr>
        <w:spacing w:before="120" w:after="0" w:line="360" w:lineRule="auto"/>
        <w:ind w:firstLine="709"/>
        <w:jc w:val="both"/>
        <w:rPr>
          <w:rFonts w:ascii="Times New Roman" w:hAnsi="Times New Roman"/>
          <w:sz w:val="24"/>
          <w:szCs w:val="24"/>
        </w:rPr>
      </w:pPr>
      <w:r w:rsidRPr="00413E8E">
        <w:rPr>
          <w:rFonts w:ascii="Times New Roman" w:hAnsi="Times New Roman"/>
          <w:sz w:val="24"/>
          <w:szCs w:val="24"/>
        </w:rPr>
        <w:t>Джерело: [30, с. 247-248]</w:t>
      </w:r>
    </w:p>
    <w:p w:rsidR="00CA77D3" w:rsidRDefault="00CA77D3" w:rsidP="00110EE2">
      <w:pPr>
        <w:spacing w:before="120" w:after="0" w:line="360" w:lineRule="auto"/>
        <w:ind w:firstLine="709"/>
        <w:jc w:val="both"/>
        <w:rPr>
          <w:rFonts w:ascii="Times New Roman" w:hAnsi="Times New Roman"/>
          <w:sz w:val="28"/>
          <w:szCs w:val="28"/>
        </w:rPr>
      </w:pPr>
      <w:r w:rsidRPr="00CA77D3">
        <w:rPr>
          <w:rFonts w:ascii="Times New Roman" w:hAnsi="Times New Roman"/>
          <w:sz w:val="28"/>
          <w:szCs w:val="28"/>
        </w:rPr>
        <w:t>Серед основних підходів до оцінки ліквідності комерційного банку на сучасному етапі наукових досліджень виділяють наступні мето</w:t>
      </w:r>
      <w:r w:rsidR="002700E3">
        <w:rPr>
          <w:rFonts w:ascii="Times New Roman" w:hAnsi="Times New Roman"/>
          <w:sz w:val="28"/>
          <w:szCs w:val="28"/>
        </w:rPr>
        <w:t>ди, які представлені на рис. 1.9</w:t>
      </w:r>
      <w:r w:rsidRPr="00CA77D3">
        <w:rPr>
          <w:rFonts w:ascii="Times New Roman" w:hAnsi="Times New Roman"/>
          <w:sz w:val="28"/>
          <w:szCs w:val="28"/>
        </w:rPr>
        <w:t>.</w:t>
      </w:r>
    </w:p>
    <w:p w:rsidR="004B089B" w:rsidRPr="00CA77D3" w:rsidRDefault="004B089B" w:rsidP="004B089B">
      <w:pPr>
        <w:spacing w:after="0" w:line="360" w:lineRule="auto"/>
        <w:ind w:firstLine="709"/>
        <w:jc w:val="both"/>
        <w:rPr>
          <w:rFonts w:ascii="Times New Roman" w:hAnsi="Times New Roman"/>
          <w:sz w:val="28"/>
          <w:szCs w:val="28"/>
        </w:rPr>
      </w:pPr>
      <w:r w:rsidRPr="00D933D4">
        <w:rPr>
          <w:rFonts w:ascii="Times New Roman" w:hAnsi="Times New Roman"/>
          <w:sz w:val="28"/>
          <w:szCs w:val="28"/>
        </w:rPr>
        <w:t>Серед методів оцінки ліквідності комерційного банку найбільш доступним та поширеним виступає саме коефіцієнтний аналіз. Доступність коефіцієнтного аналізу зумовлюється його тісним зв’язком з балансовими даними, у більшості випадків розрахунок здійснюється шляхом співвідношення різних статей активів та пасивів. На противагу методам зовнішньої оцінки, інформація необхідна для проведення коефіцієнтного аналізу є більш доступною.</w:t>
      </w:r>
    </w:p>
    <w:p w:rsidR="00CA77D3" w:rsidRDefault="00796511" w:rsidP="00110EE2">
      <w:pPr>
        <w:spacing w:before="120" w:after="0" w:line="360" w:lineRule="auto"/>
        <w:ind w:firstLine="709"/>
        <w:jc w:val="both"/>
      </w:pPr>
      <w:r>
        <w:rPr>
          <w:noProof/>
          <w:lang w:eastAsia="uk-UA"/>
        </w:rPr>
        <w:lastRenderedPageBreak/>
        <mc:AlternateContent>
          <mc:Choice Requires="wpc">
            <w:drawing>
              <wp:inline distT="0" distB="0" distL="0" distR="0">
                <wp:extent cx="5486400" cy="2788920"/>
                <wp:effectExtent l="0" t="0" r="0" b="0"/>
                <wp:docPr id="149" name="Полотно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0" name="Прямоугольник 150"/>
                        <wps:cNvSpPr/>
                        <wps:spPr>
                          <a:xfrm>
                            <a:off x="1455420" y="83820"/>
                            <a:ext cx="2400300" cy="449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96511" w:rsidRDefault="00F821E3" w:rsidP="00796511">
                              <w:pPr>
                                <w:jc w:val="center"/>
                                <w:rPr>
                                  <w:rFonts w:ascii="Times New Roman" w:hAnsi="Times New Roman"/>
                                  <w:color w:val="000000" w:themeColor="text1"/>
                                  <w:sz w:val="24"/>
                                  <w:szCs w:val="24"/>
                                </w:rPr>
                              </w:pPr>
                              <w:r w:rsidRPr="00796511">
                                <w:rPr>
                                  <w:rFonts w:ascii="Times New Roman" w:hAnsi="Times New Roman"/>
                                  <w:color w:val="000000" w:themeColor="text1"/>
                                  <w:sz w:val="24"/>
                                  <w:szCs w:val="24"/>
                                </w:rPr>
                                <w:t>Методи оцінки ліквідності комерційного банку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ая со стрелкой 151"/>
                        <wps:cNvCnPr>
                          <a:stCxn id="150" idx="2"/>
                        </wps:cNvCnPr>
                        <wps:spPr>
                          <a:xfrm flipH="1">
                            <a:off x="1363980" y="533400"/>
                            <a:ext cx="129159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Прямая со стрелкой 152"/>
                        <wps:cNvCnPr>
                          <a:stCxn id="150" idx="2"/>
                        </wps:cNvCnPr>
                        <wps:spPr>
                          <a:xfrm>
                            <a:off x="2655570" y="533400"/>
                            <a:ext cx="128397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Прямоугольник 153"/>
                        <wps:cNvSpPr/>
                        <wps:spPr>
                          <a:xfrm>
                            <a:off x="685800" y="723900"/>
                            <a:ext cx="1379220" cy="365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96511" w:rsidRDefault="00F821E3" w:rsidP="00796511">
                              <w:pPr>
                                <w:jc w:val="center"/>
                                <w:rPr>
                                  <w:rFonts w:ascii="Times New Roman" w:hAnsi="Times New Roman"/>
                                  <w:color w:val="000000" w:themeColor="text1"/>
                                  <w:sz w:val="24"/>
                                  <w:szCs w:val="24"/>
                                </w:rPr>
                              </w:pPr>
                              <w:r w:rsidRPr="00796511">
                                <w:rPr>
                                  <w:rFonts w:ascii="Times New Roman" w:hAnsi="Times New Roman"/>
                                  <w:color w:val="000000" w:themeColor="text1"/>
                                  <w:sz w:val="24"/>
                                  <w:szCs w:val="24"/>
                                </w:rPr>
                                <w:t>Внутрішня оцінка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Прямоугольник 154"/>
                        <wps:cNvSpPr/>
                        <wps:spPr>
                          <a:xfrm>
                            <a:off x="3205140" y="723900"/>
                            <a:ext cx="1379220" cy="365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796511">
                              <w:pPr>
                                <w:pStyle w:val="a3"/>
                                <w:spacing w:before="0" w:beforeAutospacing="0" w:after="160" w:afterAutospacing="0" w:line="254" w:lineRule="auto"/>
                                <w:jc w:val="center"/>
                              </w:pPr>
                              <w:r>
                                <w:rPr>
                                  <w:rFonts w:eastAsia="Calibri"/>
                                  <w:color w:val="000000"/>
                                </w:rPr>
                                <w:t>Зовнішня оцінка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Прямая соединительная линия 155"/>
                        <wps:cNvCnPr/>
                        <wps:spPr>
                          <a:xfrm>
                            <a:off x="1363980" y="1089660"/>
                            <a:ext cx="0" cy="243840"/>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Прямоугольник 156"/>
                        <wps:cNvSpPr/>
                        <wps:spPr>
                          <a:xfrm>
                            <a:off x="434340" y="1333500"/>
                            <a:ext cx="1828800" cy="12801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96511" w:rsidRDefault="00F821E3" w:rsidP="00796511">
                              <w:pPr>
                                <w:jc w:val="center"/>
                                <w:rPr>
                                  <w:rFonts w:ascii="Times New Roman" w:hAnsi="Times New Roman"/>
                                  <w:color w:val="000000" w:themeColor="text1"/>
                                  <w:sz w:val="24"/>
                                  <w:szCs w:val="24"/>
                                </w:rPr>
                              </w:pPr>
                              <w:r w:rsidRPr="00796511">
                                <w:rPr>
                                  <w:rFonts w:ascii="Times New Roman" w:hAnsi="Times New Roman"/>
                                  <w:color w:val="000000" w:themeColor="text1"/>
                                  <w:sz w:val="24"/>
                                  <w:szCs w:val="24"/>
                                </w:rPr>
                                <w:t>здійснюються переважно на основі аналізу балансових даних</w:t>
                              </w:r>
                              <w:r>
                                <w:rPr>
                                  <w:rFonts w:ascii="Times New Roman" w:hAnsi="Times New Roman"/>
                                  <w:color w:val="000000" w:themeColor="text1"/>
                                  <w:sz w:val="24"/>
                                  <w:szCs w:val="24"/>
                                </w:rPr>
                                <w:t xml:space="preserve"> (</w:t>
                              </w:r>
                              <w:r w:rsidRPr="00796511">
                                <w:rPr>
                                  <w:rFonts w:ascii="Times New Roman" w:hAnsi="Times New Roman"/>
                                  <w:color w:val="000000" w:themeColor="text1"/>
                                  <w:sz w:val="24"/>
                                  <w:szCs w:val="24"/>
                                </w:rPr>
                                <w:t>коефіцієнтний аналіз та аналіз грошових потоків</w:t>
                              </w:r>
                              <w:r>
                                <w:rPr>
                                  <w:rFonts w:ascii="Times New Roman" w:hAnsi="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Прямая соединительная линия 157"/>
                        <wps:cNvCnPr/>
                        <wps:spPr>
                          <a:xfrm>
                            <a:off x="3893820" y="1089660"/>
                            <a:ext cx="7620" cy="243840"/>
                          </a:xfrm>
                          <a:prstGeom prst="line">
                            <a:avLst/>
                          </a:prstGeom>
                        </wps:spPr>
                        <wps:style>
                          <a:lnRef idx="1">
                            <a:schemeClr val="dk1"/>
                          </a:lnRef>
                          <a:fillRef idx="0">
                            <a:schemeClr val="dk1"/>
                          </a:fillRef>
                          <a:effectRef idx="0">
                            <a:schemeClr val="dk1"/>
                          </a:effectRef>
                          <a:fontRef idx="minor">
                            <a:schemeClr val="tx1"/>
                          </a:fontRef>
                        </wps:style>
                        <wps:bodyPr/>
                      </wps:wsp>
                      <wps:wsp>
                        <wps:cNvPr id="158" name="Прямоугольник 158"/>
                        <wps:cNvSpPr/>
                        <wps:spPr>
                          <a:xfrm>
                            <a:off x="3025140" y="1333500"/>
                            <a:ext cx="1889760" cy="12801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DE49AD" w:rsidRDefault="00F821E3" w:rsidP="00DE49AD">
                              <w:pPr>
                                <w:jc w:val="center"/>
                                <w:rPr>
                                  <w:rFonts w:ascii="Times New Roman" w:hAnsi="Times New Roman"/>
                                  <w:color w:val="000000" w:themeColor="text1"/>
                                  <w:sz w:val="24"/>
                                  <w:szCs w:val="24"/>
                                </w:rPr>
                              </w:pPr>
                              <w:r>
                                <w:rPr>
                                  <w:rFonts w:ascii="Times New Roman" w:hAnsi="Times New Roman"/>
                                  <w:color w:val="000000" w:themeColor="text1"/>
                                  <w:sz w:val="24"/>
                                  <w:szCs w:val="24"/>
                                </w:rPr>
                                <w:t>з</w:t>
                              </w:r>
                              <w:r w:rsidRPr="00DE49AD">
                                <w:rPr>
                                  <w:rFonts w:ascii="Times New Roman" w:hAnsi="Times New Roman"/>
                                  <w:color w:val="000000" w:themeColor="text1"/>
                                  <w:sz w:val="24"/>
                                  <w:szCs w:val="24"/>
                                </w:rPr>
                                <w:t>асновується на оцінці платоспроможності банку та аналізі вибуття активів та зобов’язань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49" o:spid="_x0000_s1147" editas="canvas" style="width:6in;height:219.6pt;mso-position-horizontal-relative:char;mso-position-vertical-relative:line" coordsize="54864,2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">
                <v:shape id="_x0000_s1148" type="#_x0000_t75" style="position:absolute;width:54864;height:27889;visibility:visible;mso-wrap-style:square">
                  <v:fill o:detectmouseclick="t"/>
                  <v:path o:connecttype="none"/>
                </v:shape>
                <v:rect id="Прямоугольник 150" o:spid="_x0000_s1149" style="position:absolute;left:14554;top:838;width:24003;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" fillcolor="white [3212]" strokecolor="black [3213]" strokeweight="1pt">
                  <v:textbox>
                    <w:txbxContent>
                      <w:p w:rsidR="00F821E3" w:rsidRPr="00796511" w:rsidRDefault="00F821E3" w:rsidP="00796511">
                        <w:pPr>
                          <w:jc w:val="center"/>
                          <w:rPr>
                            <w:rFonts w:ascii="Times New Roman" w:hAnsi="Times New Roman"/>
                            <w:color w:val="000000" w:themeColor="text1"/>
                            <w:sz w:val="24"/>
                            <w:szCs w:val="24"/>
                          </w:rPr>
                        </w:pPr>
                        <w:r w:rsidRPr="00796511">
                          <w:rPr>
                            <w:rFonts w:ascii="Times New Roman" w:hAnsi="Times New Roman"/>
                            <w:color w:val="000000" w:themeColor="text1"/>
                            <w:sz w:val="24"/>
                            <w:szCs w:val="24"/>
                          </w:rPr>
                          <w:t>Методи оцінки ліквідності комерційного банку</w:t>
                        </w:r>
                      </w:p>
                    </w:txbxContent>
                  </v:textbox>
                </v:rect>
                <v:shape id="Прямая со стрелкой 151" o:spid="_x0000_s1150" type="#_x0000_t32" style="position:absolute;left:13639;top:5334;width:12916;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Прямая со стрелкой 152" o:spid="_x0000_s1151" type="#_x0000_t32" style="position:absolute;left:26555;top:5334;width:1284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" strokecolor="black [3200]" strokeweight=".5pt">
                  <v:stroke endarrow="block" joinstyle="miter"/>
                </v:shape>
                <v:rect id="Прямоугольник 153" o:spid="_x0000_s1152" style="position:absolute;left:6858;top:7239;width:13792;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" fillcolor="white [3212]" strokecolor="black [3213]" strokeweight="1pt">
                  <v:textbox>
                    <w:txbxContent>
                      <w:p w:rsidR="00F821E3" w:rsidRPr="00796511" w:rsidRDefault="00F821E3" w:rsidP="00796511">
                        <w:pPr>
                          <w:jc w:val="center"/>
                          <w:rPr>
                            <w:rFonts w:ascii="Times New Roman" w:hAnsi="Times New Roman"/>
                            <w:color w:val="000000" w:themeColor="text1"/>
                            <w:sz w:val="24"/>
                            <w:szCs w:val="24"/>
                          </w:rPr>
                        </w:pPr>
                        <w:r w:rsidRPr="00796511">
                          <w:rPr>
                            <w:rFonts w:ascii="Times New Roman" w:hAnsi="Times New Roman"/>
                            <w:color w:val="000000" w:themeColor="text1"/>
                            <w:sz w:val="24"/>
                            <w:szCs w:val="24"/>
                          </w:rPr>
                          <w:t>Внутрішня оцінка</w:t>
                        </w:r>
                      </w:p>
                    </w:txbxContent>
                  </v:textbox>
                </v:rect>
                <v:rect id="Прямоугольник 154" o:spid="_x0000_s1153" style="position:absolute;left:32051;top:7239;width:13792;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" fillcolor="white [3212]" strokecolor="black [3213]" strokeweight="1pt">
                  <v:textbox>
                    <w:txbxContent>
                      <w:p w:rsidR="00F821E3" w:rsidRDefault="00F821E3" w:rsidP="00796511">
                        <w:pPr>
                          <w:pStyle w:val="a3"/>
                          <w:spacing w:before="0" w:beforeAutospacing="0" w:after="160" w:afterAutospacing="0" w:line="254" w:lineRule="auto"/>
                          <w:jc w:val="center"/>
                        </w:pPr>
                        <w:r>
                          <w:rPr>
                            <w:rFonts w:eastAsia="Calibri"/>
                            <w:color w:val="000000"/>
                          </w:rPr>
                          <w:t>Зовнішня оцінка</w:t>
                        </w:r>
                      </w:p>
                    </w:txbxContent>
                  </v:textbox>
                </v:rect>
                <v:line id="Прямая соединительная линия 155" o:spid="_x0000_s1154" style="position:absolute;visibility:visible;mso-wrap-style:square" from="13639,10896" to="136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" strokecolor="black [3200]" strokeweight=".5pt">
                  <v:stroke joinstyle="miter"/>
                </v:line>
                <v:rect id="Прямоугольник 156" o:spid="_x0000_s1155" style="position:absolute;left:4343;top:13335;width:18288;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" fillcolor="white [3212]" strokecolor="black [3213]" strokeweight="1pt">
                  <v:textbox>
                    <w:txbxContent>
                      <w:p w:rsidR="00F821E3" w:rsidRPr="00796511" w:rsidRDefault="00F821E3" w:rsidP="00796511">
                        <w:pPr>
                          <w:jc w:val="center"/>
                          <w:rPr>
                            <w:rFonts w:ascii="Times New Roman" w:hAnsi="Times New Roman"/>
                            <w:color w:val="000000" w:themeColor="text1"/>
                            <w:sz w:val="24"/>
                            <w:szCs w:val="24"/>
                          </w:rPr>
                        </w:pPr>
                        <w:r w:rsidRPr="00796511">
                          <w:rPr>
                            <w:rFonts w:ascii="Times New Roman" w:hAnsi="Times New Roman"/>
                            <w:color w:val="000000" w:themeColor="text1"/>
                            <w:sz w:val="24"/>
                            <w:szCs w:val="24"/>
                          </w:rPr>
                          <w:t>здійснюються переважно на основі аналізу балансових даних</w:t>
                        </w:r>
                        <w:r>
                          <w:rPr>
                            <w:rFonts w:ascii="Times New Roman" w:hAnsi="Times New Roman"/>
                            <w:color w:val="000000" w:themeColor="text1"/>
                            <w:sz w:val="24"/>
                            <w:szCs w:val="24"/>
                          </w:rPr>
                          <w:t xml:space="preserve"> (</w:t>
                        </w:r>
                        <w:r w:rsidRPr="00796511">
                          <w:rPr>
                            <w:rFonts w:ascii="Times New Roman" w:hAnsi="Times New Roman"/>
                            <w:color w:val="000000" w:themeColor="text1"/>
                            <w:sz w:val="24"/>
                            <w:szCs w:val="24"/>
                          </w:rPr>
                          <w:t>коефіцієнтний аналіз та аналіз грошових потоків</w:t>
                        </w:r>
                        <w:r>
                          <w:rPr>
                            <w:rFonts w:ascii="Times New Roman" w:hAnsi="Times New Roman"/>
                            <w:color w:val="000000" w:themeColor="text1"/>
                            <w:sz w:val="24"/>
                            <w:szCs w:val="24"/>
                          </w:rPr>
                          <w:t>)</w:t>
                        </w:r>
                      </w:p>
                    </w:txbxContent>
                  </v:textbox>
                </v:rect>
                <v:line id="Прямая соединительная линия 157" o:spid="_x0000_s1156" style="position:absolute;visibility:visible;mso-wrap-style:square" from="38938,10896" to="3901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" strokecolor="black [3200]" strokeweight=".5pt">
                  <v:stroke joinstyle="miter"/>
                </v:line>
                <v:rect id="Прямоугольник 158" o:spid="_x0000_s1157" style="position:absolute;left:30251;top:13335;width:18898;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" fillcolor="white [3212]" strokecolor="black [3213]" strokeweight="1pt">
                  <v:textbox>
                    <w:txbxContent>
                      <w:p w:rsidR="00F821E3" w:rsidRPr="00DE49AD" w:rsidRDefault="00F821E3" w:rsidP="00DE49AD">
                        <w:pPr>
                          <w:jc w:val="center"/>
                          <w:rPr>
                            <w:rFonts w:ascii="Times New Roman" w:hAnsi="Times New Roman"/>
                            <w:color w:val="000000" w:themeColor="text1"/>
                            <w:sz w:val="24"/>
                            <w:szCs w:val="24"/>
                          </w:rPr>
                        </w:pPr>
                        <w:r>
                          <w:rPr>
                            <w:rFonts w:ascii="Times New Roman" w:hAnsi="Times New Roman"/>
                            <w:color w:val="000000" w:themeColor="text1"/>
                            <w:sz w:val="24"/>
                            <w:szCs w:val="24"/>
                          </w:rPr>
                          <w:t>з</w:t>
                        </w:r>
                        <w:r w:rsidRPr="00DE49AD">
                          <w:rPr>
                            <w:rFonts w:ascii="Times New Roman" w:hAnsi="Times New Roman"/>
                            <w:color w:val="000000" w:themeColor="text1"/>
                            <w:sz w:val="24"/>
                            <w:szCs w:val="24"/>
                          </w:rPr>
                          <w:t>асновується на оцінці платоспроможності банку та аналізі вибуття активів та зобов’язань</w:t>
                        </w:r>
                      </w:p>
                    </w:txbxContent>
                  </v:textbox>
                </v:rect>
                <w10:anchorlock/>
              </v:group>
            </w:pict>
          </mc:Fallback>
        </mc:AlternateContent>
      </w:r>
    </w:p>
    <w:p w:rsidR="00CA77D3" w:rsidRPr="00F2516F" w:rsidRDefault="00F2516F" w:rsidP="00F2516F">
      <w:pPr>
        <w:spacing w:before="120" w:after="0" w:line="360" w:lineRule="auto"/>
        <w:ind w:firstLine="709"/>
        <w:jc w:val="center"/>
        <w:rPr>
          <w:rFonts w:ascii="Times New Roman" w:hAnsi="Times New Roman"/>
          <w:sz w:val="28"/>
          <w:szCs w:val="28"/>
        </w:rPr>
      </w:pPr>
      <w:r w:rsidRPr="00F2516F">
        <w:rPr>
          <w:rFonts w:ascii="Times New Roman" w:hAnsi="Times New Roman"/>
          <w:sz w:val="28"/>
          <w:szCs w:val="28"/>
        </w:rPr>
        <w:t>Рис. 1.</w:t>
      </w:r>
      <w:r w:rsidR="002700E3">
        <w:rPr>
          <w:rFonts w:ascii="Times New Roman" w:hAnsi="Times New Roman"/>
          <w:sz w:val="28"/>
          <w:szCs w:val="28"/>
        </w:rPr>
        <w:t>9</w:t>
      </w:r>
      <w:r w:rsidRPr="00F2516F">
        <w:rPr>
          <w:rFonts w:ascii="Times New Roman" w:hAnsi="Times New Roman"/>
          <w:sz w:val="28"/>
          <w:szCs w:val="28"/>
        </w:rPr>
        <w:t>. Методи оцінки ліквідності комерційного банку</w:t>
      </w:r>
      <w:r>
        <w:rPr>
          <w:rFonts w:ascii="Times New Roman" w:hAnsi="Times New Roman"/>
          <w:sz w:val="28"/>
          <w:szCs w:val="28"/>
        </w:rPr>
        <w:t xml:space="preserve"> </w:t>
      </w:r>
      <w:r w:rsidR="00CA77D3" w:rsidRPr="00F2516F">
        <w:rPr>
          <w:rFonts w:ascii="Times New Roman" w:hAnsi="Times New Roman"/>
          <w:sz w:val="28"/>
          <w:szCs w:val="28"/>
        </w:rPr>
        <w:t>[</w:t>
      </w:r>
      <w:r>
        <w:rPr>
          <w:rFonts w:ascii="Times New Roman" w:hAnsi="Times New Roman"/>
          <w:sz w:val="28"/>
          <w:szCs w:val="28"/>
        </w:rPr>
        <w:t>35</w:t>
      </w:r>
      <w:r w:rsidR="00CA77D3" w:rsidRPr="00F2516F">
        <w:rPr>
          <w:rFonts w:ascii="Times New Roman" w:hAnsi="Times New Roman"/>
          <w:sz w:val="28"/>
          <w:szCs w:val="28"/>
        </w:rPr>
        <w:t>, c.</w:t>
      </w:r>
      <w:r>
        <w:rPr>
          <w:rFonts w:ascii="Times New Roman" w:hAnsi="Times New Roman"/>
          <w:sz w:val="28"/>
          <w:szCs w:val="28"/>
        </w:rPr>
        <w:t>75</w:t>
      </w:r>
      <w:r w:rsidR="00CA77D3" w:rsidRPr="00F2516F">
        <w:rPr>
          <w:rFonts w:ascii="Times New Roman" w:hAnsi="Times New Roman"/>
          <w:sz w:val="28"/>
          <w:szCs w:val="28"/>
        </w:rPr>
        <w:t>]</w:t>
      </w:r>
    </w:p>
    <w:p w:rsidR="00CA77D3" w:rsidRDefault="00CA77D3" w:rsidP="00D933D4">
      <w:pPr>
        <w:spacing w:after="0" w:line="360" w:lineRule="auto"/>
        <w:ind w:firstLine="709"/>
        <w:jc w:val="both"/>
        <w:rPr>
          <w:rFonts w:ascii="Times New Roman" w:hAnsi="Times New Roman"/>
          <w:sz w:val="28"/>
          <w:szCs w:val="28"/>
        </w:rPr>
      </w:pPr>
      <w:r w:rsidRPr="00D933D4">
        <w:rPr>
          <w:rFonts w:ascii="Times New Roman" w:hAnsi="Times New Roman"/>
          <w:sz w:val="28"/>
          <w:szCs w:val="28"/>
        </w:rPr>
        <w:t>Коефіцієнтний аналіз дає змогу проводити аналіз ліквідності, незважаючи на розміри фінансової установи, а також дає можливість здійснення оперативного контролю з боку органів банківського нагляду. У більшості випадків коефіцієнти ліквідності переважно розраховують як співвідношення між різними статтями активів та пасивів</w:t>
      </w:r>
      <w:r w:rsidR="00D933D4">
        <w:rPr>
          <w:rFonts w:ascii="Times New Roman" w:hAnsi="Times New Roman"/>
          <w:sz w:val="28"/>
          <w:szCs w:val="28"/>
        </w:rPr>
        <w:t xml:space="preserve"> </w:t>
      </w:r>
      <w:r w:rsidR="00D933D4" w:rsidRPr="00D933D4">
        <w:rPr>
          <w:rFonts w:ascii="Times New Roman" w:hAnsi="Times New Roman"/>
          <w:sz w:val="28"/>
          <w:szCs w:val="28"/>
        </w:rPr>
        <w:t>[35, c.75]</w:t>
      </w:r>
      <w:r w:rsidR="00D933D4">
        <w:rPr>
          <w:rFonts w:ascii="Times New Roman" w:hAnsi="Times New Roman"/>
          <w:sz w:val="28"/>
          <w:szCs w:val="28"/>
        </w:rPr>
        <w:t>.</w:t>
      </w:r>
    </w:p>
    <w:p w:rsidR="00110EE2" w:rsidRDefault="00BC753B" w:rsidP="00D933D4">
      <w:pPr>
        <w:spacing w:after="0" w:line="360" w:lineRule="auto"/>
        <w:ind w:firstLine="709"/>
        <w:jc w:val="both"/>
        <w:rPr>
          <w:rFonts w:ascii="Times New Roman" w:hAnsi="Times New Roman"/>
          <w:sz w:val="28"/>
          <w:szCs w:val="28"/>
        </w:rPr>
      </w:pPr>
      <w:r>
        <w:rPr>
          <w:rFonts w:ascii="Times New Roman" w:hAnsi="Times New Roman"/>
          <w:sz w:val="28"/>
          <w:szCs w:val="28"/>
        </w:rPr>
        <w:t>Станом на 31.12.2021 н</w:t>
      </w:r>
      <w:r w:rsidR="00110EE2">
        <w:rPr>
          <w:rFonts w:ascii="Times New Roman" w:hAnsi="Times New Roman"/>
          <w:sz w:val="28"/>
          <w:szCs w:val="28"/>
        </w:rPr>
        <w:t xml:space="preserve">аціональним банком Україні встановлені наступні нормативи ліквідності: </w:t>
      </w:r>
    </w:p>
    <w:p w:rsidR="00110EE2" w:rsidRDefault="00110EE2" w:rsidP="00D933D4">
      <w:pPr>
        <w:spacing w:after="0" w:line="360" w:lineRule="auto"/>
        <w:ind w:firstLine="709"/>
        <w:jc w:val="both"/>
        <w:rPr>
          <w:rFonts w:ascii="Times New Roman" w:hAnsi="Times New Roman"/>
          <w:sz w:val="28"/>
          <w:szCs w:val="28"/>
        </w:rPr>
      </w:pPr>
      <w:r>
        <w:rPr>
          <w:rFonts w:ascii="Times New Roman" w:hAnsi="Times New Roman"/>
          <w:sz w:val="28"/>
          <w:szCs w:val="28"/>
        </w:rPr>
        <w:t>- норматив короткострокової ліквідності (Н6);</w:t>
      </w:r>
    </w:p>
    <w:p w:rsidR="00110EE2" w:rsidRDefault="00110EE2" w:rsidP="00D933D4">
      <w:pPr>
        <w:spacing w:after="0" w:line="360" w:lineRule="auto"/>
        <w:ind w:firstLine="709"/>
        <w:jc w:val="both"/>
        <w:rPr>
          <w:rFonts w:ascii="Times New Roman" w:hAnsi="Times New Roman"/>
          <w:sz w:val="28"/>
          <w:szCs w:val="28"/>
        </w:rPr>
      </w:pPr>
      <w:r>
        <w:rPr>
          <w:rFonts w:ascii="Times New Roman" w:hAnsi="Times New Roman"/>
          <w:sz w:val="28"/>
          <w:szCs w:val="28"/>
        </w:rPr>
        <w:t>- коефіцієнт покриття ліквідністю (LCR);</w:t>
      </w:r>
    </w:p>
    <w:p w:rsidR="00110EE2" w:rsidRDefault="00110EE2" w:rsidP="00D933D4">
      <w:pPr>
        <w:spacing w:after="0" w:line="360" w:lineRule="auto"/>
        <w:ind w:firstLine="709"/>
        <w:jc w:val="both"/>
        <w:rPr>
          <w:rFonts w:ascii="Times New Roman" w:hAnsi="Times New Roman"/>
          <w:sz w:val="28"/>
          <w:szCs w:val="28"/>
        </w:rPr>
      </w:pPr>
      <w:r>
        <w:rPr>
          <w:rFonts w:ascii="Times New Roman" w:hAnsi="Times New Roman"/>
          <w:sz w:val="28"/>
          <w:szCs w:val="28"/>
        </w:rPr>
        <w:t>- коефіцієнт чистого стабільного фінансування (NSFR).</w:t>
      </w:r>
    </w:p>
    <w:p w:rsidR="00BC753B" w:rsidRDefault="00BC753B" w:rsidP="00D933D4">
      <w:pPr>
        <w:spacing w:after="0" w:line="360" w:lineRule="auto"/>
        <w:ind w:firstLine="709"/>
        <w:jc w:val="both"/>
        <w:rPr>
          <w:rFonts w:ascii="Times New Roman" w:hAnsi="Times New Roman"/>
          <w:sz w:val="28"/>
          <w:szCs w:val="28"/>
        </w:rPr>
      </w:pPr>
      <w:r>
        <w:rPr>
          <w:rFonts w:ascii="Times New Roman" w:hAnsi="Times New Roman"/>
          <w:sz w:val="28"/>
          <w:szCs w:val="28"/>
        </w:rPr>
        <w:t>Задля</w:t>
      </w:r>
      <w:r w:rsidRPr="00BC753B">
        <w:rPr>
          <w:rFonts w:ascii="Times New Roman" w:hAnsi="Times New Roman"/>
          <w:sz w:val="28"/>
          <w:szCs w:val="28"/>
        </w:rPr>
        <w:t xml:space="preserve"> подолання </w:t>
      </w:r>
      <w:r>
        <w:rPr>
          <w:rFonts w:ascii="Times New Roman" w:hAnsi="Times New Roman"/>
          <w:sz w:val="28"/>
          <w:szCs w:val="28"/>
        </w:rPr>
        <w:t>негативних</w:t>
      </w:r>
      <w:r w:rsidRPr="00BC753B">
        <w:rPr>
          <w:rFonts w:ascii="Times New Roman" w:hAnsi="Times New Roman"/>
          <w:sz w:val="28"/>
          <w:szCs w:val="28"/>
        </w:rPr>
        <w:t xml:space="preserve"> тенденцій </w:t>
      </w:r>
      <w:r>
        <w:rPr>
          <w:rFonts w:ascii="Times New Roman" w:hAnsi="Times New Roman"/>
          <w:sz w:val="28"/>
          <w:szCs w:val="28"/>
        </w:rPr>
        <w:t xml:space="preserve">щодо, пов’язаних з ліквідністю комерційних банків, Базельським комітетом з банківського нагляду було розроблено </w:t>
      </w:r>
      <w:r w:rsidRPr="00BC753B">
        <w:rPr>
          <w:rFonts w:ascii="Times New Roman" w:hAnsi="Times New Roman"/>
          <w:sz w:val="28"/>
          <w:szCs w:val="28"/>
        </w:rPr>
        <w:t>комплекс заходів, спрямованих та те, щоб стимулювати банківські у</w:t>
      </w:r>
      <w:r>
        <w:rPr>
          <w:rFonts w:ascii="Times New Roman" w:hAnsi="Times New Roman"/>
          <w:sz w:val="28"/>
          <w:szCs w:val="28"/>
        </w:rPr>
        <w:t>станови у своїй діяльності щодо</w:t>
      </w:r>
      <w:r w:rsidRPr="00BC753B">
        <w:rPr>
          <w:rFonts w:ascii="Times New Roman" w:hAnsi="Times New Roman"/>
          <w:sz w:val="28"/>
          <w:szCs w:val="28"/>
        </w:rPr>
        <w:t xml:space="preserve"> управлін</w:t>
      </w:r>
      <w:r>
        <w:rPr>
          <w:rFonts w:ascii="Times New Roman" w:hAnsi="Times New Roman"/>
          <w:sz w:val="28"/>
          <w:szCs w:val="28"/>
        </w:rPr>
        <w:t>ня грошовими потоками відмовлятися від більш традиційної</w:t>
      </w:r>
      <w:r w:rsidRPr="00BC753B">
        <w:rPr>
          <w:rFonts w:ascii="Times New Roman" w:hAnsi="Times New Roman"/>
          <w:sz w:val="28"/>
          <w:szCs w:val="28"/>
        </w:rPr>
        <w:t xml:space="preserve"> бізнес-моделі «створюй і тримай» на користь моделі «створюй і роз</w:t>
      </w:r>
      <w:r>
        <w:rPr>
          <w:rFonts w:ascii="Times New Roman" w:hAnsi="Times New Roman"/>
          <w:sz w:val="28"/>
          <w:szCs w:val="28"/>
        </w:rPr>
        <w:t>повсюджуй», що дозволило банкам залучати кошти на фінансових ринках шляхом випуску</w:t>
      </w:r>
      <w:r w:rsidRPr="00BC753B">
        <w:rPr>
          <w:rFonts w:ascii="Times New Roman" w:hAnsi="Times New Roman"/>
          <w:sz w:val="28"/>
          <w:szCs w:val="28"/>
        </w:rPr>
        <w:t xml:space="preserve"> структурованих продуктів. Досягнення цієї мети було забезпечене запр</w:t>
      </w:r>
      <w:r>
        <w:rPr>
          <w:rFonts w:ascii="Times New Roman" w:hAnsi="Times New Roman"/>
          <w:sz w:val="28"/>
          <w:szCs w:val="28"/>
        </w:rPr>
        <w:t>овадженням нових нормативів, що використовуються для аналізу ліквідності - на зміну традиційним</w:t>
      </w:r>
      <w:r w:rsidRPr="00BC753B">
        <w:rPr>
          <w:rFonts w:ascii="Times New Roman" w:hAnsi="Times New Roman"/>
          <w:sz w:val="28"/>
          <w:szCs w:val="28"/>
        </w:rPr>
        <w:t xml:space="preserve"> коефіцієнтам ліквідності прийшли показники LCR</w:t>
      </w:r>
      <w:r>
        <w:rPr>
          <w:rFonts w:ascii="Times New Roman" w:hAnsi="Times New Roman"/>
          <w:sz w:val="28"/>
          <w:szCs w:val="28"/>
        </w:rPr>
        <w:t xml:space="preserve"> </w:t>
      </w:r>
      <w:r w:rsidRPr="00BC753B">
        <w:rPr>
          <w:rFonts w:ascii="Times New Roman" w:hAnsi="Times New Roman"/>
          <w:sz w:val="28"/>
          <w:szCs w:val="28"/>
        </w:rPr>
        <w:t>та NSFR, застосування я</w:t>
      </w:r>
      <w:r>
        <w:rPr>
          <w:rFonts w:ascii="Times New Roman" w:hAnsi="Times New Roman"/>
          <w:sz w:val="28"/>
          <w:szCs w:val="28"/>
        </w:rPr>
        <w:t xml:space="preserve">ких змусило банківські установи більш </w:t>
      </w:r>
      <w:r>
        <w:rPr>
          <w:rFonts w:ascii="Times New Roman" w:hAnsi="Times New Roman"/>
          <w:sz w:val="28"/>
          <w:szCs w:val="28"/>
        </w:rPr>
        <w:lastRenderedPageBreak/>
        <w:t xml:space="preserve">виважено </w:t>
      </w:r>
      <w:r w:rsidRPr="00BC753B">
        <w:rPr>
          <w:rFonts w:ascii="Times New Roman" w:hAnsi="Times New Roman"/>
          <w:sz w:val="28"/>
          <w:szCs w:val="28"/>
        </w:rPr>
        <w:t>пос</w:t>
      </w:r>
      <w:r>
        <w:rPr>
          <w:rFonts w:ascii="Times New Roman" w:hAnsi="Times New Roman"/>
          <w:sz w:val="28"/>
          <w:szCs w:val="28"/>
        </w:rPr>
        <w:t xml:space="preserve">тавитися до формування ліквідних коштів у </w:t>
      </w:r>
      <w:r w:rsidRPr="00BC753B">
        <w:rPr>
          <w:rFonts w:ascii="Times New Roman" w:hAnsi="Times New Roman"/>
          <w:sz w:val="28"/>
          <w:szCs w:val="28"/>
        </w:rPr>
        <w:t>своєму портфелі</w:t>
      </w:r>
      <w:r>
        <w:rPr>
          <w:rFonts w:ascii="Times New Roman" w:hAnsi="Times New Roman"/>
          <w:sz w:val="28"/>
          <w:szCs w:val="28"/>
        </w:rPr>
        <w:t xml:space="preserve"> </w:t>
      </w:r>
      <w:r w:rsidRPr="00BC753B">
        <w:rPr>
          <w:rFonts w:ascii="Times New Roman" w:hAnsi="Times New Roman"/>
          <w:sz w:val="28"/>
          <w:szCs w:val="28"/>
        </w:rPr>
        <w:t>[</w:t>
      </w:r>
      <w:r>
        <w:rPr>
          <w:rFonts w:ascii="Times New Roman" w:hAnsi="Times New Roman"/>
          <w:sz w:val="28"/>
          <w:szCs w:val="28"/>
        </w:rPr>
        <w:t>28</w:t>
      </w:r>
      <w:r w:rsidRPr="00BC753B">
        <w:rPr>
          <w:rFonts w:ascii="Times New Roman" w:hAnsi="Times New Roman"/>
          <w:sz w:val="28"/>
          <w:szCs w:val="28"/>
        </w:rPr>
        <w:t xml:space="preserve">, с. </w:t>
      </w:r>
      <w:r>
        <w:rPr>
          <w:rFonts w:ascii="Times New Roman" w:hAnsi="Times New Roman"/>
          <w:sz w:val="28"/>
          <w:szCs w:val="28"/>
        </w:rPr>
        <w:t>180</w:t>
      </w:r>
      <w:r w:rsidRPr="00BC753B">
        <w:rPr>
          <w:rFonts w:ascii="Times New Roman" w:hAnsi="Times New Roman"/>
          <w:sz w:val="28"/>
          <w:szCs w:val="28"/>
        </w:rPr>
        <w:t>]</w:t>
      </w:r>
      <w:r>
        <w:rPr>
          <w:rFonts w:ascii="Times New Roman" w:hAnsi="Times New Roman"/>
          <w:sz w:val="28"/>
          <w:szCs w:val="28"/>
        </w:rPr>
        <w:t>.</w:t>
      </w:r>
    </w:p>
    <w:p w:rsidR="00642844" w:rsidRDefault="00110EE2" w:rsidP="00A42C51">
      <w:pPr>
        <w:spacing w:after="0" w:line="367" w:lineRule="auto"/>
        <w:ind w:firstLine="709"/>
        <w:jc w:val="both"/>
        <w:rPr>
          <w:rFonts w:ascii="Times New Roman" w:hAnsi="Times New Roman"/>
          <w:sz w:val="28"/>
          <w:szCs w:val="28"/>
        </w:rPr>
      </w:pPr>
      <w:r>
        <w:rPr>
          <w:rFonts w:ascii="Times New Roman" w:hAnsi="Times New Roman"/>
          <w:sz w:val="28"/>
          <w:szCs w:val="28"/>
        </w:rPr>
        <w:t>Звернемо увагу, що відповідно до рекомендацій Базельського комітету, угоди про асоціацію з Європейським Союзом, а також у зв’язку з імплементацією законодавства ЄС в Україні, регулятором було прийнято рішення щодо запровадження нового етапу управління ризиком банківської ліквідності на підставі чого норматив миттєвої ліквідності (Н4) та норматив поточної ліквідності (Н5) були скасовані та на сьогодні не розраховуються [</w:t>
      </w:r>
      <w:r w:rsidR="00642844">
        <w:rPr>
          <w:rFonts w:ascii="Times New Roman" w:hAnsi="Times New Roman"/>
          <w:sz w:val="28"/>
          <w:szCs w:val="28"/>
        </w:rPr>
        <w:t>29</w:t>
      </w:r>
      <w:r>
        <w:rPr>
          <w:rFonts w:ascii="Times New Roman" w:hAnsi="Times New Roman"/>
          <w:sz w:val="28"/>
          <w:szCs w:val="28"/>
        </w:rPr>
        <w:t xml:space="preserve">, с.78; 22]. </w:t>
      </w:r>
    </w:p>
    <w:p w:rsidR="00642844" w:rsidRPr="00A2256F" w:rsidRDefault="00413E8E" w:rsidP="00A42C51">
      <w:pPr>
        <w:spacing w:after="0" w:line="367" w:lineRule="auto"/>
        <w:ind w:firstLine="709"/>
        <w:jc w:val="both"/>
        <w:rPr>
          <w:rFonts w:ascii="Times New Roman" w:hAnsi="Times New Roman"/>
          <w:sz w:val="28"/>
          <w:szCs w:val="28"/>
        </w:rPr>
      </w:pPr>
      <w:r>
        <w:rPr>
          <w:rFonts w:ascii="Times New Roman" w:hAnsi="Times New Roman"/>
          <w:sz w:val="28"/>
          <w:szCs w:val="28"/>
        </w:rPr>
        <w:t xml:space="preserve">Обґрунтовуючи тим, що запроваджений </w:t>
      </w:r>
      <w:r w:rsidRPr="00413E8E">
        <w:rPr>
          <w:rFonts w:ascii="Times New Roman" w:hAnsi="Times New Roman"/>
          <w:sz w:val="28"/>
          <w:szCs w:val="28"/>
        </w:rPr>
        <w:t xml:space="preserve">норматив NSFR є сучасним показником ліквідності, розрахунок якого базується не лише на статистичних даних, а й на реальних обсягах наявного та необхідного стабільного фінансування, Національний банк </w:t>
      </w:r>
      <w:r>
        <w:rPr>
          <w:rFonts w:ascii="Times New Roman" w:hAnsi="Times New Roman"/>
          <w:sz w:val="28"/>
          <w:szCs w:val="28"/>
        </w:rPr>
        <w:t xml:space="preserve">України </w:t>
      </w:r>
      <w:r w:rsidRPr="00413E8E">
        <w:rPr>
          <w:rFonts w:ascii="Times New Roman" w:hAnsi="Times New Roman"/>
          <w:sz w:val="28"/>
          <w:szCs w:val="28"/>
        </w:rPr>
        <w:t>не вбачає практичної доцільності у подальшому збереженні нормативу Н6.</w:t>
      </w:r>
      <w:r>
        <w:rPr>
          <w:rFonts w:ascii="Times New Roman" w:hAnsi="Times New Roman"/>
          <w:sz w:val="28"/>
          <w:szCs w:val="28"/>
        </w:rPr>
        <w:t xml:space="preserve"> А отже </w:t>
      </w:r>
      <w:r w:rsidRPr="00413E8E">
        <w:rPr>
          <w:rFonts w:ascii="Times New Roman" w:hAnsi="Times New Roman"/>
          <w:sz w:val="28"/>
          <w:szCs w:val="28"/>
        </w:rPr>
        <w:t>постановою Правління Національного банку України від 23</w:t>
      </w:r>
      <w:r>
        <w:rPr>
          <w:rFonts w:ascii="Times New Roman" w:hAnsi="Times New Roman"/>
          <w:sz w:val="28"/>
          <w:szCs w:val="28"/>
        </w:rPr>
        <w:t>.03.</w:t>
      </w:r>
      <w:r w:rsidRPr="00413E8E">
        <w:rPr>
          <w:rFonts w:ascii="Times New Roman" w:hAnsi="Times New Roman"/>
          <w:sz w:val="28"/>
          <w:szCs w:val="28"/>
        </w:rPr>
        <w:t xml:space="preserve">2022 </w:t>
      </w:r>
      <w:r>
        <w:rPr>
          <w:rFonts w:ascii="Times New Roman" w:hAnsi="Times New Roman"/>
          <w:sz w:val="28"/>
          <w:szCs w:val="28"/>
        </w:rPr>
        <w:t>№ 59 «</w:t>
      </w:r>
      <w:r w:rsidRPr="00413E8E">
        <w:rPr>
          <w:rFonts w:ascii="Times New Roman" w:hAnsi="Times New Roman"/>
          <w:sz w:val="28"/>
          <w:szCs w:val="28"/>
        </w:rPr>
        <w:t>Про внесення змін до деяких нормативно-правових ак</w:t>
      </w:r>
      <w:r>
        <w:rPr>
          <w:rFonts w:ascii="Times New Roman" w:hAnsi="Times New Roman"/>
          <w:sz w:val="28"/>
          <w:szCs w:val="28"/>
        </w:rPr>
        <w:t xml:space="preserve">тів Національного банку України» скасував </w:t>
      </w:r>
      <w:r w:rsidRPr="00413E8E">
        <w:rPr>
          <w:rFonts w:ascii="Times New Roman" w:hAnsi="Times New Roman"/>
          <w:sz w:val="28"/>
          <w:szCs w:val="28"/>
        </w:rPr>
        <w:t>для банків економічний нормати</w:t>
      </w:r>
      <w:r>
        <w:rPr>
          <w:rFonts w:ascii="Times New Roman" w:hAnsi="Times New Roman"/>
          <w:sz w:val="28"/>
          <w:szCs w:val="28"/>
        </w:rPr>
        <w:t xml:space="preserve">в короткострокової ліквідності - </w:t>
      </w:r>
      <w:r w:rsidRPr="00413E8E">
        <w:rPr>
          <w:rFonts w:ascii="Times New Roman" w:hAnsi="Times New Roman"/>
          <w:sz w:val="28"/>
          <w:szCs w:val="28"/>
        </w:rPr>
        <w:t>Н6</w:t>
      </w:r>
      <w:r w:rsidR="00A2256F">
        <w:rPr>
          <w:rFonts w:ascii="Times New Roman" w:hAnsi="Times New Roman"/>
          <w:sz w:val="28"/>
          <w:szCs w:val="28"/>
        </w:rPr>
        <w:t xml:space="preserve"> </w:t>
      </w:r>
      <w:r w:rsidR="00A2256F" w:rsidRPr="00A2256F">
        <w:rPr>
          <w:rFonts w:ascii="Times New Roman" w:hAnsi="Times New Roman"/>
          <w:sz w:val="28"/>
          <w:szCs w:val="28"/>
        </w:rPr>
        <w:t>[</w:t>
      </w:r>
      <w:r w:rsidR="00A2256F">
        <w:rPr>
          <w:rFonts w:ascii="Times New Roman" w:hAnsi="Times New Roman"/>
          <w:sz w:val="28"/>
          <w:szCs w:val="28"/>
        </w:rPr>
        <w:t>31</w:t>
      </w:r>
      <w:r w:rsidR="00A2256F" w:rsidRPr="00A2256F">
        <w:rPr>
          <w:rFonts w:ascii="Times New Roman" w:hAnsi="Times New Roman"/>
          <w:sz w:val="28"/>
          <w:szCs w:val="28"/>
        </w:rPr>
        <w:t>].</w:t>
      </w:r>
    </w:p>
    <w:p w:rsidR="00413E8E" w:rsidRDefault="00413E8E" w:rsidP="00A42C51">
      <w:pPr>
        <w:spacing w:after="0" w:line="367" w:lineRule="auto"/>
        <w:ind w:firstLine="709"/>
        <w:jc w:val="both"/>
        <w:rPr>
          <w:rFonts w:ascii="Times New Roman" w:hAnsi="Times New Roman"/>
          <w:sz w:val="28"/>
          <w:szCs w:val="28"/>
        </w:rPr>
      </w:pPr>
      <w:r w:rsidRPr="00413E8E">
        <w:rPr>
          <w:rFonts w:ascii="Times New Roman" w:hAnsi="Times New Roman"/>
          <w:sz w:val="28"/>
          <w:szCs w:val="28"/>
        </w:rPr>
        <w:t>В Україні додатковою проблемою в процесі аналізу та упра</w:t>
      </w:r>
      <w:r w:rsidR="000B6370">
        <w:rPr>
          <w:rFonts w:ascii="Times New Roman" w:hAnsi="Times New Roman"/>
          <w:sz w:val="28"/>
          <w:szCs w:val="28"/>
        </w:rPr>
        <w:t>вління ліквідністю комерційних банків було</w:t>
      </w:r>
      <w:r w:rsidRPr="00413E8E">
        <w:rPr>
          <w:rFonts w:ascii="Times New Roman" w:hAnsi="Times New Roman"/>
          <w:sz w:val="28"/>
          <w:szCs w:val="28"/>
        </w:rPr>
        <w:t xml:space="preserve"> значне</w:t>
      </w:r>
      <w:r w:rsidR="000B6370">
        <w:rPr>
          <w:rFonts w:ascii="Times New Roman" w:hAnsi="Times New Roman"/>
          <w:sz w:val="28"/>
          <w:szCs w:val="28"/>
        </w:rPr>
        <w:t xml:space="preserve"> посилення їх залежності від фінансування за короткостроковими</w:t>
      </w:r>
      <w:r w:rsidRPr="00413E8E">
        <w:rPr>
          <w:rFonts w:ascii="Times New Roman" w:hAnsi="Times New Roman"/>
          <w:sz w:val="28"/>
          <w:szCs w:val="28"/>
        </w:rPr>
        <w:t xml:space="preserve"> угодами </w:t>
      </w:r>
      <w:r w:rsidR="000B6370">
        <w:rPr>
          <w:rFonts w:ascii="Times New Roman" w:hAnsi="Times New Roman"/>
          <w:sz w:val="28"/>
          <w:szCs w:val="28"/>
        </w:rPr>
        <w:t xml:space="preserve">РЕПО та кредитами </w:t>
      </w:r>
      <w:proofErr w:type="spellStart"/>
      <w:r w:rsidR="000B6370">
        <w:rPr>
          <w:rFonts w:ascii="Times New Roman" w:hAnsi="Times New Roman"/>
          <w:sz w:val="28"/>
          <w:szCs w:val="28"/>
        </w:rPr>
        <w:t>овернайт</w:t>
      </w:r>
      <w:proofErr w:type="spellEnd"/>
      <w:r w:rsidR="000B6370">
        <w:rPr>
          <w:rFonts w:ascii="Times New Roman" w:hAnsi="Times New Roman"/>
          <w:sz w:val="28"/>
          <w:szCs w:val="28"/>
        </w:rPr>
        <w:t>. Загалом</w:t>
      </w:r>
      <w:r w:rsidRPr="00413E8E">
        <w:rPr>
          <w:rFonts w:ascii="Times New Roman" w:hAnsi="Times New Roman"/>
          <w:sz w:val="28"/>
          <w:szCs w:val="28"/>
        </w:rPr>
        <w:t xml:space="preserve"> можна стверджувати, що такі тенденції в банківській сфері збільшили не</w:t>
      </w:r>
      <w:r w:rsidR="000B6370">
        <w:rPr>
          <w:rFonts w:ascii="Times New Roman" w:hAnsi="Times New Roman"/>
          <w:sz w:val="28"/>
          <w:szCs w:val="28"/>
        </w:rPr>
        <w:t xml:space="preserve">відповідність строків погашення активів і пасивів та призвели до полегшення виконання </w:t>
      </w:r>
      <w:r w:rsidRPr="00413E8E">
        <w:rPr>
          <w:rFonts w:ascii="Times New Roman" w:hAnsi="Times New Roman"/>
          <w:sz w:val="28"/>
          <w:szCs w:val="28"/>
        </w:rPr>
        <w:t>банками регулятивних вимог НБУ, що базувалися на системі коефіцієнтів ліквідності Н4, Н5, Н6. Саме з цієї причини комерційні банки стали більш вразливими до ризику фінансової ліквідності та ризику ринкової ліквідності загалом. Саме тому застосування нормативів ліквідності LCR</w:t>
      </w:r>
      <w:r w:rsidR="000B6370">
        <w:rPr>
          <w:rFonts w:ascii="Times New Roman" w:hAnsi="Times New Roman"/>
          <w:sz w:val="28"/>
          <w:szCs w:val="28"/>
        </w:rPr>
        <w:t xml:space="preserve"> </w:t>
      </w:r>
      <w:r w:rsidRPr="00413E8E">
        <w:rPr>
          <w:rFonts w:ascii="Times New Roman" w:hAnsi="Times New Roman"/>
          <w:sz w:val="28"/>
          <w:szCs w:val="28"/>
        </w:rPr>
        <w:t>та NSFR</w:t>
      </w:r>
      <w:r w:rsidR="000B6370">
        <w:rPr>
          <w:rFonts w:ascii="Times New Roman" w:hAnsi="Times New Roman"/>
          <w:sz w:val="28"/>
          <w:szCs w:val="28"/>
        </w:rPr>
        <w:t xml:space="preserve"> </w:t>
      </w:r>
      <w:r w:rsidRPr="00413E8E">
        <w:rPr>
          <w:rFonts w:ascii="Times New Roman" w:hAnsi="Times New Roman"/>
          <w:sz w:val="28"/>
          <w:szCs w:val="28"/>
        </w:rPr>
        <w:t>дозволили принципово вирішити</w:t>
      </w:r>
      <w:r w:rsidR="000B6370">
        <w:rPr>
          <w:rFonts w:ascii="Times New Roman" w:hAnsi="Times New Roman"/>
          <w:sz w:val="28"/>
          <w:szCs w:val="28"/>
        </w:rPr>
        <w:t xml:space="preserve"> дану проблему, що призвело до загального оздоровлення банківської системи України протягом 2014 - 2021 </w:t>
      </w:r>
      <w:r w:rsidRPr="00413E8E">
        <w:rPr>
          <w:rFonts w:ascii="Times New Roman" w:hAnsi="Times New Roman"/>
          <w:sz w:val="28"/>
          <w:szCs w:val="28"/>
        </w:rPr>
        <w:t>рр.</w:t>
      </w:r>
      <w:r w:rsidR="000B6370" w:rsidRPr="000B6370">
        <w:t xml:space="preserve"> </w:t>
      </w:r>
      <w:r w:rsidR="000B6370" w:rsidRPr="000B6370">
        <w:rPr>
          <w:rFonts w:ascii="Times New Roman" w:hAnsi="Times New Roman"/>
          <w:sz w:val="28"/>
          <w:szCs w:val="28"/>
        </w:rPr>
        <w:t>[28, с. 180</w:t>
      </w:r>
      <w:r w:rsidR="000B6370">
        <w:rPr>
          <w:rFonts w:ascii="Times New Roman" w:hAnsi="Times New Roman"/>
          <w:sz w:val="28"/>
          <w:szCs w:val="28"/>
        </w:rPr>
        <w:t>-181</w:t>
      </w:r>
      <w:r w:rsidR="000B6370" w:rsidRPr="000B6370">
        <w:rPr>
          <w:rFonts w:ascii="Times New Roman" w:hAnsi="Times New Roman"/>
          <w:sz w:val="28"/>
          <w:szCs w:val="28"/>
        </w:rPr>
        <w:t>].</w:t>
      </w:r>
    </w:p>
    <w:p w:rsidR="00413E8E" w:rsidRPr="000E40F8" w:rsidRDefault="000E40F8" w:rsidP="00A42C51">
      <w:pPr>
        <w:spacing w:after="0" w:line="367" w:lineRule="auto"/>
        <w:ind w:firstLine="709"/>
        <w:jc w:val="both"/>
        <w:rPr>
          <w:rFonts w:ascii="Times New Roman" w:hAnsi="Times New Roman"/>
          <w:sz w:val="28"/>
          <w:szCs w:val="28"/>
        </w:rPr>
      </w:pPr>
      <w:r>
        <w:rPr>
          <w:rFonts w:ascii="Times New Roman" w:hAnsi="Times New Roman"/>
          <w:sz w:val="28"/>
          <w:szCs w:val="28"/>
        </w:rPr>
        <w:t xml:space="preserve">Отже з впровадженням </w:t>
      </w:r>
      <w:r w:rsidRPr="000E40F8">
        <w:rPr>
          <w:rFonts w:ascii="Times New Roman" w:hAnsi="Times New Roman"/>
          <w:sz w:val="28"/>
          <w:szCs w:val="28"/>
        </w:rPr>
        <w:t>у практику банківської діяльності нормативів ліквідності LCR</w:t>
      </w:r>
      <w:r>
        <w:rPr>
          <w:rFonts w:ascii="Times New Roman" w:hAnsi="Times New Roman"/>
          <w:sz w:val="28"/>
          <w:szCs w:val="28"/>
        </w:rPr>
        <w:t xml:space="preserve"> </w:t>
      </w:r>
      <w:r w:rsidRPr="000E40F8">
        <w:rPr>
          <w:rFonts w:ascii="Times New Roman" w:hAnsi="Times New Roman"/>
          <w:sz w:val="28"/>
          <w:szCs w:val="28"/>
        </w:rPr>
        <w:t>та NSFR</w:t>
      </w:r>
      <w:r>
        <w:rPr>
          <w:rFonts w:ascii="Times New Roman" w:hAnsi="Times New Roman"/>
          <w:sz w:val="28"/>
          <w:szCs w:val="28"/>
        </w:rPr>
        <w:t xml:space="preserve"> </w:t>
      </w:r>
      <w:r w:rsidRPr="000E40F8">
        <w:rPr>
          <w:rFonts w:ascii="Times New Roman" w:hAnsi="Times New Roman"/>
          <w:sz w:val="28"/>
          <w:szCs w:val="28"/>
        </w:rPr>
        <w:t>на заміну старій системі коефіцієнтів Н4,</w:t>
      </w:r>
      <w:r>
        <w:rPr>
          <w:rFonts w:ascii="Times New Roman" w:hAnsi="Times New Roman"/>
          <w:sz w:val="28"/>
          <w:szCs w:val="28"/>
        </w:rPr>
        <w:t xml:space="preserve"> Н5, Н6 </w:t>
      </w:r>
      <w:r>
        <w:rPr>
          <w:rFonts w:ascii="Times New Roman" w:hAnsi="Times New Roman"/>
          <w:sz w:val="28"/>
          <w:szCs w:val="28"/>
        </w:rPr>
        <w:lastRenderedPageBreak/>
        <w:t>відбулась трансформація підходів до аналізу</w:t>
      </w:r>
      <w:r w:rsidRPr="000E40F8">
        <w:rPr>
          <w:rFonts w:ascii="Times New Roman" w:hAnsi="Times New Roman"/>
          <w:sz w:val="28"/>
          <w:szCs w:val="28"/>
        </w:rPr>
        <w:t xml:space="preserve"> ліквідності комерційних банків</w:t>
      </w:r>
      <w:r>
        <w:rPr>
          <w:rFonts w:ascii="Times New Roman" w:hAnsi="Times New Roman"/>
          <w:sz w:val="28"/>
          <w:szCs w:val="28"/>
        </w:rPr>
        <w:t>.</w:t>
      </w:r>
      <w:r w:rsidR="00716A97">
        <w:rPr>
          <w:rFonts w:ascii="Times New Roman" w:hAnsi="Times New Roman"/>
          <w:sz w:val="28"/>
          <w:szCs w:val="28"/>
        </w:rPr>
        <w:t xml:space="preserve"> Тому вважаємо за доцільне розглянути хронологічний перехід до нових нормативів ліквідності комерційних банків, який представлено у табл. 1.6.</w:t>
      </w:r>
    </w:p>
    <w:p w:rsidR="000C019E" w:rsidRDefault="000C019E" w:rsidP="000C019E">
      <w:pPr>
        <w:spacing w:before="120" w:after="0" w:line="360" w:lineRule="auto"/>
        <w:ind w:firstLine="708"/>
        <w:jc w:val="right"/>
        <w:rPr>
          <w:rFonts w:ascii="Times New Roman" w:hAnsi="Times New Roman"/>
          <w:sz w:val="28"/>
          <w:szCs w:val="28"/>
        </w:rPr>
      </w:pPr>
      <w:r w:rsidRPr="000C019E">
        <w:rPr>
          <w:rFonts w:ascii="Times New Roman" w:hAnsi="Times New Roman"/>
          <w:sz w:val="28"/>
          <w:szCs w:val="28"/>
        </w:rPr>
        <w:t>Таблиця 1.6</w:t>
      </w:r>
    </w:p>
    <w:p w:rsidR="00110EE2" w:rsidRDefault="00110EE2" w:rsidP="000C019E">
      <w:pPr>
        <w:spacing w:before="120" w:after="0" w:line="360" w:lineRule="auto"/>
        <w:ind w:firstLine="708"/>
        <w:jc w:val="center"/>
        <w:rPr>
          <w:rFonts w:ascii="Times New Roman" w:hAnsi="Times New Roman"/>
          <w:sz w:val="28"/>
          <w:szCs w:val="28"/>
        </w:rPr>
      </w:pPr>
      <w:r>
        <w:rPr>
          <w:rFonts w:ascii="Times New Roman" w:hAnsi="Times New Roman"/>
          <w:sz w:val="28"/>
          <w:szCs w:val="28"/>
        </w:rPr>
        <w:t>Хронологія реформування та запровадження регулятором нових нормативів ліквідності</w:t>
      </w:r>
    </w:p>
    <w:tbl>
      <w:tblPr>
        <w:tblStyle w:val="a5"/>
        <w:tblW w:w="0" w:type="auto"/>
        <w:jc w:val="center"/>
        <w:tblInd w:w="0" w:type="dxa"/>
        <w:tblLook w:val="04A0" w:firstRow="1" w:lastRow="0" w:firstColumn="1" w:lastColumn="0" w:noHBand="0" w:noVBand="1"/>
      </w:tblPr>
      <w:tblGrid>
        <w:gridCol w:w="1327"/>
        <w:gridCol w:w="795"/>
        <w:gridCol w:w="846"/>
        <w:gridCol w:w="838"/>
        <w:gridCol w:w="2426"/>
        <w:gridCol w:w="2138"/>
        <w:gridCol w:w="1259"/>
      </w:tblGrid>
      <w:tr w:rsidR="00110EE2" w:rsidTr="00110EE2">
        <w:trPr>
          <w:jc w:val="center"/>
        </w:trPr>
        <w:tc>
          <w:tcPr>
            <w:tcW w:w="1327" w:type="dxa"/>
            <w:tcBorders>
              <w:top w:val="single" w:sz="4" w:space="0" w:color="auto"/>
              <w:left w:val="single" w:sz="4" w:space="0" w:color="auto"/>
              <w:bottom w:val="single" w:sz="4" w:space="0" w:color="auto"/>
              <w:right w:val="single" w:sz="4" w:space="0" w:color="auto"/>
            </w:tcBorders>
            <w:hideMark/>
          </w:tcPr>
          <w:p w:rsidR="00110EE2" w:rsidRDefault="00110EE2">
            <w:pPr>
              <w:spacing w:before="120" w:line="360" w:lineRule="auto"/>
              <w:jc w:val="center"/>
              <w:rPr>
                <w:rFonts w:ascii="Times New Roman" w:hAnsi="Times New Roman"/>
                <w:b/>
                <w:sz w:val="24"/>
                <w:szCs w:val="24"/>
              </w:rPr>
            </w:pPr>
            <w:r>
              <w:rPr>
                <w:rFonts w:ascii="Times New Roman" w:hAnsi="Times New Roman"/>
                <w:b/>
                <w:sz w:val="24"/>
                <w:szCs w:val="24"/>
              </w:rPr>
              <w:t>Норматив</w:t>
            </w:r>
          </w:p>
        </w:tc>
        <w:tc>
          <w:tcPr>
            <w:tcW w:w="795" w:type="dxa"/>
            <w:tcBorders>
              <w:top w:val="single" w:sz="4" w:space="0" w:color="auto"/>
              <w:left w:val="single" w:sz="4" w:space="0" w:color="auto"/>
              <w:bottom w:val="single" w:sz="4" w:space="0" w:color="auto"/>
              <w:right w:val="single" w:sz="4" w:space="0" w:color="auto"/>
            </w:tcBorders>
            <w:hideMark/>
          </w:tcPr>
          <w:p w:rsidR="00110EE2" w:rsidRDefault="00110EE2">
            <w:pPr>
              <w:spacing w:before="120" w:line="360" w:lineRule="auto"/>
              <w:jc w:val="center"/>
              <w:rPr>
                <w:rFonts w:ascii="Times New Roman" w:hAnsi="Times New Roman"/>
                <w:b/>
                <w:sz w:val="24"/>
                <w:szCs w:val="24"/>
              </w:rPr>
            </w:pPr>
            <w:r>
              <w:rPr>
                <w:rFonts w:ascii="Times New Roman" w:hAnsi="Times New Roman"/>
                <w:b/>
                <w:sz w:val="24"/>
                <w:szCs w:val="24"/>
              </w:rPr>
              <w:t>Н4</w:t>
            </w:r>
          </w:p>
        </w:tc>
        <w:tc>
          <w:tcPr>
            <w:tcW w:w="846" w:type="dxa"/>
            <w:tcBorders>
              <w:top w:val="single" w:sz="4" w:space="0" w:color="auto"/>
              <w:left w:val="single" w:sz="4" w:space="0" w:color="auto"/>
              <w:bottom w:val="single" w:sz="4" w:space="0" w:color="auto"/>
              <w:right w:val="single" w:sz="4" w:space="0" w:color="auto"/>
            </w:tcBorders>
            <w:hideMark/>
          </w:tcPr>
          <w:p w:rsidR="00110EE2" w:rsidRDefault="00110EE2">
            <w:pPr>
              <w:spacing w:before="120" w:line="360" w:lineRule="auto"/>
              <w:jc w:val="center"/>
              <w:rPr>
                <w:rFonts w:ascii="Times New Roman" w:hAnsi="Times New Roman"/>
                <w:b/>
                <w:sz w:val="24"/>
                <w:szCs w:val="24"/>
              </w:rPr>
            </w:pPr>
            <w:r>
              <w:rPr>
                <w:rFonts w:ascii="Times New Roman" w:hAnsi="Times New Roman"/>
                <w:b/>
                <w:sz w:val="24"/>
                <w:szCs w:val="24"/>
              </w:rPr>
              <w:t>Н5</w:t>
            </w:r>
          </w:p>
        </w:tc>
        <w:tc>
          <w:tcPr>
            <w:tcW w:w="838" w:type="dxa"/>
            <w:tcBorders>
              <w:top w:val="single" w:sz="4" w:space="0" w:color="auto"/>
              <w:left w:val="single" w:sz="4" w:space="0" w:color="auto"/>
              <w:bottom w:val="single" w:sz="4" w:space="0" w:color="auto"/>
              <w:right w:val="single" w:sz="4" w:space="0" w:color="auto"/>
            </w:tcBorders>
            <w:hideMark/>
          </w:tcPr>
          <w:p w:rsidR="00110EE2" w:rsidRDefault="00110EE2">
            <w:pPr>
              <w:spacing w:before="120" w:line="360" w:lineRule="auto"/>
              <w:jc w:val="center"/>
              <w:rPr>
                <w:rFonts w:ascii="Times New Roman" w:hAnsi="Times New Roman"/>
                <w:b/>
                <w:sz w:val="24"/>
                <w:szCs w:val="24"/>
              </w:rPr>
            </w:pPr>
            <w:r>
              <w:rPr>
                <w:rFonts w:ascii="Times New Roman" w:hAnsi="Times New Roman"/>
                <w:b/>
                <w:sz w:val="24"/>
                <w:szCs w:val="24"/>
              </w:rPr>
              <w:t>Н6</w:t>
            </w:r>
          </w:p>
        </w:tc>
        <w:tc>
          <w:tcPr>
            <w:tcW w:w="2426" w:type="dxa"/>
            <w:tcBorders>
              <w:top w:val="single" w:sz="4" w:space="0" w:color="auto"/>
              <w:left w:val="single" w:sz="4" w:space="0" w:color="auto"/>
              <w:bottom w:val="single" w:sz="4" w:space="0" w:color="auto"/>
              <w:right w:val="single" w:sz="4" w:space="0" w:color="auto"/>
            </w:tcBorders>
            <w:hideMark/>
          </w:tcPr>
          <w:p w:rsidR="00110EE2" w:rsidRDefault="00110EE2">
            <w:pPr>
              <w:spacing w:before="120" w:line="360" w:lineRule="auto"/>
              <w:jc w:val="center"/>
              <w:rPr>
                <w:rFonts w:ascii="Times New Roman" w:hAnsi="Times New Roman"/>
                <w:b/>
                <w:sz w:val="24"/>
                <w:szCs w:val="24"/>
              </w:rPr>
            </w:pPr>
            <w:r>
              <w:rPr>
                <w:rFonts w:ascii="Times New Roman" w:hAnsi="Times New Roman"/>
                <w:b/>
                <w:sz w:val="24"/>
                <w:szCs w:val="24"/>
                <w:lang w:val="en-US"/>
              </w:rPr>
              <w:t>LCR</w:t>
            </w:r>
            <w:r>
              <w:rPr>
                <w:rFonts w:ascii="Times New Roman" w:hAnsi="Times New Roman"/>
                <w:b/>
                <w:sz w:val="24"/>
                <w:szCs w:val="24"/>
                <w:vertAlign w:val="superscript"/>
              </w:rPr>
              <w:t>1</w:t>
            </w:r>
          </w:p>
        </w:tc>
        <w:tc>
          <w:tcPr>
            <w:tcW w:w="2138" w:type="dxa"/>
            <w:tcBorders>
              <w:top w:val="single" w:sz="4" w:space="0" w:color="auto"/>
              <w:left w:val="single" w:sz="4" w:space="0" w:color="auto"/>
              <w:bottom w:val="single" w:sz="4" w:space="0" w:color="auto"/>
              <w:right w:val="single" w:sz="4" w:space="0" w:color="auto"/>
            </w:tcBorders>
            <w:hideMark/>
          </w:tcPr>
          <w:p w:rsidR="00110EE2" w:rsidRDefault="00110EE2">
            <w:pPr>
              <w:spacing w:before="120" w:line="360" w:lineRule="auto"/>
              <w:jc w:val="center"/>
              <w:rPr>
                <w:rFonts w:ascii="Times New Roman" w:hAnsi="Times New Roman"/>
                <w:b/>
                <w:sz w:val="24"/>
                <w:szCs w:val="24"/>
              </w:rPr>
            </w:pPr>
            <w:r>
              <w:rPr>
                <w:rFonts w:ascii="Times New Roman" w:hAnsi="Times New Roman"/>
                <w:b/>
                <w:sz w:val="24"/>
                <w:szCs w:val="24"/>
                <w:lang w:val="en-US"/>
              </w:rPr>
              <w:t>NSFR</w:t>
            </w:r>
            <w:r>
              <w:rPr>
                <w:rFonts w:ascii="Times New Roman" w:hAnsi="Times New Roman"/>
                <w:b/>
                <w:sz w:val="24"/>
                <w:szCs w:val="24"/>
                <w:vertAlign w:val="superscript"/>
              </w:rPr>
              <w:t>2</w:t>
            </w:r>
          </w:p>
        </w:tc>
        <w:tc>
          <w:tcPr>
            <w:tcW w:w="1259" w:type="dxa"/>
            <w:tcBorders>
              <w:top w:val="single" w:sz="4" w:space="0" w:color="auto"/>
              <w:left w:val="single" w:sz="4" w:space="0" w:color="auto"/>
              <w:bottom w:val="single" w:sz="4" w:space="0" w:color="auto"/>
              <w:right w:val="single" w:sz="4" w:space="0" w:color="auto"/>
            </w:tcBorders>
            <w:hideMark/>
          </w:tcPr>
          <w:p w:rsidR="00110EE2" w:rsidRDefault="00110EE2">
            <w:pPr>
              <w:spacing w:before="120" w:line="360" w:lineRule="auto"/>
              <w:jc w:val="center"/>
              <w:rPr>
                <w:rFonts w:ascii="Times New Roman" w:hAnsi="Times New Roman"/>
                <w:b/>
                <w:sz w:val="24"/>
                <w:szCs w:val="24"/>
              </w:rPr>
            </w:pPr>
            <w:r>
              <w:rPr>
                <w:rFonts w:ascii="Times New Roman" w:hAnsi="Times New Roman"/>
                <w:b/>
                <w:sz w:val="24"/>
                <w:szCs w:val="24"/>
              </w:rPr>
              <w:t>Період</w:t>
            </w:r>
          </w:p>
        </w:tc>
      </w:tr>
      <w:tr w:rsidR="00376A9F" w:rsidTr="00BD01A7">
        <w:trPr>
          <w:cantSplit/>
          <w:trHeight w:val="859"/>
          <w:jc w:val="center"/>
        </w:trPr>
        <w:tc>
          <w:tcPr>
            <w:tcW w:w="1327" w:type="dxa"/>
            <w:vMerge w:val="restart"/>
            <w:tcBorders>
              <w:top w:val="single" w:sz="4" w:space="0" w:color="auto"/>
              <w:left w:val="single" w:sz="4" w:space="0" w:color="auto"/>
              <w:right w:val="single" w:sz="4" w:space="0" w:color="auto"/>
            </w:tcBorders>
            <w:textDirection w:val="btLr"/>
            <w:vAlign w:val="center"/>
            <w:hideMark/>
          </w:tcPr>
          <w:p w:rsidR="00376A9F" w:rsidRDefault="00376A9F">
            <w:pPr>
              <w:spacing w:line="240" w:lineRule="auto"/>
              <w:jc w:val="center"/>
              <w:rPr>
                <w:rFonts w:ascii="Times New Roman" w:hAnsi="Times New Roman"/>
                <w:b/>
                <w:sz w:val="24"/>
                <w:szCs w:val="24"/>
              </w:rPr>
            </w:pPr>
            <w:r>
              <w:rPr>
                <w:rFonts w:ascii="Times New Roman" w:hAnsi="Times New Roman"/>
                <w:b/>
                <w:sz w:val="24"/>
                <w:szCs w:val="24"/>
              </w:rPr>
              <w:t>Встановлені нормативні значення</w:t>
            </w:r>
          </w:p>
        </w:tc>
        <w:tc>
          <w:tcPr>
            <w:tcW w:w="795" w:type="dxa"/>
            <w:tcBorders>
              <w:top w:val="single" w:sz="4" w:space="0" w:color="auto"/>
              <w:left w:val="single" w:sz="4" w:space="0" w:color="auto"/>
              <w:bottom w:val="single" w:sz="4" w:space="0" w:color="auto"/>
              <w:right w:val="single" w:sz="4" w:space="0" w:color="auto"/>
            </w:tcBorders>
            <w:hideMark/>
          </w:tcPr>
          <w:p w:rsidR="00376A9F" w:rsidRDefault="00376A9F">
            <w:pPr>
              <w:spacing w:line="240" w:lineRule="auto"/>
              <w:jc w:val="center"/>
              <w:rPr>
                <w:rFonts w:ascii="Times New Roman" w:hAnsi="Times New Roman"/>
                <w:sz w:val="20"/>
                <w:szCs w:val="20"/>
              </w:rPr>
            </w:pPr>
            <w:r>
              <w:rPr>
                <w:rFonts w:ascii="Times New Roman" w:hAnsi="Times New Roman"/>
                <w:sz w:val="20"/>
                <w:szCs w:val="20"/>
              </w:rPr>
              <w:t>не менше 20%</w:t>
            </w:r>
          </w:p>
        </w:tc>
        <w:tc>
          <w:tcPr>
            <w:tcW w:w="846" w:type="dxa"/>
            <w:tcBorders>
              <w:top w:val="single" w:sz="4" w:space="0" w:color="auto"/>
              <w:left w:val="single" w:sz="4" w:space="0" w:color="auto"/>
              <w:bottom w:val="single" w:sz="4" w:space="0" w:color="auto"/>
              <w:right w:val="single" w:sz="4" w:space="0" w:color="auto"/>
            </w:tcBorders>
            <w:hideMark/>
          </w:tcPr>
          <w:p w:rsidR="00376A9F" w:rsidRDefault="00376A9F">
            <w:pPr>
              <w:spacing w:line="240" w:lineRule="auto"/>
              <w:jc w:val="center"/>
              <w:rPr>
                <w:rFonts w:ascii="Times New Roman" w:hAnsi="Times New Roman"/>
                <w:sz w:val="20"/>
                <w:szCs w:val="20"/>
              </w:rPr>
            </w:pPr>
            <w:r>
              <w:rPr>
                <w:rFonts w:ascii="Times New Roman" w:hAnsi="Times New Roman"/>
                <w:sz w:val="20"/>
                <w:szCs w:val="20"/>
              </w:rPr>
              <w:t>не менше 40%</w:t>
            </w:r>
          </w:p>
        </w:tc>
        <w:tc>
          <w:tcPr>
            <w:tcW w:w="838" w:type="dxa"/>
            <w:tcBorders>
              <w:top w:val="single" w:sz="4" w:space="0" w:color="auto"/>
              <w:left w:val="single" w:sz="4" w:space="0" w:color="auto"/>
              <w:bottom w:val="single" w:sz="4" w:space="0" w:color="auto"/>
              <w:right w:val="single" w:sz="4" w:space="0" w:color="auto"/>
            </w:tcBorders>
            <w:hideMark/>
          </w:tcPr>
          <w:p w:rsidR="00376A9F" w:rsidRDefault="00376A9F">
            <w:pPr>
              <w:spacing w:line="240" w:lineRule="auto"/>
              <w:jc w:val="center"/>
              <w:rPr>
                <w:rFonts w:ascii="Times New Roman" w:hAnsi="Times New Roman"/>
                <w:sz w:val="20"/>
                <w:szCs w:val="20"/>
              </w:rPr>
            </w:pPr>
            <w:r>
              <w:rPr>
                <w:rFonts w:ascii="Times New Roman" w:hAnsi="Times New Roman"/>
                <w:sz w:val="20"/>
                <w:szCs w:val="20"/>
              </w:rPr>
              <w:t>не менше 60%</w:t>
            </w:r>
          </w:p>
        </w:tc>
        <w:tc>
          <w:tcPr>
            <w:tcW w:w="2426" w:type="dxa"/>
            <w:tcBorders>
              <w:top w:val="single" w:sz="4" w:space="0" w:color="auto"/>
              <w:left w:val="single" w:sz="4" w:space="0" w:color="auto"/>
              <w:bottom w:val="single" w:sz="4" w:space="0" w:color="auto"/>
              <w:right w:val="single" w:sz="4" w:space="0" w:color="auto"/>
            </w:tcBorders>
            <w:hideMark/>
          </w:tcPr>
          <w:p w:rsidR="00376A9F" w:rsidRDefault="00376A9F">
            <w:pPr>
              <w:spacing w:line="240" w:lineRule="auto"/>
              <w:jc w:val="center"/>
              <w:rPr>
                <w:rFonts w:ascii="Times New Roman" w:hAnsi="Times New Roman"/>
              </w:rPr>
            </w:pPr>
            <w:r>
              <w:rPr>
                <w:rFonts w:ascii="Times New Roman" w:hAnsi="Times New Roman"/>
              </w:rPr>
              <w:t>-</w:t>
            </w:r>
          </w:p>
        </w:tc>
        <w:tc>
          <w:tcPr>
            <w:tcW w:w="2138" w:type="dxa"/>
            <w:tcBorders>
              <w:top w:val="single" w:sz="4" w:space="0" w:color="auto"/>
              <w:left w:val="single" w:sz="4" w:space="0" w:color="auto"/>
              <w:bottom w:val="single" w:sz="4" w:space="0" w:color="auto"/>
              <w:right w:val="single" w:sz="4" w:space="0" w:color="auto"/>
            </w:tcBorders>
            <w:hideMark/>
          </w:tcPr>
          <w:p w:rsidR="00376A9F" w:rsidRDefault="00376A9F">
            <w:pPr>
              <w:spacing w:line="240" w:lineRule="auto"/>
              <w:jc w:val="center"/>
              <w:rPr>
                <w:rFonts w:ascii="Times New Roman" w:hAnsi="Times New Roman"/>
              </w:rPr>
            </w:pPr>
            <w:r>
              <w:rPr>
                <w:rFonts w:ascii="Times New Roman" w:hAnsi="Times New Roman"/>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76A9F" w:rsidRDefault="00376A9F">
            <w:pPr>
              <w:spacing w:line="240" w:lineRule="auto"/>
              <w:jc w:val="center"/>
              <w:rPr>
                <w:rFonts w:ascii="Times New Roman" w:hAnsi="Times New Roman"/>
                <w:sz w:val="20"/>
                <w:szCs w:val="20"/>
              </w:rPr>
            </w:pPr>
            <w:r>
              <w:rPr>
                <w:rFonts w:ascii="Times New Roman" w:hAnsi="Times New Roman"/>
                <w:sz w:val="20"/>
                <w:szCs w:val="20"/>
              </w:rPr>
              <w:t>до 01.06.2018</w:t>
            </w:r>
          </w:p>
        </w:tc>
      </w:tr>
      <w:tr w:rsidR="00376A9F" w:rsidTr="00BD01A7">
        <w:trPr>
          <w:cantSplit/>
          <w:trHeight w:val="970"/>
          <w:jc w:val="center"/>
        </w:trPr>
        <w:tc>
          <w:tcPr>
            <w:tcW w:w="0" w:type="auto"/>
            <w:vMerge/>
            <w:tcBorders>
              <w:left w:val="single" w:sz="4" w:space="0" w:color="auto"/>
              <w:right w:val="single" w:sz="4" w:space="0" w:color="auto"/>
            </w:tcBorders>
            <w:vAlign w:val="center"/>
            <w:hideMark/>
          </w:tcPr>
          <w:p w:rsidR="00376A9F" w:rsidRDefault="00376A9F">
            <w:pPr>
              <w:spacing w:line="240" w:lineRule="auto"/>
              <w:rPr>
                <w:rFonts w:ascii="Times New Roman" w:hAnsi="Times New Roman"/>
                <w:b/>
                <w:sz w:val="24"/>
                <w:szCs w:val="24"/>
              </w:rPr>
            </w:pPr>
          </w:p>
        </w:tc>
        <w:tc>
          <w:tcPr>
            <w:tcW w:w="795" w:type="dxa"/>
            <w:tcBorders>
              <w:top w:val="single" w:sz="4" w:space="0" w:color="auto"/>
              <w:left w:val="single" w:sz="4" w:space="0" w:color="auto"/>
              <w:bottom w:val="single" w:sz="4" w:space="0" w:color="auto"/>
              <w:right w:val="single" w:sz="4" w:space="0" w:color="auto"/>
            </w:tcBorders>
            <w:vAlign w:val="center"/>
            <w:hideMark/>
          </w:tcPr>
          <w:p w:rsidR="00376A9F" w:rsidRDefault="00376A9F">
            <w:pPr>
              <w:spacing w:line="240" w:lineRule="auto"/>
              <w:jc w:val="center"/>
              <w:rPr>
                <w:rFonts w:ascii="Times New Roman" w:hAnsi="Times New Roman"/>
                <w:sz w:val="20"/>
                <w:szCs w:val="20"/>
              </w:rPr>
            </w:pPr>
            <w:r>
              <w:rPr>
                <w:rFonts w:ascii="Times New Roman" w:hAnsi="Times New Roman"/>
                <w:sz w:val="20"/>
                <w:szCs w:val="20"/>
              </w:rPr>
              <w:t>не менше 20%</w:t>
            </w:r>
          </w:p>
        </w:tc>
        <w:tc>
          <w:tcPr>
            <w:tcW w:w="846" w:type="dxa"/>
            <w:tcBorders>
              <w:top w:val="single" w:sz="4" w:space="0" w:color="auto"/>
              <w:left w:val="single" w:sz="4" w:space="0" w:color="auto"/>
              <w:bottom w:val="single" w:sz="4" w:space="0" w:color="auto"/>
              <w:right w:val="single" w:sz="4" w:space="0" w:color="auto"/>
            </w:tcBorders>
            <w:vAlign w:val="center"/>
            <w:hideMark/>
          </w:tcPr>
          <w:p w:rsidR="00376A9F" w:rsidRDefault="00376A9F">
            <w:pPr>
              <w:spacing w:line="240" w:lineRule="auto"/>
              <w:jc w:val="center"/>
              <w:rPr>
                <w:rFonts w:ascii="Times New Roman" w:hAnsi="Times New Roman"/>
                <w:sz w:val="20"/>
                <w:szCs w:val="20"/>
              </w:rPr>
            </w:pPr>
            <w:r>
              <w:rPr>
                <w:rFonts w:ascii="Times New Roman" w:hAnsi="Times New Roman"/>
                <w:sz w:val="20"/>
                <w:szCs w:val="20"/>
              </w:rPr>
              <w:t>не менше 40%</w:t>
            </w:r>
          </w:p>
        </w:tc>
        <w:tc>
          <w:tcPr>
            <w:tcW w:w="838" w:type="dxa"/>
            <w:tcBorders>
              <w:top w:val="single" w:sz="4" w:space="0" w:color="auto"/>
              <w:left w:val="single" w:sz="4" w:space="0" w:color="auto"/>
              <w:bottom w:val="single" w:sz="4" w:space="0" w:color="auto"/>
              <w:right w:val="single" w:sz="4" w:space="0" w:color="auto"/>
            </w:tcBorders>
            <w:vAlign w:val="center"/>
            <w:hideMark/>
          </w:tcPr>
          <w:p w:rsidR="00376A9F" w:rsidRDefault="00376A9F">
            <w:pPr>
              <w:spacing w:line="240" w:lineRule="auto"/>
              <w:jc w:val="center"/>
              <w:rPr>
                <w:rFonts w:ascii="Times New Roman" w:hAnsi="Times New Roman"/>
                <w:sz w:val="20"/>
                <w:szCs w:val="20"/>
              </w:rPr>
            </w:pPr>
            <w:r>
              <w:rPr>
                <w:rFonts w:ascii="Times New Roman" w:hAnsi="Times New Roman"/>
                <w:sz w:val="20"/>
                <w:szCs w:val="20"/>
              </w:rPr>
              <w:t>не менше 60%</w:t>
            </w:r>
          </w:p>
        </w:tc>
        <w:tc>
          <w:tcPr>
            <w:tcW w:w="2426" w:type="dxa"/>
            <w:tcBorders>
              <w:top w:val="single" w:sz="4" w:space="0" w:color="auto"/>
              <w:left w:val="single" w:sz="4" w:space="0" w:color="auto"/>
              <w:bottom w:val="single" w:sz="4" w:space="0" w:color="auto"/>
              <w:right w:val="single" w:sz="4" w:space="0" w:color="auto"/>
            </w:tcBorders>
            <w:vAlign w:val="center"/>
            <w:hideMark/>
          </w:tcPr>
          <w:p w:rsidR="00376A9F" w:rsidRDefault="00376A9F">
            <w:pPr>
              <w:spacing w:line="240" w:lineRule="auto"/>
              <w:jc w:val="center"/>
              <w:rPr>
                <w:rFonts w:ascii="Times New Roman" w:hAnsi="Times New Roman"/>
                <w:sz w:val="20"/>
                <w:szCs w:val="20"/>
              </w:rPr>
            </w:pPr>
            <w:r>
              <w:rPr>
                <w:rFonts w:ascii="Times New Roman" w:hAnsi="Times New Roman"/>
                <w:sz w:val="20"/>
                <w:szCs w:val="20"/>
              </w:rPr>
              <w:t xml:space="preserve">01.06.18 - 30.12.18 - 80 %; </w:t>
            </w:r>
          </w:p>
          <w:p w:rsidR="00376A9F" w:rsidRDefault="00376A9F">
            <w:pPr>
              <w:spacing w:line="240" w:lineRule="auto"/>
              <w:jc w:val="center"/>
              <w:rPr>
                <w:rFonts w:ascii="Times New Roman" w:hAnsi="Times New Roman"/>
                <w:sz w:val="20"/>
                <w:szCs w:val="20"/>
              </w:rPr>
            </w:pPr>
            <w:r>
              <w:rPr>
                <w:rFonts w:ascii="Times New Roman" w:hAnsi="Times New Roman"/>
                <w:sz w:val="20"/>
                <w:szCs w:val="20"/>
              </w:rPr>
              <w:t>31.12.18 - 01.06.19 - 50 %;</w:t>
            </w:r>
          </w:p>
          <w:p w:rsidR="00376A9F" w:rsidRDefault="00376A9F">
            <w:pPr>
              <w:spacing w:line="240" w:lineRule="auto"/>
              <w:jc w:val="center"/>
              <w:rPr>
                <w:rFonts w:ascii="Times New Roman" w:hAnsi="Times New Roman"/>
                <w:sz w:val="20"/>
                <w:szCs w:val="20"/>
              </w:rPr>
            </w:pPr>
            <w:r>
              <w:rPr>
                <w:rFonts w:ascii="Times New Roman" w:hAnsi="Times New Roman"/>
                <w:sz w:val="20"/>
                <w:szCs w:val="20"/>
              </w:rPr>
              <w:t>01.06.19 - 01.12.19 - 90 %</w:t>
            </w:r>
          </w:p>
        </w:tc>
        <w:tc>
          <w:tcPr>
            <w:tcW w:w="2138" w:type="dxa"/>
            <w:tcBorders>
              <w:top w:val="single" w:sz="4" w:space="0" w:color="auto"/>
              <w:left w:val="single" w:sz="4" w:space="0" w:color="auto"/>
              <w:bottom w:val="single" w:sz="4" w:space="0" w:color="auto"/>
              <w:right w:val="single" w:sz="4" w:space="0" w:color="auto"/>
            </w:tcBorders>
            <w:vAlign w:val="center"/>
            <w:hideMark/>
          </w:tcPr>
          <w:p w:rsidR="00376A9F" w:rsidRDefault="00376A9F">
            <w:pPr>
              <w:spacing w:line="240" w:lineRule="auto"/>
              <w:jc w:val="center"/>
              <w:rPr>
                <w:rFonts w:ascii="Times New Roman" w:hAnsi="Times New Roman"/>
              </w:rPr>
            </w:pPr>
            <w:r>
              <w:rPr>
                <w:rFonts w:ascii="Times New Roman" w:hAnsi="Times New Roman"/>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76A9F" w:rsidRDefault="00376A9F">
            <w:pPr>
              <w:spacing w:line="240" w:lineRule="auto"/>
              <w:jc w:val="center"/>
              <w:rPr>
                <w:rFonts w:ascii="Times New Roman" w:hAnsi="Times New Roman"/>
                <w:sz w:val="20"/>
                <w:szCs w:val="20"/>
              </w:rPr>
            </w:pPr>
            <w:r>
              <w:rPr>
                <w:rFonts w:ascii="Times New Roman" w:hAnsi="Times New Roman"/>
                <w:sz w:val="20"/>
                <w:szCs w:val="20"/>
              </w:rPr>
              <w:t>01.06.2018-01.09.2019</w:t>
            </w:r>
          </w:p>
        </w:tc>
      </w:tr>
      <w:tr w:rsidR="00376A9F" w:rsidTr="00BD01A7">
        <w:trPr>
          <w:cantSplit/>
          <w:trHeight w:val="955"/>
          <w:jc w:val="center"/>
        </w:trPr>
        <w:tc>
          <w:tcPr>
            <w:tcW w:w="1327" w:type="dxa"/>
            <w:vMerge/>
            <w:tcBorders>
              <w:left w:val="single" w:sz="4" w:space="0" w:color="auto"/>
              <w:right w:val="single" w:sz="4" w:space="0" w:color="auto"/>
            </w:tcBorders>
            <w:vAlign w:val="center"/>
            <w:hideMark/>
          </w:tcPr>
          <w:p w:rsidR="00376A9F" w:rsidRDefault="00376A9F" w:rsidP="004B089B">
            <w:pPr>
              <w:spacing w:line="259" w:lineRule="auto"/>
              <w:rPr>
                <w:rFonts w:ascii="Times New Roman" w:hAnsi="Times New Roman"/>
                <w:b/>
                <w:sz w:val="24"/>
                <w:szCs w:val="24"/>
              </w:rPr>
            </w:pPr>
          </w:p>
        </w:tc>
        <w:tc>
          <w:tcPr>
            <w:tcW w:w="795" w:type="dxa"/>
            <w:tcBorders>
              <w:top w:val="single" w:sz="4" w:space="0" w:color="auto"/>
              <w:left w:val="single" w:sz="4" w:space="0" w:color="auto"/>
              <w:bottom w:val="single" w:sz="4" w:space="0" w:color="auto"/>
              <w:right w:val="single" w:sz="4" w:space="0" w:color="auto"/>
            </w:tcBorders>
            <w:vAlign w:val="center"/>
            <w:hideMark/>
          </w:tcPr>
          <w:p w:rsidR="00376A9F" w:rsidRDefault="00376A9F" w:rsidP="003650EF">
            <w:pPr>
              <w:spacing w:line="240" w:lineRule="auto"/>
              <w:jc w:val="center"/>
              <w:rPr>
                <w:rFonts w:ascii="Times New Roman" w:hAnsi="Times New Roman"/>
              </w:rPr>
            </w:pPr>
            <w:r>
              <w:rPr>
                <w:rFonts w:ascii="Times New Roman" w:hAnsi="Times New Roman"/>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376A9F" w:rsidRDefault="00376A9F" w:rsidP="003650EF">
            <w:pPr>
              <w:spacing w:line="240" w:lineRule="auto"/>
              <w:jc w:val="center"/>
              <w:rPr>
                <w:rFonts w:ascii="Times New Roman" w:hAnsi="Times New Roman"/>
              </w:rPr>
            </w:pPr>
            <w:r>
              <w:rPr>
                <w:rFonts w:ascii="Times New Roman" w:hAnsi="Times New Roman"/>
              </w:rPr>
              <w:t>-</w:t>
            </w:r>
          </w:p>
        </w:tc>
        <w:tc>
          <w:tcPr>
            <w:tcW w:w="838" w:type="dxa"/>
            <w:tcBorders>
              <w:top w:val="single" w:sz="4" w:space="0" w:color="auto"/>
              <w:left w:val="single" w:sz="4" w:space="0" w:color="auto"/>
              <w:bottom w:val="single" w:sz="4" w:space="0" w:color="auto"/>
              <w:right w:val="single" w:sz="4" w:space="0" w:color="auto"/>
            </w:tcBorders>
            <w:vAlign w:val="center"/>
            <w:hideMark/>
          </w:tcPr>
          <w:p w:rsidR="00376A9F" w:rsidRDefault="00376A9F" w:rsidP="003650EF">
            <w:pPr>
              <w:spacing w:line="240" w:lineRule="auto"/>
              <w:jc w:val="center"/>
              <w:rPr>
                <w:rFonts w:ascii="Times New Roman" w:hAnsi="Times New Roman"/>
              </w:rPr>
            </w:pPr>
            <w:r>
              <w:rPr>
                <w:rFonts w:ascii="Times New Roman" w:hAnsi="Times New Roman"/>
              </w:rPr>
              <w:t>не менше 60%</w:t>
            </w:r>
          </w:p>
        </w:tc>
        <w:tc>
          <w:tcPr>
            <w:tcW w:w="2426" w:type="dxa"/>
            <w:tcBorders>
              <w:top w:val="single" w:sz="4" w:space="0" w:color="auto"/>
              <w:left w:val="single" w:sz="4" w:space="0" w:color="auto"/>
              <w:bottom w:val="single" w:sz="4" w:space="0" w:color="auto"/>
              <w:right w:val="single" w:sz="4" w:space="0" w:color="auto"/>
            </w:tcBorders>
            <w:vAlign w:val="center"/>
            <w:hideMark/>
          </w:tcPr>
          <w:p w:rsidR="00376A9F" w:rsidRDefault="00376A9F" w:rsidP="003650EF">
            <w:pPr>
              <w:spacing w:line="240" w:lineRule="auto"/>
              <w:jc w:val="center"/>
              <w:rPr>
                <w:rFonts w:ascii="Times New Roman" w:hAnsi="Times New Roman"/>
                <w:sz w:val="20"/>
                <w:szCs w:val="20"/>
              </w:rPr>
            </w:pPr>
            <w:r>
              <w:rPr>
                <w:rFonts w:ascii="Times New Roman" w:hAnsi="Times New Roman"/>
                <w:sz w:val="20"/>
                <w:szCs w:val="20"/>
              </w:rPr>
              <w:t>01.12.2019 р. – 100 %</w:t>
            </w:r>
          </w:p>
        </w:tc>
        <w:tc>
          <w:tcPr>
            <w:tcW w:w="2138" w:type="dxa"/>
            <w:tcBorders>
              <w:top w:val="single" w:sz="4" w:space="0" w:color="auto"/>
              <w:left w:val="single" w:sz="4" w:space="0" w:color="auto"/>
              <w:bottom w:val="single" w:sz="4" w:space="0" w:color="auto"/>
              <w:right w:val="single" w:sz="4" w:space="0" w:color="auto"/>
            </w:tcBorders>
            <w:vAlign w:val="center"/>
            <w:hideMark/>
          </w:tcPr>
          <w:p w:rsidR="00376A9F" w:rsidRDefault="00376A9F" w:rsidP="003650EF">
            <w:pPr>
              <w:spacing w:line="240" w:lineRule="auto"/>
              <w:jc w:val="center"/>
              <w:rPr>
                <w:rFonts w:ascii="Times New Roman" w:hAnsi="Times New Roman"/>
              </w:rPr>
            </w:pPr>
            <w:r>
              <w:rPr>
                <w:rFonts w:ascii="Times New Roman" w:hAnsi="Times New Roman"/>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76A9F" w:rsidRDefault="00376A9F" w:rsidP="003650EF">
            <w:pPr>
              <w:spacing w:line="240" w:lineRule="auto"/>
              <w:jc w:val="center"/>
              <w:rPr>
                <w:rFonts w:ascii="Times New Roman" w:hAnsi="Times New Roman"/>
                <w:sz w:val="20"/>
                <w:szCs w:val="20"/>
              </w:rPr>
            </w:pPr>
            <w:r>
              <w:rPr>
                <w:rFonts w:ascii="Times New Roman" w:hAnsi="Times New Roman"/>
                <w:sz w:val="20"/>
                <w:szCs w:val="20"/>
              </w:rPr>
              <w:t>02.09.2019-31.07.2020</w:t>
            </w:r>
          </w:p>
        </w:tc>
      </w:tr>
      <w:tr w:rsidR="00376A9F" w:rsidTr="00BD01A7">
        <w:trPr>
          <w:cantSplit/>
          <w:trHeight w:val="1722"/>
          <w:jc w:val="center"/>
        </w:trPr>
        <w:tc>
          <w:tcPr>
            <w:tcW w:w="1327" w:type="dxa"/>
            <w:vMerge/>
            <w:tcBorders>
              <w:left w:val="single" w:sz="4" w:space="0" w:color="auto"/>
              <w:bottom w:val="single" w:sz="4" w:space="0" w:color="auto"/>
              <w:right w:val="single" w:sz="4" w:space="0" w:color="auto"/>
            </w:tcBorders>
            <w:vAlign w:val="center"/>
            <w:hideMark/>
          </w:tcPr>
          <w:p w:rsidR="00376A9F" w:rsidRDefault="00376A9F" w:rsidP="003650EF">
            <w:pPr>
              <w:spacing w:line="240" w:lineRule="auto"/>
              <w:rPr>
                <w:rFonts w:ascii="Times New Roman" w:hAnsi="Times New Roman"/>
                <w:b/>
                <w:sz w:val="24"/>
                <w:szCs w:val="24"/>
              </w:rPr>
            </w:pPr>
          </w:p>
        </w:tc>
        <w:tc>
          <w:tcPr>
            <w:tcW w:w="795" w:type="dxa"/>
            <w:tcBorders>
              <w:top w:val="single" w:sz="4" w:space="0" w:color="auto"/>
              <w:left w:val="single" w:sz="4" w:space="0" w:color="auto"/>
              <w:bottom w:val="single" w:sz="4" w:space="0" w:color="auto"/>
              <w:right w:val="single" w:sz="4" w:space="0" w:color="auto"/>
            </w:tcBorders>
            <w:vAlign w:val="center"/>
            <w:hideMark/>
          </w:tcPr>
          <w:p w:rsidR="00376A9F" w:rsidRDefault="00376A9F" w:rsidP="003650EF">
            <w:pPr>
              <w:spacing w:before="120" w:line="360" w:lineRule="auto"/>
              <w:jc w:val="center"/>
              <w:rPr>
                <w:rFonts w:ascii="Times New Roman" w:hAnsi="Times New Roman"/>
              </w:rPr>
            </w:pPr>
            <w:r>
              <w:rPr>
                <w:rFonts w:ascii="Times New Roman" w:hAnsi="Times New Roman"/>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376A9F" w:rsidRDefault="00376A9F" w:rsidP="003650EF">
            <w:pPr>
              <w:spacing w:before="120" w:line="360" w:lineRule="auto"/>
              <w:jc w:val="center"/>
              <w:rPr>
                <w:rFonts w:ascii="Times New Roman" w:hAnsi="Times New Roman"/>
              </w:rPr>
            </w:pPr>
            <w:r>
              <w:rPr>
                <w:rFonts w:ascii="Times New Roman" w:hAnsi="Times New Roman"/>
              </w:rPr>
              <w:t>-</w:t>
            </w:r>
          </w:p>
        </w:tc>
        <w:tc>
          <w:tcPr>
            <w:tcW w:w="838" w:type="dxa"/>
            <w:tcBorders>
              <w:top w:val="single" w:sz="4" w:space="0" w:color="auto"/>
              <w:left w:val="single" w:sz="4" w:space="0" w:color="auto"/>
              <w:bottom w:val="single" w:sz="4" w:space="0" w:color="auto"/>
              <w:right w:val="single" w:sz="4" w:space="0" w:color="auto"/>
            </w:tcBorders>
            <w:vAlign w:val="center"/>
            <w:hideMark/>
          </w:tcPr>
          <w:p w:rsidR="00376A9F" w:rsidRDefault="00376A9F" w:rsidP="003650EF">
            <w:pPr>
              <w:spacing w:line="240" w:lineRule="auto"/>
              <w:jc w:val="center"/>
              <w:rPr>
                <w:rFonts w:ascii="Times New Roman" w:hAnsi="Times New Roman"/>
              </w:rPr>
            </w:pPr>
            <w:r>
              <w:rPr>
                <w:rFonts w:ascii="Times New Roman" w:hAnsi="Times New Roman"/>
              </w:rPr>
              <w:t>не менше 60%</w:t>
            </w:r>
          </w:p>
        </w:tc>
        <w:tc>
          <w:tcPr>
            <w:tcW w:w="2426" w:type="dxa"/>
            <w:tcBorders>
              <w:top w:val="single" w:sz="4" w:space="0" w:color="auto"/>
              <w:left w:val="single" w:sz="4" w:space="0" w:color="auto"/>
              <w:bottom w:val="single" w:sz="4" w:space="0" w:color="auto"/>
              <w:right w:val="single" w:sz="4" w:space="0" w:color="auto"/>
            </w:tcBorders>
            <w:vAlign w:val="center"/>
            <w:hideMark/>
          </w:tcPr>
          <w:p w:rsidR="00376A9F" w:rsidRDefault="00376A9F" w:rsidP="003650EF">
            <w:pPr>
              <w:spacing w:line="240" w:lineRule="auto"/>
              <w:jc w:val="center"/>
              <w:rPr>
                <w:rFonts w:ascii="Times New Roman" w:hAnsi="Times New Roman"/>
                <w:sz w:val="20"/>
                <w:szCs w:val="20"/>
              </w:rPr>
            </w:pPr>
            <w:r>
              <w:rPr>
                <w:rFonts w:ascii="Times New Roman" w:hAnsi="Times New Roman"/>
                <w:sz w:val="20"/>
                <w:szCs w:val="20"/>
              </w:rPr>
              <w:t>100 %</w:t>
            </w:r>
          </w:p>
        </w:tc>
        <w:tc>
          <w:tcPr>
            <w:tcW w:w="2138" w:type="dxa"/>
            <w:tcBorders>
              <w:top w:val="single" w:sz="4" w:space="0" w:color="auto"/>
              <w:left w:val="single" w:sz="4" w:space="0" w:color="auto"/>
              <w:bottom w:val="single" w:sz="4" w:space="0" w:color="auto"/>
              <w:right w:val="single" w:sz="4" w:space="0" w:color="auto"/>
            </w:tcBorders>
            <w:vAlign w:val="center"/>
            <w:hideMark/>
          </w:tcPr>
          <w:p w:rsidR="00376A9F" w:rsidRDefault="00376A9F" w:rsidP="003650EF">
            <w:pPr>
              <w:spacing w:line="240" w:lineRule="auto"/>
              <w:jc w:val="center"/>
              <w:rPr>
                <w:rFonts w:ascii="Times New Roman" w:hAnsi="Times New Roman"/>
                <w:sz w:val="20"/>
                <w:szCs w:val="20"/>
              </w:rPr>
            </w:pPr>
            <w:r>
              <w:rPr>
                <w:rFonts w:ascii="Times New Roman" w:hAnsi="Times New Roman"/>
                <w:sz w:val="20"/>
                <w:szCs w:val="20"/>
              </w:rPr>
              <w:t>01.08.2020-31.12.2020</w:t>
            </w:r>
          </w:p>
          <w:p w:rsidR="00376A9F" w:rsidRDefault="00376A9F" w:rsidP="003650EF">
            <w:pPr>
              <w:spacing w:line="240" w:lineRule="auto"/>
              <w:jc w:val="center"/>
              <w:rPr>
                <w:rFonts w:ascii="Times New Roman" w:hAnsi="Times New Roman"/>
                <w:sz w:val="20"/>
                <w:szCs w:val="20"/>
              </w:rPr>
            </w:pPr>
            <w:r>
              <w:rPr>
                <w:rFonts w:ascii="Times New Roman" w:hAnsi="Times New Roman"/>
                <w:sz w:val="20"/>
                <w:szCs w:val="20"/>
              </w:rPr>
              <w:t>тестовий період</w:t>
            </w:r>
          </w:p>
          <w:p w:rsidR="00376A9F" w:rsidRDefault="00376A9F" w:rsidP="003650EF">
            <w:pPr>
              <w:spacing w:line="240" w:lineRule="auto"/>
              <w:jc w:val="center"/>
              <w:rPr>
                <w:rFonts w:ascii="Times New Roman" w:hAnsi="Times New Roman"/>
                <w:sz w:val="20"/>
                <w:szCs w:val="20"/>
              </w:rPr>
            </w:pPr>
            <w:r>
              <w:rPr>
                <w:rFonts w:ascii="Times New Roman" w:hAnsi="Times New Roman"/>
                <w:sz w:val="20"/>
                <w:szCs w:val="20"/>
              </w:rPr>
              <w:t>(подання звітності до</w:t>
            </w:r>
          </w:p>
          <w:p w:rsidR="00376A9F" w:rsidRDefault="00376A9F" w:rsidP="003650EF">
            <w:pPr>
              <w:spacing w:line="240" w:lineRule="auto"/>
              <w:jc w:val="center"/>
              <w:rPr>
                <w:rFonts w:ascii="Times New Roman" w:hAnsi="Times New Roman"/>
                <w:sz w:val="20"/>
                <w:szCs w:val="20"/>
              </w:rPr>
            </w:pPr>
            <w:r>
              <w:rPr>
                <w:rFonts w:ascii="Times New Roman" w:hAnsi="Times New Roman"/>
                <w:sz w:val="20"/>
                <w:szCs w:val="20"/>
              </w:rPr>
              <w:t>НБУ без додержання</w:t>
            </w:r>
          </w:p>
          <w:p w:rsidR="00376A9F" w:rsidRDefault="00376A9F" w:rsidP="003650EF">
            <w:pPr>
              <w:spacing w:line="240" w:lineRule="auto"/>
              <w:jc w:val="center"/>
              <w:rPr>
                <w:rFonts w:ascii="Times New Roman" w:hAnsi="Times New Roman"/>
                <w:sz w:val="20"/>
                <w:szCs w:val="20"/>
              </w:rPr>
            </w:pPr>
            <w:r>
              <w:rPr>
                <w:rFonts w:ascii="Times New Roman" w:hAnsi="Times New Roman"/>
                <w:sz w:val="20"/>
                <w:szCs w:val="20"/>
              </w:rPr>
              <w:t>нормативів);</w:t>
            </w:r>
          </w:p>
          <w:p w:rsidR="00376A9F" w:rsidRPr="007A7574" w:rsidRDefault="00376A9F" w:rsidP="003650EF">
            <w:pPr>
              <w:spacing w:line="240" w:lineRule="auto"/>
              <w:jc w:val="center"/>
              <w:rPr>
                <w:rFonts w:ascii="Times New Roman" w:hAnsi="Times New Roman"/>
                <w:sz w:val="20"/>
                <w:szCs w:val="20"/>
              </w:rPr>
            </w:pPr>
            <w:r>
              <w:rPr>
                <w:rFonts w:ascii="Times New Roman" w:hAnsi="Times New Roman"/>
                <w:sz w:val="20"/>
                <w:szCs w:val="20"/>
              </w:rPr>
              <w:t>н</w:t>
            </w:r>
            <w:r w:rsidRPr="007A7574">
              <w:rPr>
                <w:rFonts w:ascii="Times New Roman" w:hAnsi="Times New Roman"/>
                <w:sz w:val="20"/>
                <w:szCs w:val="20"/>
              </w:rPr>
              <w:t>е менше 80% – з 01.04.2021; не менше 90% – з 01.10.2021;</w:t>
            </w:r>
          </w:p>
          <w:p w:rsidR="00376A9F" w:rsidRDefault="00376A9F" w:rsidP="003650EF">
            <w:pPr>
              <w:spacing w:line="240" w:lineRule="auto"/>
              <w:jc w:val="center"/>
              <w:rPr>
                <w:rFonts w:ascii="Times New Roman" w:hAnsi="Times New Roman"/>
                <w:sz w:val="20"/>
                <w:szCs w:val="20"/>
              </w:rPr>
            </w:pPr>
            <w:r w:rsidRPr="007A7574">
              <w:rPr>
                <w:rFonts w:ascii="Times New Roman" w:hAnsi="Times New Roman"/>
                <w:sz w:val="20"/>
                <w:szCs w:val="20"/>
              </w:rPr>
              <w:t>не менше 100% – з 01.04.2022</w:t>
            </w:r>
          </w:p>
        </w:tc>
        <w:tc>
          <w:tcPr>
            <w:tcW w:w="1259" w:type="dxa"/>
            <w:tcBorders>
              <w:top w:val="single" w:sz="4" w:space="0" w:color="auto"/>
              <w:left w:val="single" w:sz="4" w:space="0" w:color="auto"/>
              <w:bottom w:val="single" w:sz="4" w:space="0" w:color="auto"/>
              <w:right w:val="single" w:sz="4" w:space="0" w:color="auto"/>
            </w:tcBorders>
            <w:vAlign w:val="center"/>
            <w:hideMark/>
          </w:tcPr>
          <w:p w:rsidR="00376A9F" w:rsidRDefault="00376A9F" w:rsidP="003650EF">
            <w:pPr>
              <w:spacing w:line="240" w:lineRule="auto"/>
              <w:jc w:val="center"/>
              <w:rPr>
                <w:rFonts w:ascii="Times New Roman" w:hAnsi="Times New Roman"/>
                <w:sz w:val="20"/>
                <w:szCs w:val="20"/>
              </w:rPr>
            </w:pPr>
            <w:r>
              <w:rPr>
                <w:rFonts w:ascii="Times New Roman" w:hAnsi="Times New Roman"/>
                <w:sz w:val="20"/>
                <w:szCs w:val="20"/>
              </w:rPr>
              <w:t>з 01.08.2020</w:t>
            </w:r>
          </w:p>
        </w:tc>
      </w:tr>
    </w:tbl>
    <w:p w:rsidR="005A026A" w:rsidRPr="000C019E" w:rsidRDefault="005A026A" w:rsidP="00C83D1F">
      <w:pPr>
        <w:spacing w:before="120" w:after="0" w:line="360" w:lineRule="auto"/>
        <w:ind w:firstLine="709"/>
        <w:jc w:val="both"/>
        <w:rPr>
          <w:rFonts w:ascii="Times New Roman" w:hAnsi="Times New Roman"/>
          <w:sz w:val="24"/>
          <w:szCs w:val="24"/>
        </w:rPr>
      </w:pPr>
      <w:r w:rsidRPr="000C019E">
        <w:rPr>
          <w:rFonts w:ascii="Times New Roman" w:hAnsi="Times New Roman"/>
          <w:sz w:val="24"/>
          <w:szCs w:val="24"/>
        </w:rPr>
        <w:t>Джерело:[</w:t>
      </w:r>
      <w:r>
        <w:rPr>
          <w:rFonts w:ascii="Times New Roman" w:hAnsi="Times New Roman"/>
          <w:sz w:val="24"/>
          <w:szCs w:val="24"/>
        </w:rPr>
        <w:t>31; 32; 33</w:t>
      </w:r>
      <w:r w:rsidRPr="000C019E">
        <w:rPr>
          <w:rFonts w:ascii="Times New Roman" w:hAnsi="Times New Roman"/>
          <w:sz w:val="24"/>
          <w:szCs w:val="24"/>
        </w:rPr>
        <w:t>]</w:t>
      </w:r>
    </w:p>
    <w:p w:rsidR="00110EE2" w:rsidRDefault="00110EE2" w:rsidP="00110EE2">
      <w:pPr>
        <w:spacing w:after="0" w:line="360" w:lineRule="auto"/>
        <w:jc w:val="both"/>
        <w:rPr>
          <w:rFonts w:ascii="Times New Roman" w:hAnsi="Times New Roman"/>
          <w:sz w:val="28"/>
          <w:szCs w:val="28"/>
        </w:rPr>
      </w:pPr>
      <w:r>
        <w:rPr>
          <w:rFonts w:ascii="Times New Roman" w:hAnsi="Times New Roman"/>
          <w:sz w:val="28"/>
          <w:szCs w:val="28"/>
        </w:rPr>
        <w:t>___________</w:t>
      </w:r>
    </w:p>
    <w:p w:rsidR="00110EE2" w:rsidRDefault="00110EE2" w:rsidP="008061E3">
      <w:pPr>
        <w:spacing w:after="0" w:line="360" w:lineRule="auto"/>
        <w:ind w:firstLine="709"/>
        <w:jc w:val="both"/>
        <w:rPr>
          <w:rFonts w:ascii="Times New Roman" w:hAnsi="Times New Roman"/>
          <w:sz w:val="24"/>
          <w:szCs w:val="24"/>
        </w:rPr>
      </w:pPr>
      <w:r>
        <w:rPr>
          <w:rFonts w:ascii="Times New Roman" w:hAnsi="Times New Roman"/>
          <w:sz w:val="24"/>
          <w:szCs w:val="24"/>
          <w:vertAlign w:val="superscript"/>
        </w:rPr>
        <w:t xml:space="preserve">1 </w:t>
      </w:r>
      <w:r>
        <w:rPr>
          <w:rFonts w:ascii="Times New Roman" w:hAnsi="Times New Roman"/>
          <w:sz w:val="24"/>
          <w:szCs w:val="24"/>
        </w:rPr>
        <w:t xml:space="preserve">Коефіцієнт покриття ліквідністю - норматив </w:t>
      </w:r>
      <w:r w:rsidR="00B47522">
        <w:rPr>
          <w:rFonts w:ascii="Times New Roman" w:hAnsi="Times New Roman"/>
          <w:sz w:val="24"/>
          <w:szCs w:val="24"/>
        </w:rPr>
        <w:t xml:space="preserve">LCR - </w:t>
      </w:r>
      <w:proofErr w:type="spellStart"/>
      <w:r w:rsidR="00B47522">
        <w:rPr>
          <w:rFonts w:ascii="Times New Roman" w:hAnsi="Times New Roman"/>
          <w:sz w:val="24"/>
          <w:szCs w:val="24"/>
        </w:rPr>
        <w:t>Liquidity</w:t>
      </w:r>
      <w:proofErr w:type="spellEnd"/>
      <w:r w:rsidR="00B47522">
        <w:rPr>
          <w:rFonts w:ascii="Times New Roman" w:hAnsi="Times New Roman"/>
          <w:sz w:val="24"/>
          <w:szCs w:val="24"/>
        </w:rPr>
        <w:t xml:space="preserve"> </w:t>
      </w:r>
      <w:proofErr w:type="spellStart"/>
      <w:r w:rsidR="00B47522">
        <w:rPr>
          <w:rFonts w:ascii="Times New Roman" w:hAnsi="Times New Roman"/>
          <w:sz w:val="24"/>
          <w:szCs w:val="24"/>
        </w:rPr>
        <w:t>Coverage</w:t>
      </w:r>
      <w:proofErr w:type="spellEnd"/>
      <w:r w:rsidR="00B47522">
        <w:rPr>
          <w:rFonts w:ascii="Times New Roman" w:hAnsi="Times New Roman"/>
          <w:sz w:val="24"/>
          <w:szCs w:val="24"/>
        </w:rPr>
        <w:t xml:space="preserve"> </w:t>
      </w:r>
      <w:proofErr w:type="spellStart"/>
      <w:r w:rsidR="00B47522">
        <w:rPr>
          <w:rFonts w:ascii="Times New Roman" w:hAnsi="Times New Roman"/>
          <w:sz w:val="24"/>
          <w:szCs w:val="24"/>
        </w:rPr>
        <w:t>Ratio</w:t>
      </w:r>
      <w:proofErr w:type="spellEnd"/>
      <w:r w:rsidR="00B47522">
        <w:rPr>
          <w:rFonts w:ascii="Times New Roman" w:hAnsi="Times New Roman"/>
          <w:sz w:val="24"/>
          <w:szCs w:val="24"/>
        </w:rPr>
        <w:t>:</w:t>
      </w:r>
      <w:r>
        <w:rPr>
          <w:rFonts w:ascii="Times New Roman" w:hAnsi="Times New Roman"/>
          <w:sz w:val="24"/>
          <w:szCs w:val="24"/>
        </w:rPr>
        <w:t xml:space="preserve"> на сьогодні застосовується у 45 країнах світу т</w:t>
      </w:r>
      <w:r w:rsidR="00B47522">
        <w:rPr>
          <w:rFonts w:ascii="Times New Roman" w:hAnsi="Times New Roman"/>
          <w:sz w:val="24"/>
          <w:szCs w:val="24"/>
        </w:rPr>
        <w:t>а є частиною угоди Базель ІІІ [3</w:t>
      </w:r>
      <w:r>
        <w:rPr>
          <w:rFonts w:ascii="Times New Roman" w:hAnsi="Times New Roman"/>
          <w:sz w:val="24"/>
          <w:szCs w:val="24"/>
        </w:rPr>
        <w:t>4, с. 43-48].</w:t>
      </w:r>
    </w:p>
    <w:p w:rsidR="00110EE2" w:rsidRDefault="00110EE2" w:rsidP="008061E3">
      <w:pPr>
        <w:spacing w:after="0" w:line="360" w:lineRule="auto"/>
        <w:ind w:firstLine="709"/>
        <w:jc w:val="both"/>
        <w:rPr>
          <w:rFonts w:ascii="Times New Roman" w:hAnsi="Times New Roman"/>
          <w:sz w:val="24"/>
          <w:szCs w:val="24"/>
        </w:rPr>
      </w:pPr>
      <w:r>
        <w:rPr>
          <w:rFonts w:ascii="Times New Roman" w:hAnsi="Times New Roman"/>
          <w:sz w:val="24"/>
          <w:szCs w:val="24"/>
          <w:vertAlign w:val="superscript"/>
        </w:rPr>
        <w:t>2</w:t>
      </w:r>
      <w:r>
        <w:rPr>
          <w:rFonts w:ascii="Times New Roman" w:hAnsi="Times New Roman"/>
          <w:sz w:val="24"/>
          <w:szCs w:val="24"/>
        </w:rPr>
        <w:t xml:space="preserve"> Пруденційний норматив– коефіцієнт чистого стабільного фінансування NSFR - </w:t>
      </w:r>
      <w:proofErr w:type="spellStart"/>
      <w:r>
        <w:rPr>
          <w:rFonts w:ascii="Times New Roman" w:hAnsi="Times New Roman"/>
          <w:sz w:val="24"/>
          <w:szCs w:val="24"/>
        </w:rPr>
        <w:t>Net</w:t>
      </w:r>
      <w:proofErr w:type="spellEnd"/>
      <w:r>
        <w:rPr>
          <w:rFonts w:ascii="Times New Roman" w:hAnsi="Times New Roman"/>
          <w:sz w:val="24"/>
          <w:szCs w:val="24"/>
        </w:rPr>
        <w:t xml:space="preserve"> </w:t>
      </w:r>
      <w:proofErr w:type="spellStart"/>
      <w:r>
        <w:rPr>
          <w:rFonts w:ascii="Times New Roman" w:hAnsi="Times New Roman"/>
          <w:sz w:val="24"/>
          <w:szCs w:val="24"/>
        </w:rPr>
        <w:t>Stable</w:t>
      </w:r>
      <w:proofErr w:type="spellEnd"/>
      <w:r>
        <w:rPr>
          <w:rFonts w:ascii="Times New Roman" w:hAnsi="Times New Roman"/>
          <w:sz w:val="24"/>
          <w:szCs w:val="24"/>
        </w:rPr>
        <w:t xml:space="preserve"> </w:t>
      </w:r>
      <w:proofErr w:type="spellStart"/>
      <w:r>
        <w:rPr>
          <w:rFonts w:ascii="Times New Roman" w:hAnsi="Times New Roman"/>
          <w:sz w:val="24"/>
          <w:szCs w:val="24"/>
        </w:rPr>
        <w:t>Funding</w:t>
      </w:r>
      <w:proofErr w:type="spellEnd"/>
      <w:r>
        <w:rPr>
          <w:rFonts w:ascii="Times New Roman" w:hAnsi="Times New Roman"/>
          <w:sz w:val="24"/>
          <w:szCs w:val="24"/>
        </w:rPr>
        <w:t xml:space="preserve"> </w:t>
      </w:r>
      <w:proofErr w:type="spellStart"/>
      <w:r>
        <w:rPr>
          <w:rFonts w:ascii="Times New Roman" w:hAnsi="Times New Roman"/>
          <w:sz w:val="24"/>
          <w:szCs w:val="24"/>
        </w:rPr>
        <w:t>Ratio</w:t>
      </w:r>
      <w:proofErr w:type="spellEnd"/>
      <w:r>
        <w:rPr>
          <w:rFonts w:ascii="Times New Roman" w:hAnsi="Times New Roman"/>
          <w:sz w:val="24"/>
          <w:szCs w:val="24"/>
        </w:rPr>
        <w:t>, NSFR, що відображає достатність довгострокової ліквідності у банку [2</w:t>
      </w:r>
      <w:r w:rsidR="00B47522">
        <w:rPr>
          <w:rFonts w:ascii="Times New Roman" w:hAnsi="Times New Roman"/>
          <w:sz w:val="24"/>
          <w:szCs w:val="24"/>
        </w:rPr>
        <w:t>9</w:t>
      </w:r>
      <w:r>
        <w:rPr>
          <w:rFonts w:ascii="Times New Roman" w:hAnsi="Times New Roman"/>
          <w:sz w:val="24"/>
          <w:szCs w:val="24"/>
        </w:rPr>
        <w:t>, с. 78].</w:t>
      </w:r>
    </w:p>
    <w:p w:rsidR="00110EE2" w:rsidRDefault="00110EE2" w:rsidP="008061E3">
      <w:pPr>
        <w:spacing w:before="240" w:after="0" w:line="360" w:lineRule="auto"/>
        <w:ind w:firstLine="709"/>
        <w:jc w:val="both"/>
        <w:rPr>
          <w:rFonts w:ascii="Times New Roman" w:hAnsi="Times New Roman"/>
          <w:sz w:val="28"/>
          <w:szCs w:val="28"/>
        </w:rPr>
      </w:pPr>
      <w:r>
        <w:rPr>
          <w:rFonts w:ascii="Times New Roman" w:hAnsi="Times New Roman"/>
          <w:sz w:val="28"/>
          <w:szCs w:val="28"/>
        </w:rPr>
        <w:t>Розрахунок коефіцієнта LCR прово</w:t>
      </w:r>
      <w:r w:rsidR="002724E7">
        <w:rPr>
          <w:rFonts w:ascii="Times New Roman" w:hAnsi="Times New Roman"/>
          <w:sz w:val="28"/>
          <w:szCs w:val="28"/>
        </w:rPr>
        <w:t xml:space="preserve">диться за наступною методикою </w:t>
      </w:r>
      <w:r w:rsidR="00D6556C">
        <w:rPr>
          <w:rFonts w:ascii="Times New Roman" w:hAnsi="Times New Roman"/>
          <w:sz w:val="28"/>
          <w:szCs w:val="28"/>
        </w:rPr>
        <w:t xml:space="preserve">(див. формулу 1.1) </w:t>
      </w:r>
      <w:r w:rsidR="002724E7">
        <w:rPr>
          <w:rFonts w:ascii="Times New Roman" w:hAnsi="Times New Roman"/>
          <w:sz w:val="28"/>
          <w:szCs w:val="28"/>
        </w:rPr>
        <w:t>[32; 33; 3</w:t>
      </w:r>
      <w:r>
        <w:rPr>
          <w:rFonts w:ascii="Times New Roman" w:hAnsi="Times New Roman"/>
          <w:sz w:val="28"/>
          <w:szCs w:val="28"/>
        </w:rPr>
        <w:t>4, с. 154]:</w:t>
      </w:r>
    </w:p>
    <w:tbl>
      <w:tblPr>
        <w:tblStyle w:val="a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110EE2" w:rsidTr="00110EE2">
        <w:trPr>
          <w:trHeight w:val="857"/>
          <w:jc w:val="center"/>
        </w:trPr>
        <w:tc>
          <w:tcPr>
            <w:tcW w:w="9067" w:type="dxa"/>
            <w:vAlign w:val="center"/>
            <w:hideMark/>
          </w:tcPr>
          <w:p w:rsidR="00110EE2" w:rsidRDefault="00110EE2">
            <w:pPr>
              <w:spacing w:line="360" w:lineRule="auto"/>
              <w:jc w:val="both"/>
              <w:rPr>
                <w:rFonts w:ascii="Times New Roman" w:hAnsi="Times New Roman"/>
                <w:sz w:val="20"/>
                <w:szCs w:val="20"/>
              </w:rPr>
            </w:pPr>
            <m:oMathPara>
              <m:oMath>
                <m:r>
                  <m:rPr>
                    <m:sty m:val="p"/>
                  </m:rPr>
                  <w:rPr>
                    <w:rFonts w:ascii="Cambria Math" w:hAnsi="Cambria Math"/>
                    <w:sz w:val="20"/>
                    <w:szCs w:val="20"/>
                  </w:rPr>
                  <m:t xml:space="preserve">LCR= </m:t>
                </m:r>
                <m:f>
                  <m:fPr>
                    <m:ctrlPr>
                      <w:rPr>
                        <w:rFonts w:ascii="Cambria Math" w:hAnsi="Cambria Math"/>
                      </w:rPr>
                    </m:ctrlPr>
                  </m:fPr>
                  <m:num>
                    <m:r>
                      <m:rPr>
                        <m:sty m:val="p"/>
                      </m:rPr>
                      <w:rPr>
                        <w:rFonts w:ascii="Cambria Math" w:hAnsi="Cambria Math"/>
                        <w:sz w:val="20"/>
                        <w:szCs w:val="20"/>
                      </w:rPr>
                      <m:t>Високоякісні ліквідні активи</m:t>
                    </m:r>
                  </m:num>
                  <m:den>
                    <m:r>
                      <m:rPr>
                        <m:sty m:val="p"/>
                      </m:rPr>
                      <w:rPr>
                        <w:rFonts w:ascii="Cambria Math" w:hAnsi="Cambria Math"/>
                        <w:sz w:val="20"/>
                        <w:szCs w:val="20"/>
                      </w:rPr>
                      <m:t>Чистий очікуваний відтік грошових коштів протягом 30 днів</m:t>
                    </m:r>
                  </m:den>
                </m:f>
                <m:r>
                  <w:rPr>
                    <w:rFonts w:ascii="Cambria Math" w:hAnsi="Cambria Math"/>
                    <w:sz w:val="20"/>
                    <w:szCs w:val="20"/>
                  </w:rPr>
                  <m:t>×100%</m:t>
                </m:r>
              </m:oMath>
            </m:oMathPara>
          </w:p>
        </w:tc>
        <w:tc>
          <w:tcPr>
            <w:tcW w:w="562" w:type="dxa"/>
            <w:vAlign w:val="center"/>
            <w:hideMark/>
          </w:tcPr>
          <w:p w:rsidR="00110EE2" w:rsidRDefault="00110EE2">
            <w:pPr>
              <w:spacing w:line="360" w:lineRule="auto"/>
              <w:jc w:val="right"/>
              <w:rPr>
                <w:rFonts w:ascii="Times New Roman" w:hAnsi="Times New Roman"/>
                <w:sz w:val="28"/>
                <w:szCs w:val="28"/>
              </w:rPr>
            </w:pPr>
            <w:r>
              <w:rPr>
                <w:rFonts w:ascii="Times New Roman" w:hAnsi="Times New Roman"/>
                <w:sz w:val="28"/>
                <w:szCs w:val="28"/>
              </w:rPr>
              <w:t>(</w:t>
            </w:r>
            <w:r w:rsidR="00D6556C">
              <w:rPr>
                <w:rFonts w:ascii="Times New Roman" w:hAnsi="Times New Roman"/>
                <w:sz w:val="28"/>
                <w:szCs w:val="28"/>
              </w:rPr>
              <w:t>1.</w:t>
            </w:r>
            <w:r>
              <w:rPr>
                <w:rFonts w:ascii="Times New Roman" w:hAnsi="Times New Roman"/>
                <w:sz w:val="28"/>
                <w:szCs w:val="28"/>
              </w:rPr>
              <w:t>1)</w:t>
            </w:r>
          </w:p>
        </w:tc>
      </w:tr>
    </w:tbl>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Розрахунок коефіцієнта </w:t>
      </w:r>
      <w:r w:rsidR="002724E7">
        <w:rPr>
          <w:rFonts w:ascii="Times New Roman" w:hAnsi="Times New Roman"/>
          <w:sz w:val="28"/>
          <w:szCs w:val="28"/>
        </w:rPr>
        <w:t xml:space="preserve">NSFR проводиться таким шляхом </w:t>
      </w:r>
      <w:r w:rsidR="00D6556C">
        <w:rPr>
          <w:rFonts w:ascii="Times New Roman" w:hAnsi="Times New Roman"/>
          <w:sz w:val="28"/>
          <w:szCs w:val="28"/>
        </w:rPr>
        <w:t xml:space="preserve">(див. формулу 1.2) </w:t>
      </w:r>
      <w:r w:rsidR="002724E7">
        <w:rPr>
          <w:rFonts w:ascii="Times New Roman" w:hAnsi="Times New Roman"/>
          <w:sz w:val="28"/>
          <w:szCs w:val="28"/>
        </w:rPr>
        <w:t>[3</w:t>
      </w:r>
      <w:r>
        <w:rPr>
          <w:rFonts w:ascii="Times New Roman" w:hAnsi="Times New Roman"/>
          <w:sz w:val="28"/>
          <w:szCs w:val="28"/>
        </w:rPr>
        <w:t xml:space="preserve">2; </w:t>
      </w:r>
      <w:r w:rsidR="002724E7">
        <w:rPr>
          <w:rFonts w:ascii="Times New Roman" w:hAnsi="Times New Roman"/>
          <w:sz w:val="28"/>
          <w:szCs w:val="28"/>
        </w:rPr>
        <w:t>33; 3</w:t>
      </w:r>
      <w:r>
        <w:rPr>
          <w:rFonts w:ascii="Times New Roman" w:hAnsi="Times New Roman"/>
          <w:sz w:val="28"/>
          <w:szCs w:val="28"/>
        </w:rPr>
        <w:t>4, с. 154]:</w:t>
      </w:r>
    </w:p>
    <w:tbl>
      <w:tblPr>
        <w:tblStyle w:val="a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4"/>
        <w:gridCol w:w="753"/>
      </w:tblGrid>
      <w:tr w:rsidR="00110EE2" w:rsidTr="0027626D">
        <w:trPr>
          <w:trHeight w:val="1568"/>
          <w:jc w:val="center"/>
        </w:trPr>
        <w:tc>
          <w:tcPr>
            <w:tcW w:w="8874" w:type="dxa"/>
            <w:vAlign w:val="center"/>
            <w:hideMark/>
          </w:tcPr>
          <w:p w:rsidR="00110EE2" w:rsidRDefault="00110EE2">
            <w:pPr>
              <w:spacing w:line="360" w:lineRule="auto"/>
              <w:jc w:val="both"/>
              <w:rPr>
                <w:rFonts w:ascii="Times New Roman" w:hAnsi="Times New Roman"/>
                <w:sz w:val="18"/>
                <w:szCs w:val="18"/>
              </w:rPr>
            </w:pPr>
            <m:oMathPara>
              <m:oMath>
                <m:r>
                  <m:rPr>
                    <m:sty m:val="p"/>
                  </m:rPr>
                  <w:rPr>
                    <w:rFonts w:ascii="Cambria Math" w:hAnsi="Cambria Math"/>
                    <w:sz w:val="18"/>
                    <w:szCs w:val="18"/>
                  </w:rPr>
                  <w:lastRenderedPageBreak/>
                  <m:t xml:space="preserve">NSFR= </m:t>
                </m:r>
                <m:f>
                  <m:fPr>
                    <m:ctrlPr>
                      <w:rPr>
                        <w:rFonts w:ascii="Cambria Math" w:hAnsi="Cambria Math"/>
                        <w:sz w:val="18"/>
                        <w:szCs w:val="18"/>
                      </w:rPr>
                    </m:ctrlPr>
                  </m:fPr>
                  <m:num>
                    <m:r>
                      <m:rPr>
                        <m:sty m:val="p"/>
                      </m:rPr>
                      <w:rPr>
                        <w:rFonts w:ascii="Cambria Math" w:hAnsi="Cambria Math"/>
                        <w:sz w:val="18"/>
                        <w:szCs w:val="18"/>
                      </w:rPr>
                      <m:t>Обсяг наявного стабільного фінансування (ASF)</m:t>
                    </m:r>
                  </m:num>
                  <m:den>
                    <m:r>
                      <m:rPr>
                        <m:sty m:val="p"/>
                      </m:rPr>
                      <w:rPr>
                        <w:rFonts w:ascii="Cambria Math" w:hAnsi="Cambria Math"/>
                        <w:sz w:val="18"/>
                        <w:szCs w:val="18"/>
                      </w:rPr>
                      <m:t xml:space="preserve">Обсяг необхідного стабільного фінансування </m:t>
                    </m:r>
                    <m:d>
                      <m:dPr>
                        <m:ctrlPr>
                          <w:rPr>
                            <w:rFonts w:ascii="Cambria Math" w:hAnsi="Cambria Math"/>
                            <w:sz w:val="18"/>
                            <w:szCs w:val="18"/>
                          </w:rPr>
                        </m:ctrlPr>
                      </m:dPr>
                      <m:e>
                        <m:r>
                          <m:rPr>
                            <m:sty m:val="p"/>
                          </m:rPr>
                          <w:rPr>
                            <w:rFonts w:ascii="Cambria Math" w:hAnsi="Cambria Math"/>
                            <w:sz w:val="18"/>
                            <w:szCs w:val="18"/>
                          </w:rPr>
                          <m:t>RSF</m:t>
                        </m:r>
                      </m:e>
                    </m:d>
                    <m:r>
                      <m:rPr>
                        <m:sty m:val="p"/>
                      </m:rPr>
                      <w:rPr>
                        <w:rFonts w:ascii="Cambria Math" w:hAnsi="Cambria Math"/>
                        <w:sz w:val="18"/>
                        <w:szCs w:val="18"/>
                      </w:rPr>
                      <m:t>–непокритий кредитний ризик</m:t>
                    </m:r>
                  </m:den>
                </m:f>
                <m:r>
                  <w:rPr>
                    <w:rFonts w:ascii="Cambria Math" w:hAnsi="Cambria Math"/>
                    <w:sz w:val="18"/>
                    <w:szCs w:val="18"/>
                  </w:rPr>
                  <m:t>×100%</m:t>
                </m:r>
              </m:oMath>
            </m:oMathPara>
          </w:p>
        </w:tc>
        <w:tc>
          <w:tcPr>
            <w:tcW w:w="752" w:type="dxa"/>
            <w:vAlign w:val="center"/>
            <w:hideMark/>
          </w:tcPr>
          <w:p w:rsidR="00110EE2" w:rsidRDefault="00110EE2">
            <w:pPr>
              <w:spacing w:line="360" w:lineRule="auto"/>
              <w:jc w:val="right"/>
              <w:rPr>
                <w:rFonts w:ascii="Times New Roman" w:hAnsi="Times New Roman"/>
                <w:sz w:val="28"/>
                <w:szCs w:val="28"/>
              </w:rPr>
            </w:pPr>
            <w:r>
              <w:rPr>
                <w:rFonts w:ascii="Times New Roman" w:hAnsi="Times New Roman"/>
                <w:sz w:val="28"/>
                <w:szCs w:val="28"/>
              </w:rPr>
              <w:t>(</w:t>
            </w:r>
            <w:r w:rsidR="00D6556C">
              <w:rPr>
                <w:rFonts w:ascii="Times New Roman" w:hAnsi="Times New Roman"/>
                <w:sz w:val="28"/>
                <w:szCs w:val="28"/>
              </w:rPr>
              <w:t>1.</w:t>
            </w:r>
            <w:r>
              <w:rPr>
                <w:rFonts w:ascii="Times New Roman" w:hAnsi="Times New Roman"/>
                <w:sz w:val="28"/>
                <w:szCs w:val="28"/>
              </w:rPr>
              <w:t>2)</w:t>
            </w:r>
          </w:p>
        </w:tc>
      </w:tr>
    </w:tbl>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цьому показник ASF включає в себе регулятивний капітал банківської установи та його зобов’язання. Показник RSF включає в себе активи, позабалансові зобов’язання та операції з деривативами (Базельський </w:t>
      </w:r>
      <w:r w:rsidR="00AA0DA4">
        <w:rPr>
          <w:rFonts w:ascii="Times New Roman" w:hAnsi="Times New Roman"/>
          <w:sz w:val="28"/>
          <w:szCs w:val="28"/>
        </w:rPr>
        <w:t>комітет банківського нагляду) [3</w:t>
      </w:r>
      <w:r>
        <w:rPr>
          <w:rFonts w:ascii="Times New Roman" w:hAnsi="Times New Roman"/>
          <w:sz w:val="28"/>
          <w:szCs w:val="28"/>
        </w:rPr>
        <w:t>4, с. 154].</w:t>
      </w:r>
    </w:p>
    <w:p w:rsidR="00AA0DA4" w:rsidRDefault="00992F1C" w:rsidP="00110EE2">
      <w:pPr>
        <w:spacing w:after="0" w:line="360" w:lineRule="auto"/>
        <w:ind w:firstLine="709"/>
        <w:jc w:val="both"/>
        <w:rPr>
          <w:rFonts w:ascii="Times New Roman" w:hAnsi="Times New Roman"/>
          <w:sz w:val="28"/>
          <w:szCs w:val="28"/>
        </w:rPr>
      </w:pPr>
      <w:r w:rsidRPr="00992F1C">
        <w:rPr>
          <w:rFonts w:ascii="Times New Roman" w:hAnsi="Times New Roman"/>
          <w:sz w:val="28"/>
          <w:szCs w:val="28"/>
        </w:rPr>
        <w:t>При цьому ASF та RSF</w:t>
      </w:r>
      <w:r>
        <w:rPr>
          <w:rFonts w:ascii="Times New Roman" w:hAnsi="Times New Roman"/>
          <w:sz w:val="28"/>
          <w:szCs w:val="28"/>
        </w:rPr>
        <w:t xml:space="preserve"> </w:t>
      </w:r>
      <w:r w:rsidRPr="00992F1C">
        <w:rPr>
          <w:rFonts w:ascii="Times New Roman" w:hAnsi="Times New Roman"/>
          <w:sz w:val="28"/>
          <w:szCs w:val="28"/>
        </w:rPr>
        <w:t>розраховується наступним чином</w:t>
      </w:r>
      <w:r w:rsidR="0027626D">
        <w:rPr>
          <w:rFonts w:ascii="Times New Roman" w:hAnsi="Times New Roman"/>
          <w:sz w:val="28"/>
          <w:szCs w:val="28"/>
        </w:rPr>
        <w:t xml:space="preserve"> (див. формули 1.3 та 1.4)</w:t>
      </w:r>
      <w:r w:rsidRPr="00992F1C">
        <w:rPr>
          <w:rFonts w:ascii="Times New Roman" w:hAnsi="Times New Roman"/>
          <w:sz w:val="28"/>
          <w:szCs w:val="28"/>
        </w:rPr>
        <w:t>:</w:t>
      </w:r>
    </w:p>
    <w:tbl>
      <w:tblPr>
        <w:tblStyle w:val="a5"/>
        <w:tblW w:w="965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5"/>
        <w:gridCol w:w="847"/>
      </w:tblGrid>
      <w:tr w:rsidR="0027626D" w:rsidTr="0027626D">
        <w:trPr>
          <w:trHeight w:val="1562"/>
          <w:jc w:val="center"/>
        </w:trPr>
        <w:tc>
          <w:tcPr>
            <w:tcW w:w="8805" w:type="dxa"/>
          </w:tcPr>
          <w:p w:rsidR="0027626D" w:rsidRDefault="0027626D" w:rsidP="0027626D">
            <w:pPr>
              <w:spacing w:line="360" w:lineRule="auto"/>
              <w:ind w:firstLine="709"/>
              <w:jc w:val="center"/>
              <w:rPr>
                <w:rFonts w:ascii="Times New Roman" w:hAnsi="Times New Roman"/>
                <w:sz w:val="28"/>
                <w:szCs w:val="28"/>
              </w:rPr>
            </w:pPr>
            <m:oMathPara>
              <m:oMath>
                <m:r>
                  <w:rPr>
                    <w:rFonts w:ascii="Cambria Math" w:hAnsi="Cambria Math"/>
                    <w:sz w:val="28"/>
                    <w:szCs w:val="28"/>
                  </w:rPr>
                  <m:t xml:space="preserve">ASF= </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r>
                      <w:rPr>
                        <w:rFonts w:ascii="Cambria Math" w:hAnsi="Cambria Math"/>
                        <w:sz w:val="28"/>
                        <w:szCs w:val="28"/>
                      </w:rPr>
                      <m:t xml:space="preserve">(ASF x </m:t>
                    </m:r>
                    <m:sSub>
                      <m:sSubPr>
                        <m:ctrlPr>
                          <w:rPr>
                            <w:rFonts w:ascii="Cambria Math" w:hAnsi="Cambria Math"/>
                            <w:i/>
                            <w:sz w:val="28"/>
                            <w:szCs w:val="28"/>
                          </w:rPr>
                        </m:ctrlPr>
                      </m:sSubPr>
                      <m:e>
                        <m:r>
                          <w:rPr>
                            <w:rFonts w:ascii="Cambria Math" w:hAnsi="Cambria Math"/>
                            <w:sz w:val="28"/>
                            <w:szCs w:val="28"/>
                          </w:rPr>
                          <m:t>K</m:t>
                        </m:r>
                      </m:e>
                      <m:sub>
                        <m:sSub>
                          <m:sSubPr>
                            <m:ctrlPr>
                              <w:rPr>
                                <w:rFonts w:ascii="Cambria Math" w:hAnsi="Cambria Math"/>
                                <w:i/>
                                <w:sz w:val="28"/>
                                <w:szCs w:val="28"/>
                              </w:rPr>
                            </m:ctrlPr>
                          </m:sSubPr>
                          <m:e>
                            <m:r>
                              <w:rPr>
                                <w:rFonts w:ascii="Cambria Math" w:hAnsi="Cambria Math"/>
                                <w:sz w:val="28"/>
                                <w:szCs w:val="28"/>
                              </w:rPr>
                              <m:t>ASF</m:t>
                            </m:r>
                          </m:e>
                          <m:sub>
                            <m:r>
                              <w:rPr>
                                <w:rFonts w:ascii="Cambria Math" w:hAnsi="Cambria Math"/>
                                <w:sz w:val="28"/>
                                <w:szCs w:val="28"/>
                              </w:rPr>
                              <m:t>i</m:t>
                            </m:r>
                          </m:sub>
                        </m:sSub>
                      </m:sub>
                    </m:sSub>
                  </m:e>
                </m:nary>
                <m:r>
                  <w:rPr>
                    <w:rFonts w:ascii="Cambria Math" w:hAnsi="Cambria Math"/>
                    <w:sz w:val="28"/>
                    <w:szCs w:val="28"/>
                  </w:rPr>
                  <m:t>)</m:t>
                </m:r>
              </m:oMath>
            </m:oMathPara>
          </w:p>
        </w:tc>
        <w:tc>
          <w:tcPr>
            <w:tcW w:w="847" w:type="dxa"/>
            <w:vAlign w:val="center"/>
          </w:tcPr>
          <w:p w:rsidR="0027626D" w:rsidRDefault="0027626D" w:rsidP="00110EE2">
            <w:pPr>
              <w:spacing w:line="360" w:lineRule="auto"/>
              <w:jc w:val="both"/>
              <w:rPr>
                <w:rFonts w:ascii="Times New Roman" w:hAnsi="Times New Roman"/>
                <w:sz w:val="28"/>
                <w:szCs w:val="28"/>
              </w:rPr>
            </w:pPr>
            <w:r>
              <w:rPr>
                <w:rFonts w:ascii="Times New Roman" w:hAnsi="Times New Roman"/>
                <w:sz w:val="28"/>
                <w:szCs w:val="28"/>
              </w:rPr>
              <w:t>(1.3)</w:t>
            </w:r>
          </w:p>
        </w:tc>
      </w:tr>
    </w:tbl>
    <w:p w:rsidR="00992F1C" w:rsidRDefault="00992F1C" w:rsidP="00110EE2">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 </w:t>
      </w:r>
      <w:r w:rsidRPr="00992F1C">
        <w:rPr>
          <w:rFonts w:ascii="Times New Roman" w:hAnsi="Times New Roman"/>
          <w:sz w:val="28"/>
          <w:szCs w:val="28"/>
        </w:rPr>
        <w:t>n</w:t>
      </w:r>
      <w:r w:rsidR="00F2311D">
        <w:rPr>
          <w:rFonts w:ascii="Times New Roman" w:hAnsi="Times New Roman"/>
          <w:sz w:val="28"/>
          <w:szCs w:val="28"/>
        </w:rPr>
        <w:t xml:space="preserve"> </w:t>
      </w:r>
      <w:r w:rsidRPr="00992F1C">
        <w:rPr>
          <w:rFonts w:ascii="Times New Roman" w:hAnsi="Times New Roman"/>
          <w:sz w:val="28"/>
          <w:szCs w:val="28"/>
        </w:rPr>
        <w:t>–</w:t>
      </w:r>
      <w:r w:rsidR="00F2311D">
        <w:rPr>
          <w:rFonts w:ascii="Times New Roman" w:hAnsi="Times New Roman"/>
          <w:sz w:val="28"/>
          <w:szCs w:val="28"/>
        </w:rPr>
        <w:t xml:space="preserve"> </w:t>
      </w:r>
      <w:r w:rsidRPr="00992F1C">
        <w:rPr>
          <w:rFonts w:ascii="Times New Roman" w:hAnsi="Times New Roman"/>
          <w:sz w:val="28"/>
          <w:szCs w:val="28"/>
        </w:rPr>
        <w:t>кількість складових;</w:t>
      </w:r>
    </w:p>
    <w:p w:rsidR="00992F1C" w:rsidRDefault="00992F1C" w:rsidP="00110EE2">
      <w:pPr>
        <w:spacing w:after="0" w:line="360" w:lineRule="auto"/>
        <w:ind w:firstLine="709"/>
        <w:jc w:val="both"/>
        <w:rPr>
          <w:rFonts w:ascii="Times New Roman" w:hAnsi="Times New Roman"/>
          <w:sz w:val="28"/>
          <w:szCs w:val="28"/>
        </w:rPr>
      </w:pPr>
      <w:proofErr w:type="spellStart"/>
      <w:r w:rsidRPr="00992F1C">
        <w:rPr>
          <w:rFonts w:ascii="Times New Roman" w:hAnsi="Times New Roman"/>
          <w:sz w:val="28"/>
          <w:szCs w:val="28"/>
        </w:rPr>
        <w:t>ASF</w:t>
      </w:r>
      <w:r w:rsidRPr="00992F1C">
        <w:rPr>
          <w:rFonts w:ascii="Times New Roman" w:hAnsi="Times New Roman"/>
          <w:sz w:val="28"/>
          <w:szCs w:val="28"/>
          <w:vertAlign w:val="subscript"/>
        </w:rPr>
        <w:t>i</w:t>
      </w:r>
      <w:proofErr w:type="spellEnd"/>
      <w:r>
        <w:rPr>
          <w:rFonts w:ascii="Times New Roman" w:hAnsi="Times New Roman"/>
          <w:sz w:val="28"/>
          <w:szCs w:val="28"/>
          <w:vertAlign w:val="subscript"/>
        </w:rPr>
        <w:t xml:space="preserve"> </w:t>
      </w:r>
      <w:r w:rsidRPr="00992F1C">
        <w:rPr>
          <w:rFonts w:ascii="Times New Roman" w:hAnsi="Times New Roman"/>
          <w:sz w:val="28"/>
          <w:szCs w:val="28"/>
        </w:rPr>
        <w:t>–</w:t>
      </w:r>
      <w:r>
        <w:rPr>
          <w:rFonts w:ascii="Times New Roman" w:hAnsi="Times New Roman"/>
          <w:sz w:val="28"/>
          <w:szCs w:val="28"/>
        </w:rPr>
        <w:t xml:space="preserve"> </w:t>
      </w:r>
      <w:r w:rsidRPr="00992F1C">
        <w:rPr>
          <w:rFonts w:ascii="Times New Roman" w:hAnsi="Times New Roman"/>
          <w:sz w:val="28"/>
          <w:szCs w:val="28"/>
        </w:rPr>
        <w:t>i-та складова наявного стабільного фінансування (ASF);</w:t>
      </w:r>
    </w:p>
    <w:p w:rsidR="00AA0DA4" w:rsidRDefault="00992F1C" w:rsidP="00110EE2">
      <w:pPr>
        <w:spacing w:after="0" w:line="360" w:lineRule="auto"/>
        <w:ind w:firstLine="709"/>
        <w:jc w:val="both"/>
        <w:rPr>
          <w:rFonts w:ascii="Times New Roman" w:hAnsi="Times New Roman"/>
          <w:sz w:val="28"/>
          <w:szCs w:val="28"/>
        </w:rPr>
      </w:pPr>
      <w:proofErr w:type="spellStart"/>
      <w:r w:rsidRPr="00992F1C">
        <w:rPr>
          <w:rFonts w:ascii="Times New Roman" w:hAnsi="Times New Roman"/>
          <w:sz w:val="28"/>
          <w:szCs w:val="28"/>
        </w:rPr>
        <w:t>KASF</w:t>
      </w:r>
      <w:r w:rsidRPr="00992F1C">
        <w:rPr>
          <w:rFonts w:ascii="Times New Roman" w:hAnsi="Times New Roman"/>
          <w:sz w:val="28"/>
          <w:szCs w:val="28"/>
          <w:vertAlign w:val="subscript"/>
        </w:rPr>
        <w:t>i</w:t>
      </w:r>
      <w:proofErr w:type="spellEnd"/>
      <w:r>
        <w:rPr>
          <w:rFonts w:ascii="Times New Roman" w:hAnsi="Times New Roman"/>
          <w:sz w:val="28"/>
          <w:szCs w:val="28"/>
        </w:rPr>
        <w:t xml:space="preserve"> </w:t>
      </w:r>
      <w:r w:rsidRPr="00992F1C">
        <w:rPr>
          <w:rFonts w:ascii="Times New Roman" w:hAnsi="Times New Roman"/>
          <w:sz w:val="28"/>
          <w:szCs w:val="28"/>
        </w:rPr>
        <w:t>–</w:t>
      </w:r>
      <w:r>
        <w:rPr>
          <w:rFonts w:ascii="Times New Roman" w:hAnsi="Times New Roman"/>
          <w:sz w:val="28"/>
          <w:szCs w:val="28"/>
        </w:rPr>
        <w:t xml:space="preserve"> коефіцієнт, установлений для i-тої складової наявного </w:t>
      </w:r>
      <w:r w:rsidRPr="00992F1C">
        <w:rPr>
          <w:rFonts w:ascii="Times New Roman" w:hAnsi="Times New Roman"/>
          <w:sz w:val="28"/>
          <w:szCs w:val="28"/>
        </w:rPr>
        <w:t>стабільного фінансування (ASF)</w:t>
      </w:r>
      <w:r>
        <w:rPr>
          <w:rFonts w:ascii="Times New Roman" w:hAnsi="Times New Roman"/>
          <w:sz w:val="28"/>
          <w:szCs w:val="28"/>
        </w:rPr>
        <w:t xml:space="preserve"> </w:t>
      </w:r>
      <w:r w:rsidRPr="00992F1C">
        <w:rPr>
          <w:rFonts w:ascii="Times New Roman" w:hAnsi="Times New Roman"/>
          <w:sz w:val="28"/>
          <w:szCs w:val="28"/>
        </w:rPr>
        <w:t>(Базельський комітет з банківського нагляду)</w:t>
      </w:r>
      <w:r w:rsidR="00861C66" w:rsidRPr="00861C66">
        <w:t xml:space="preserve"> </w:t>
      </w:r>
      <w:r w:rsidR="00861C66" w:rsidRPr="00861C66">
        <w:rPr>
          <w:rFonts w:ascii="Times New Roman" w:hAnsi="Times New Roman"/>
          <w:sz w:val="28"/>
          <w:szCs w:val="28"/>
        </w:rPr>
        <w:t>[</w:t>
      </w:r>
      <w:r w:rsidR="00861C66">
        <w:rPr>
          <w:rFonts w:ascii="Times New Roman" w:hAnsi="Times New Roman"/>
          <w:sz w:val="28"/>
          <w:szCs w:val="28"/>
        </w:rPr>
        <w:t>36</w:t>
      </w:r>
      <w:r w:rsidR="00861C66" w:rsidRPr="00861C66">
        <w:rPr>
          <w:rFonts w:ascii="Times New Roman" w:hAnsi="Times New Roman"/>
          <w:sz w:val="28"/>
          <w:szCs w:val="28"/>
        </w:rPr>
        <w:t>].</w:t>
      </w:r>
    </w:p>
    <w:tbl>
      <w:tblPr>
        <w:tblStyle w:val="a5"/>
        <w:tblW w:w="971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0"/>
        <w:gridCol w:w="852"/>
      </w:tblGrid>
      <w:tr w:rsidR="0027626D" w:rsidTr="0027626D">
        <w:trPr>
          <w:trHeight w:val="1545"/>
          <w:jc w:val="center"/>
        </w:trPr>
        <w:tc>
          <w:tcPr>
            <w:tcW w:w="8860" w:type="dxa"/>
          </w:tcPr>
          <w:p w:rsidR="0027626D" w:rsidRDefault="0027626D" w:rsidP="0027626D">
            <w:pPr>
              <w:spacing w:line="360" w:lineRule="auto"/>
              <w:ind w:firstLine="709"/>
              <w:jc w:val="both"/>
              <w:rPr>
                <w:rFonts w:ascii="Times New Roman" w:hAnsi="Times New Roman"/>
                <w:sz w:val="28"/>
                <w:szCs w:val="28"/>
              </w:rPr>
            </w:pPr>
            <m:oMathPara>
              <m:oMath>
                <m:r>
                  <w:rPr>
                    <w:rFonts w:ascii="Cambria Math" w:hAnsi="Cambria Math"/>
                    <w:sz w:val="28"/>
                    <w:szCs w:val="28"/>
                  </w:rPr>
                  <m:t xml:space="preserve">RSF= </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RSF</m:t>
                        </m:r>
                      </m:e>
                      <m:sub>
                        <m:r>
                          <w:rPr>
                            <w:rFonts w:ascii="Cambria Math" w:hAnsi="Cambria Math"/>
                            <w:sz w:val="28"/>
                            <w:szCs w:val="28"/>
                          </w:rPr>
                          <m:t xml:space="preserve">i  </m:t>
                        </m:r>
                      </m:sub>
                    </m:sSub>
                    <m:r>
                      <w:rPr>
                        <w:rFonts w:ascii="Cambria Math" w:hAnsi="Cambria Math"/>
                        <w:sz w:val="28"/>
                        <w:szCs w:val="28"/>
                      </w:rPr>
                      <m:t xml:space="preserve">x </m:t>
                    </m:r>
                    <m:sSub>
                      <m:sSubPr>
                        <m:ctrlPr>
                          <w:rPr>
                            <w:rFonts w:ascii="Cambria Math" w:hAnsi="Cambria Math"/>
                            <w:i/>
                            <w:sz w:val="28"/>
                            <w:szCs w:val="28"/>
                          </w:rPr>
                        </m:ctrlPr>
                      </m:sSubPr>
                      <m:e>
                        <m:r>
                          <w:rPr>
                            <w:rFonts w:ascii="Cambria Math" w:hAnsi="Cambria Math"/>
                            <w:sz w:val="28"/>
                            <w:szCs w:val="28"/>
                          </w:rPr>
                          <m:t>K</m:t>
                        </m:r>
                      </m:e>
                      <m:sub>
                        <m:sSub>
                          <m:sSubPr>
                            <m:ctrlPr>
                              <w:rPr>
                                <w:rFonts w:ascii="Cambria Math" w:hAnsi="Cambria Math"/>
                                <w:i/>
                                <w:sz w:val="28"/>
                                <w:szCs w:val="28"/>
                              </w:rPr>
                            </m:ctrlPr>
                          </m:sSubPr>
                          <m:e>
                            <m:r>
                              <w:rPr>
                                <w:rFonts w:ascii="Cambria Math" w:hAnsi="Cambria Math"/>
                                <w:sz w:val="28"/>
                                <w:szCs w:val="28"/>
                              </w:rPr>
                              <m:t>RSF</m:t>
                            </m:r>
                          </m:e>
                          <m:sub>
                            <m:r>
                              <w:rPr>
                                <w:rFonts w:ascii="Cambria Math" w:hAnsi="Cambria Math"/>
                                <w:sz w:val="28"/>
                                <w:szCs w:val="28"/>
                              </w:rPr>
                              <m:t>I</m:t>
                            </m:r>
                          </m:sub>
                        </m:sSub>
                      </m:sub>
                    </m:sSub>
                  </m:e>
                </m:nary>
                <m:r>
                  <w:rPr>
                    <w:rFonts w:ascii="Cambria Math" w:hAnsi="Cambria Math"/>
                    <w:sz w:val="28"/>
                    <w:szCs w:val="28"/>
                  </w:rPr>
                  <m:t>)</m:t>
                </m:r>
              </m:oMath>
            </m:oMathPara>
          </w:p>
        </w:tc>
        <w:tc>
          <w:tcPr>
            <w:tcW w:w="852" w:type="dxa"/>
            <w:vAlign w:val="center"/>
          </w:tcPr>
          <w:p w:rsidR="0027626D" w:rsidRDefault="0027626D" w:rsidP="0027626D">
            <w:pPr>
              <w:spacing w:line="360" w:lineRule="auto"/>
              <w:jc w:val="right"/>
              <w:rPr>
                <w:rFonts w:ascii="Times New Roman" w:hAnsi="Times New Roman"/>
                <w:sz w:val="28"/>
                <w:szCs w:val="28"/>
              </w:rPr>
            </w:pPr>
            <w:r>
              <w:rPr>
                <w:rFonts w:ascii="Times New Roman" w:hAnsi="Times New Roman"/>
                <w:sz w:val="28"/>
                <w:szCs w:val="28"/>
              </w:rPr>
              <w:t>(1.4)</w:t>
            </w:r>
          </w:p>
        </w:tc>
      </w:tr>
    </w:tbl>
    <w:p w:rsidR="000E3FE3" w:rsidRDefault="000E3FE3" w:rsidP="00110EE2">
      <w:pPr>
        <w:spacing w:after="0" w:line="360" w:lineRule="auto"/>
        <w:ind w:firstLine="709"/>
        <w:jc w:val="both"/>
        <w:rPr>
          <w:rFonts w:ascii="Times New Roman" w:hAnsi="Times New Roman"/>
          <w:sz w:val="28"/>
          <w:szCs w:val="28"/>
        </w:rPr>
      </w:pPr>
      <w:r w:rsidRPr="000E3FE3">
        <w:rPr>
          <w:rFonts w:ascii="Times New Roman" w:hAnsi="Times New Roman"/>
          <w:sz w:val="28"/>
          <w:szCs w:val="28"/>
        </w:rPr>
        <w:t>де n – кількість складових;</w:t>
      </w:r>
    </w:p>
    <w:p w:rsidR="005F11E4" w:rsidRDefault="000E3FE3" w:rsidP="00110EE2">
      <w:pPr>
        <w:spacing w:after="0" w:line="360" w:lineRule="auto"/>
        <w:ind w:firstLine="709"/>
        <w:jc w:val="both"/>
        <w:rPr>
          <w:rFonts w:ascii="Times New Roman" w:hAnsi="Times New Roman"/>
          <w:sz w:val="28"/>
          <w:szCs w:val="28"/>
        </w:rPr>
      </w:pPr>
      <w:proofErr w:type="spellStart"/>
      <w:r w:rsidRPr="000E3FE3">
        <w:rPr>
          <w:rFonts w:ascii="Times New Roman" w:hAnsi="Times New Roman"/>
          <w:sz w:val="28"/>
          <w:szCs w:val="28"/>
        </w:rPr>
        <w:t>RSF</w:t>
      </w:r>
      <w:r w:rsidRPr="005F11E4">
        <w:rPr>
          <w:rFonts w:ascii="Times New Roman" w:hAnsi="Times New Roman"/>
          <w:sz w:val="28"/>
          <w:szCs w:val="28"/>
          <w:vertAlign w:val="subscript"/>
        </w:rPr>
        <w:t>i</w:t>
      </w:r>
      <w:proofErr w:type="spellEnd"/>
      <w:r w:rsidR="005F11E4" w:rsidRPr="005F11E4">
        <w:rPr>
          <w:rFonts w:ascii="Times New Roman" w:hAnsi="Times New Roman"/>
          <w:sz w:val="28"/>
          <w:szCs w:val="28"/>
        </w:rPr>
        <w:t xml:space="preserve"> </w:t>
      </w:r>
      <w:r w:rsidRPr="000E3FE3">
        <w:rPr>
          <w:rFonts w:ascii="Times New Roman" w:hAnsi="Times New Roman"/>
          <w:sz w:val="28"/>
          <w:szCs w:val="28"/>
        </w:rPr>
        <w:t>–</w:t>
      </w:r>
      <w:r w:rsidR="005F11E4" w:rsidRPr="005F11E4">
        <w:rPr>
          <w:rFonts w:ascii="Times New Roman" w:hAnsi="Times New Roman"/>
          <w:sz w:val="28"/>
          <w:szCs w:val="28"/>
        </w:rPr>
        <w:t xml:space="preserve"> </w:t>
      </w:r>
      <w:r w:rsidR="005F11E4">
        <w:rPr>
          <w:rFonts w:ascii="Times New Roman" w:hAnsi="Times New Roman"/>
          <w:sz w:val="28"/>
          <w:szCs w:val="28"/>
        </w:rPr>
        <w:t>i</w:t>
      </w:r>
      <w:r w:rsidRPr="000E3FE3">
        <w:rPr>
          <w:rFonts w:ascii="Times New Roman" w:hAnsi="Times New Roman"/>
          <w:sz w:val="28"/>
          <w:szCs w:val="28"/>
        </w:rPr>
        <w:t>-та складова необхідного стабільного фінансування (RSF);</w:t>
      </w:r>
    </w:p>
    <w:p w:rsidR="000E3FE3" w:rsidRDefault="000E3FE3" w:rsidP="00110EE2">
      <w:pPr>
        <w:spacing w:after="0" w:line="360" w:lineRule="auto"/>
        <w:ind w:firstLine="709"/>
        <w:jc w:val="both"/>
        <w:rPr>
          <w:rFonts w:ascii="Times New Roman" w:hAnsi="Times New Roman"/>
          <w:sz w:val="28"/>
          <w:szCs w:val="28"/>
        </w:rPr>
      </w:pPr>
      <w:proofErr w:type="spellStart"/>
      <w:r w:rsidRPr="000E3FE3">
        <w:rPr>
          <w:rFonts w:ascii="Times New Roman" w:hAnsi="Times New Roman"/>
          <w:sz w:val="28"/>
          <w:szCs w:val="28"/>
        </w:rPr>
        <w:t>KRSF</w:t>
      </w:r>
      <w:r w:rsidRPr="005F11E4">
        <w:rPr>
          <w:rFonts w:ascii="Times New Roman" w:hAnsi="Times New Roman"/>
          <w:sz w:val="28"/>
          <w:szCs w:val="28"/>
          <w:vertAlign w:val="subscript"/>
        </w:rPr>
        <w:t>i</w:t>
      </w:r>
      <w:proofErr w:type="spellEnd"/>
      <w:r w:rsidR="005F11E4" w:rsidRPr="005F11E4">
        <w:rPr>
          <w:rFonts w:ascii="Times New Roman" w:hAnsi="Times New Roman"/>
          <w:sz w:val="28"/>
          <w:szCs w:val="28"/>
        </w:rPr>
        <w:t xml:space="preserve"> </w:t>
      </w:r>
      <w:r w:rsidRPr="000E3FE3">
        <w:rPr>
          <w:rFonts w:ascii="Times New Roman" w:hAnsi="Times New Roman"/>
          <w:sz w:val="28"/>
          <w:szCs w:val="28"/>
        </w:rPr>
        <w:t>–</w:t>
      </w:r>
      <w:r w:rsidR="005F11E4" w:rsidRPr="005F11E4">
        <w:rPr>
          <w:rFonts w:ascii="Times New Roman" w:hAnsi="Times New Roman"/>
          <w:sz w:val="28"/>
          <w:szCs w:val="28"/>
        </w:rPr>
        <w:t xml:space="preserve"> </w:t>
      </w:r>
      <w:r w:rsidR="007A7574">
        <w:rPr>
          <w:rFonts w:ascii="Times New Roman" w:hAnsi="Times New Roman"/>
          <w:sz w:val="28"/>
          <w:szCs w:val="28"/>
        </w:rPr>
        <w:t xml:space="preserve">коефіцієнт, установлений для i-тої складової необхідного </w:t>
      </w:r>
      <w:r w:rsidRPr="000E3FE3">
        <w:rPr>
          <w:rFonts w:ascii="Times New Roman" w:hAnsi="Times New Roman"/>
          <w:sz w:val="28"/>
          <w:szCs w:val="28"/>
        </w:rPr>
        <w:t>стабільного фінансування (RSF)(Базельський комітет з банківського нагляду)</w:t>
      </w:r>
      <w:r w:rsidR="00861C66" w:rsidRPr="00861C66">
        <w:t xml:space="preserve"> </w:t>
      </w:r>
      <w:r w:rsidR="00861C66" w:rsidRPr="00861C66">
        <w:rPr>
          <w:rFonts w:ascii="Times New Roman" w:hAnsi="Times New Roman"/>
          <w:sz w:val="28"/>
          <w:szCs w:val="28"/>
        </w:rPr>
        <w:t>[36].</w:t>
      </w:r>
    </w:p>
    <w:p w:rsidR="0027626D" w:rsidRDefault="00D62579" w:rsidP="00AA39AE">
      <w:pPr>
        <w:spacing w:after="0" w:line="360" w:lineRule="auto"/>
        <w:ind w:firstLine="709"/>
        <w:jc w:val="both"/>
        <w:rPr>
          <w:rFonts w:ascii="Times New Roman" w:hAnsi="Times New Roman"/>
          <w:sz w:val="28"/>
          <w:szCs w:val="28"/>
        </w:rPr>
      </w:pPr>
      <w:r w:rsidRPr="00D62579">
        <w:rPr>
          <w:rFonts w:ascii="Times New Roman" w:hAnsi="Times New Roman"/>
          <w:sz w:val="28"/>
          <w:szCs w:val="28"/>
        </w:rPr>
        <w:t>Банки можуть самостійно розробляти відповідні групи внутрішньобанківських коефіцієнтів, відповідно до специфіки своєї діяльності. Серед коефіцієнтів ліквідності найбільш поширеними є коефіцієнти, які представлені у табл. 1.7.</w:t>
      </w:r>
    </w:p>
    <w:p w:rsidR="0027626D" w:rsidRDefault="0027626D">
      <w:pPr>
        <w:spacing w:line="259" w:lineRule="auto"/>
        <w:rPr>
          <w:rFonts w:ascii="Times New Roman" w:hAnsi="Times New Roman"/>
          <w:sz w:val="28"/>
          <w:szCs w:val="28"/>
        </w:rPr>
      </w:pPr>
      <w:r>
        <w:rPr>
          <w:rFonts w:ascii="Times New Roman" w:hAnsi="Times New Roman"/>
          <w:sz w:val="28"/>
          <w:szCs w:val="28"/>
        </w:rPr>
        <w:br w:type="page"/>
      </w:r>
    </w:p>
    <w:p w:rsidR="00D62579" w:rsidRDefault="0027626D" w:rsidP="0027626D">
      <w:pPr>
        <w:spacing w:after="0" w:line="360" w:lineRule="auto"/>
        <w:ind w:firstLine="709"/>
        <w:jc w:val="right"/>
        <w:rPr>
          <w:rFonts w:ascii="Times New Roman" w:hAnsi="Times New Roman"/>
          <w:sz w:val="28"/>
          <w:szCs w:val="28"/>
        </w:rPr>
      </w:pPr>
      <w:r>
        <w:rPr>
          <w:rFonts w:ascii="Times New Roman" w:hAnsi="Times New Roman"/>
          <w:sz w:val="28"/>
          <w:szCs w:val="28"/>
        </w:rPr>
        <w:lastRenderedPageBreak/>
        <w:t>Таблиця 1.7</w:t>
      </w:r>
    </w:p>
    <w:p w:rsidR="00D62579" w:rsidRDefault="00880440" w:rsidP="0027626D">
      <w:pPr>
        <w:spacing w:after="0" w:line="360" w:lineRule="auto"/>
        <w:ind w:firstLine="709"/>
        <w:jc w:val="center"/>
        <w:rPr>
          <w:rFonts w:ascii="Times New Roman" w:hAnsi="Times New Roman"/>
          <w:sz w:val="28"/>
          <w:szCs w:val="28"/>
        </w:rPr>
      </w:pPr>
      <w:r>
        <w:rPr>
          <w:rFonts w:ascii="Times New Roman" w:hAnsi="Times New Roman"/>
          <w:sz w:val="28"/>
          <w:szCs w:val="28"/>
        </w:rPr>
        <w:t>Н</w:t>
      </w:r>
      <w:r w:rsidRPr="00880440">
        <w:rPr>
          <w:rFonts w:ascii="Times New Roman" w:hAnsi="Times New Roman"/>
          <w:sz w:val="28"/>
          <w:szCs w:val="28"/>
        </w:rPr>
        <w:t>айбільш поширен</w:t>
      </w:r>
      <w:r>
        <w:rPr>
          <w:rFonts w:ascii="Times New Roman" w:hAnsi="Times New Roman"/>
          <w:sz w:val="28"/>
          <w:szCs w:val="28"/>
        </w:rPr>
        <w:t>і коефіцієнти ліквідності комерційного банку</w:t>
      </w:r>
    </w:p>
    <w:tbl>
      <w:tblPr>
        <w:tblStyle w:val="2"/>
        <w:tblW w:w="0" w:type="auto"/>
        <w:jc w:val="center"/>
        <w:tblInd w:w="0" w:type="dxa"/>
        <w:tblLook w:val="04A0" w:firstRow="1" w:lastRow="0" w:firstColumn="1" w:lastColumn="0" w:noHBand="0" w:noVBand="1"/>
      </w:tblPr>
      <w:tblGrid>
        <w:gridCol w:w="3114"/>
        <w:gridCol w:w="1417"/>
        <w:gridCol w:w="1701"/>
        <w:gridCol w:w="3397"/>
      </w:tblGrid>
      <w:tr w:rsidR="00D62579" w:rsidRPr="00D62579" w:rsidTr="00810F5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D62579" w:rsidRPr="00C33E44" w:rsidRDefault="00D62579" w:rsidP="00D62579">
            <w:pPr>
              <w:spacing w:line="240" w:lineRule="auto"/>
              <w:jc w:val="center"/>
              <w:rPr>
                <w:rFonts w:ascii="Times New Roman" w:hAnsi="Times New Roman"/>
                <w:b/>
              </w:rPr>
            </w:pPr>
            <w:r w:rsidRPr="00C33E44">
              <w:rPr>
                <w:rFonts w:ascii="Times New Roman" w:hAnsi="Times New Roman"/>
                <w:b/>
              </w:rPr>
              <w:t>Найменування показника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2579" w:rsidRPr="00C33E44" w:rsidRDefault="00D62579" w:rsidP="00D62579">
            <w:pPr>
              <w:spacing w:line="240" w:lineRule="auto"/>
              <w:jc w:val="center"/>
              <w:rPr>
                <w:rFonts w:ascii="Times New Roman" w:hAnsi="Times New Roman"/>
                <w:b/>
              </w:rPr>
            </w:pPr>
            <w:r w:rsidRPr="00C33E44">
              <w:rPr>
                <w:rFonts w:ascii="Times New Roman" w:hAnsi="Times New Roman"/>
                <w:b/>
              </w:rPr>
              <w:t>Позначення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2579" w:rsidRPr="00C33E44" w:rsidRDefault="00D62579" w:rsidP="00D62579">
            <w:pPr>
              <w:spacing w:line="240" w:lineRule="auto"/>
              <w:jc w:val="center"/>
              <w:rPr>
                <w:rFonts w:ascii="Times New Roman" w:hAnsi="Times New Roman"/>
                <w:b/>
              </w:rPr>
            </w:pPr>
            <w:r w:rsidRPr="00C33E44">
              <w:rPr>
                <w:rFonts w:ascii="Times New Roman" w:hAnsi="Times New Roman"/>
                <w:b/>
              </w:rPr>
              <w:t>Нормативне значення</w:t>
            </w:r>
          </w:p>
        </w:tc>
        <w:tc>
          <w:tcPr>
            <w:tcW w:w="3397" w:type="dxa"/>
            <w:tcBorders>
              <w:top w:val="single" w:sz="4" w:space="0" w:color="auto"/>
              <w:left w:val="single" w:sz="4" w:space="0" w:color="auto"/>
              <w:bottom w:val="single" w:sz="4" w:space="0" w:color="auto"/>
              <w:right w:val="single" w:sz="4" w:space="0" w:color="auto"/>
            </w:tcBorders>
            <w:vAlign w:val="center"/>
            <w:hideMark/>
          </w:tcPr>
          <w:p w:rsidR="00D62579" w:rsidRPr="00C33E44" w:rsidRDefault="00D62579" w:rsidP="00D62579">
            <w:pPr>
              <w:spacing w:line="240" w:lineRule="auto"/>
              <w:jc w:val="center"/>
              <w:rPr>
                <w:rFonts w:ascii="Times New Roman" w:hAnsi="Times New Roman"/>
                <w:b/>
              </w:rPr>
            </w:pPr>
            <w:r w:rsidRPr="00C33E44">
              <w:rPr>
                <w:rFonts w:ascii="Times New Roman" w:hAnsi="Times New Roman"/>
                <w:b/>
              </w:rPr>
              <w:t>Алгоритм розрахунку</w:t>
            </w:r>
          </w:p>
        </w:tc>
      </w:tr>
      <w:tr w:rsidR="001C6FA6" w:rsidRPr="00F821E3" w:rsidTr="00810F54">
        <w:trPr>
          <w:trHeight w:val="1494"/>
          <w:jc w:val="center"/>
        </w:trPr>
        <w:tc>
          <w:tcPr>
            <w:tcW w:w="3114" w:type="dxa"/>
            <w:tcBorders>
              <w:top w:val="single" w:sz="4" w:space="0" w:color="auto"/>
              <w:left w:val="single" w:sz="4" w:space="0" w:color="auto"/>
              <w:bottom w:val="single" w:sz="4" w:space="0" w:color="auto"/>
              <w:right w:val="single" w:sz="4" w:space="0" w:color="auto"/>
            </w:tcBorders>
            <w:vAlign w:val="center"/>
          </w:tcPr>
          <w:p w:rsidR="001C6FA6" w:rsidRPr="00C33E44" w:rsidRDefault="001C6FA6" w:rsidP="001C6FA6">
            <w:pPr>
              <w:spacing w:line="240" w:lineRule="auto"/>
              <w:rPr>
                <w:rFonts w:ascii="Times New Roman" w:hAnsi="Times New Roman"/>
                <w:b/>
              </w:rPr>
            </w:pPr>
            <w:r w:rsidRPr="00C33E44">
              <w:rPr>
                <w:rFonts w:ascii="Times New Roman" w:hAnsi="Times New Roman"/>
              </w:rPr>
              <w:t>Коефіцієнт миттєвої ліквідності</w:t>
            </w:r>
          </w:p>
        </w:tc>
        <w:tc>
          <w:tcPr>
            <w:tcW w:w="1417" w:type="dxa"/>
            <w:tcBorders>
              <w:top w:val="single" w:sz="4" w:space="0" w:color="auto"/>
              <w:left w:val="single" w:sz="4" w:space="0" w:color="auto"/>
              <w:bottom w:val="single" w:sz="4" w:space="0" w:color="auto"/>
              <w:right w:val="single" w:sz="4" w:space="0" w:color="auto"/>
            </w:tcBorders>
            <w:vAlign w:val="center"/>
          </w:tcPr>
          <w:p w:rsidR="001C6FA6" w:rsidRPr="00C33E44" w:rsidRDefault="001C6FA6" w:rsidP="00D62579">
            <w:pPr>
              <w:spacing w:line="240" w:lineRule="auto"/>
              <w:jc w:val="center"/>
              <w:rPr>
                <w:rFonts w:ascii="Times New Roman" w:hAnsi="Times New Roman"/>
                <w:vertAlign w:val="subscript"/>
              </w:rPr>
            </w:pPr>
            <w:proofErr w:type="spellStart"/>
            <w:r w:rsidRPr="00C33E44">
              <w:rPr>
                <w:rFonts w:ascii="Times New Roman" w:hAnsi="Times New Roman"/>
              </w:rPr>
              <w:t>К</w:t>
            </w:r>
            <w:r w:rsidRPr="00C33E44">
              <w:rPr>
                <w:rFonts w:ascii="Times New Roman" w:hAnsi="Times New Roman"/>
                <w:vertAlign w:val="subscript"/>
              </w:rPr>
              <w:t>мл</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1C6FA6" w:rsidRPr="00C33E44" w:rsidRDefault="001C6FA6" w:rsidP="00D62579">
            <w:pPr>
              <w:spacing w:line="240" w:lineRule="auto"/>
              <w:jc w:val="center"/>
              <w:rPr>
                <w:rFonts w:ascii="Times New Roman" w:hAnsi="Times New Roman"/>
                <w:b/>
              </w:rPr>
            </w:pPr>
            <w:proofErr w:type="spellStart"/>
            <w:r w:rsidRPr="00C33E44">
              <w:rPr>
                <w:rFonts w:ascii="Times New Roman" w:hAnsi="Times New Roman"/>
              </w:rPr>
              <w:t>К</w:t>
            </w:r>
            <w:r w:rsidRPr="00C33E44">
              <w:rPr>
                <w:rFonts w:ascii="Times New Roman" w:hAnsi="Times New Roman"/>
                <w:vertAlign w:val="subscript"/>
              </w:rPr>
              <w:t>мл</w:t>
            </w:r>
            <w:proofErr w:type="spellEnd"/>
            <w:r w:rsidRPr="00C33E44">
              <w:rPr>
                <w:rFonts w:ascii="Times New Roman" w:hAnsi="Times New Roman"/>
                <w:vertAlign w:val="subscript"/>
              </w:rPr>
              <w:t xml:space="preserve"> </w:t>
            </w:r>
            <w:r w:rsidRPr="00C33E44">
              <w:rPr>
                <w:rFonts w:ascii="Times New Roman" w:hAnsi="Times New Roman"/>
              </w:rPr>
              <w:t>&gt; 20 %</w:t>
            </w:r>
          </w:p>
        </w:tc>
        <w:tc>
          <w:tcPr>
            <w:tcW w:w="3397" w:type="dxa"/>
            <w:tcBorders>
              <w:top w:val="single" w:sz="4" w:space="0" w:color="auto"/>
              <w:left w:val="single" w:sz="4" w:space="0" w:color="auto"/>
              <w:bottom w:val="single" w:sz="4" w:space="0" w:color="auto"/>
              <w:right w:val="single" w:sz="4" w:space="0" w:color="auto"/>
            </w:tcBorders>
            <w:vAlign w:val="center"/>
          </w:tcPr>
          <w:p w:rsidR="001C6FA6" w:rsidRPr="00C33E44" w:rsidRDefault="008377E3" w:rsidP="00F02483">
            <w:pPr>
              <w:spacing w:line="240" w:lineRule="auto"/>
              <w:jc w:val="center"/>
              <w:rPr>
                <w:rFonts w:ascii="Times New Roman" w:hAnsi="Times New Roman"/>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rPr>
                      <m:t>К</m:t>
                    </m:r>
                  </m:e>
                  <m:sub>
                    <m:r>
                      <m:rPr>
                        <m:sty m:val="bi"/>
                      </m:rPr>
                      <w:rPr>
                        <w:rFonts w:ascii="Cambria Math" w:hAnsi="Cambria Math"/>
                        <w:sz w:val="24"/>
                        <w:szCs w:val="24"/>
                      </w:rPr>
                      <m:t>мл</m:t>
                    </m:r>
                  </m:sub>
                </m:sSub>
                <m:r>
                  <m:rPr>
                    <m:sty m:val="bi"/>
                  </m:rPr>
                  <w:rPr>
                    <w:rFonts w:ascii="Cambria Math" w:hAnsi="Cambria Math"/>
                    <w:sz w:val="24"/>
                    <w:szCs w:val="24"/>
                  </w:rPr>
                  <m:t xml:space="preserve">= </m:t>
                </m:r>
                <m:f>
                  <m:fPr>
                    <m:ctrlPr>
                      <w:rPr>
                        <w:rFonts w:ascii="Cambria Math" w:hAnsi="Cambria Math"/>
                        <w:b/>
                        <w:i/>
                        <w:sz w:val="24"/>
                        <w:szCs w:val="24"/>
                      </w:rPr>
                    </m:ctrlPr>
                  </m:fPr>
                  <m:num>
                    <m:sSub>
                      <m:sSubPr>
                        <m:ctrlPr>
                          <w:rPr>
                            <w:rFonts w:ascii="Cambria Math" w:hAnsi="Cambria Math"/>
                            <w:b/>
                            <w:i/>
                            <w:sz w:val="24"/>
                            <w:szCs w:val="24"/>
                          </w:rPr>
                        </m:ctrlPr>
                      </m:sSubPr>
                      <m:e>
                        <m:r>
                          <m:rPr>
                            <m:sty m:val="bi"/>
                          </m:rPr>
                          <w:rPr>
                            <w:rFonts w:ascii="Cambria Math" w:hAnsi="Cambria Math"/>
                            <w:sz w:val="24"/>
                            <w:szCs w:val="24"/>
                          </w:rPr>
                          <m:t>К</m:t>
                        </m:r>
                      </m:e>
                      <m:sub>
                        <m:r>
                          <m:rPr>
                            <m:sty m:val="bi"/>
                          </m:rPr>
                          <w:rPr>
                            <w:rFonts w:ascii="Cambria Math" w:hAnsi="Cambria Math"/>
                            <w:sz w:val="24"/>
                            <w:szCs w:val="24"/>
                          </w:rPr>
                          <m:t>к</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К</m:t>
                        </m:r>
                      </m:e>
                      <m:sub>
                        <m:r>
                          <m:rPr>
                            <m:sty m:val="bi"/>
                          </m:rPr>
                          <w:rPr>
                            <w:rFonts w:ascii="Cambria Math" w:hAnsi="Cambria Math"/>
                            <w:sz w:val="24"/>
                            <w:szCs w:val="24"/>
                          </w:rPr>
                          <m:t>кр</m:t>
                        </m:r>
                      </m:sub>
                    </m:sSub>
                  </m:num>
                  <m:den>
                    <m:r>
                      <m:rPr>
                        <m:sty m:val="bi"/>
                      </m:rPr>
                      <w:rPr>
                        <w:rFonts w:ascii="Cambria Math" w:hAnsi="Cambria Math"/>
                        <w:sz w:val="24"/>
                        <w:szCs w:val="24"/>
                      </w:rPr>
                      <m:t>Рз+Пз</m:t>
                    </m:r>
                  </m:den>
                </m:f>
                <m:r>
                  <m:rPr>
                    <m:sty m:val="bi"/>
                  </m:rPr>
                  <w:rPr>
                    <w:rFonts w:ascii="Cambria Math" w:hAnsi="Cambria Math"/>
                    <w:sz w:val="24"/>
                    <w:szCs w:val="24"/>
                  </w:rPr>
                  <m:t xml:space="preserve"> х </m:t>
                </m:r>
                <m:r>
                  <m:rPr>
                    <m:sty m:val="p"/>
                  </m:rPr>
                  <w:rPr>
                    <w:rFonts w:ascii="Cambria Math" w:hAnsi="Cambria Math"/>
                    <w:sz w:val="24"/>
                    <w:szCs w:val="24"/>
                  </w:rPr>
                  <m:t>100%</m:t>
                </m:r>
              </m:oMath>
            </m:oMathPara>
          </w:p>
          <w:p w:rsidR="002B553A" w:rsidRPr="00C33E44" w:rsidRDefault="002B553A" w:rsidP="002B553A">
            <w:pPr>
              <w:spacing w:line="240" w:lineRule="auto"/>
              <w:rPr>
                <w:rFonts w:ascii="Times New Roman" w:hAnsi="Times New Roman"/>
              </w:rPr>
            </w:pPr>
            <w:proofErr w:type="spellStart"/>
            <w:r w:rsidRPr="00C33E44">
              <w:rPr>
                <w:rFonts w:ascii="Times New Roman" w:hAnsi="Times New Roman"/>
              </w:rPr>
              <w:t>К</w:t>
            </w:r>
            <w:r w:rsidRPr="00C33E44">
              <w:rPr>
                <w:rFonts w:ascii="Times New Roman" w:hAnsi="Times New Roman"/>
                <w:vertAlign w:val="subscript"/>
              </w:rPr>
              <w:t>кр</w:t>
            </w:r>
            <w:proofErr w:type="spellEnd"/>
            <w:r w:rsidRPr="00C33E44">
              <w:rPr>
                <w:rFonts w:ascii="Times New Roman" w:hAnsi="Times New Roman"/>
              </w:rPr>
              <w:t xml:space="preserve"> - сума коштів на коррахунках;</w:t>
            </w:r>
          </w:p>
          <w:p w:rsidR="002B553A" w:rsidRPr="00C33E44" w:rsidRDefault="002B553A" w:rsidP="002B553A">
            <w:pPr>
              <w:spacing w:line="240" w:lineRule="auto"/>
              <w:rPr>
                <w:rFonts w:ascii="Times New Roman" w:hAnsi="Times New Roman"/>
              </w:rPr>
            </w:pPr>
            <w:proofErr w:type="spellStart"/>
            <w:r w:rsidRPr="00C33E44">
              <w:rPr>
                <w:rFonts w:ascii="Times New Roman" w:hAnsi="Times New Roman"/>
              </w:rPr>
              <w:t>К</w:t>
            </w:r>
            <w:r w:rsidRPr="00C33E44">
              <w:rPr>
                <w:rFonts w:ascii="Times New Roman" w:hAnsi="Times New Roman"/>
                <w:vertAlign w:val="subscript"/>
              </w:rPr>
              <w:t>к</w:t>
            </w:r>
            <w:proofErr w:type="spellEnd"/>
            <w:r w:rsidRPr="00C33E44">
              <w:rPr>
                <w:rFonts w:ascii="Times New Roman" w:hAnsi="Times New Roman"/>
              </w:rPr>
              <w:t xml:space="preserve"> - сума коштів у касі;</w:t>
            </w:r>
          </w:p>
          <w:p w:rsidR="002B553A" w:rsidRPr="00C33E44" w:rsidRDefault="002B553A" w:rsidP="002B553A">
            <w:pPr>
              <w:spacing w:line="240" w:lineRule="auto"/>
              <w:rPr>
                <w:rFonts w:ascii="Times New Roman" w:hAnsi="Times New Roman"/>
              </w:rPr>
            </w:pPr>
            <w:proofErr w:type="spellStart"/>
            <w:r w:rsidRPr="00C33E44">
              <w:rPr>
                <w:rFonts w:ascii="Times New Roman" w:hAnsi="Times New Roman"/>
              </w:rPr>
              <w:t>Р</w:t>
            </w:r>
            <w:r w:rsidRPr="00C33E44">
              <w:rPr>
                <w:rFonts w:ascii="Times New Roman" w:hAnsi="Times New Roman"/>
                <w:vertAlign w:val="subscript"/>
              </w:rPr>
              <w:t>з</w:t>
            </w:r>
            <w:proofErr w:type="spellEnd"/>
            <w:r w:rsidRPr="00C33E44">
              <w:rPr>
                <w:rFonts w:ascii="Times New Roman" w:hAnsi="Times New Roman"/>
              </w:rPr>
              <w:t xml:space="preserve"> - розрахункові зобов’язання;</w:t>
            </w:r>
          </w:p>
          <w:p w:rsidR="002B553A" w:rsidRPr="00C33E44" w:rsidRDefault="002B553A" w:rsidP="002B553A">
            <w:pPr>
              <w:spacing w:line="240" w:lineRule="auto"/>
              <w:rPr>
                <w:rFonts w:ascii="Times New Roman" w:hAnsi="Times New Roman"/>
              </w:rPr>
            </w:pPr>
            <w:proofErr w:type="spellStart"/>
            <w:r w:rsidRPr="00C33E44">
              <w:rPr>
                <w:rFonts w:ascii="Times New Roman" w:hAnsi="Times New Roman"/>
              </w:rPr>
              <w:t>Пз</w:t>
            </w:r>
            <w:proofErr w:type="spellEnd"/>
            <w:r w:rsidRPr="00C33E44">
              <w:rPr>
                <w:rFonts w:ascii="Times New Roman" w:hAnsi="Times New Roman"/>
              </w:rPr>
              <w:t xml:space="preserve"> - поточні зобов’язання</w:t>
            </w:r>
          </w:p>
        </w:tc>
      </w:tr>
      <w:tr w:rsidR="00C06595" w:rsidRPr="00F821E3" w:rsidTr="00810F54">
        <w:trPr>
          <w:trHeight w:val="906"/>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C06595" w:rsidP="00042D5E">
            <w:pPr>
              <w:spacing w:line="240" w:lineRule="auto"/>
              <w:jc w:val="both"/>
              <w:rPr>
                <w:rFonts w:ascii="Times New Roman" w:hAnsi="Times New Roman"/>
              </w:rPr>
            </w:pPr>
            <w:r w:rsidRPr="00C33E44">
              <w:rPr>
                <w:rFonts w:ascii="Times New Roman" w:hAnsi="Times New Roman"/>
              </w:rPr>
              <w:t xml:space="preserve">Коефіцієнт загальної ліквідності </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C06595" w:rsidP="00042D5E">
            <w:pPr>
              <w:spacing w:line="240" w:lineRule="auto"/>
              <w:jc w:val="center"/>
              <w:rPr>
                <w:rFonts w:ascii="Times New Roman" w:hAnsi="Times New Roman"/>
                <w:sz w:val="28"/>
                <w:szCs w:val="28"/>
              </w:rPr>
            </w:pPr>
            <w:proofErr w:type="spellStart"/>
            <w:r w:rsidRPr="00C33E44">
              <w:rPr>
                <w:rFonts w:ascii="Times New Roman" w:hAnsi="Times New Roman"/>
                <w:sz w:val="28"/>
                <w:szCs w:val="28"/>
              </w:rPr>
              <w:t>К</w:t>
            </w:r>
            <w:r w:rsidRPr="00C33E44">
              <w:rPr>
                <w:rFonts w:ascii="Times New Roman" w:hAnsi="Times New Roman"/>
                <w:sz w:val="28"/>
                <w:szCs w:val="28"/>
                <w:vertAlign w:val="subscript"/>
              </w:rPr>
              <w:t>зл</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C06595" w:rsidP="00042D5E">
            <w:pPr>
              <w:spacing w:line="240" w:lineRule="auto"/>
              <w:jc w:val="center"/>
              <w:rPr>
                <w:rFonts w:ascii="Times New Roman" w:hAnsi="Times New Roman"/>
              </w:rPr>
            </w:pPr>
            <w:proofErr w:type="spellStart"/>
            <w:r w:rsidRPr="00C33E44">
              <w:rPr>
                <w:rFonts w:ascii="Times New Roman" w:hAnsi="Times New Roman"/>
              </w:rPr>
              <w:t>K</w:t>
            </w:r>
            <w:r w:rsidRPr="00C33E44">
              <w:rPr>
                <w:rFonts w:ascii="Times New Roman" w:hAnsi="Times New Roman"/>
                <w:vertAlign w:val="subscript"/>
              </w:rPr>
              <w:t>зл</w:t>
            </w:r>
            <w:proofErr w:type="spellEnd"/>
            <w:r w:rsidRPr="00C33E44">
              <w:rPr>
                <w:rFonts w:ascii="Times New Roman" w:hAnsi="Times New Roman"/>
              </w:rPr>
              <w:t xml:space="preserve"> &gt; 100 %</w:t>
            </w:r>
          </w:p>
        </w:tc>
        <w:tc>
          <w:tcPr>
            <w:tcW w:w="3397" w:type="dxa"/>
            <w:tcBorders>
              <w:top w:val="single" w:sz="4" w:space="0" w:color="auto"/>
              <w:left w:val="single" w:sz="4" w:space="0" w:color="auto"/>
              <w:bottom w:val="single" w:sz="4" w:space="0" w:color="auto"/>
              <w:right w:val="single" w:sz="4" w:space="0" w:color="auto"/>
            </w:tcBorders>
            <w:hideMark/>
          </w:tcPr>
          <w:p w:rsidR="00C06595" w:rsidRPr="00C33E44" w:rsidRDefault="00C06595" w:rsidP="00042D5E">
            <w:pPr>
              <w:spacing w:line="240" w:lineRule="auto"/>
              <w:jc w:val="both"/>
              <w:rPr>
                <w:rFonts w:ascii="Times New Roman" w:hAnsi="Times New Roman"/>
              </w:rPr>
            </w:pPr>
            <m:oMathPara>
              <m:oMath>
                <m:r>
                  <w:rPr>
                    <w:rFonts w:ascii="Cambria Math" w:hAnsi="Cambria Math" w:cs="Cambria Math"/>
                  </w:rPr>
                  <m:t>Кзл</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А</m:t>
                    </m:r>
                  </m:num>
                  <m:den>
                    <m:r>
                      <m:rPr>
                        <m:sty m:val="p"/>
                      </m:rPr>
                      <w:rPr>
                        <w:rFonts w:ascii="Cambria Math" w:hAnsi="Cambria Math" w:cs="Cambria Math"/>
                      </w:rPr>
                      <m:t>З</m:t>
                    </m:r>
                  </m:den>
                </m:f>
                <m:r>
                  <w:rPr>
                    <w:rFonts w:ascii="Cambria Math" w:hAnsi="Cambria Math"/>
                  </w:rPr>
                  <m:t>×100%</m:t>
                </m:r>
              </m:oMath>
            </m:oMathPara>
          </w:p>
          <w:p w:rsidR="00C06595" w:rsidRPr="00C33E44" w:rsidRDefault="00C06595" w:rsidP="00042D5E">
            <w:pPr>
              <w:spacing w:line="240" w:lineRule="auto"/>
              <w:jc w:val="both"/>
              <w:rPr>
                <w:rFonts w:ascii="Times New Roman" w:hAnsi="Times New Roman"/>
              </w:rPr>
            </w:pPr>
            <w:r w:rsidRPr="00C33E44">
              <w:rPr>
                <w:rFonts w:ascii="Times New Roman" w:hAnsi="Times New Roman"/>
              </w:rPr>
              <w:t xml:space="preserve">А - активи банку </w:t>
            </w:r>
          </w:p>
          <w:p w:rsidR="00C06595" w:rsidRPr="00C33E44" w:rsidRDefault="00C06595" w:rsidP="00042D5E">
            <w:pPr>
              <w:spacing w:line="240" w:lineRule="auto"/>
              <w:jc w:val="both"/>
              <w:rPr>
                <w:rFonts w:ascii="Times New Roman" w:hAnsi="Times New Roman"/>
              </w:rPr>
            </w:pPr>
            <w:r w:rsidRPr="00C33E44">
              <w:rPr>
                <w:rFonts w:ascii="Times New Roman" w:hAnsi="Times New Roman"/>
              </w:rPr>
              <w:t>З - зобов’язання банку</w:t>
            </w:r>
          </w:p>
        </w:tc>
      </w:tr>
      <w:tr w:rsidR="00C06595" w:rsidRPr="00F821E3" w:rsidTr="00810F5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C06595" w:rsidP="00042D5E">
            <w:pPr>
              <w:spacing w:line="240" w:lineRule="auto"/>
              <w:jc w:val="both"/>
              <w:rPr>
                <w:rFonts w:ascii="Times New Roman" w:hAnsi="Times New Roman"/>
              </w:rPr>
            </w:pPr>
            <w:r w:rsidRPr="00C33E44">
              <w:rPr>
                <w:rFonts w:ascii="Times New Roman" w:hAnsi="Times New Roman"/>
              </w:rPr>
              <w:t>Коефіцієнт співвідношення</w:t>
            </w:r>
          </w:p>
          <w:p w:rsidR="00C06595" w:rsidRPr="00C33E44" w:rsidRDefault="00C06595" w:rsidP="00042D5E">
            <w:pPr>
              <w:spacing w:line="240" w:lineRule="auto"/>
              <w:jc w:val="both"/>
              <w:rPr>
                <w:rFonts w:ascii="Times New Roman" w:hAnsi="Times New Roman"/>
              </w:rPr>
            </w:pPr>
            <w:r w:rsidRPr="00C33E44">
              <w:rPr>
                <w:rFonts w:ascii="Times New Roman" w:hAnsi="Times New Roman"/>
              </w:rPr>
              <w:t>високоліквідних активів до робочих активів банку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C06595" w:rsidP="00042D5E">
            <w:pPr>
              <w:spacing w:line="360" w:lineRule="auto"/>
              <w:jc w:val="center"/>
              <w:rPr>
                <w:rFonts w:ascii="Times New Roman" w:hAnsi="Times New Roman"/>
                <w:sz w:val="28"/>
                <w:szCs w:val="28"/>
              </w:rPr>
            </w:pPr>
            <w:proofErr w:type="spellStart"/>
            <w:r w:rsidRPr="00C33E44">
              <w:rPr>
                <w:rFonts w:ascii="Times New Roman" w:hAnsi="Times New Roman"/>
                <w:sz w:val="28"/>
                <w:szCs w:val="28"/>
              </w:rPr>
              <w:t>К</w:t>
            </w:r>
            <w:r w:rsidRPr="00C33E44">
              <w:rPr>
                <w:rFonts w:ascii="Times New Roman" w:hAnsi="Times New Roman"/>
                <w:sz w:val="28"/>
                <w:szCs w:val="28"/>
                <w:vertAlign w:val="subscript"/>
              </w:rPr>
              <w:t>Ав</w:t>
            </w:r>
            <w:proofErr w:type="spellEnd"/>
            <w:r w:rsidRPr="00C33E44">
              <w:rPr>
                <w:rFonts w:ascii="Times New Roman" w:hAnsi="Times New Roman"/>
                <w:sz w:val="28"/>
                <w:szCs w:val="28"/>
                <w:vertAlign w:val="subscript"/>
              </w:rPr>
              <w:t>/Ар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C06595" w:rsidP="00810F54">
            <w:pPr>
              <w:spacing w:line="360" w:lineRule="auto"/>
              <w:jc w:val="both"/>
              <w:rPr>
                <w:rFonts w:ascii="Times New Roman" w:hAnsi="Times New Roman"/>
              </w:rPr>
            </w:pPr>
            <w:proofErr w:type="spellStart"/>
            <w:r w:rsidRPr="00C33E44">
              <w:rPr>
                <w:rFonts w:ascii="Times New Roman" w:hAnsi="Times New Roman"/>
              </w:rPr>
              <w:t>К</w:t>
            </w:r>
            <w:r w:rsidRPr="00C33E44">
              <w:rPr>
                <w:rFonts w:ascii="Times New Roman" w:hAnsi="Times New Roman"/>
                <w:vertAlign w:val="subscript"/>
              </w:rPr>
              <w:t>Ав</w:t>
            </w:r>
            <w:proofErr w:type="spellEnd"/>
            <w:r w:rsidRPr="00C33E44">
              <w:rPr>
                <w:rFonts w:ascii="Times New Roman" w:hAnsi="Times New Roman"/>
                <w:vertAlign w:val="subscript"/>
              </w:rPr>
              <w:t>/Ар</w:t>
            </w:r>
            <w:r w:rsidR="00810F54" w:rsidRPr="00C33E44">
              <w:rPr>
                <w:rFonts w:ascii="Times New Roman" w:hAnsi="Times New Roman"/>
              </w:rPr>
              <w:t>≤7</w:t>
            </w:r>
            <w:r w:rsidRPr="00C33E44">
              <w:rPr>
                <w:rFonts w:ascii="Times New Roman" w:hAnsi="Times New Roman"/>
              </w:rPr>
              <w:t>0</w:t>
            </w:r>
            <w:r w:rsidR="00810F54" w:rsidRPr="00C33E44">
              <w:rPr>
                <w:rFonts w:ascii="Times New Roman" w:hAnsi="Times New Roman"/>
              </w:rPr>
              <w:t xml:space="preserve">-80 </w:t>
            </w:r>
            <w:r w:rsidRPr="00C33E44">
              <w:rPr>
                <w:rFonts w:ascii="Times New Roman" w:hAnsi="Times New Roman"/>
              </w:rPr>
              <w:t>%</w:t>
            </w:r>
          </w:p>
        </w:tc>
        <w:tc>
          <w:tcPr>
            <w:tcW w:w="3397"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8377E3" w:rsidP="00042D5E">
            <w:pPr>
              <w:spacing w:line="360" w:lineRule="auto"/>
              <w:jc w:val="both"/>
              <w:rPr>
                <w:rFonts w:ascii="Cambria Math" w:hAnsi="Cambria Math"/>
                <w:oMath/>
              </w:rPr>
            </w:pPr>
            <m:oMathPara>
              <m:oMath>
                <m:sSub>
                  <m:sSubPr>
                    <m:ctrlPr>
                      <w:rPr>
                        <w:rFonts w:ascii="Cambria Math" w:hAnsi="Cambria Math"/>
                        <w:i/>
                      </w:rPr>
                    </m:ctrlPr>
                  </m:sSubPr>
                  <m:e>
                    <m:r>
                      <w:rPr>
                        <w:rFonts w:ascii="Cambria Math" w:hAnsi="Cambria Math"/>
                      </w:rPr>
                      <m:t>К</m:t>
                    </m:r>
                  </m:e>
                  <m:sub>
                    <m:r>
                      <w:rPr>
                        <w:rFonts w:ascii="Cambria Math" w:hAnsi="Cambria Math"/>
                      </w:rPr>
                      <m:t>Ав/Ар</m:t>
                    </m:r>
                  </m:sub>
                </m:sSub>
                <m:r>
                  <w:rPr>
                    <w:rFonts w:ascii="Cambria Math" w:hAnsi="Cambria Math"/>
                  </w:rPr>
                  <m:t>=</m:t>
                </m:r>
                <m:f>
                  <m:fPr>
                    <m:ctrlPr>
                      <w:rPr>
                        <w:rFonts w:ascii="Cambria Math" w:hAnsi="Cambria Math"/>
                        <w:i/>
                      </w:rPr>
                    </m:ctrlPr>
                  </m:fPr>
                  <m:num>
                    <m:r>
                      <w:rPr>
                        <w:rFonts w:ascii="Cambria Math" w:hAnsi="Cambria Math"/>
                      </w:rPr>
                      <m:t>Ав</m:t>
                    </m:r>
                  </m:num>
                  <m:den>
                    <m:r>
                      <w:rPr>
                        <w:rFonts w:ascii="Cambria Math" w:hAnsi="Cambria Math"/>
                      </w:rPr>
                      <m:t>Ар</m:t>
                    </m:r>
                  </m:den>
                </m:f>
                <m:r>
                  <w:rPr>
                    <w:rFonts w:ascii="Cambria Math" w:hAnsi="Cambria Math"/>
                  </w:rPr>
                  <m:t>×100%</m:t>
                </m:r>
              </m:oMath>
            </m:oMathPara>
          </w:p>
          <w:p w:rsidR="00C06595" w:rsidRPr="00C33E44" w:rsidRDefault="00C06595" w:rsidP="00042D5E">
            <w:pPr>
              <w:spacing w:line="240" w:lineRule="auto"/>
              <w:jc w:val="both"/>
              <w:rPr>
                <w:rFonts w:ascii="Times New Roman" w:hAnsi="Times New Roman"/>
              </w:rPr>
            </w:pPr>
            <w:r w:rsidRPr="00C33E44">
              <w:rPr>
                <w:rFonts w:ascii="Times New Roman" w:hAnsi="Times New Roman"/>
              </w:rPr>
              <w:t>А</w:t>
            </w:r>
            <w:r w:rsidRPr="00C33E44">
              <w:rPr>
                <w:rFonts w:ascii="Times New Roman" w:hAnsi="Times New Roman"/>
                <w:vertAlign w:val="subscript"/>
              </w:rPr>
              <w:t>в</w:t>
            </w:r>
            <w:r w:rsidRPr="00C33E44">
              <w:rPr>
                <w:rFonts w:ascii="Times New Roman" w:hAnsi="Times New Roman"/>
              </w:rPr>
              <w:t xml:space="preserve"> - високоліквідні активи</w:t>
            </w:r>
          </w:p>
          <w:p w:rsidR="00C06595" w:rsidRPr="00C33E44" w:rsidRDefault="00C06595" w:rsidP="00042D5E">
            <w:pPr>
              <w:spacing w:line="240" w:lineRule="auto"/>
              <w:jc w:val="both"/>
              <w:rPr>
                <w:rFonts w:ascii="Times New Roman" w:hAnsi="Times New Roman"/>
                <w:sz w:val="28"/>
                <w:szCs w:val="28"/>
              </w:rPr>
            </w:pPr>
            <w:r w:rsidRPr="00C33E44">
              <w:rPr>
                <w:rFonts w:ascii="Times New Roman" w:hAnsi="Times New Roman"/>
              </w:rPr>
              <w:t>А</w:t>
            </w:r>
            <w:r w:rsidRPr="00C33E44">
              <w:rPr>
                <w:rFonts w:ascii="Times New Roman" w:hAnsi="Times New Roman"/>
                <w:vertAlign w:val="subscript"/>
              </w:rPr>
              <w:t>р</w:t>
            </w:r>
            <w:r w:rsidRPr="00C33E44">
              <w:rPr>
                <w:rFonts w:ascii="Times New Roman" w:hAnsi="Times New Roman"/>
              </w:rPr>
              <w:t xml:space="preserve"> - робочі активи</w:t>
            </w:r>
          </w:p>
        </w:tc>
      </w:tr>
      <w:tr w:rsidR="00C06595" w:rsidRPr="00F821E3" w:rsidTr="00810F54">
        <w:trPr>
          <w:jc w:val="center"/>
        </w:trPr>
        <w:tc>
          <w:tcPr>
            <w:tcW w:w="3114" w:type="dxa"/>
            <w:tcBorders>
              <w:top w:val="single" w:sz="4" w:space="0" w:color="auto"/>
              <w:left w:val="single" w:sz="4" w:space="0" w:color="auto"/>
              <w:bottom w:val="single" w:sz="4" w:space="0" w:color="auto"/>
              <w:right w:val="single" w:sz="4" w:space="0" w:color="auto"/>
            </w:tcBorders>
            <w:hideMark/>
          </w:tcPr>
          <w:p w:rsidR="00C06595" w:rsidRPr="00C33E44" w:rsidRDefault="00C06595" w:rsidP="00042D5E">
            <w:pPr>
              <w:spacing w:line="240" w:lineRule="auto"/>
              <w:jc w:val="both"/>
              <w:rPr>
                <w:rFonts w:ascii="Times New Roman" w:hAnsi="Times New Roman"/>
              </w:rPr>
            </w:pPr>
            <w:r w:rsidRPr="00C33E44">
              <w:rPr>
                <w:rFonts w:ascii="Times New Roman" w:hAnsi="Times New Roman"/>
              </w:rPr>
              <w:t>Коефіцієнт ліквідного співвідношення виданих кредитів і залучених депозитів (для визначення незбалансованої ліквідності)</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C06595" w:rsidP="00042D5E">
            <w:pPr>
              <w:spacing w:line="360" w:lineRule="auto"/>
              <w:jc w:val="center"/>
              <w:rPr>
                <w:rFonts w:ascii="Times New Roman" w:hAnsi="Times New Roman"/>
                <w:sz w:val="28"/>
                <w:szCs w:val="28"/>
              </w:rPr>
            </w:pPr>
            <w:proofErr w:type="spellStart"/>
            <w:r w:rsidRPr="00C33E44">
              <w:rPr>
                <w:rFonts w:ascii="Times New Roman" w:hAnsi="Times New Roman"/>
                <w:sz w:val="28"/>
                <w:szCs w:val="28"/>
              </w:rPr>
              <w:t>К</w:t>
            </w:r>
            <w:r w:rsidRPr="00C33E44">
              <w:rPr>
                <w:rFonts w:ascii="Times New Roman" w:hAnsi="Times New Roman"/>
                <w:sz w:val="28"/>
                <w:szCs w:val="28"/>
                <w:vertAlign w:val="subscript"/>
              </w:rPr>
              <w:t>к</w:t>
            </w:r>
            <w:proofErr w:type="spellEnd"/>
            <w:r w:rsidRPr="00C33E44">
              <w:rPr>
                <w:rFonts w:ascii="Times New Roman" w:hAnsi="Times New Roman"/>
                <w:sz w:val="28"/>
                <w:szCs w:val="28"/>
                <w:vertAlign w:val="subscript"/>
              </w:rPr>
              <w:t>/д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C06595" w:rsidP="00042D5E">
            <w:pPr>
              <w:spacing w:line="360" w:lineRule="auto"/>
              <w:jc w:val="center"/>
              <w:rPr>
                <w:rFonts w:ascii="Times New Roman" w:hAnsi="Times New Roman"/>
              </w:rPr>
            </w:pPr>
            <w:proofErr w:type="spellStart"/>
            <w:r w:rsidRPr="00C33E44">
              <w:rPr>
                <w:rFonts w:ascii="Times New Roman" w:hAnsi="Times New Roman"/>
              </w:rPr>
              <w:t>K</w:t>
            </w:r>
            <w:r w:rsidRPr="00C33E44">
              <w:rPr>
                <w:rFonts w:ascii="Times New Roman" w:hAnsi="Times New Roman"/>
                <w:vertAlign w:val="subscript"/>
              </w:rPr>
              <w:t>к</w:t>
            </w:r>
            <w:proofErr w:type="spellEnd"/>
            <w:r w:rsidRPr="00C33E44">
              <w:rPr>
                <w:rFonts w:ascii="Times New Roman" w:hAnsi="Times New Roman"/>
                <w:vertAlign w:val="subscript"/>
              </w:rPr>
              <w:t xml:space="preserve">/д </w:t>
            </w:r>
            <w:r w:rsidRPr="00C33E44">
              <w:rPr>
                <w:rFonts w:ascii="Times New Roman" w:hAnsi="Times New Roman"/>
              </w:rPr>
              <w:t>≤ 100 %</w:t>
            </w:r>
          </w:p>
        </w:tc>
        <w:tc>
          <w:tcPr>
            <w:tcW w:w="3397"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8377E3" w:rsidP="00042D5E">
            <w:pPr>
              <w:spacing w:line="360" w:lineRule="auto"/>
              <w:jc w:val="both"/>
              <w:rPr>
                <w:rFonts w:ascii="Times New Roman" w:hAnsi="Times New Roman"/>
              </w:rPr>
            </w:pPr>
            <m:oMathPara>
              <m:oMath>
                <m:sSub>
                  <m:sSubPr>
                    <m:ctrlPr>
                      <w:rPr>
                        <w:rFonts w:ascii="Cambria Math" w:hAnsi="Cambria Math"/>
                        <w:i/>
                      </w:rPr>
                    </m:ctrlPr>
                  </m:sSubPr>
                  <m:e>
                    <m:r>
                      <w:rPr>
                        <w:rFonts w:ascii="Cambria Math" w:hAnsi="Cambria Math"/>
                      </w:rPr>
                      <m:t>К</m:t>
                    </m:r>
                  </m:e>
                  <m:sub>
                    <m:r>
                      <w:rPr>
                        <w:rFonts w:ascii="Cambria Math" w:hAnsi="Cambria Math"/>
                      </w:rPr>
                      <m:t>к/д</m:t>
                    </m:r>
                  </m:sub>
                </m:sSub>
                <m:r>
                  <w:rPr>
                    <w:rFonts w:ascii="Cambria Math" w:hAnsi="Cambria Math"/>
                  </w:rPr>
                  <m:t>=</m:t>
                </m:r>
                <m:f>
                  <m:fPr>
                    <m:ctrlPr>
                      <w:rPr>
                        <w:rFonts w:ascii="Cambria Math" w:hAnsi="Cambria Math"/>
                        <w:i/>
                      </w:rPr>
                    </m:ctrlPr>
                  </m:fPr>
                  <m:num>
                    <m:r>
                      <w:rPr>
                        <w:rFonts w:ascii="Cambria Math" w:hAnsi="Cambria Math"/>
                      </w:rPr>
                      <m:t>К</m:t>
                    </m:r>
                  </m:num>
                  <m:den>
                    <m:r>
                      <w:rPr>
                        <w:rFonts w:ascii="Cambria Math" w:hAnsi="Cambria Math"/>
                      </w:rPr>
                      <m:t>Д</m:t>
                    </m:r>
                  </m:den>
                </m:f>
                <m:r>
                  <w:rPr>
                    <w:rFonts w:ascii="Cambria Math" w:hAnsi="Cambria Math"/>
                  </w:rPr>
                  <m:t>×100%</m:t>
                </m:r>
              </m:oMath>
            </m:oMathPara>
          </w:p>
          <w:p w:rsidR="00C06595" w:rsidRPr="00C33E44" w:rsidRDefault="00C06595" w:rsidP="00042D5E">
            <w:pPr>
              <w:spacing w:line="240" w:lineRule="auto"/>
              <w:jc w:val="both"/>
              <w:rPr>
                <w:rFonts w:ascii="Times New Roman" w:hAnsi="Times New Roman"/>
              </w:rPr>
            </w:pPr>
            <w:r w:rsidRPr="00C33E44">
              <w:rPr>
                <w:rFonts w:ascii="Times New Roman" w:hAnsi="Times New Roman"/>
              </w:rPr>
              <w:t>К – видані кредити</w:t>
            </w:r>
          </w:p>
          <w:p w:rsidR="00C06595" w:rsidRPr="00C33E44" w:rsidRDefault="00C06595" w:rsidP="00042D5E">
            <w:pPr>
              <w:spacing w:line="240" w:lineRule="auto"/>
              <w:jc w:val="both"/>
              <w:rPr>
                <w:rFonts w:ascii="Times New Roman" w:hAnsi="Times New Roman"/>
                <w:sz w:val="28"/>
                <w:szCs w:val="28"/>
              </w:rPr>
            </w:pPr>
            <w:r w:rsidRPr="00C33E44">
              <w:rPr>
                <w:rFonts w:ascii="Times New Roman" w:hAnsi="Times New Roman"/>
              </w:rPr>
              <w:t>Д – залучені депозити</w:t>
            </w:r>
          </w:p>
        </w:tc>
      </w:tr>
      <w:tr w:rsidR="00C06595" w:rsidRPr="00D62579" w:rsidTr="00810F5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C06595" w:rsidP="00042D5E">
            <w:pPr>
              <w:spacing w:line="240" w:lineRule="auto"/>
              <w:jc w:val="both"/>
              <w:rPr>
                <w:rFonts w:ascii="Times New Roman" w:hAnsi="Times New Roman"/>
              </w:rPr>
            </w:pPr>
            <w:r w:rsidRPr="00C33E44">
              <w:rPr>
                <w:rFonts w:ascii="Times New Roman" w:hAnsi="Times New Roman"/>
              </w:rPr>
              <w:t>Коефіцієнт генеральної ліквідності зобов’язань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C06595" w:rsidP="00042D5E">
            <w:pPr>
              <w:spacing w:line="360" w:lineRule="auto"/>
              <w:jc w:val="center"/>
              <w:rPr>
                <w:rFonts w:ascii="Times New Roman" w:hAnsi="Times New Roman"/>
                <w:vertAlign w:val="subscript"/>
              </w:rPr>
            </w:pPr>
            <w:proofErr w:type="spellStart"/>
            <w:r w:rsidRPr="00C33E44">
              <w:rPr>
                <w:rFonts w:ascii="Times New Roman" w:hAnsi="Times New Roman"/>
              </w:rPr>
              <w:t>К</w:t>
            </w:r>
            <w:r w:rsidRPr="00C33E44">
              <w:rPr>
                <w:rFonts w:ascii="Times New Roman" w:hAnsi="Times New Roman"/>
                <w:vertAlign w:val="subscript"/>
              </w:rPr>
              <w:t>глз</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C06595" w:rsidP="00810F54">
            <w:pPr>
              <w:spacing w:line="360" w:lineRule="auto"/>
              <w:jc w:val="center"/>
              <w:rPr>
                <w:rFonts w:ascii="Times New Roman" w:hAnsi="Times New Roman"/>
              </w:rPr>
            </w:pPr>
            <w:proofErr w:type="spellStart"/>
            <w:r w:rsidRPr="00C33E44">
              <w:rPr>
                <w:rFonts w:ascii="Times New Roman" w:hAnsi="Times New Roman"/>
              </w:rPr>
              <w:t>K</w:t>
            </w:r>
            <w:r w:rsidRPr="00C33E44">
              <w:rPr>
                <w:rFonts w:ascii="Times New Roman" w:hAnsi="Times New Roman"/>
                <w:vertAlign w:val="subscript"/>
              </w:rPr>
              <w:t>глз</w:t>
            </w:r>
            <w:proofErr w:type="spellEnd"/>
            <w:r w:rsidRPr="00C33E44">
              <w:rPr>
                <w:rFonts w:ascii="Times New Roman" w:hAnsi="Times New Roman"/>
              </w:rPr>
              <w:t>=</w:t>
            </w:r>
            <w:r w:rsidR="00810F54" w:rsidRPr="00C33E44">
              <w:rPr>
                <w:rFonts w:ascii="Times New Roman" w:hAnsi="Times New Roman"/>
              </w:rPr>
              <w:t>100</w:t>
            </w:r>
            <w:r w:rsidRPr="00C33E44">
              <w:rPr>
                <w:rFonts w:ascii="Times New Roman" w:hAnsi="Times New Roman"/>
              </w:rPr>
              <w:t>%</w:t>
            </w:r>
          </w:p>
        </w:tc>
        <w:tc>
          <w:tcPr>
            <w:tcW w:w="3397" w:type="dxa"/>
            <w:tcBorders>
              <w:top w:val="single" w:sz="4" w:space="0" w:color="auto"/>
              <w:left w:val="single" w:sz="4" w:space="0" w:color="auto"/>
              <w:bottom w:val="single" w:sz="4" w:space="0" w:color="auto"/>
              <w:right w:val="single" w:sz="4" w:space="0" w:color="auto"/>
            </w:tcBorders>
            <w:vAlign w:val="center"/>
            <w:hideMark/>
          </w:tcPr>
          <w:p w:rsidR="00C06595" w:rsidRPr="00C33E44" w:rsidRDefault="00C06595" w:rsidP="00042D5E">
            <w:pPr>
              <w:spacing w:line="360" w:lineRule="auto"/>
              <w:jc w:val="center"/>
              <w:rPr>
                <w:rFonts w:ascii="Times New Roman" w:hAnsi="Times New Roman"/>
              </w:rPr>
            </w:pPr>
            <m:oMathPara>
              <m:oMath>
                <m:r>
                  <w:rPr>
                    <w:rFonts w:ascii="Cambria Math" w:hAnsi="Cambria Math"/>
                  </w:rPr>
                  <m:t xml:space="preserve">Кгзл= </m:t>
                </m:r>
                <m:f>
                  <m:fPr>
                    <m:ctrlPr>
                      <w:rPr>
                        <w:rFonts w:ascii="Cambria Math" w:hAnsi="Cambria Math"/>
                        <w:i/>
                      </w:rPr>
                    </m:ctrlPr>
                  </m:fPr>
                  <m:num>
                    <m:r>
                      <w:rPr>
                        <w:rFonts w:ascii="Cambria Math" w:hAnsi="Cambria Math"/>
                      </w:rPr>
                      <m:t>Ав+Ам</m:t>
                    </m:r>
                  </m:num>
                  <m:den>
                    <m:r>
                      <w:rPr>
                        <w:rFonts w:ascii="Cambria Math" w:hAnsi="Cambria Math"/>
                      </w:rPr>
                      <m:t>З</m:t>
                    </m:r>
                  </m:den>
                </m:f>
                <m:r>
                  <w:rPr>
                    <w:rFonts w:ascii="Cambria Math" w:hAnsi="Cambria Math"/>
                  </w:rPr>
                  <m:t>×100%</m:t>
                </m:r>
              </m:oMath>
            </m:oMathPara>
          </w:p>
          <w:p w:rsidR="00C06595" w:rsidRPr="00C33E44" w:rsidRDefault="00C06595" w:rsidP="00042D5E">
            <w:pPr>
              <w:spacing w:line="240" w:lineRule="auto"/>
              <w:jc w:val="both"/>
              <w:rPr>
                <w:rFonts w:ascii="Times New Roman" w:hAnsi="Times New Roman"/>
              </w:rPr>
            </w:pPr>
            <w:proofErr w:type="spellStart"/>
            <w:r w:rsidRPr="00C33E44">
              <w:rPr>
                <w:rFonts w:ascii="Times New Roman" w:hAnsi="Times New Roman"/>
              </w:rPr>
              <w:t>Ав</w:t>
            </w:r>
            <w:proofErr w:type="spellEnd"/>
            <w:r w:rsidRPr="00C33E44">
              <w:rPr>
                <w:rFonts w:ascii="Times New Roman" w:hAnsi="Times New Roman"/>
              </w:rPr>
              <w:t xml:space="preserve"> - високоліквідні активи</w:t>
            </w:r>
          </w:p>
          <w:p w:rsidR="00C06595" w:rsidRPr="00C33E44" w:rsidRDefault="00C06595" w:rsidP="00042D5E">
            <w:pPr>
              <w:spacing w:line="240" w:lineRule="auto"/>
              <w:jc w:val="both"/>
              <w:rPr>
                <w:rFonts w:ascii="Times New Roman" w:hAnsi="Times New Roman"/>
              </w:rPr>
            </w:pPr>
            <w:proofErr w:type="spellStart"/>
            <w:r w:rsidRPr="00C33E44">
              <w:rPr>
                <w:rFonts w:ascii="Times New Roman" w:hAnsi="Times New Roman"/>
              </w:rPr>
              <w:t>Ам</w:t>
            </w:r>
            <w:proofErr w:type="spellEnd"/>
            <w:r w:rsidRPr="00C33E44">
              <w:rPr>
                <w:rFonts w:ascii="Times New Roman" w:hAnsi="Times New Roman"/>
              </w:rPr>
              <w:t xml:space="preserve"> - майно</w:t>
            </w:r>
            <w:r w:rsidRPr="00C33E44">
              <w:t xml:space="preserve"> </w:t>
            </w:r>
            <w:r w:rsidRPr="00C33E44">
              <w:rPr>
                <w:rFonts w:ascii="Times New Roman" w:hAnsi="Times New Roman"/>
              </w:rPr>
              <w:t>З - зобов’язання</w:t>
            </w:r>
          </w:p>
        </w:tc>
      </w:tr>
    </w:tbl>
    <w:p w:rsidR="005F11E4" w:rsidRPr="001C6FA6" w:rsidRDefault="001C6FA6" w:rsidP="00C06595">
      <w:pPr>
        <w:spacing w:before="240" w:after="0" w:line="360" w:lineRule="auto"/>
        <w:ind w:firstLine="709"/>
        <w:jc w:val="both"/>
        <w:rPr>
          <w:rFonts w:ascii="Times New Roman" w:hAnsi="Times New Roman"/>
          <w:sz w:val="28"/>
          <w:szCs w:val="28"/>
        </w:rPr>
      </w:pPr>
      <w:r>
        <w:rPr>
          <w:rFonts w:ascii="Times New Roman" w:hAnsi="Times New Roman"/>
          <w:sz w:val="28"/>
          <w:szCs w:val="28"/>
        </w:rPr>
        <w:t>Зазначений п</w:t>
      </w:r>
      <w:r w:rsidRPr="001C6FA6">
        <w:rPr>
          <w:rFonts w:ascii="Times New Roman" w:hAnsi="Times New Roman"/>
          <w:sz w:val="28"/>
          <w:szCs w:val="28"/>
        </w:rPr>
        <w:t>ерелік коефіцієнтів ліквідності</w:t>
      </w:r>
      <w:r w:rsidR="003C107D">
        <w:rPr>
          <w:rFonts w:ascii="Times New Roman" w:hAnsi="Times New Roman"/>
          <w:sz w:val="28"/>
          <w:szCs w:val="28"/>
        </w:rPr>
        <w:t xml:space="preserve"> у табл. 1.7</w:t>
      </w:r>
      <w:r w:rsidRPr="001C6FA6">
        <w:rPr>
          <w:rFonts w:ascii="Times New Roman" w:hAnsi="Times New Roman"/>
          <w:sz w:val="28"/>
          <w:szCs w:val="28"/>
        </w:rPr>
        <w:t xml:space="preserve"> не є вичерпним.</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Дослідивши коефіцієнтний метод аналізу ліквідності банку акцентуємо, що він має свої переваги і недоліки до яких можна віднести наступне:</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Переваги: </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метод дозволяє вживати заходів з метою недопущення порушення співвідношення статей балансу банку, оскільки вони закріплені нормативними значеннями;</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використання коефіцієнтів дозволяє вчасно управляти ліквідністю за</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нормативами, застосовувати заходи щодо тих чи інших операцій, які впливають на коефіцієнти;</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забезпечує відповідальність та підзвітність усієї структури банку щодо їх націленості на виконання лімітів, коефіцієнтів ліквідності;</w:t>
      </w:r>
    </w:p>
    <w:p w:rsidR="003C107D"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не потребує значних витрат коштів на проведення аналізу та оцінки» [</w:t>
      </w:r>
      <w:r w:rsidR="0081654A">
        <w:rPr>
          <w:rFonts w:ascii="Times New Roman" w:hAnsi="Times New Roman"/>
          <w:sz w:val="28"/>
          <w:szCs w:val="28"/>
        </w:rPr>
        <w:t>37</w:t>
      </w:r>
      <w:r>
        <w:rPr>
          <w:rFonts w:ascii="Times New Roman" w:hAnsi="Times New Roman"/>
          <w:sz w:val="28"/>
          <w:szCs w:val="28"/>
        </w:rPr>
        <w:t xml:space="preserve">, с. 74-83]. </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 Недоліки:</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може мати негативний вплив вимушене узагальнення даних щодо розрахунку нормативів;</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коефіцієнтний метод аналізу не дозволяє виявити цінову складову ризику;</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оскільки показники розраховуються на базі загальних показників балансу - результати можуть бути абстрактними та не точними;</w:t>
      </w:r>
    </w:p>
    <w:p w:rsidR="00110EE2" w:rsidRDefault="00110EE2" w:rsidP="00955451">
      <w:pPr>
        <w:spacing w:after="0" w:line="360" w:lineRule="auto"/>
        <w:ind w:firstLine="709"/>
        <w:jc w:val="both"/>
        <w:rPr>
          <w:rFonts w:ascii="Times New Roman" w:hAnsi="Times New Roman"/>
          <w:sz w:val="28"/>
          <w:szCs w:val="28"/>
        </w:rPr>
      </w:pPr>
      <w:r>
        <w:rPr>
          <w:rFonts w:ascii="Times New Roman" w:hAnsi="Times New Roman"/>
          <w:sz w:val="28"/>
          <w:szCs w:val="28"/>
        </w:rPr>
        <w:t>- не можливо розрахувати показники на подальші періоди» [</w:t>
      </w:r>
      <w:r w:rsidR="0081654A">
        <w:rPr>
          <w:rFonts w:ascii="Times New Roman" w:hAnsi="Times New Roman"/>
          <w:sz w:val="28"/>
          <w:szCs w:val="28"/>
        </w:rPr>
        <w:t>30</w:t>
      </w:r>
      <w:r>
        <w:rPr>
          <w:rFonts w:ascii="Times New Roman" w:hAnsi="Times New Roman"/>
          <w:sz w:val="28"/>
          <w:szCs w:val="28"/>
        </w:rPr>
        <w:t xml:space="preserve">; </w:t>
      </w:r>
      <w:r w:rsidR="0081654A">
        <w:rPr>
          <w:rFonts w:ascii="Times New Roman" w:hAnsi="Times New Roman"/>
          <w:sz w:val="28"/>
          <w:szCs w:val="28"/>
        </w:rPr>
        <w:t>37</w:t>
      </w:r>
      <w:r>
        <w:rPr>
          <w:rFonts w:ascii="Times New Roman" w:hAnsi="Times New Roman"/>
          <w:sz w:val="28"/>
          <w:szCs w:val="28"/>
        </w:rPr>
        <w:t>, с. 74-83].</w:t>
      </w:r>
    </w:p>
    <w:p w:rsidR="00110EE2" w:rsidRDefault="00110EE2" w:rsidP="00955451">
      <w:pPr>
        <w:spacing w:after="0" w:line="360" w:lineRule="auto"/>
        <w:ind w:firstLine="709"/>
        <w:jc w:val="both"/>
        <w:rPr>
          <w:rFonts w:ascii="Times New Roman" w:hAnsi="Times New Roman"/>
          <w:sz w:val="28"/>
          <w:szCs w:val="28"/>
        </w:rPr>
      </w:pPr>
      <w:r>
        <w:rPr>
          <w:rFonts w:ascii="Times New Roman" w:hAnsi="Times New Roman"/>
          <w:sz w:val="28"/>
          <w:szCs w:val="28"/>
        </w:rPr>
        <w:t xml:space="preserve">Що ж стосується оцінки ефективності стратегії управління активами і пасивами, то під час її проведення застосовують горизонтальний та вертикальний аналізи балансових даних, структурний аналіз активів та пасивів </w:t>
      </w:r>
      <w:r w:rsidRPr="009521E7">
        <w:rPr>
          <w:rFonts w:ascii="Times New Roman" w:hAnsi="Times New Roman"/>
          <w:sz w:val="28"/>
          <w:szCs w:val="28"/>
        </w:rPr>
        <w:t>(див. табл</w:t>
      </w:r>
      <w:r w:rsidR="009521E7" w:rsidRPr="009521E7">
        <w:rPr>
          <w:rFonts w:ascii="Times New Roman" w:hAnsi="Times New Roman"/>
          <w:sz w:val="28"/>
          <w:szCs w:val="28"/>
        </w:rPr>
        <w:t>. 1.8</w:t>
      </w:r>
      <w:r w:rsidRPr="009521E7">
        <w:rPr>
          <w:rFonts w:ascii="Times New Roman" w:hAnsi="Times New Roman"/>
          <w:sz w:val="28"/>
          <w:szCs w:val="28"/>
        </w:rPr>
        <w:t>).</w:t>
      </w:r>
    </w:p>
    <w:p w:rsidR="009521E7" w:rsidRDefault="009521E7" w:rsidP="00716C57">
      <w:pPr>
        <w:spacing w:after="0" w:line="360" w:lineRule="auto"/>
        <w:ind w:firstLine="709"/>
        <w:jc w:val="both"/>
        <w:rPr>
          <w:rFonts w:ascii="Times New Roman" w:hAnsi="Times New Roman"/>
          <w:sz w:val="28"/>
          <w:szCs w:val="28"/>
        </w:rPr>
      </w:pPr>
      <w:r w:rsidRPr="009521E7">
        <w:rPr>
          <w:rFonts w:ascii="Times New Roman" w:hAnsi="Times New Roman"/>
          <w:sz w:val="28"/>
          <w:szCs w:val="28"/>
        </w:rPr>
        <w:t>Так, з метою забезпечення оптимального рівня лікві</w:t>
      </w:r>
      <w:r>
        <w:rPr>
          <w:rFonts w:ascii="Times New Roman" w:hAnsi="Times New Roman"/>
          <w:sz w:val="28"/>
          <w:szCs w:val="28"/>
        </w:rPr>
        <w:t xml:space="preserve">дності банку </w:t>
      </w:r>
      <w:r w:rsidRPr="009521E7">
        <w:rPr>
          <w:rFonts w:ascii="Times New Roman" w:hAnsi="Times New Roman"/>
          <w:sz w:val="28"/>
          <w:szCs w:val="28"/>
        </w:rPr>
        <w:t>необхідно формувати таку структу</w:t>
      </w:r>
      <w:r>
        <w:rPr>
          <w:rFonts w:ascii="Times New Roman" w:hAnsi="Times New Roman"/>
          <w:sz w:val="28"/>
          <w:szCs w:val="28"/>
        </w:rPr>
        <w:t xml:space="preserve">ру балансу, при якій активи, не </w:t>
      </w:r>
      <w:r w:rsidRPr="009521E7">
        <w:rPr>
          <w:rFonts w:ascii="Times New Roman" w:hAnsi="Times New Roman"/>
          <w:sz w:val="28"/>
          <w:szCs w:val="28"/>
        </w:rPr>
        <w:t>втрачаючи своєї вартості, можуть своєч</w:t>
      </w:r>
      <w:r w:rsidR="00716C57">
        <w:rPr>
          <w:rFonts w:ascii="Times New Roman" w:hAnsi="Times New Roman"/>
          <w:sz w:val="28"/>
          <w:szCs w:val="28"/>
        </w:rPr>
        <w:t xml:space="preserve">асно трансформуватися в грошові </w:t>
      </w:r>
      <w:r w:rsidRPr="009521E7">
        <w:rPr>
          <w:rFonts w:ascii="Times New Roman" w:hAnsi="Times New Roman"/>
          <w:sz w:val="28"/>
          <w:szCs w:val="28"/>
        </w:rPr>
        <w:t>кошти в міру зростання потреби в пасивах. Таким чином, структурний</w:t>
      </w:r>
      <w:r w:rsidR="00716C57">
        <w:rPr>
          <w:rFonts w:ascii="Times New Roman" w:hAnsi="Times New Roman"/>
          <w:sz w:val="28"/>
          <w:szCs w:val="28"/>
        </w:rPr>
        <w:t xml:space="preserve"> </w:t>
      </w:r>
      <w:r w:rsidRPr="009521E7">
        <w:rPr>
          <w:rFonts w:ascii="Times New Roman" w:hAnsi="Times New Roman"/>
          <w:sz w:val="28"/>
          <w:szCs w:val="28"/>
        </w:rPr>
        <w:t>аналіз активів і пасивів банку є невід’ємн</w:t>
      </w:r>
      <w:r w:rsidR="00716C57">
        <w:rPr>
          <w:rFonts w:ascii="Times New Roman" w:hAnsi="Times New Roman"/>
          <w:sz w:val="28"/>
          <w:szCs w:val="28"/>
        </w:rPr>
        <w:t xml:space="preserve">ою частиною аналізу його </w:t>
      </w:r>
      <w:r>
        <w:rPr>
          <w:rFonts w:ascii="Times New Roman" w:hAnsi="Times New Roman"/>
          <w:sz w:val="28"/>
          <w:szCs w:val="28"/>
        </w:rPr>
        <w:t>ліквідності [38</w:t>
      </w:r>
      <w:r w:rsidRPr="009521E7">
        <w:rPr>
          <w:rFonts w:ascii="Times New Roman" w:hAnsi="Times New Roman"/>
          <w:sz w:val="28"/>
          <w:szCs w:val="28"/>
        </w:rPr>
        <w:t>, с. 28]</w:t>
      </w:r>
      <w:r>
        <w:rPr>
          <w:rFonts w:ascii="Times New Roman" w:hAnsi="Times New Roman"/>
          <w:sz w:val="28"/>
          <w:szCs w:val="28"/>
        </w:rPr>
        <w:t>.</w:t>
      </w:r>
    </w:p>
    <w:p w:rsidR="00390554" w:rsidRDefault="00E800F5" w:rsidP="00390554">
      <w:pPr>
        <w:spacing w:after="0" w:line="360" w:lineRule="auto"/>
        <w:ind w:firstLine="709"/>
        <w:jc w:val="right"/>
        <w:rPr>
          <w:rFonts w:ascii="Times New Roman" w:hAnsi="Times New Roman"/>
          <w:sz w:val="28"/>
          <w:szCs w:val="28"/>
        </w:rPr>
      </w:pPr>
      <w:r>
        <w:rPr>
          <w:rFonts w:ascii="Times New Roman" w:hAnsi="Times New Roman"/>
          <w:sz w:val="28"/>
          <w:szCs w:val="28"/>
        </w:rPr>
        <w:t>Таблиця 1.8</w:t>
      </w:r>
      <w:r w:rsidR="00390554">
        <w:rPr>
          <w:rFonts w:ascii="Times New Roman" w:hAnsi="Times New Roman"/>
          <w:sz w:val="28"/>
          <w:szCs w:val="28"/>
        </w:rPr>
        <w:t xml:space="preserve"> </w:t>
      </w:r>
    </w:p>
    <w:p w:rsidR="00110EE2" w:rsidRDefault="00110EE2" w:rsidP="00955451">
      <w:pPr>
        <w:spacing w:after="0" w:line="360" w:lineRule="auto"/>
        <w:ind w:firstLine="709"/>
        <w:jc w:val="center"/>
        <w:rPr>
          <w:rFonts w:ascii="Times New Roman" w:hAnsi="Times New Roman"/>
          <w:sz w:val="28"/>
          <w:szCs w:val="28"/>
        </w:rPr>
      </w:pPr>
      <w:r>
        <w:rPr>
          <w:rFonts w:ascii="Times New Roman" w:hAnsi="Times New Roman"/>
          <w:sz w:val="28"/>
          <w:szCs w:val="28"/>
        </w:rPr>
        <w:t>Характеристика структурних частин аналізу ліквідності банку</w:t>
      </w:r>
    </w:p>
    <w:tbl>
      <w:tblPr>
        <w:tblStyle w:val="a5"/>
        <w:tblW w:w="0" w:type="auto"/>
        <w:jc w:val="center"/>
        <w:tblInd w:w="0" w:type="dxa"/>
        <w:tblLook w:val="04A0" w:firstRow="1" w:lastRow="0" w:firstColumn="1" w:lastColumn="0" w:noHBand="0" w:noVBand="1"/>
      </w:tblPr>
      <w:tblGrid>
        <w:gridCol w:w="2405"/>
        <w:gridCol w:w="7224"/>
      </w:tblGrid>
      <w:tr w:rsidR="00110EE2" w:rsidTr="00E800F5">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0EE2" w:rsidRDefault="00110EE2">
            <w:pPr>
              <w:spacing w:line="360" w:lineRule="auto"/>
              <w:jc w:val="center"/>
              <w:rPr>
                <w:rFonts w:ascii="Times New Roman" w:hAnsi="Times New Roman"/>
                <w:b/>
                <w:sz w:val="24"/>
                <w:szCs w:val="24"/>
              </w:rPr>
            </w:pPr>
            <w:r>
              <w:rPr>
                <w:rFonts w:ascii="Times New Roman" w:hAnsi="Times New Roman"/>
                <w:b/>
                <w:sz w:val="24"/>
                <w:szCs w:val="24"/>
              </w:rPr>
              <w:t>Найменування</w:t>
            </w:r>
          </w:p>
        </w:tc>
        <w:tc>
          <w:tcPr>
            <w:tcW w:w="7224" w:type="dxa"/>
            <w:tcBorders>
              <w:top w:val="single" w:sz="4" w:space="0" w:color="auto"/>
              <w:left w:val="single" w:sz="4" w:space="0" w:color="auto"/>
              <w:bottom w:val="single" w:sz="4" w:space="0" w:color="auto"/>
              <w:right w:val="single" w:sz="4" w:space="0" w:color="auto"/>
            </w:tcBorders>
            <w:vAlign w:val="center"/>
            <w:hideMark/>
          </w:tcPr>
          <w:p w:rsidR="00110EE2" w:rsidRDefault="00110EE2">
            <w:pPr>
              <w:spacing w:line="360" w:lineRule="auto"/>
              <w:jc w:val="center"/>
              <w:rPr>
                <w:rFonts w:ascii="Times New Roman" w:hAnsi="Times New Roman"/>
                <w:b/>
                <w:sz w:val="24"/>
                <w:szCs w:val="24"/>
              </w:rPr>
            </w:pPr>
            <w:r>
              <w:rPr>
                <w:rFonts w:ascii="Times New Roman" w:hAnsi="Times New Roman"/>
                <w:b/>
                <w:sz w:val="24"/>
                <w:szCs w:val="24"/>
              </w:rPr>
              <w:t>Характеристика</w:t>
            </w:r>
          </w:p>
        </w:tc>
      </w:tr>
      <w:tr w:rsidR="00110EE2" w:rsidTr="00E800F5">
        <w:trPr>
          <w:trHeight w:val="847"/>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0EE2" w:rsidRDefault="00110EE2">
            <w:pPr>
              <w:spacing w:line="240" w:lineRule="auto"/>
              <w:jc w:val="both"/>
              <w:rPr>
                <w:rFonts w:ascii="Times New Roman" w:hAnsi="Times New Roman"/>
                <w:sz w:val="24"/>
                <w:szCs w:val="24"/>
              </w:rPr>
            </w:pPr>
            <w:r>
              <w:rPr>
                <w:rFonts w:ascii="Times New Roman" w:hAnsi="Times New Roman"/>
                <w:sz w:val="24"/>
                <w:szCs w:val="24"/>
              </w:rPr>
              <w:t>Горизонтальний аналіз</w:t>
            </w:r>
          </w:p>
        </w:tc>
        <w:tc>
          <w:tcPr>
            <w:tcW w:w="7224" w:type="dxa"/>
            <w:tcBorders>
              <w:top w:val="single" w:sz="4" w:space="0" w:color="auto"/>
              <w:left w:val="single" w:sz="4" w:space="0" w:color="auto"/>
              <w:bottom w:val="single" w:sz="4" w:space="0" w:color="auto"/>
              <w:right w:val="single" w:sz="4" w:space="0" w:color="auto"/>
            </w:tcBorders>
            <w:vAlign w:val="center"/>
            <w:hideMark/>
          </w:tcPr>
          <w:p w:rsidR="00110EE2" w:rsidRPr="00955451" w:rsidRDefault="00110EE2">
            <w:pPr>
              <w:spacing w:line="240" w:lineRule="auto"/>
              <w:jc w:val="both"/>
              <w:rPr>
                <w:rFonts w:ascii="Times New Roman" w:hAnsi="Times New Roman"/>
              </w:rPr>
            </w:pPr>
            <w:r w:rsidRPr="00955451">
              <w:rPr>
                <w:rFonts w:ascii="Times New Roman" w:hAnsi="Times New Roman"/>
              </w:rPr>
              <w:t xml:space="preserve">Визначення питомої ваги означених груп активів і пасивів. </w:t>
            </w:r>
          </w:p>
          <w:p w:rsidR="00110EE2" w:rsidRPr="00955451" w:rsidRDefault="00110EE2">
            <w:pPr>
              <w:spacing w:line="240" w:lineRule="auto"/>
              <w:jc w:val="both"/>
              <w:rPr>
                <w:rFonts w:ascii="Times New Roman" w:hAnsi="Times New Roman"/>
              </w:rPr>
            </w:pPr>
            <w:r w:rsidRPr="00955451">
              <w:rPr>
                <w:rFonts w:ascii="Times New Roman" w:hAnsi="Times New Roman"/>
              </w:rPr>
              <w:t xml:space="preserve">Аналіз динаміки обсягу операцій банку в цілому. </w:t>
            </w:r>
          </w:p>
          <w:p w:rsidR="00110EE2" w:rsidRPr="00955451" w:rsidRDefault="00110EE2">
            <w:pPr>
              <w:spacing w:line="240" w:lineRule="auto"/>
              <w:jc w:val="both"/>
              <w:rPr>
                <w:rFonts w:ascii="Times New Roman" w:hAnsi="Times New Roman"/>
              </w:rPr>
            </w:pPr>
            <w:r w:rsidRPr="00955451">
              <w:rPr>
                <w:rFonts w:ascii="Times New Roman" w:hAnsi="Times New Roman"/>
              </w:rPr>
              <w:t>Відображення зміни обсягу означених операцій або груп активів, або пасивів в діяльності банку</w:t>
            </w:r>
          </w:p>
        </w:tc>
      </w:tr>
      <w:tr w:rsidR="00110EE2" w:rsidTr="00E800F5">
        <w:trPr>
          <w:trHeight w:val="1103"/>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0EE2" w:rsidRDefault="00110EE2">
            <w:pPr>
              <w:spacing w:line="240" w:lineRule="auto"/>
              <w:jc w:val="both"/>
              <w:rPr>
                <w:rFonts w:ascii="Times New Roman" w:hAnsi="Times New Roman"/>
                <w:sz w:val="24"/>
                <w:szCs w:val="24"/>
              </w:rPr>
            </w:pPr>
            <w:r>
              <w:rPr>
                <w:rFonts w:ascii="Times New Roman" w:hAnsi="Times New Roman"/>
                <w:sz w:val="24"/>
                <w:szCs w:val="24"/>
              </w:rPr>
              <w:t>Вертикальний аналіз</w:t>
            </w:r>
          </w:p>
        </w:tc>
        <w:tc>
          <w:tcPr>
            <w:tcW w:w="7224" w:type="dxa"/>
            <w:tcBorders>
              <w:top w:val="single" w:sz="4" w:space="0" w:color="auto"/>
              <w:left w:val="single" w:sz="4" w:space="0" w:color="auto"/>
              <w:bottom w:val="single" w:sz="4" w:space="0" w:color="auto"/>
              <w:right w:val="single" w:sz="4" w:space="0" w:color="auto"/>
            </w:tcBorders>
            <w:vAlign w:val="center"/>
            <w:hideMark/>
          </w:tcPr>
          <w:p w:rsidR="00110EE2" w:rsidRPr="00955451" w:rsidRDefault="00110EE2">
            <w:pPr>
              <w:spacing w:line="240" w:lineRule="auto"/>
              <w:jc w:val="both"/>
              <w:rPr>
                <w:rFonts w:ascii="Times New Roman" w:hAnsi="Times New Roman"/>
              </w:rPr>
            </w:pPr>
            <w:r w:rsidRPr="00955451">
              <w:rPr>
                <w:rFonts w:ascii="Times New Roman" w:hAnsi="Times New Roman"/>
              </w:rPr>
              <w:t xml:space="preserve">Визначення питомої ваги окремих груп і видів активних та пасивних операцій. </w:t>
            </w:r>
          </w:p>
          <w:p w:rsidR="00110EE2" w:rsidRPr="00955451" w:rsidRDefault="00110EE2">
            <w:pPr>
              <w:spacing w:line="240" w:lineRule="auto"/>
              <w:jc w:val="both"/>
              <w:rPr>
                <w:rFonts w:ascii="Times New Roman" w:hAnsi="Times New Roman"/>
              </w:rPr>
            </w:pPr>
            <w:r w:rsidRPr="00955451">
              <w:rPr>
                <w:rFonts w:ascii="Times New Roman" w:hAnsi="Times New Roman"/>
              </w:rPr>
              <w:t>Надання інформації про основні групи джерел коштів в пасивах та про основні напрями розміщення коштів в активах.</w:t>
            </w:r>
          </w:p>
        </w:tc>
      </w:tr>
      <w:tr w:rsidR="00110EE2" w:rsidTr="00E800F5">
        <w:trPr>
          <w:trHeight w:val="694"/>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0EE2" w:rsidRDefault="00110EE2">
            <w:pPr>
              <w:spacing w:line="240" w:lineRule="auto"/>
              <w:jc w:val="both"/>
              <w:rPr>
                <w:rFonts w:ascii="Times New Roman" w:hAnsi="Times New Roman"/>
                <w:sz w:val="24"/>
                <w:szCs w:val="24"/>
              </w:rPr>
            </w:pPr>
            <w:r>
              <w:rPr>
                <w:rFonts w:ascii="Times New Roman" w:hAnsi="Times New Roman"/>
                <w:sz w:val="24"/>
                <w:szCs w:val="24"/>
              </w:rPr>
              <w:t>Структурний аналіз пасивів</w:t>
            </w:r>
          </w:p>
        </w:tc>
        <w:tc>
          <w:tcPr>
            <w:tcW w:w="7224" w:type="dxa"/>
            <w:tcBorders>
              <w:top w:val="single" w:sz="4" w:space="0" w:color="auto"/>
              <w:left w:val="single" w:sz="4" w:space="0" w:color="auto"/>
              <w:bottom w:val="single" w:sz="4" w:space="0" w:color="auto"/>
              <w:right w:val="single" w:sz="4" w:space="0" w:color="auto"/>
            </w:tcBorders>
            <w:vAlign w:val="center"/>
            <w:hideMark/>
          </w:tcPr>
          <w:p w:rsidR="00110EE2" w:rsidRPr="00955451" w:rsidRDefault="00110EE2">
            <w:pPr>
              <w:spacing w:line="240" w:lineRule="auto"/>
              <w:jc w:val="both"/>
              <w:rPr>
                <w:rFonts w:ascii="Times New Roman" w:hAnsi="Times New Roman"/>
              </w:rPr>
            </w:pPr>
            <w:r w:rsidRPr="00955451">
              <w:rPr>
                <w:rFonts w:ascii="Times New Roman" w:hAnsi="Times New Roman"/>
              </w:rPr>
              <w:t xml:space="preserve">Є визначальними по відношенню до активних. </w:t>
            </w:r>
          </w:p>
          <w:p w:rsidR="00110EE2" w:rsidRPr="00955451" w:rsidRDefault="00110EE2">
            <w:pPr>
              <w:spacing w:line="240" w:lineRule="auto"/>
              <w:jc w:val="both"/>
              <w:rPr>
                <w:rFonts w:ascii="Times New Roman" w:hAnsi="Times New Roman"/>
              </w:rPr>
            </w:pPr>
            <w:r w:rsidRPr="00955451">
              <w:rPr>
                <w:rFonts w:ascii="Times New Roman" w:hAnsi="Times New Roman"/>
              </w:rPr>
              <w:t>Характер та якість пасивних операцій забезпечить проведення активних операцій та їх масштаби, тобто забезпечить ліквідність і стійкість банку</w:t>
            </w:r>
          </w:p>
        </w:tc>
      </w:tr>
      <w:tr w:rsidR="00110EE2" w:rsidTr="00C06595">
        <w:trPr>
          <w:trHeight w:val="1388"/>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10EE2" w:rsidRDefault="00110EE2">
            <w:pPr>
              <w:spacing w:line="240" w:lineRule="auto"/>
              <w:jc w:val="both"/>
              <w:rPr>
                <w:rFonts w:ascii="Times New Roman" w:hAnsi="Times New Roman"/>
                <w:sz w:val="24"/>
                <w:szCs w:val="24"/>
              </w:rPr>
            </w:pPr>
            <w:r>
              <w:rPr>
                <w:rFonts w:ascii="Times New Roman" w:hAnsi="Times New Roman"/>
                <w:sz w:val="24"/>
                <w:szCs w:val="24"/>
              </w:rPr>
              <w:t>Структурний аналіз активів</w:t>
            </w:r>
          </w:p>
        </w:tc>
        <w:tc>
          <w:tcPr>
            <w:tcW w:w="7224" w:type="dxa"/>
            <w:tcBorders>
              <w:top w:val="single" w:sz="4" w:space="0" w:color="auto"/>
              <w:left w:val="single" w:sz="4" w:space="0" w:color="auto"/>
              <w:bottom w:val="single" w:sz="4" w:space="0" w:color="auto"/>
              <w:right w:val="single" w:sz="4" w:space="0" w:color="auto"/>
            </w:tcBorders>
            <w:vAlign w:val="center"/>
            <w:hideMark/>
          </w:tcPr>
          <w:p w:rsidR="00110EE2" w:rsidRPr="00955451" w:rsidRDefault="00110EE2">
            <w:pPr>
              <w:spacing w:line="240" w:lineRule="auto"/>
              <w:jc w:val="both"/>
              <w:rPr>
                <w:rFonts w:ascii="Times New Roman" w:hAnsi="Times New Roman"/>
              </w:rPr>
            </w:pPr>
            <w:r w:rsidRPr="00955451">
              <w:rPr>
                <w:rFonts w:ascii="Times New Roman" w:hAnsi="Times New Roman"/>
              </w:rPr>
              <w:t>Відповідність активів якісним вимогам ліквідності задля щоденного виконання за зобов’язаннями.</w:t>
            </w:r>
          </w:p>
          <w:p w:rsidR="00110EE2" w:rsidRPr="00955451" w:rsidRDefault="00110EE2">
            <w:pPr>
              <w:spacing w:line="240" w:lineRule="auto"/>
              <w:jc w:val="both"/>
              <w:rPr>
                <w:rFonts w:ascii="Times New Roman" w:hAnsi="Times New Roman"/>
              </w:rPr>
            </w:pPr>
            <w:r w:rsidRPr="00955451">
              <w:rPr>
                <w:rFonts w:ascii="Times New Roman" w:hAnsi="Times New Roman"/>
              </w:rPr>
              <w:t>Поділ активів на групи за ступенем ліквідності.</w:t>
            </w:r>
          </w:p>
          <w:p w:rsidR="00110EE2" w:rsidRPr="00955451" w:rsidRDefault="00110EE2">
            <w:pPr>
              <w:spacing w:line="240" w:lineRule="auto"/>
              <w:jc w:val="both"/>
              <w:rPr>
                <w:rFonts w:ascii="Times New Roman" w:hAnsi="Times New Roman"/>
              </w:rPr>
            </w:pPr>
            <w:r w:rsidRPr="00955451">
              <w:rPr>
                <w:rFonts w:ascii="Times New Roman" w:hAnsi="Times New Roman"/>
              </w:rPr>
              <w:t xml:space="preserve">Визначення питомої ваги кожної групи. </w:t>
            </w:r>
          </w:p>
          <w:p w:rsidR="00110EE2" w:rsidRPr="00955451" w:rsidRDefault="00110EE2">
            <w:pPr>
              <w:spacing w:line="240" w:lineRule="auto"/>
              <w:jc w:val="both"/>
              <w:rPr>
                <w:rFonts w:ascii="Times New Roman" w:hAnsi="Times New Roman"/>
              </w:rPr>
            </w:pPr>
            <w:r w:rsidRPr="00955451">
              <w:rPr>
                <w:rFonts w:ascii="Times New Roman" w:hAnsi="Times New Roman"/>
              </w:rPr>
              <w:t>Надання оцінки ступеня ліквідності банку</w:t>
            </w:r>
          </w:p>
        </w:tc>
      </w:tr>
    </w:tbl>
    <w:p w:rsidR="00390554" w:rsidRPr="00964F55" w:rsidRDefault="00964F55" w:rsidP="00110EE2">
      <w:pPr>
        <w:spacing w:before="120" w:after="0" w:line="360" w:lineRule="auto"/>
        <w:ind w:firstLine="709"/>
        <w:jc w:val="both"/>
        <w:rPr>
          <w:rFonts w:ascii="Times New Roman" w:hAnsi="Times New Roman"/>
          <w:sz w:val="24"/>
          <w:szCs w:val="24"/>
        </w:rPr>
      </w:pPr>
      <w:r w:rsidRPr="00964F55">
        <w:rPr>
          <w:rFonts w:ascii="Times New Roman" w:hAnsi="Times New Roman"/>
          <w:sz w:val="24"/>
          <w:szCs w:val="24"/>
        </w:rPr>
        <w:t xml:space="preserve">Джерело: </w:t>
      </w:r>
      <w:r w:rsidR="00390554" w:rsidRPr="00964F55">
        <w:rPr>
          <w:rFonts w:ascii="Times New Roman" w:hAnsi="Times New Roman"/>
          <w:sz w:val="24"/>
          <w:szCs w:val="24"/>
        </w:rPr>
        <w:t>[27, с. 28]</w:t>
      </w:r>
    </w:p>
    <w:p w:rsidR="00110EE2" w:rsidRDefault="00110EE2" w:rsidP="00E87E3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Загально прийнято активи банку за ступенем ліквідності поділяти на чотири групи (див</w:t>
      </w:r>
      <w:r w:rsidRPr="00446B87">
        <w:rPr>
          <w:rFonts w:ascii="Times New Roman" w:hAnsi="Times New Roman"/>
          <w:sz w:val="28"/>
          <w:szCs w:val="28"/>
        </w:rPr>
        <w:t xml:space="preserve">. </w:t>
      </w:r>
      <w:r w:rsidR="00C06595">
        <w:rPr>
          <w:rFonts w:ascii="Times New Roman" w:hAnsi="Times New Roman"/>
          <w:sz w:val="28"/>
          <w:szCs w:val="28"/>
        </w:rPr>
        <w:t>рис. 1.10</w:t>
      </w:r>
      <w:r w:rsidRPr="00446B87">
        <w:rPr>
          <w:rFonts w:ascii="Times New Roman" w:hAnsi="Times New Roman"/>
          <w:sz w:val="28"/>
          <w:szCs w:val="28"/>
        </w:rPr>
        <w:t>).</w:t>
      </w:r>
    </w:p>
    <w:p w:rsidR="00110EE2" w:rsidRDefault="00110EE2" w:rsidP="00110EE2">
      <w:pPr>
        <w:spacing w:after="0" w:line="360" w:lineRule="auto"/>
        <w:jc w:val="both"/>
        <w:rPr>
          <w:rFonts w:ascii="Times New Roman" w:hAnsi="Times New Roman"/>
          <w:sz w:val="28"/>
          <w:szCs w:val="28"/>
        </w:rPr>
      </w:pPr>
      <w:r>
        <w:rPr>
          <w:rFonts w:asciiTheme="minorHAnsi" w:hAnsiTheme="minorHAnsi" w:cstheme="minorBidi"/>
          <w:noProof/>
          <w:lang w:eastAsia="uk-UA"/>
        </w:rPr>
        <mc:AlternateContent>
          <mc:Choice Requires="wpc">
            <w:drawing>
              <wp:inline distT="0" distB="0" distL="0" distR="0">
                <wp:extent cx="6141720" cy="4434840"/>
                <wp:effectExtent l="0" t="0" r="11430" b="0"/>
                <wp:docPr id="45" name="Полотно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Скругленный прямоугольник 47"/>
                        <wps:cNvSpPr>
                          <a:spLocks noChangeArrowheads="1"/>
                        </wps:cNvSpPr>
                        <wps:spPr bwMode="auto">
                          <a:xfrm>
                            <a:off x="2194507" y="325559"/>
                            <a:ext cx="1760206" cy="533403"/>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Активи банку за ступенем ліквідності</w:t>
                              </w:r>
                            </w:p>
                          </w:txbxContent>
                        </wps:txbx>
                        <wps:bodyPr rot="0" vert="horz" wrap="square" lIns="91440" tIns="45720" rIns="91440" bIns="45720" anchor="ctr" anchorCtr="0" upright="1">
                          <a:noAutofit/>
                        </wps:bodyPr>
                      </wps:wsp>
                      <wps:wsp>
                        <wps:cNvPr id="29" name="Скругленный прямоугольник 69"/>
                        <wps:cNvSpPr>
                          <a:spLocks noChangeArrowheads="1"/>
                        </wps:cNvSpPr>
                        <wps:spPr bwMode="auto">
                          <a:xfrm>
                            <a:off x="60900" y="1026662"/>
                            <a:ext cx="1364004" cy="685804"/>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Високоліквідні</w:t>
                              </w:r>
                            </w:p>
                            <w:p w:rsidR="00F821E3" w:rsidRDefault="00F821E3" w:rsidP="00110EE2">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активи </w:t>
                              </w:r>
                            </w:p>
                          </w:txbxContent>
                        </wps:txbx>
                        <wps:bodyPr rot="0" vert="horz" wrap="square" lIns="91440" tIns="45720" rIns="91440" bIns="45720" anchor="ctr" anchorCtr="0" upright="1">
                          <a:noAutofit/>
                        </wps:bodyPr>
                      </wps:wsp>
                      <wps:wsp>
                        <wps:cNvPr id="30" name="Скругленный прямоугольник 70"/>
                        <wps:cNvSpPr>
                          <a:spLocks noChangeArrowheads="1"/>
                        </wps:cNvSpPr>
                        <wps:spPr bwMode="auto">
                          <a:xfrm>
                            <a:off x="1524005" y="1026662"/>
                            <a:ext cx="1356304" cy="685804"/>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Ліквідні активи </w:t>
                              </w:r>
                            </w:p>
                          </w:txbxContent>
                        </wps:txbx>
                        <wps:bodyPr rot="0" vert="horz" wrap="square" lIns="91440" tIns="45720" rIns="91440" bIns="45720" anchor="ctr" anchorCtr="0" upright="1">
                          <a:noAutofit/>
                        </wps:bodyPr>
                      </wps:wsp>
                      <wps:wsp>
                        <wps:cNvPr id="31" name="Скругленный прямоугольник 71"/>
                        <wps:cNvSpPr>
                          <a:spLocks noChangeArrowheads="1"/>
                        </wps:cNvSpPr>
                        <wps:spPr bwMode="auto">
                          <a:xfrm>
                            <a:off x="2967010" y="1026662"/>
                            <a:ext cx="1524005" cy="685804"/>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b/>
                                  <w:color w:val="000000" w:themeColor="text1"/>
                                </w:rPr>
                              </w:pPr>
                              <w:r>
                                <w:rPr>
                                  <w:rFonts w:ascii="Times New Roman" w:hAnsi="Times New Roman"/>
                                  <w:b/>
                                  <w:color w:val="000000" w:themeColor="text1"/>
                                </w:rPr>
                                <w:t>Активи</w:t>
                              </w:r>
                            </w:p>
                            <w:p w:rsidR="00F821E3" w:rsidRDefault="00F821E3" w:rsidP="00110EE2">
                              <w:pPr>
                                <w:spacing w:after="0" w:line="240" w:lineRule="auto"/>
                                <w:jc w:val="center"/>
                                <w:rPr>
                                  <w:rFonts w:ascii="Times New Roman" w:hAnsi="Times New Roman"/>
                                  <w:b/>
                                  <w:color w:val="000000" w:themeColor="text1"/>
                                </w:rPr>
                              </w:pPr>
                              <w:r>
                                <w:rPr>
                                  <w:rFonts w:ascii="Times New Roman" w:hAnsi="Times New Roman"/>
                                  <w:b/>
                                  <w:color w:val="000000" w:themeColor="text1"/>
                                </w:rPr>
                                <w:t>довгострокової</w:t>
                              </w:r>
                            </w:p>
                            <w:p w:rsidR="00F821E3" w:rsidRDefault="00F821E3" w:rsidP="00110EE2">
                              <w:pPr>
                                <w:jc w:val="center"/>
                                <w:rPr>
                                  <w:rFonts w:ascii="Times New Roman" w:hAnsi="Times New Roman"/>
                                  <w:b/>
                                  <w:color w:val="000000" w:themeColor="text1"/>
                                </w:rPr>
                              </w:pPr>
                              <w:r>
                                <w:rPr>
                                  <w:rFonts w:ascii="Times New Roman" w:hAnsi="Times New Roman"/>
                                  <w:b/>
                                  <w:color w:val="000000" w:themeColor="text1"/>
                                </w:rPr>
                                <w:t>ліквідності</w:t>
                              </w:r>
                            </w:p>
                          </w:txbxContent>
                        </wps:txbx>
                        <wps:bodyPr rot="0" vert="horz" wrap="square" lIns="91440" tIns="45720" rIns="91440" bIns="45720" anchor="ctr" anchorCtr="0" upright="1">
                          <a:noAutofit/>
                        </wps:bodyPr>
                      </wps:wsp>
                      <wps:wsp>
                        <wps:cNvPr id="32" name="Скругленный прямоугольник 72"/>
                        <wps:cNvSpPr>
                          <a:spLocks noChangeArrowheads="1"/>
                        </wps:cNvSpPr>
                        <wps:spPr bwMode="auto">
                          <a:xfrm>
                            <a:off x="4628215" y="1026662"/>
                            <a:ext cx="1513505" cy="685804"/>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b/>
                                  <w:color w:val="000000" w:themeColor="text1"/>
                                </w:rPr>
                              </w:pPr>
                              <w:r>
                                <w:rPr>
                                  <w:rFonts w:ascii="Times New Roman" w:hAnsi="Times New Roman"/>
                                  <w:b/>
                                  <w:color w:val="000000" w:themeColor="text1"/>
                                </w:rPr>
                                <w:t>Найменш ліквідні</w:t>
                              </w:r>
                            </w:p>
                            <w:p w:rsidR="00F821E3" w:rsidRDefault="00F821E3" w:rsidP="00110EE2">
                              <w:pPr>
                                <w:spacing w:after="0" w:line="240" w:lineRule="auto"/>
                                <w:jc w:val="center"/>
                                <w:rPr>
                                  <w:rFonts w:ascii="Times New Roman" w:hAnsi="Times New Roman"/>
                                  <w:b/>
                                  <w:color w:val="000000" w:themeColor="text1"/>
                                </w:rPr>
                              </w:pPr>
                              <w:r>
                                <w:rPr>
                                  <w:rFonts w:ascii="Times New Roman" w:hAnsi="Times New Roman"/>
                                  <w:b/>
                                  <w:color w:val="000000" w:themeColor="text1"/>
                                </w:rPr>
                                <w:t>або неліквідні</w:t>
                              </w:r>
                            </w:p>
                            <w:p w:rsidR="00F821E3" w:rsidRDefault="00F821E3" w:rsidP="00110EE2">
                              <w:pPr>
                                <w:jc w:val="center"/>
                                <w:rPr>
                                  <w:rFonts w:ascii="Times New Roman" w:hAnsi="Times New Roman"/>
                                  <w:b/>
                                  <w:color w:val="000000" w:themeColor="text1"/>
                                </w:rPr>
                              </w:pPr>
                              <w:r>
                                <w:rPr>
                                  <w:rFonts w:ascii="Times New Roman" w:hAnsi="Times New Roman"/>
                                  <w:b/>
                                  <w:color w:val="000000" w:themeColor="text1"/>
                                </w:rPr>
                                <w:t>активи</w:t>
                              </w:r>
                            </w:p>
                          </w:txbxContent>
                        </wps:txbx>
                        <wps:bodyPr rot="0" vert="horz" wrap="square" lIns="91440" tIns="45720" rIns="91440" bIns="45720" anchor="ctr" anchorCtr="0" upright="1">
                          <a:noAutofit/>
                        </wps:bodyPr>
                      </wps:wsp>
                      <wps:wsp>
                        <wps:cNvPr id="33" name="Скругленный прямоугольник 73"/>
                        <wps:cNvSpPr>
                          <a:spLocks noChangeArrowheads="1"/>
                        </wps:cNvSpPr>
                        <wps:spPr bwMode="auto">
                          <a:xfrm>
                            <a:off x="60900" y="1773366"/>
                            <a:ext cx="1394505" cy="2301312"/>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«Грошові та прирівняні до них кошти;</w:t>
                              </w:r>
                            </w:p>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кошти на кореспондентських рахунках; вкладення в</w:t>
                              </w:r>
                            </w:p>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державні цінні папери;</w:t>
                              </w:r>
                            </w:p>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кошти, надані різними позичальниками до запитання»</w:t>
                              </w:r>
                            </w:p>
                          </w:txbxContent>
                        </wps:txbx>
                        <wps:bodyPr rot="0" vert="horz" wrap="square" lIns="91440" tIns="45720" rIns="91440" bIns="45720" anchor="ctr" anchorCtr="0" upright="1">
                          <a:noAutofit/>
                        </wps:bodyPr>
                      </wps:wsp>
                      <wps:wsp>
                        <wps:cNvPr id="34" name="Скругленный прямоугольник 74"/>
                        <wps:cNvSpPr>
                          <a:spLocks noChangeArrowheads="1"/>
                        </wps:cNvSpPr>
                        <wps:spPr bwMode="auto">
                          <a:xfrm>
                            <a:off x="1524005" y="1773366"/>
                            <a:ext cx="1394405" cy="2301312"/>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F821E3" w:rsidRDefault="00F821E3" w:rsidP="00110EE2">
                              <w:pPr>
                                <w:pStyle w:val="a3"/>
                                <w:spacing w:before="0" w:beforeAutospacing="0" w:after="0" w:afterAutospacing="0"/>
                                <w:jc w:val="center"/>
                                <w:rPr>
                                  <w:sz w:val="22"/>
                                  <w:szCs w:val="22"/>
                                </w:rPr>
                              </w:pPr>
                              <w:r>
                                <w:rPr>
                                  <w:sz w:val="22"/>
                                  <w:szCs w:val="22"/>
                                </w:rPr>
                                <w:t>«Кредити;</w:t>
                              </w:r>
                            </w:p>
                            <w:p w:rsidR="00F821E3" w:rsidRDefault="00F821E3" w:rsidP="00110EE2">
                              <w:pPr>
                                <w:pStyle w:val="a3"/>
                                <w:spacing w:before="0" w:beforeAutospacing="0" w:after="0" w:afterAutospacing="0"/>
                                <w:jc w:val="center"/>
                                <w:rPr>
                                  <w:sz w:val="22"/>
                                  <w:szCs w:val="22"/>
                                </w:rPr>
                              </w:pPr>
                              <w:r>
                                <w:rPr>
                                  <w:sz w:val="22"/>
                                  <w:szCs w:val="22"/>
                                </w:rPr>
                                <w:t>недержавні</w:t>
                              </w:r>
                            </w:p>
                            <w:p w:rsidR="00F821E3" w:rsidRDefault="00F821E3" w:rsidP="00110EE2">
                              <w:pPr>
                                <w:pStyle w:val="a3"/>
                                <w:spacing w:before="0" w:beforeAutospacing="0" w:after="0" w:afterAutospacing="0"/>
                                <w:jc w:val="center"/>
                                <w:rPr>
                                  <w:sz w:val="22"/>
                                  <w:szCs w:val="22"/>
                                </w:rPr>
                              </w:pPr>
                              <w:r>
                                <w:rPr>
                                  <w:sz w:val="22"/>
                                  <w:szCs w:val="22"/>
                                </w:rPr>
                                <w:t>цінні папери;</w:t>
                              </w:r>
                            </w:p>
                            <w:p w:rsidR="00F821E3" w:rsidRDefault="00F821E3" w:rsidP="00110EE2">
                              <w:pPr>
                                <w:pStyle w:val="a3"/>
                                <w:spacing w:before="0" w:beforeAutospacing="0" w:after="0" w:afterAutospacing="0"/>
                                <w:jc w:val="center"/>
                                <w:rPr>
                                  <w:sz w:val="22"/>
                                  <w:szCs w:val="22"/>
                                </w:rPr>
                              </w:pPr>
                              <w:r>
                                <w:rPr>
                                  <w:sz w:val="22"/>
                                  <w:szCs w:val="22"/>
                                </w:rPr>
                                <w:t xml:space="preserve"> інші платежі на</w:t>
                              </w:r>
                            </w:p>
                            <w:p w:rsidR="00F821E3" w:rsidRDefault="00F821E3" w:rsidP="00110EE2">
                              <w:pPr>
                                <w:pStyle w:val="a3"/>
                                <w:spacing w:before="0" w:beforeAutospacing="0" w:after="0" w:afterAutospacing="0"/>
                                <w:jc w:val="center"/>
                                <w:rPr>
                                  <w:sz w:val="22"/>
                                  <w:szCs w:val="22"/>
                                </w:rPr>
                              </w:pPr>
                              <w:r>
                                <w:rPr>
                                  <w:sz w:val="22"/>
                                  <w:szCs w:val="22"/>
                                </w:rPr>
                                <w:t>користь банку;</w:t>
                              </w:r>
                            </w:p>
                            <w:p w:rsidR="00F821E3" w:rsidRDefault="00F821E3" w:rsidP="00110EE2">
                              <w:pPr>
                                <w:pStyle w:val="a3"/>
                                <w:spacing w:before="0" w:beforeAutospacing="0" w:after="0" w:afterAutospacing="0"/>
                                <w:jc w:val="center"/>
                                <w:rPr>
                                  <w:sz w:val="22"/>
                                  <w:szCs w:val="22"/>
                                </w:rPr>
                              </w:pPr>
                              <w:r>
                                <w:rPr>
                                  <w:sz w:val="22"/>
                                  <w:szCs w:val="22"/>
                                </w:rPr>
                                <w:t>дебіторська</w:t>
                              </w:r>
                            </w:p>
                            <w:p w:rsidR="00F821E3" w:rsidRDefault="00F821E3" w:rsidP="00110EE2">
                              <w:pPr>
                                <w:pStyle w:val="a3"/>
                                <w:spacing w:before="0" w:beforeAutospacing="0" w:after="0" w:afterAutospacing="0"/>
                                <w:jc w:val="center"/>
                                <w:rPr>
                                  <w:sz w:val="22"/>
                                  <w:szCs w:val="22"/>
                                </w:rPr>
                              </w:pPr>
                              <w:r>
                                <w:rPr>
                                  <w:sz w:val="22"/>
                                  <w:szCs w:val="22"/>
                                </w:rPr>
                                <w:t>заборгованість;</w:t>
                              </w:r>
                            </w:p>
                            <w:p w:rsidR="00F821E3" w:rsidRDefault="00F821E3" w:rsidP="00110EE2">
                              <w:pPr>
                                <w:pStyle w:val="a3"/>
                                <w:spacing w:before="0" w:beforeAutospacing="0" w:after="0" w:afterAutospacing="0"/>
                                <w:jc w:val="center"/>
                                <w:rPr>
                                  <w:sz w:val="22"/>
                                  <w:szCs w:val="22"/>
                                </w:rPr>
                              </w:pPr>
                              <w:r>
                                <w:rPr>
                                  <w:sz w:val="22"/>
                                  <w:szCs w:val="22"/>
                                </w:rPr>
                                <w:t>кошти на</w:t>
                              </w:r>
                            </w:p>
                            <w:p w:rsidR="00F821E3" w:rsidRDefault="00F821E3" w:rsidP="00110EE2">
                              <w:pPr>
                                <w:pStyle w:val="a3"/>
                                <w:spacing w:before="0" w:beforeAutospacing="0" w:after="0" w:afterAutospacing="0"/>
                                <w:jc w:val="center"/>
                                <w:rPr>
                                  <w:sz w:val="22"/>
                                  <w:szCs w:val="22"/>
                                </w:rPr>
                              </w:pPr>
                              <w:r>
                                <w:rPr>
                                  <w:sz w:val="22"/>
                                  <w:szCs w:val="22"/>
                                </w:rPr>
                                <w:t>коррахунках у</w:t>
                              </w:r>
                            </w:p>
                            <w:p w:rsidR="00F821E3" w:rsidRDefault="00F821E3" w:rsidP="00110EE2">
                              <w:pPr>
                                <w:pStyle w:val="a3"/>
                                <w:spacing w:before="0" w:beforeAutospacing="0" w:after="0" w:afterAutospacing="0" w:line="254" w:lineRule="auto"/>
                                <w:jc w:val="center"/>
                              </w:pPr>
                              <w:r>
                                <w:rPr>
                                  <w:sz w:val="22"/>
                                  <w:szCs w:val="22"/>
                                </w:rPr>
                                <w:t>банках»</w:t>
                              </w:r>
                            </w:p>
                          </w:txbxContent>
                        </wps:txbx>
                        <wps:bodyPr rot="0" vert="horz" wrap="square" lIns="91440" tIns="45720" rIns="91440" bIns="45720" anchor="ctr" anchorCtr="0" upright="1">
                          <a:noAutofit/>
                        </wps:bodyPr>
                      </wps:wsp>
                      <wps:wsp>
                        <wps:cNvPr id="35" name="Скругленный прямоугольник 75"/>
                        <wps:cNvSpPr>
                          <a:spLocks noChangeArrowheads="1"/>
                        </wps:cNvSpPr>
                        <wps:spPr bwMode="auto">
                          <a:xfrm>
                            <a:off x="3022210" y="1773366"/>
                            <a:ext cx="1468805" cy="2301312"/>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F821E3" w:rsidRDefault="00F821E3" w:rsidP="00110EE2">
                              <w:pPr>
                                <w:pStyle w:val="a3"/>
                                <w:spacing w:before="0" w:beforeAutospacing="0" w:after="0" w:afterAutospacing="0"/>
                                <w:jc w:val="center"/>
                                <w:rPr>
                                  <w:sz w:val="22"/>
                                  <w:szCs w:val="22"/>
                                </w:rPr>
                              </w:pPr>
                              <w:r>
                                <w:rPr>
                                  <w:sz w:val="22"/>
                                  <w:szCs w:val="22"/>
                                </w:rPr>
                                <w:t>«Довгострокові</w:t>
                              </w:r>
                            </w:p>
                            <w:p w:rsidR="00F821E3" w:rsidRDefault="00F821E3" w:rsidP="00110EE2">
                              <w:pPr>
                                <w:pStyle w:val="a3"/>
                                <w:spacing w:before="0" w:beforeAutospacing="0" w:after="0" w:afterAutospacing="0"/>
                                <w:jc w:val="center"/>
                                <w:rPr>
                                  <w:sz w:val="22"/>
                                  <w:szCs w:val="22"/>
                                </w:rPr>
                              </w:pPr>
                              <w:r>
                                <w:rPr>
                                  <w:sz w:val="22"/>
                                  <w:szCs w:val="22"/>
                                </w:rPr>
                                <w:t>кредити;</w:t>
                              </w:r>
                            </w:p>
                            <w:p w:rsidR="00F821E3" w:rsidRDefault="00F821E3" w:rsidP="00110EE2">
                              <w:pPr>
                                <w:pStyle w:val="a3"/>
                                <w:spacing w:before="0" w:beforeAutospacing="0" w:after="0" w:afterAutospacing="0"/>
                                <w:jc w:val="center"/>
                                <w:rPr>
                                  <w:sz w:val="22"/>
                                  <w:szCs w:val="22"/>
                                </w:rPr>
                              </w:pPr>
                              <w:r>
                                <w:rPr>
                                  <w:sz w:val="22"/>
                                  <w:szCs w:val="22"/>
                                </w:rPr>
                                <w:t>лізингові операції</w:t>
                              </w:r>
                            </w:p>
                            <w:p w:rsidR="00F821E3" w:rsidRDefault="00F821E3" w:rsidP="00110EE2">
                              <w:pPr>
                                <w:pStyle w:val="a3"/>
                                <w:spacing w:before="0" w:beforeAutospacing="0" w:after="0" w:afterAutospacing="0"/>
                                <w:jc w:val="center"/>
                                <w:rPr>
                                  <w:sz w:val="22"/>
                                  <w:szCs w:val="22"/>
                                </w:rPr>
                              </w:pPr>
                              <w:r>
                                <w:rPr>
                                  <w:sz w:val="22"/>
                                  <w:szCs w:val="22"/>
                                </w:rPr>
                                <w:t>банку;</w:t>
                              </w:r>
                            </w:p>
                            <w:p w:rsidR="00F821E3" w:rsidRDefault="00F821E3" w:rsidP="00110EE2">
                              <w:pPr>
                                <w:pStyle w:val="a3"/>
                                <w:spacing w:before="0" w:beforeAutospacing="0" w:after="0" w:afterAutospacing="0"/>
                                <w:jc w:val="center"/>
                                <w:rPr>
                                  <w:sz w:val="22"/>
                                  <w:szCs w:val="22"/>
                                </w:rPr>
                              </w:pPr>
                              <w:r>
                                <w:rPr>
                                  <w:sz w:val="22"/>
                                  <w:szCs w:val="22"/>
                                </w:rPr>
                                <w:t>дольова участь в</w:t>
                              </w:r>
                            </w:p>
                            <w:p w:rsidR="00F821E3" w:rsidRDefault="00F821E3" w:rsidP="00110EE2">
                              <w:pPr>
                                <w:pStyle w:val="a3"/>
                                <w:spacing w:before="0" w:beforeAutospacing="0" w:after="0" w:afterAutospacing="0"/>
                                <w:jc w:val="center"/>
                                <w:rPr>
                                  <w:sz w:val="22"/>
                                  <w:szCs w:val="22"/>
                                </w:rPr>
                              </w:pPr>
                              <w:r>
                                <w:rPr>
                                  <w:sz w:val="22"/>
                                  <w:szCs w:val="22"/>
                                </w:rPr>
                                <w:t>діяльності інших</w:t>
                              </w:r>
                            </w:p>
                            <w:p w:rsidR="00F821E3" w:rsidRDefault="00F821E3" w:rsidP="00110EE2">
                              <w:pPr>
                                <w:pStyle w:val="a3"/>
                                <w:spacing w:before="0" w:beforeAutospacing="0" w:after="0" w:afterAutospacing="0"/>
                                <w:jc w:val="center"/>
                                <w:rPr>
                                  <w:sz w:val="22"/>
                                  <w:szCs w:val="22"/>
                                </w:rPr>
                              </w:pPr>
                              <w:r>
                                <w:rPr>
                                  <w:sz w:val="22"/>
                                  <w:szCs w:val="22"/>
                                </w:rPr>
                                <w:t>підприємств та банків;</w:t>
                              </w:r>
                            </w:p>
                            <w:p w:rsidR="00F821E3" w:rsidRDefault="00F821E3" w:rsidP="00110EE2">
                              <w:pPr>
                                <w:pStyle w:val="a3"/>
                                <w:spacing w:before="0" w:beforeAutospacing="0" w:after="0" w:afterAutospacing="0"/>
                                <w:jc w:val="center"/>
                                <w:rPr>
                                  <w:sz w:val="22"/>
                                  <w:szCs w:val="22"/>
                                </w:rPr>
                              </w:pPr>
                              <w:r>
                                <w:rPr>
                                  <w:sz w:val="22"/>
                                  <w:szCs w:val="22"/>
                                </w:rPr>
                                <w:t>цінні папери,</w:t>
                              </w:r>
                            </w:p>
                            <w:p w:rsidR="00F821E3" w:rsidRDefault="00F821E3" w:rsidP="00110EE2">
                              <w:pPr>
                                <w:pStyle w:val="a3"/>
                                <w:spacing w:before="0" w:beforeAutospacing="0" w:after="0" w:afterAutospacing="0"/>
                                <w:jc w:val="center"/>
                                <w:rPr>
                                  <w:sz w:val="22"/>
                                  <w:szCs w:val="22"/>
                                </w:rPr>
                              </w:pPr>
                              <w:r>
                                <w:rPr>
                                  <w:sz w:val="22"/>
                                  <w:szCs w:val="22"/>
                                </w:rPr>
                                <w:t>придбані на</w:t>
                              </w:r>
                            </w:p>
                            <w:p w:rsidR="00F821E3" w:rsidRDefault="00F821E3" w:rsidP="00110EE2">
                              <w:pPr>
                                <w:pStyle w:val="a3"/>
                                <w:spacing w:before="0" w:beforeAutospacing="0" w:after="0" w:afterAutospacing="0"/>
                                <w:jc w:val="center"/>
                                <w:rPr>
                                  <w:sz w:val="22"/>
                                  <w:szCs w:val="22"/>
                                </w:rPr>
                              </w:pPr>
                              <w:r>
                                <w:rPr>
                                  <w:sz w:val="22"/>
                                  <w:szCs w:val="22"/>
                                </w:rPr>
                                <w:t>інвестиційні цілі;</w:t>
                              </w:r>
                            </w:p>
                            <w:p w:rsidR="00F821E3" w:rsidRDefault="00F821E3" w:rsidP="00110EE2">
                              <w:pPr>
                                <w:pStyle w:val="a3"/>
                                <w:spacing w:before="0" w:beforeAutospacing="0" w:after="0" w:afterAutospacing="0"/>
                                <w:jc w:val="center"/>
                                <w:rPr>
                                  <w:sz w:val="22"/>
                                  <w:szCs w:val="22"/>
                                </w:rPr>
                              </w:pPr>
                              <w:r>
                                <w:rPr>
                                  <w:sz w:val="22"/>
                                  <w:szCs w:val="22"/>
                                </w:rPr>
                                <w:t>нематеріальні активи»</w:t>
                              </w:r>
                            </w:p>
                          </w:txbxContent>
                        </wps:txbx>
                        <wps:bodyPr rot="0" vert="horz" wrap="square" lIns="91440" tIns="45720" rIns="91440" bIns="45720" anchor="ctr" anchorCtr="0" upright="1">
                          <a:noAutofit/>
                        </wps:bodyPr>
                      </wps:wsp>
                      <wps:wsp>
                        <wps:cNvPr id="36" name="Скругленный прямоугольник 77"/>
                        <wps:cNvSpPr>
                          <a:spLocks noChangeArrowheads="1"/>
                        </wps:cNvSpPr>
                        <wps:spPr bwMode="auto">
                          <a:xfrm>
                            <a:off x="4683415" y="1773366"/>
                            <a:ext cx="1394405" cy="2301312"/>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«Прострочені і</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безнадійні</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(проблемні)</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кредити;</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капітальні</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вкладення;</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будівлі, споруди і</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обладнання, що</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належать банку і</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відносяться до</w:t>
                              </w:r>
                            </w:p>
                            <w:p w:rsidR="00F821E3" w:rsidRDefault="00F821E3" w:rsidP="00110EE2">
                              <w:pPr>
                                <w:pStyle w:val="a3"/>
                                <w:spacing w:before="0" w:beforeAutospacing="0" w:after="0" w:afterAutospacing="0" w:line="252" w:lineRule="auto"/>
                                <w:jc w:val="center"/>
                              </w:pPr>
                              <w:r>
                                <w:rPr>
                                  <w:rFonts w:eastAsia="Times New Roman"/>
                                  <w:sz w:val="22"/>
                                  <w:szCs w:val="22"/>
                                </w:rPr>
                                <w:t>основних фондів»</w:t>
                              </w:r>
                            </w:p>
                          </w:txbxContent>
                        </wps:txbx>
                        <wps:bodyPr rot="0" vert="horz" wrap="square" lIns="91440" tIns="45720" rIns="91440" bIns="45720" anchor="ctr" anchorCtr="0" upright="1">
                          <a:noAutofit/>
                        </wps:bodyPr>
                      </wps:wsp>
                      <wps:wsp>
                        <wps:cNvPr id="37" name="Прямая соединительная линия 78"/>
                        <wps:cNvCnPr>
                          <a:cxnSpLocks noChangeShapeType="1"/>
                        </wps:cNvCnPr>
                        <wps:spPr bwMode="auto">
                          <a:xfrm flipH="1">
                            <a:off x="746702" y="820861"/>
                            <a:ext cx="1447805" cy="20580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8" name="Прямая соединительная линия 79"/>
                        <wps:cNvCnPr>
                          <a:cxnSpLocks noChangeShapeType="1"/>
                        </wps:cNvCnPr>
                        <wps:spPr bwMode="auto">
                          <a:xfrm flipH="1">
                            <a:off x="2194507" y="858961"/>
                            <a:ext cx="876303" cy="16770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9" name="Прямая соединительная линия 80"/>
                        <wps:cNvCnPr>
                          <a:cxnSpLocks noChangeShapeType="1"/>
                          <a:endCxn id="31" idx="0"/>
                        </wps:cNvCnPr>
                        <wps:spPr bwMode="auto">
                          <a:xfrm>
                            <a:off x="3070810" y="858961"/>
                            <a:ext cx="658202" cy="16770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0" name="Прямая соединительная линия 81"/>
                        <wps:cNvCnPr>
                          <a:cxnSpLocks noChangeShapeType="1"/>
                          <a:endCxn id="32" idx="0"/>
                        </wps:cNvCnPr>
                        <wps:spPr bwMode="auto">
                          <a:xfrm>
                            <a:off x="3954713" y="820715"/>
                            <a:ext cx="1430255" cy="205846"/>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1" name="Прямая соединительная линия 82"/>
                        <wps:cNvCnPr>
                          <a:cxnSpLocks noChangeShapeType="1"/>
                          <a:endCxn id="33" idx="0"/>
                        </wps:cNvCnPr>
                        <wps:spPr bwMode="auto">
                          <a:xfrm>
                            <a:off x="746702" y="1712466"/>
                            <a:ext cx="11400" cy="609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2" name="Прямая соединительная линия 83"/>
                        <wps:cNvCnPr>
                          <a:cxnSpLocks noChangeShapeType="1"/>
                          <a:stCxn id="30" idx="2"/>
                          <a:endCxn id="34" idx="0"/>
                        </wps:cNvCnPr>
                        <wps:spPr bwMode="auto">
                          <a:xfrm>
                            <a:off x="2202107" y="1712466"/>
                            <a:ext cx="19100" cy="609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3" name="Прямая соединительная линия 84"/>
                        <wps:cNvCnPr>
                          <a:cxnSpLocks noChangeShapeType="1"/>
                          <a:stCxn id="31" idx="2"/>
                          <a:endCxn id="35" idx="0"/>
                        </wps:cNvCnPr>
                        <wps:spPr bwMode="auto">
                          <a:xfrm>
                            <a:off x="3729012" y="1712466"/>
                            <a:ext cx="27600" cy="609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4" name="Прямая соединительная линия 85"/>
                        <wps:cNvCnPr>
                          <a:cxnSpLocks noChangeShapeType="1"/>
                          <a:stCxn id="32" idx="2"/>
                          <a:endCxn id="36" idx="0"/>
                        </wps:cNvCnPr>
                        <wps:spPr bwMode="auto">
                          <a:xfrm flipH="1">
                            <a:off x="5380618" y="1712466"/>
                            <a:ext cx="4300" cy="609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5" o:spid="_x0000_s1158" editas="canvas" style="width:483.6pt;height:349.2pt;mso-position-horizontal-relative:char;mso-position-vertical-relative:line" coordsize="61417,44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">
                <v:shape id="_x0000_s1159" type="#_x0000_t75" style="position:absolute;width:61417;height:44348;visibility:visible;mso-wrap-style:square">
                  <v:fill o:detectmouseclick="t"/>
                  <v:path o:connecttype="none"/>
                </v:shape>
                <v:roundrect id="Скругленный прямоугольник 47" o:spid="_x0000_s1160" style="position:absolute;left:21945;top:3255;width:17602;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" fillcolor="white [3212]" strokecolor="black [3213]" strokeweight="1pt">
                  <v:stroke joinstyle="miter"/>
                  <v:textbox>
                    <w:txbxContent>
                      <w:p w:rsidR="00F821E3" w:rsidRDefault="00F821E3" w:rsidP="00110EE2">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Активи банку за ступенем ліквідності</w:t>
                        </w:r>
                      </w:p>
                    </w:txbxContent>
                  </v:textbox>
                </v:roundrect>
                <v:roundrect id="Скругленный прямоугольник 69" o:spid="_x0000_s1161" style="position:absolute;left:609;top:10266;width:13640;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" fillcolor="white [3212]" strokecolor="black [3213]" strokeweight="1pt">
                  <v:stroke joinstyle="miter"/>
                  <v:textbox>
                    <w:txbxContent>
                      <w:p w:rsidR="00F821E3" w:rsidRDefault="00F821E3" w:rsidP="00110EE2">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Високоліквідні</w:t>
                        </w:r>
                      </w:p>
                      <w:p w:rsidR="00F821E3" w:rsidRDefault="00F821E3" w:rsidP="00110EE2">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активи </w:t>
                        </w:r>
                      </w:p>
                    </w:txbxContent>
                  </v:textbox>
                </v:roundrect>
                <v:roundrect id="Скругленный прямоугольник 70" o:spid="_x0000_s1162" style="position:absolute;left:15240;top:10266;width:13563;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" fillcolor="white [3212]" strokecolor="black [3213]" strokeweight="1pt">
                  <v:stroke joinstyle="miter"/>
                  <v:textbox>
                    <w:txbxContent>
                      <w:p w:rsidR="00F821E3" w:rsidRDefault="00F821E3" w:rsidP="00110EE2">
                        <w:p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Ліквідні активи </w:t>
                        </w:r>
                      </w:p>
                    </w:txbxContent>
                  </v:textbox>
                </v:roundrect>
                <v:roundrect id="Скругленный прямоугольник 71" o:spid="_x0000_s1163" style="position:absolute;left:29670;top:10266;width:15240;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" fillcolor="white [3212]" strokecolor="black [3213]" strokeweight="1pt">
                  <v:stroke joinstyle="miter"/>
                  <v:textbox>
                    <w:txbxContent>
                      <w:p w:rsidR="00F821E3" w:rsidRDefault="00F821E3" w:rsidP="00110EE2">
                        <w:pPr>
                          <w:spacing w:after="0" w:line="240" w:lineRule="auto"/>
                          <w:jc w:val="center"/>
                          <w:rPr>
                            <w:rFonts w:ascii="Times New Roman" w:hAnsi="Times New Roman"/>
                            <w:b/>
                            <w:color w:val="000000" w:themeColor="text1"/>
                          </w:rPr>
                        </w:pPr>
                        <w:r>
                          <w:rPr>
                            <w:rFonts w:ascii="Times New Roman" w:hAnsi="Times New Roman"/>
                            <w:b/>
                            <w:color w:val="000000" w:themeColor="text1"/>
                          </w:rPr>
                          <w:t>Активи</w:t>
                        </w:r>
                      </w:p>
                      <w:p w:rsidR="00F821E3" w:rsidRDefault="00F821E3" w:rsidP="00110EE2">
                        <w:pPr>
                          <w:spacing w:after="0" w:line="240" w:lineRule="auto"/>
                          <w:jc w:val="center"/>
                          <w:rPr>
                            <w:rFonts w:ascii="Times New Roman" w:hAnsi="Times New Roman"/>
                            <w:b/>
                            <w:color w:val="000000" w:themeColor="text1"/>
                          </w:rPr>
                        </w:pPr>
                        <w:r>
                          <w:rPr>
                            <w:rFonts w:ascii="Times New Roman" w:hAnsi="Times New Roman"/>
                            <w:b/>
                            <w:color w:val="000000" w:themeColor="text1"/>
                          </w:rPr>
                          <w:t>довгострокової</w:t>
                        </w:r>
                      </w:p>
                      <w:p w:rsidR="00F821E3" w:rsidRDefault="00F821E3" w:rsidP="00110EE2">
                        <w:pPr>
                          <w:jc w:val="center"/>
                          <w:rPr>
                            <w:rFonts w:ascii="Times New Roman" w:hAnsi="Times New Roman"/>
                            <w:b/>
                            <w:color w:val="000000" w:themeColor="text1"/>
                          </w:rPr>
                        </w:pPr>
                        <w:r>
                          <w:rPr>
                            <w:rFonts w:ascii="Times New Roman" w:hAnsi="Times New Roman"/>
                            <w:b/>
                            <w:color w:val="000000" w:themeColor="text1"/>
                          </w:rPr>
                          <w:t>ліквідності</w:t>
                        </w:r>
                      </w:p>
                    </w:txbxContent>
                  </v:textbox>
                </v:roundrect>
                <v:roundrect id="Скругленный прямоугольник 72" o:spid="_x0000_s1164" style="position:absolute;left:46282;top:10266;width:15135;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" fillcolor="white [3212]" strokecolor="black [3213]" strokeweight="1pt">
                  <v:stroke joinstyle="miter"/>
                  <v:textbox>
                    <w:txbxContent>
                      <w:p w:rsidR="00F821E3" w:rsidRDefault="00F821E3" w:rsidP="00110EE2">
                        <w:pPr>
                          <w:spacing w:after="0" w:line="240" w:lineRule="auto"/>
                          <w:jc w:val="center"/>
                          <w:rPr>
                            <w:rFonts w:ascii="Times New Roman" w:hAnsi="Times New Roman"/>
                            <w:b/>
                            <w:color w:val="000000" w:themeColor="text1"/>
                          </w:rPr>
                        </w:pPr>
                        <w:r>
                          <w:rPr>
                            <w:rFonts w:ascii="Times New Roman" w:hAnsi="Times New Roman"/>
                            <w:b/>
                            <w:color w:val="000000" w:themeColor="text1"/>
                          </w:rPr>
                          <w:t>Найменш ліквідні</w:t>
                        </w:r>
                      </w:p>
                      <w:p w:rsidR="00F821E3" w:rsidRDefault="00F821E3" w:rsidP="00110EE2">
                        <w:pPr>
                          <w:spacing w:after="0" w:line="240" w:lineRule="auto"/>
                          <w:jc w:val="center"/>
                          <w:rPr>
                            <w:rFonts w:ascii="Times New Roman" w:hAnsi="Times New Roman"/>
                            <w:b/>
                            <w:color w:val="000000" w:themeColor="text1"/>
                          </w:rPr>
                        </w:pPr>
                        <w:r>
                          <w:rPr>
                            <w:rFonts w:ascii="Times New Roman" w:hAnsi="Times New Roman"/>
                            <w:b/>
                            <w:color w:val="000000" w:themeColor="text1"/>
                          </w:rPr>
                          <w:t>або неліквідні</w:t>
                        </w:r>
                      </w:p>
                      <w:p w:rsidR="00F821E3" w:rsidRDefault="00F821E3" w:rsidP="00110EE2">
                        <w:pPr>
                          <w:jc w:val="center"/>
                          <w:rPr>
                            <w:rFonts w:ascii="Times New Roman" w:hAnsi="Times New Roman"/>
                            <w:b/>
                            <w:color w:val="000000" w:themeColor="text1"/>
                          </w:rPr>
                        </w:pPr>
                        <w:r>
                          <w:rPr>
                            <w:rFonts w:ascii="Times New Roman" w:hAnsi="Times New Roman"/>
                            <w:b/>
                            <w:color w:val="000000" w:themeColor="text1"/>
                          </w:rPr>
                          <w:t>активи</w:t>
                        </w:r>
                      </w:p>
                    </w:txbxContent>
                  </v:textbox>
                </v:roundrect>
                <v:roundrect id="Скругленный прямоугольник 73" o:spid="_x0000_s1165" style="position:absolute;left:609;top:17733;width:13945;height:23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" fillcolor="white [3201]" strokecolor="black [3213]" strokeweight="1pt">
                  <v:stroke joinstyle="miter"/>
                  <v:textbox>
                    <w:txbxContent>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«Грошові та прирівняні до них кошти;</w:t>
                        </w:r>
                      </w:p>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кошти на кореспондентських рахунках; вкладення в</w:t>
                        </w:r>
                      </w:p>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державні цінні папери;</w:t>
                        </w:r>
                      </w:p>
                      <w:p w:rsidR="00F821E3" w:rsidRDefault="00F821E3" w:rsidP="00110EE2">
                        <w:pPr>
                          <w:spacing w:after="0" w:line="240" w:lineRule="auto"/>
                          <w:jc w:val="center"/>
                          <w:rPr>
                            <w:rFonts w:ascii="Times New Roman" w:hAnsi="Times New Roman"/>
                            <w:color w:val="000000" w:themeColor="text1"/>
                          </w:rPr>
                        </w:pPr>
                        <w:r>
                          <w:rPr>
                            <w:rFonts w:ascii="Times New Roman" w:hAnsi="Times New Roman"/>
                            <w:color w:val="000000" w:themeColor="text1"/>
                          </w:rPr>
                          <w:t>кошти, надані різними позичальниками до запитання»</w:t>
                        </w:r>
                      </w:p>
                    </w:txbxContent>
                  </v:textbox>
                </v:roundrect>
                <v:roundrect id="Скругленный прямоугольник 74" o:spid="_x0000_s1166" style="position:absolute;left:15240;top:17733;width:13944;height:23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" fillcolor="white [3201]" strokecolor="black [3213]" strokeweight="1pt">
                  <v:stroke joinstyle="miter"/>
                  <v:textbox>
                    <w:txbxContent>
                      <w:p w:rsidR="00F821E3" w:rsidRDefault="00F821E3" w:rsidP="00110EE2">
                        <w:pPr>
                          <w:pStyle w:val="a3"/>
                          <w:spacing w:before="0" w:beforeAutospacing="0" w:after="0" w:afterAutospacing="0"/>
                          <w:jc w:val="center"/>
                          <w:rPr>
                            <w:sz w:val="22"/>
                            <w:szCs w:val="22"/>
                          </w:rPr>
                        </w:pPr>
                        <w:r>
                          <w:rPr>
                            <w:sz w:val="22"/>
                            <w:szCs w:val="22"/>
                          </w:rPr>
                          <w:t>«Кредити;</w:t>
                        </w:r>
                      </w:p>
                      <w:p w:rsidR="00F821E3" w:rsidRDefault="00F821E3" w:rsidP="00110EE2">
                        <w:pPr>
                          <w:pStyle w:val="a3"/>
                          <w:spacing w:before="0" w:beforeAutospacing="0" w:after="0" w:afterAutospacing="0"/>
                          <w:jc w:val="center"/>
                          <w:rPr>
                            <w:sz w:val="22"/>
                            <w:szCs w:val="22"/>
                          </w:rPr>
                        </w:pPr>
                        <w:r>
                          <w:rPr>
                            <w:sz w:val="22"/>
                            <w:szCs w:val="22"/>
                          </w:rPr>
                          <w:t>недержавні</w:t>
                        </w:r>
                      </w:p>
                      <w:p w:rsidR="00F821E3" w:rsidRDefault="00F821E3" w:rsidP="00110EE2">
                        <w:pPr>
                          <w:pStyle w:val="a3"/>
                          <w:spacing w:before="0" w:beforeAutospacing="0" w:after="0" w:afterAutospacing="0"/>
                          <w:jc w:val="center"/>
                          <w:rPr>
                            <w:sz w:val="22"/>
                            <w:szCs w:val="22"/>
                          </w:rPr>
                        </w:pPr>
                        <w:r>
                          <w:rPr>
                            <w:sz w:val="22"/>
                            <w:szCs w:val="22"/>
                          </w:rPr>
                          <w:t>цінні папери;</w:t>
                        </w:r>
                      </w:p>
                      <w:p w:rsidR="00F821E3" w:rsidRDefault="00F821E3" w:rsidP="00110EE2">
                        <w:pPr>
                          <w:pStyle w:val="a3"/>
                          <w:spacing w:before="0" w:beforeAutospacing="0" w:after="0" w:afterAutospacing="0"/>
                          <w:jc w:val="center"/>
                          <w:rPr>
                            <w:sz w:val="22"/>
                            <w:szCs w:val="22"/>
                          </w:rPr>
                        </w:pPr>
                        <w:r>
                          <w:rPr>
                            <w:sz w:val="22"/>
                            <w:szCs w:val="22"/>
                          </w:rPr>
                          <w:t xml:space="preserve"> інші платежі на</w:t>
                        </w:r>
                      </w:p>
                      <w:p w:rsidR="00F821E3" w:rsidRDefault="00F821E3" w:rsidP="00110EE2">
                        <w:pPr>
                          <w:pStyle w:val="a3"/>
                          <w:spacing w:before="0" w:beforeAutospacing="0" w:after="0" w:afterAutospacing="0"/>
                          <w:jc w:val="center"/>
                          <w:rPr>
                            <w:sz w:val="22"/>
                            <w:szCs w:val="22"/>
                          </w:rPr>
                        </w:pPr>
                        <w:r>
                          <w:rPr>
                            <w:sz w:val="22"/>
                            <w:szCs w:val="22"/>
                          </w:rPr>
                          <w:t>користь банку;</w:t>
                        </w:r>
                      </w:p>
                      <w:p w:rsidR="00F821E3" w:rsidRDefault="00F821E3" w:rsidP="00110EE2">
                        <w:pPr>
                          <w:pStyle w:val="a3"/>
                          <w:spacing w:before="0" w:beforeAutospacing="0" w:after="0" w:afterAutospacing="0"/>
                          <w:jc w:val="center"/>
                          <w:rPr>
                            <w:sz w:val="22"/>
                            <w:szCs w:val="22"/>
                          </w:rPr>
                        </w:pPr>
                        <w:r>
                          <w:rPr>
                            <w:sz w:val="22"/>
                            <w:szCs w:val="22"/>
                          </w:rPr>
                          <w:t>дебіторська</w:t>
                        </w:r>
                      </w:p>
                      <w:p w:rsidR="00F821E3" w:rsidRDefault="00F821E3" w:rsidP="00110EE2">
                        <w:pPr>
                          <w:pStyle w:val="a3"/>
                          <w:spacing w:before="0" w:beforeAutospacing="0" w:after="0" w:afterAutospacing="0"/>
                          <w:jc w:val="center"/>
                          <w:rPr>
                            <w:sz w:val="22"/>
                            <w:szCs w:val="22"/>
                          </w:rPr>
                        </w:pPr>
                        <w:r>
                          <w:rPr>
                            <w:sz w:val="22"/>
                            <w:szCs w:val="22"/>
                          </w:rPr>
                          <w:t>заборгованість;</w:t>
                        </w:r>
                      </w:p>
                      <w:p w:rsidR="00F821E3" w:rsidRDefault="00F821E3" w:rsidP="00110EE2">
                        <w:pPr>
                          <w:pStyle w:val="a3"/>
                          <w:spacing w:before="0" w:beforeAutospacing="0" w:after="0" w:afterAutospacing="0"/>
                          <w:jc w:val="center"/>
                          <w:rPr>
                            <w:sz w:val="22"/>
                            <w:szCs w:val="22"/>
                          </w:rPr>
                        </w:pPr>
                        <w:r>
                          <w:rPr>
                            <w:sz w:val="22"/>
                            <w:szCs w:val="22"/>
                          </w:rPr>
                          <w:t>кошти на</w:t>
                        </w:r>
                      </w:p>
                      <w:p w:rsidR="00F821E3" w:rsidRDefault="00F821E3" w:rsidP="00110EE2">
                        <w:pPr>
                          <w:pStyle w:val="a3"/>
                          <w:spacing w:before="0" w:beforeAutospacing="0" w:after="0" w:afterAutospacing="0"/>
                          <w:jc w:val="center"/>
                          <w:rPr>
                            <w:sz w:val="22"/>
                            <w:szCs w:val="22"/>
                          </w:rPr>
                        </w:pPr>
                        <w:r>
                          <w:rPr>
                            <w:sz w:val="22"/>
                            <w:szCs w:val="22"/>
                          </w:rPr>
                          <w:t>коррахунках у</w:t>
                        </w:r>
                      </w:p>
                      <w:p w:rsidR="00F821E3" w:rsidRDefault="00F821E3" w:rsidP="00110EE2">
                        <w:pPr>
                          <w:pStyle w:val="a3"/>
                          <w:spacing w:before="0" w:beforeAutospacing="0" w:after="0" w:afterAutospacing="0" w:line="254" w:lineRule="auto"/>
                          <w:jc w:val="center"/>
                        </w:pPr>
                        <w:r>
                          <w:rPr>
                            <w:sz w:val="22"/>
                            <w:szCs w:val="22"/>
                          </w:rPr>
                          <w:t>банках»</w:t>
                        </w:r>
                      </w:p>
                    </w:txbxContent>
                  </v:textbox>
                </v:roundrect>
                <v:roundrect id="Скругленный прямоугольник 75" o:spid="_x0000_s1167" style="position:absolute;left:30222;top:17733;width:14688;height:23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" fillcolor="white [3201]" strokecolor="black [3213]" strokeweight="1pt">
                  <v:stroke joinstyle="miter"/>
                  <v:textbox>
                    <w:txbxContent>
                      <w:p w:rsidR="00F821E3" w:rsidRDefault="00F821E3" w:rsidP="00110EE2">
                        <w:pPr>
                          <w:pStyle w:val="a3"/>
                          <w:spacing w:before="0" w:beforeAutospacing="0" w:after="0" w:afterAutospacing="0"/>
                          <w:jc w:val="center"/>
                          <w:rPr>
                            <w:sz w:val="22"/>
                            <w:szCs w:val="22"/>
                          </w:rPr>
                        </w:pPr>
                        <w:r>
                          <w:rPr>
                            <w:sz w:val="22"/>
                            <w:szCs w:val="22"/>
                          </w:rPr>
                          <w:t>«Довгострокові</w:t>
                        </w:r>
                      </w:p>
                      <w:p w:rsidR="00F821E3" w:rsidRDefault="00F821E3" w:rsidP="00110EE2">
                        <w:pPr>
                          <w:pStyle w:val="a3"/>
                          <w:spacing w:before="0" w:beforeAutospacing="0" w:after="0" w:afterAutospacing="0"/>
                          <w:jc w:val="center"/>
                          <w:rPr>
                            <w:sz w:val="22"/>
                            <w:szCs w:val="22"/>
                          </w:rPr>
                        </w:pPr>
                        <w:r>
                          <w:rPr>
                            <w:sz w:val="22"/>
                            <w:szCs w:val="22"/>
                          </w:rPr>
                          <w:t>кредити;</w:t>
                        </w:r>
                      </w:p>
                      <w:p w:rsidR="00F821E3" w:rsidRDefault="00F821E3" w:rsidP="00110EE2">
                        <w:pPr>
                          <w:pStyle w:val="a3"/>
                          <w:spacing w:before="0" w:beforeAutospacing="0" w:after="0" w:afterAutospacing="0"/>
                          <w:jc w:val="center"/>
                          <w:rPr>
                            <w:sz w:val="22"/>
                            <w:szCs w:val="22"/>
                          </w:rPr>
                        </w:pPr>
                        <w:r>
                          <w:rPr>
                            <w:sz w:val="22"/>
                            <w:szCs w:val="22"/>
                          </w:rPr>
                          <w:t>лізингові операції</w:t>
                        </w:r>
                      </w:p>
                      <w:p w:rsidR="00F821E3" w:rsidRDefault="00F821E3" w:rsidP="00110EE2">
                        <w:pPr>
                          <w:pStyle w:val="a3"/>
                          <w:spacing w:before="0" w:beforeAutospacing="0" w:after="0" w:afterAutospacing="0"/>
                          <w:jc w:val="center"/>
                          <w:rPr>
                            <w:sz w:val="22"/>
                            <w:szCs w:val="22"/>
                          </w:rPr>
                        </w:pPr>
                        <w:r>
                          <w:rPr>
                            <w:sz w:val="22"/>
                            <w:szCs w:val="22"/>
                          </w:rPr>
                          <w:t>банку;</w:t>
                        </w:r>
                      </w:p>
                      <w:p w:rsidR="00F821E3" w:rsidRDefault="00F821E3" w:rsidP="00110EE2">
                        <w:pPr>
                          <w:pStyle w:val="a3"/>
                          <w:spacing w:before="0" w:beforeAutospacing="0" w:after="0" w:afterAutospacing="0"/>
                          <w:jc w:val="center"/>
                          <w:rPr>
                            <w:sz w:val="22"/>
                            <w:szCs w:val="22"/>
                          </w:rPr>
                        </w:pPr>
                        <w:r>
                          <w:rPr>
                            <w:sz w:val="22"/>
                            <w:szCs w:val="22"/>
                          </w:rPr>
                          <w:t>дольова участь в</w:t>
                        </w:r>
                      </w:p>
                      <w:p w:rsidR="00F821E3" w:rsidRDefault="00F821E3" w:rsidP="00110EE2">
                        <w:pPr>
                          <w:pStyle w:val="a3"/>
                          <w:spacing w:before="0" w:beforeAutospacing="0" w:after="0" w:afterAutospacing="0"/>
                          <w:jc w:val="center"/>
                          <w:rPr>
                            <w:sz w:val="22"/>
                            <w:szCs w:val="22"/>
                          </w:rPr>
                        </w:pPr>
                        <w:r>
                          <w:rPr>
                            <w:sz w:val="22"/>
                            <w:szCs w:val="22"/>
                          </w:rPr>
                          <w:t>діяльності інших</w:t>
                        </w:r>
                      </w:p>
                      <w:p w:rsidR="00F821E3" w:rsidRDefault="00F821E3" w:rsidP="00110EE2">
                        <w:pPr>
                          <w:pStyle w:val="a3"/>
                          <w:spacing w:before="0" w:beforeAutospacing="0" w:after="0" w:afterAutospacing="0"/>
                          <w:jc w:val="center"/>
                          <w:rPr>
                            <w:sz w:val="22"/>
                            <w:szCs w:val="22"/>
                          </w:rPr>
                        </w:pPr>
                        <w:r>
                          <w:rPr>
                            <w:sz w:val="22"/>
                            <w:szCs w:val="22"/>
                          </w:rPr>
                          <w:t>підприємств та банків;</w:t>
                        </w:r>
                      </w:p>
                      <w:p w:rsidR="00F821E3" w:rsidRDefault="00F821E3" w:rsidP="00110EE2">
                        <w:pPr>
                          <w:pStyle w:val="a3"/>
                          <w:spacing w:before="0" w:beforeAutospacing="0" w:after="0" w:afterAutospacing="0"/>
                          <w:jc w:val="center"/>
                          <w:rPr>
                            <w:sz w:val="22"/>
                            <w:szCs w:val="22"/>
                          </w:rPr>
                        </w:pPr>
                        <w:r>
                          <w:rPr>
                            <w:sz w:val="22"/>
                            <w:szCs w:val="22"/>
                          </w:rPr>
                          <w:t>цінні папери,</w:t>
                        </w:r>
                      </w:p>
                      <w:p w:rsidR="00F821E3" w:rsidRDefault="00F821E3" w:rsidP="00110EE2">
                        <w:pPr>
                          <w:pStyle w:val="a3"/>
                          <w:spacing w:before="0" w:beforeAutospacing="0" w:after="0" w:afterAutospacing="0"/>
                          <w:jc w:val="center"/>
                          <w:rPr>
                            <w:sz w:val="22"/>
                            <w:szCs w:val="22"/>
                          </w:rPr>
                        </w:pPr>
                        <w:r>
                          <w:rPr>
                            <w:sz w:val="22"/>
                            <w:szCs w:val="22"/>
                          </w:rPr>
                          <w:t>придбані на</w:t>
                        </w:r>
                      </w:p>
                      <w:p w:rsidR="00F821E3" w:rsidRDefault="00F821E3" w:rsidP="00110EE2">
                        <w:pPr>
                          <w:pStyle w:val="a3"/>
                          <w:spacing w:before="0" w:beforeAutospacing="0" w:after="0" w:afterAutospacing="0"/>
                          <w:jc w:val="center"/>
                          <w:rPr>
                            <w:sz w:val="22"/>
                            <w:szCs w:val="22"/>
                          </w:rPr>
                        </w:pPr>
                        <w:r>
                          <w:rPr>
                            <w:sz w:val="22"/>
                            <w:szCs w:val="22"/>
                          </w:rPr>
                          <w:t>інвестиційні цілі;</w:t>
                        </w:r>
                      </w:p>
                      <w:p w:rsidR="00F821E3" w:rsidRDefault="00F821E3" w:rsidP="00110EE2">
                        <w:pPr>
                          <w:pStyle w:val="a3"/>
                          <w:spacing w:before="0" w:beforeAutospacing="0" w:after="0" w:afterAutospacing="0"/>
                          <w:jc w:val="center"/>
                          <w:rPr>
                            <w:sz w:val="22"/>
                            <w:szCs w:val="22"/>
                          </w:rPr>
                        </w:pPr>
                        <w:r>
                          <w:rPr>
                            <w:sz w:val="22"/>
                            <w:szCs w:val="22"/>
                          </w:rPr>
                          <w:t>нематеріальні активи»</w:t>
                        </w:r>
                      </w:p>
                    </w:txbxContent>
                  </v:textbox>
                </v:roundrect>
                <v:roundrect id="Скругленный прямоугольник 77" o:spid="_x0000_s1168" style="position:absolute;left:46834;top:17733;width:13944;height:23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" fillcolor="white [3201]" strokecolor="black [3213]" strokeweight="1pt">
                  <v:stroke joinstyle="miter"/>
                  <v:textbox>
                    <w:txbxContent>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«Прострочені і</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безнадійні</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(проблемні)</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кредити;</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капітальні</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вкладення;</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будівлі, споруди і</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обладнання, що</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належать банку і</w:t>
                        </w:r>
                      </w:p>
                      <w:p w:rsidR="00F821E3" w:rsidRDefault="00F821E3" w:rsidP="00110EE2">
                        <w:pPr>
                          <w:pStyle w:val="a3"/>
                          <w:spacing w:before="0" w:beforeAutospacing="0" w:after="0" w:afterAutospacing="0"/>
                          <w:jc w:val="center"/>
                          <w:rPr>
                            <w:rFonts w:eastAsia="Times New Roman"/>
                            <w:sz w:val="22"/>
                            <w:szCs w:val="22"/>
                          </w:rPr>
                        </w:pPr>
                        <w:r>
                          <w:rPr>
                            <w:rFonts w:eastAsia="Times New Roman"/>
                            <w:sz w:val="22"/>
                            <w:szCs w:val="22"/>
                          </w:rPr>
                          <w:t>відносяться до</w:t>
                        </w:r>
                      </w:p>
                      <w:p w:rsidR="00F821E3" w:rsidRDefault="00F821E3" w:rsidP="00110EE2">
                        <w:pPr>
                          <w:pStyle w:val="a3"/>
                          <w:spacing w:before="0" w:beforeAutospacing="0" w:after="0" w:afterAutospacing="0" w:line="252" w:lineRule="auto"/>
                          <w:jc w:val="center"/>
                        </w:pPr>
                        <w:r>
                          <w:rPr>
                            <w:rFonts w:eastAsia="Times New Roman"/>
                            <w:sz w:val="22"/>
                            <w:szCs w:val="22"/>
                          </w:rPr>
                          <w:t>основних фондів»</w:t>
                        </w:r>
                      </w:p>
                    </w:txbxContent>
                  </v:textbox>
                </v:roundrect>
                <v:line id="Прямая соединительная линия 78" o:spid="_x0000_s1169" style="position:absolute;flip:x;visibility:visible;mso-wrap-style:square" from="7467,8208" to="21945,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" strokecolor="black [3200]" strokeweight=".5pt">
                  <v:stroke joinstyle="miter"/>
                </v:line>
                <v:line id="Прямая соединительная линия 79" o:spid="_x0000_s1170" style="position:absolute;flip:x;visibility:visible;mso-wrap-style:square" from="21945,8589" to="30708,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" strokecolor="black [3200]" strokeweight=".5pt">
                  <v:stroke joinstyle="miter"/>
                </v:line>
                <v:line id="Прямая соединительная линия 80" o:spid="_x0000_s1171" style="position:absolute;visibility:visible;mso-wrap-style:square" from="30708,8589" to="37290,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" strokecolor="black [3200]" strokeweight=".5pt">
                  <v:stroke joinstyle="miter"/>
                </v:line>
                <v:line id="Прямая соединительная линия 81" o:spid="_x0000_s1172" style="position:absolute;visibility:visible;mso-wrap-style:square" from="39547,8207" to="5384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CuwgAAANsAAAAPAAAAZHJzL2Rvd25yZXYueG1sRE9da8Iw&#10;FH0X9h/CHexFNN0m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ACclCuwgAAANsAAAAPAAAA&#10;AAAAAAAAAAAAAAcCAABkcnMvZG93bnJldi54bWxQSwUGAAAAAAMAAwC3AAAA9gIAAAAA&#10;" strokecolor="black [3200]" strokeweight=".5pt">
                  <v:stroke joinstyle="miter"/>
                </v:line>
                <v:line id="Прямая соединительная линия 82" o:spid="_x0000_s1173" style="position:absolute;visibility:visible;mso-wrap-style:square" from="7467,17124" to="7581,1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Прямая соединительная линия 83" o:spid="_x0000_s1174" style="position:absolute;visibility:visible;mso-wrap-style:square" from="22021,17124" to="22212,1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v:line id="Прямая соединительная линия 84" o:spid="_x0000_s1175" style="position:absolute;visibility:visible;mso-wrap-style:square" from="37290,17124" to="37566,1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7ZxQAAANsAAAAPAAAAZHJzL2Rvd25yZXYueG1sRI9Ba8JA&#10;FITvQv/D8gpeRDdqK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DyoM7ZxQAAANsAAAAP&#10;AAAAAAAAAAAAAAAAAAcCAABkcnMvZG93bnJldi54bWxQSwUGAAAAAAMAAwC3AAAA+QIAAAAA&#10;" strokecolor="black [3200]" strokeweight=".5pt">
                  <v:stroke joinstyle="miter"/>
                </v:line>
                <v:line id="Прямая соединительная линия 85" o:spid="_x0000_s1176" style="position:absolute;flip:x;visibility:visible;mso-wrap-style:square" from="53806,17124" to="53849,1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" strokecolor="black [3200]" strokeweight=".5pt">
                  <v:stroke joinstyle="miter"/>
                </v:line>
                <w10:anchorlock/>
              </v:group>
            </w:pict>
          </mc:Fallback>
        </mc:AlternateContent>
      </w:r>
    </w:p>
    <w:p w:rsidR="00110EE2" w:rsidRDefault="00BF1D5F" w:rsidP="00110EE2">
      <w:pPr>
        <w:spacing w:after="0" w:line="360" w:lineRule="auto"/>
        <w:ind w:firstLine="709"/>
        <w:jc w:val="center"/>
        <w:rPr>
          <w:rFonts w:ascii="Times New Roman" w:hAnsi="Times New Roman"/>
          <w:sz w:val="28"/>
          <w:szCs w:val="28"/>
        </w:rPr>
      </w:pPr>
      <w:r>
        <w:rPr>
          <w:rFonts w:ascii="Times New Roman" w:hAnsi="Times New Roman"/>
          <w:sz w:val="28"/>
          <w:szCs w:val="28"/>
        </w:rPr>
        <w:t>Рис. 1.</w:t>
      </w:r>
      <w:r w:rsidR="00C06595">
        <w:rPr>
          <w:rFonts w:ascii="Times New Roman" w:hAnsi="Times New Roman"/>
          <w:sz w:val="28"/>
          <w:szCs w:val="28"/>
        </w:rPr>
        <w:t>10</w:t>
      </w:r>
      <w:r w:rsidR="00110EE2">
        <w:rPr>
          <w:rFonts w:ascii="Times New Roman" w:hAnsi="Times New Roman"/>
          <w:sz w:val="28"/>
          <w:szCs w:val="28"/>
        </w:rPr>
        <w:t>. Поділ активів б</w:t>
      </w:r>
      <w:r>
        <w:rPr>
          <w:rFonts w:ascii="Times New Roman" w:hAnsi="Times New Roman"/>
          <w:sz w:val="28"/>
          <w:szCs w:val="28"/>
        </w:rPr>
        <w:t>анку за ступенем ліквідності [38</w:t>
      </w:r>
      <w:r w:rsidR="00110EE2">
        <w:rPr>
          <w:rFonts w:ascii="Times New Roman" w:hAnsi="Times New Roman"/>
          <w:sz w:val="28"/>
          <w:szCs w:val="28"/>
        </w:rPr>
        <w:t>, с. 29]</w:t>
      </w:r>
    </w:p>
    <w:p w:rsidR="00110EE2" w:rsidRDefault="00110EE2" w:rsidP="00623F5C">
      <w:pPr>
        <w:spacing w:before="120" w:after="0" w:line="367" w:lineRule="auto"/>
        <w:ind w:firstLine="709"/>
        <w:jc w:val="both"/>
        <w:rPr>
          <w:rFonts w:ascii="Times New Roman" w:hAnsi="Times New Roman"/>
          <w:sz w:val="28"/>
          <w:szCs w:val="28"/>
        </w:rPr>
      </w:pPr>
      <w:r>
        <w:rPr>
          <w:rFonts w:ascii="Times New Roman" w:hAnsi="Times New Roman"/>
          <w:sz w:val="28"/>
          <w:szCs w:val="28"/>
        </w:rPr>
        <w:t>Узагальнимо, структура активів є величенною непостійною, вона може змінюватись залежно від зміни пасивів. Отже для досягнення раціональної структури активів банк повинен виконувати встановлені вимоги щодо ліквідності, тобто мати оптимальну величину високоліквідних, ліквідних і менш ліквідних коштів по відношенню до зобов’язань з врах</w:t>
      </w:r>
      <w:r w:rsidR="00842869">
        <w:rPr>
          <w:rFonts w:ascii="Times New Roman" w:hAnsi="Times New Roman"/>
          <w:sz w:val="28"/>
          <w:szCs w:val="28"/>
        </w:rPr>
        <w:t>уванням строків, сум і типів [39</w:t>
      </w:r>
      <w:r>
        <w:rPr>
          <w:rFonts w:ascii="Times New Roman" w:hAnsi="Times New Roman"/>
          <w:sz w:val="28"/>
          <w:szCs w:val="28"/>
        </w:rPr>
        <w:t>, с. 395].</w:t>
      </w:r>
    </w:p>
    <w:p w:rsidR="0090393A" w:rsidRDefault="0090393A" w:rsidP="00380AF2">
      <w:pPr>
        <w:spacing w:after="0" w:line="367" w:lineRule="auto"/>
        <w:ind w:firstLine="709"/>
        <w:jc w:val="both"/>
      </w:pPr>
      <w:r w:rsidRPr="0090393A">
        <w:rPr>
          <w:rFonts w:ascii="Times New Roman" w:hAnsi="Times New Roman"/>
          <w:sz w:val="28"/>
          <w:szCs w:val="28"/>
        </w:rPr>
        <w:t>В зарубіжній практиці загальний резерв ліквідності поділяють на первинний і вторинний резерви</w:t>
      </w:r>
      <w:r w:rsidR="00521933">
        <w:rPr>
          <w:rFonts w:ascii="Times New Roman" w:hAnsi="Times New Roman"/>
          <w:sz w:val="28"/>
          <w:szCs w:val="28"/>
        </w:rPr>
        <w:t xml:space="preserve"> (див. рис. 1.11</w:t>
      </w:r>
      <w:r w:rsidR="00B32323">
        <w:rPr>
          <w:rFonts w:ascii="Times New Roman" w:hAnsi="Times New Roman"/>
          <w:sz w:val="28"/>
          <w:szCs w:val="28"/>
        </w:rPr>
        <w:t>).</w:t>
      </w:r>
      <w:r>
        <w:t xml:space="preserve"> </w:t>
      </w:r>
    </w:p>
    <w:p w:rsidR="00380AF2" w:rsidRDefault="00380AF2" w:rsidP="00380AF2">
      <w:pPr>
        <w:spacing w:after="0" w:line="367" w:lineRule="auto"/>
        <w:ind w:firstLine="709"/>
        <w:jc w:val="both"/>
        <w:rPr>
          <w:rFonts w:ascii="Times New Roman" w:hAnsi="Times New Roman"/>
          <w:sz w:val="28"/>
          <w:szCs w:val="28"/>
        </w:rPr>
      </w:pPr>
      <w:r>
        <w:rPr>
          <w:rFonts w:ascii="Times New Roman" w:hAnsi="Times New Roman"/>
          <w:sz w:val="28"/>
          <w:szCs w:val="28"/>
        </w:rPr>
        <w:t xml:space="preserve">Структурний аналіз активів і пасивів дає інформаційну базу для аналізу ліквідності, однак для отримання більш повної картини застосовують метод </w:t>
      </w:r>
      <w:proofErr w:type="spellStart"/>
      <w:r w:rsidR="00931E0B">
        <w:rPr>
          <w:rFonts w:ascii="Times New Roman" w:hAnsi="Times New Roman"/>
          <w:sz w:val="28"/>
          <w:szCs w:val="28"/>
        </w:rPr>
        <w:t>G</w:t>
      </w:r>
      <w:r>
        <w:rPr>
          <w:rFonts w:ascii="Times New Roman" w:hAnsi="Times New Roman"/>
          <w:sz w:val="28"/>
          <w:szCs w:val="28"/>
        </w:rPr>
        <w:t>ap</w:t>
      </w:r>
      <w:proofErr w:type="spellEnd"/>
      <w:r>
        <w:rPr>
          <w:rFonts w:ascii="Times New Roman" w:hAnsi="Times New Roman"/>
          <w:sz w:val="28"/>
          <w:szCs w:val="28"/>
        </w:rPr>
        <w:t>-аналізу, метод загального фонду коштів та метод розподілу активів [30, с. 254-261].</w:t>
      </w:r>
    </w:p>
    <w:p w:rsidR="00380AF2" w:rsidRDefault="00380AF2" w:rsidP="00380AF2">
      <w:pPr>
        <w:spacing w:after="0" w:line="367" w:lineRule="auto"/>
        <w:ind w:firstLine="709"/>
        <w:jc w:val="both"/>
      </w:pPr>
    </w:p>
    <w:p w:rsidR="00B32323" w:rsidRDefault="00B32323" w:rsidP="00110EE2">
      <w:pPr>
        <w:spacing w:after="0" w:line="360" w:lineRule="auto"/>
        <w:ind w:firstLine="709"/>
        <w:jc w:val="both"/>
      </w:pPr>
      <w:r>
        <w:rPr>
          <w:noProof/>
          <w:lang w:eastAsia="uk-UA"/>
        </w:rPr>
        <w:lastRenderedPageBreak/>
        <mc:AlternateContent>
          <mc:Choice Requires="wpc">
            <w:drawing>
              <wp:inline distT="0" distB="0" distL="0" distR="0">
                <wp:extent cx="5486400" cy="3497580"/>
                <wp:effectExtent l="0" t="0" r="0" b="0"/>
                <wp:docPr id="159" name="Полотно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0" name="Прямоугольник 160"/>
                        <wps:cNvSpPr/>
                        <wps:spPr>
                          <a:xfrm>
                            <a:off x="1600200" y="106680"/>
                            <a:ext cx="2263140" cy="3962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B32323" w:rsidRDefault="00F821E3" w:rsidP="00B32323">
                              <w:pPr>
                                <w:jc w:val="center"/>
                                <w:rPr>
                                  <w:rFonts w:ascii="Times New Roman" w:hAnsi="Times New Roman"/>
                                  <w:color w:val="000000" w:themeColor="text1"/>
                                  <w:sz w:val="24"/>
                                  <w:szCs w:val="24"/>
                                </w:rPr>
                              </w:pPr>
                              <w:r>
                                <w:rPr>
                                  <w:rFonts w:ascii="Times New Roman" w:hAnsi="Times New Roman"/>
                                  <w:color w:val="000000" w:themeColor="text1"/>
                                  <w:sz w:val="24"/>
                                  <w:szCs w:val="24"/>
                                </w:rPr>
                                <w:t>З</w:t>
                              </w:r>
                              <w:r w:rsidRPr="00B32323">
                                <w:rPr>
                                  <w:rFonts w:ascii="Times New Roman" w:hAnsi="Times New Roman"/>
                                  <w:color w:val="000000" w:themeColor="text1"/>
                                  <w:sz w:val="24"/>
                                  <w:szCs w:val="24"/>
                                </w:rPr>
                                <w:t>агальний резерв ліквідності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Прямая со стрелкой 161"/>
                        <wps:cNvCnPr>
                          <a:stCxn id="160" idx="2"/>
                        </wps:cNvCnPr>
                        <wps:spPr>
                          <a:xfrm flipH="1">
                            <a:off x="1516380" y="502920"/>
                            <a:ext cx="121539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 name="Прямая со стрелкой 162"/>
                        <wps:cNvCnPr/>
                        <wps:spPr>
                          <a:xfrm>
                            <a:off x="2731770" y="502920"/>
                            <a:ext cx="129921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 name="Прямоугольник 163"/>
                        <wps:cNvSpPr/>
                        <wps:spPr>
                          <a:xfrm>
                            <a:off x="586740" y="815340"/>
                            <a:ext cx="1744980" cy="5105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B32323" w:rsidRDefault="00F821E3" w:rsidP="00B32323">
                              <w:pPr>
                                <w:jc w:val="center"/>
                                <w:rPr>
                                  <w:rFonts w:ascii="Times New Roman" w:hAnsi="Times New Roman"/>
                                  <w:color w:val="000000" w:themeColor="text1"/>
                                </w:rPr>
                              </w:pPr>
                              <w:r w:rsidRPr="00B32323">
                                <w:rPr>
                                  <w:rFonts w:ascii="Times New Roman" w:hAnsi="Times New Roman"/>
                                  <w:color w:val="000000" w:themeColor="text1"/>
                                </w:rPr>
                                <w:t>Первинний резерв ліквідності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Прямоугольник 164"/>
                        <wps:cNvSpPr/>
                        <wps:spPr>
                          <a:xfrm>
                            <a:off x="3151800" y="815340"/>
                            <a:ext cx="1744980" cy="5105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B32323">
                              <w:pPr>
                                <w:pStyle w:val="a3"/>
                                <w:spacing w:before="0" w:beforeAutospacing="0" w:after="160" w:afterAutospacing="0" w:line="254" w:lineRule="auto"/>
                                <w:jc w:val="center"/>
                              </w:pPr>
                              <w:r w:rsidRPr="00B32323">
                                <w:rPr>
                                  <w:rFonts w:eastAsia="Calibri"/>
                                  <w:color w:val="000000"/>
                                  <w:sz w:val="22"/>
                                  <w:szCs w:val="22"/>
                                </w:rPr>
                                <w:t>Вторинний</w:t>
                              </w:r>
                              <w:r>
                                <w:rPr>
                                  <w:rFonts w:eastAsia="Calibri"/>
                                  <w:color w:val="000000"/>
                                  <w:sz w:val="22"/>
                                  <w:szCs w:val="22"/>
                                </w:rPr>
                                <w:t xml:space="preserve"> резерв ліквідності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Прямая соединительная линия 165"/>
                        <wps:cNvCnPr/>
                        <wps:spPr>
                          <a:xfrm>
                            <a:off x="1455420" y="1325880"/>
                            <a:ext cx="0" cy="205740"/>
                          </a:xfrm>
                          <a:prstGeom prst="line">
                            <a:avLst/>
                          </a:prstGeom>
                        </wps:spPr>
                        <wps:style>
                          <a:lnRef idx="1">
                            <a:schemeClr val="dk1"/>
                          </a:lnRef>
                          <a:fillRef idx="0">
                            <a:schemeClr val="dk1"/>
                          </a:fillRef>
                          <a:effectRef idx="0">
                            <a:schemeClr val="dk1"/>
                          </a:effectRef>
                          <a:fontRef idx="minor">
                            <a:schemeClr val="tx1"/>
                          </a:fontRef>
                        </wps:style>
                        <wps:bodyPr/>
                      </wps:wsp>
                      <wps:wsp>
                        <wps:cNvPr id="166" name="Прямоугольник 166"/>
                        <wps:cNvSpPr/>
                        <wps:spPr>
                          <a:xfrm>
                            <a:off x="342900" y="1531620"/>
                            <a:ext cx="2240280" cy="18973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C37915">
                              <w:pPr>
                                <w:jc w:val="center"/>
                              </w:pPr>
                              <w:r>
                                <w:rPr>
                                  <w:rFonts w:ascii="Times New Roman" w:hAnsi="Times New Roman"/>
                                  <w:color w:val="000000" w:themeColor="text1"/>
                                </w:rPr>
                                <w:t>В</w:t>
                              </w:r>
                              <w:r w:rsidRPr="00C37915">
                                <w:rPr>
                                  <w:rFonts w:ascii="Times New Roman" w:hAnsi="Times New Roman"/>
                                  <w:color w:val="000000" w:themeColor="text1"/>
                                </w:rPr>
                                <w:t>ключає в себе грошові кошти, чеки та інші платіжні документи в процесі інкасації, кошти на рахунках</w:t>
                              </w:r>
                              <w:r w:rsidRPr="00C37915">
                                <w:rPr>
                                  <w:color w:val="000000" w:themeColor="text1"/>
                                </w:rPr>
                                <w:t xml:space="preserve"> </w:t>
                              </w:r>
                              <w:r w:rsidRPr="00C37915">
                                <w:rPr>
                                  <w:rFonts w:ascii="Times New Roman" w:hAnsi="Times New Roman"/>
                                  <w:color w:val="000000" w:themeColor="text1"/>
                                </w:rPr>
                                <w:t>обов’язкових резервів і на кореспондентських рахунках в інших банках.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Прямая соединительная линия 167"/>
                        <wps:cNvCnPr/>
                        <wps:spPr>
                          <a:xfrm>
                            <a:off x="4030980" y="1325880"/>
                            <a:ext cx="0" cy="205740"/>
                          </a:xfrm>
                          <a:prstGeom prst="line">
                            <a:avLst/>
                          </a:prstGeom>
                        </wps:spPr>
                        <wps:style>
                          <a:lnRef idx="1">
                            <a:schemeClr val="dk1"/>
                          </a:lnRef>
                          <a:fillRef idx="0">
                            <a:schemeClr val="dk1"/>
                          </a:fillRef>
                          <a:effectRef idx="0">
                            <a:schemeClr val="dk1"/>
                          </a:effectRef>
                          <a:fontRef idx="minor">
                            <a:schemeClr val="tx1"/>
                          </a:fontRef>
                        </wps:style>
                        <wps:bodyPr/>
                      </wps:wsp>
                      <wps:wsp>
                        <wps:cNvPr id="168" name="Прямоугольник 168"/>
                        <wps:cNvSpPr/>
                        <wps:spPr>
                          <a:xfrm>
                            <a:off x="2785110" y="1531620"/>
                            <a:ext cx="2545080" cy="18973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C37915" w:rsidRDefault="00F821E3" w:rsidP="00C37915">
                              <w:pPr>
                                <w:jc w:val="center"/>
                                <w:rPr>
                                  <w:color w:val="000000" w:themeColor="text1"/>
                                </w:rPr>
                              </w:pPr>
                              <w:r w:rsidRPr="00C37915">
                                <w:rPr>
                                  <w:rFonts w:ascii="Times New Roman" w:hAnsi="Times New Roman"/>
                                  <w:color w:val="000000" w:themeColor="text1"/>
                                  <w:sz w:val="24"/>
                                  <w:szCs w:val="24"/>
                                </w:rPr>
                                <w:t>відносяться менш ліквідні порівняно з першою групою активи, які також можна трансформувати в грошові кошти за короткий термін при мінімальних ризиках, а саме: портфель державних цінних паперів і в деяких випадках кошти на позичкових рахунках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59" o:spid="_x0000_s1177" editas="canvas" style="width:6in;height:275.4pt;mso-position-horizontal-relative:char;mso-position-vertical-relative:line" coordsize="54864,3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">
                <v:shape id="_x0000_s1178" type="#_x0000_t75" style="position:absolute;width:54864;height:34975;visibility:visible;mso-wrap-style:square">
                  <v:fill o:detectmouseclick="t"/>
                  <v:path o:connecttype="none"/>
                </v:shape>
                <v:rect id="Прямоугольник 160" o:spid="_x0000_s1179" style="position:absolute;left:16002;top:1066;width:22631;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" fillcolor="white [3212]" strokecolor="black [3213]" strokeweight="1pt">
                  <v:textbox>
                    <w:txbxContent>
                      <w:p w:rsidR="00F821E3" w:rsidRPr="00B32323" w:rsidRDefault="00F821E3" w:rsidP="00B32323">
                        <w:pPr>
                          <w:jc w:val="center"/>
                          <w:rPr>
                            <w:rFonts w:ascii="Times New Roman" w:hAnsi="Times New Roman"/>
                            <w:color w:val="000000" w:themeColor="text1"/>
                            <w:sz w:val="24"/>
                            <w:szCs w:val="24"/>
                          </w:rPr>
                        </w:pPr>
                        <w:r>
                          <w:rPr>
                            <w:rFonts w:ascii="Times New Roman" w:hAnsi="Times New Roman"/>
                            <w:color w:val="000000" w:themeColor="text1"/>
                            <w:sz w:val="24"/>
                            <w:szCs w:val="24"/>
                          </w:rPr>
                          <w:t>З</w:t>
                        </w:r>
                        <w:r w:rsidRPr="00B32323">
                          <w:rPr>
                            <w:rFonts w:ascii="Times New Roman" w:hAnsi="Times New Roman"/>
                            <w:color w:val="000000" w:themeColor="text1"/>
                            <w:sz w:val="24"/>
                            <w:szCs w:val="24"/>
                          </w:rPr>
                          <w:t>агальний резерв ліквідності</w:t>
                        </w:r>
                      </w:p>
                    </w:txbxContent>
                  </v:textbox>
                </v:rect>
                <v:shape id="Прямая со стрелкой 161" o:spid="_x0000_s1180" type="#_x0000_t32" style="position:absolute;left:15163;top:5029;width:12154;height:31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" strokecolor="black [3200]" strokeweight=".5pt">
                  <v:stroke endarrow="block" joinstyle="miter"/>
                </v:shape>
                <v:shape id="Прямая со стрелкой 162" o:spid="_x0000_s1181" type="#_x0000_t32" style="position:absolute;left:27317;top:5029;width:12992;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" strokecolor="black [3200]" strokeweight=".5pt">
                  <v:stroke endarrow="block" joinstyle="miter"/>
                </v:shape>
                <v:rect id="Прямоугольник 163" o:spid="_x0000_s1182" style="position:absolute;left:5867;top:8153;width:17450;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" fillcolor="white [3212]" strokecolor="black [3213]" strokeweight="1pt">
                  <v:textbox>
                    <w:txbxContent>
                      <w:p w:rsidR="00F821E3" w:rsidRPr="00B32323" w:rsidRDefault="00F821E3" w:rsidP="00B32323">
                        <w:pPr>
                          <w:jc w:val="center"/>
                          <w:rPr>
                            <w:rFonts w:ascii="Times New Roman" w:hAnsi="Times New Roman"/>
                            <w:color w:val="000000" w:themeColor="text1"/>
                          </w:rPr>
                        </w:pPr>
                        <w:r w:rsidRPr="00B32323">
                          <w:rPr>
                            <w:rFonts w:ascii="Times New Roman" w:hAnsi="Times New Roman"/>
                            <w:color w:val="000000" w:themeColor="text1"/>
                          </w:rPr>
                          <w:t>Первинний резерв ліквідності</w:t>
                        </w:r>
                      </w:p>
                    </w:txbxContent>
                  </v:textbox>
                </v:rect>
                <v:rect id="Прямоугольник 164" o:spid="_x0000_s1183" style="position:absolute;left:31518;top:8153;width:17449;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" fillcolor="white [3212]" strokecolor="black [3213]" strokeweight="1pt">
                  <v:textbox>
                    <w:txbxContent>
                      <w:p w:rsidR="00F821E3" w:rsidRDefault="00F821E3" w:rsidP="00B32323">
                        <w:pPr>
                          <w:pStyle w:val="a3"/>
                          <w:spacing w:before="0" w:beforeAutospacing="0" w:after="160" w:afterAutospacing="0" w:line="254" w:lineRule="auto"/>
                          <w:jc w:val="center"/>
                        </w:pPr>
                        <w:r w:rsidRPr="00B32323">
                          <w:rPr>
                            <w:rFonts w:eastAsia="Calibri"/>
                            <w:color w:val="000000"/>
                            <w:sz w:val="22"/>
                            <w:szCs w:val="22"/>
                          </w:rPr>
                          <w:t>Вторинний</w:t>
                        </w:r>
                        <w:r>
                          <w:rPr>
                            <w:rFonts w:eastAsia="Calibri"/>
                            <w:color w:val="000000"/>
                            <w:sz w:val="22"/>
                            <w:szCs w:val="22"/>
                          </w:rPr>
                          <w:t xml:space="preserve"> резерв ліквідності</w:t>
                        </w:r>
                      </w:p>
                    </w:txbxContent>
                  </v:textbox>
                </v:rect>
                <v:line id="Прямая соединительная линия 165" o:spid="_x0000_s1184" style="position:absolute;visibility:visible;mso-wrap-style:square" from="14554,13258" to="1455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" strokecolor="black [3200]" strokeweight=".5pt">
                  <v:stroke joinstyle="miter"/>
                </v:line>
                <v:rect id="Прямоугольник 166" o:spid="_x0000_s1185" style="position:absolute;left:3429;top:15316;width:22402;height:18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" fillcolor="white [3212]" strokecolor="black [3213]" strokeweight="1pt">
                  <v:textbox>
                    <w:txbxContent>
                      <w:p w:rsidR="00F821E3" w:rsidRDefault="00F821E3" w:rsidP="00C37915">
                        <w:pPr>
                          <w:jc w:val="center"/>
                        </w:pPr>
                        <w:r>
                          <w:rPr>
                            <w:rFonts w:ascii="Times New Roman" w:hAnsi="Times New Roman"/>
                            <w:color w:val="000000" w:themeColor="text1"/>
                          </w:rPr>
                          <w:t>В</w:t>
                        </w:r>
                        <w:r w:rsidRPr="00C37915">
                          <w:rPr>
                            <w:rFonts w:ascii="Times New Roman" w:hAnsi="Times New Roman"/>
                            <w:color w:val="000000" w:themeColor="text1"/>
                          </w:rPr>
                          <w:t>ключає в себе грошові кошти, чеки та інші платіжні документи в процесі інкасації, кошти на рахунках</w:t>
                        </w:r>
                        <w:r w:rsidRPr="00C37915">
                          <w:rPr>
                            <w:color w:val="000000" w:themeColor="text1"/>
                          </w:rPr>
                          <w:t xml:space="preserve"> </w:t>
                        </w:r>
                        <w:r w:rsidRPr="00C37915">
                          <w:rPr>
                            <w:rFonts w:ascii="Times New Roman" w:hAnsi="Times New Roman"/>
                            <w:color w:val="000000" w:themeColor="text1"/>
                          </w:rPr>
                          <w:t>обов’язкових резервів і на кореспондентських рахунках в інших банках.</w:t>
                        </w:r>
                      </w:p>
                    </w:txbxContent>
                  </v:textbox>
                </v:rect>
                <v:line id="Прямая соединительная линия 167" o:spid="_x0000_s1186" style="position:absolute;visibility:visible;mso-wrap-style:square" from="40309,13258" to="40309,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" strokecolor="black [3200]" strokeweight=".5pt">
                  <v:stroke joinstyle="miter"/>
                </v:line>
                <v:rect id="Прямоугольник 168" o:spid="_x0000_s1187" style="position:absolute;left:27851;top:15316;width:25450;height:18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" fillcolor="white [3212]" strokecolor="black [3213]" strokeweight="1pt">
                  <v:textbox>
                    <w:txbxContent>
                      <w:p w:rsidR="00F821E3" w:rsidRPr="00C37915" w:rsidRDefault="00F821E3" w:rsidP="00C37915">
                        <w:pPr>
                          <w:jc w:val="center"/>
                          <w:rPr>
                            <w:color w:val="000000" w:themeColor="text1"/>
                          </w:rPr>
                        </w:pPr>
                        <w:r w:rsidRPr="00C37915">
                          <w:rPr>
                            <w:rFonts w:ascii="Times New Roman" w:hAnsi="Times New Roman"/>
                            <w:color w:val="000000" w:themeColor="text1"/>
                            <w:sz w:val="24"/>
                            <w:szCs w:val="24"/>
                          </w:rPr>
                          <w:t>відносяться менш ліквідні порівняно з першою групою активи, які також можна трансформувати в грошові кошти за короткий термін при мінімальних ризиках, а саме: портфель державних цінних паперів і в деяких випадках кошти на позичкових рахунках</w:t>
                        </w:r>
                      </w:p>
                    </w:txbxContent>
                  </v:textbox>
                </v:rect>
                <w10:anchorlock/>
              </v:group>
            </w:pict>
          </mc:Fallback>
        </mc:AlternateContent>
      </w:r>
    </w:p>
    <w:p w:rsidR="0090393A" w:rsidRDefault="007A0E7B" w:rsidP="00DA5981">
      <w:pPr>
        <w:spacing w:after="0" w:line="360" w:lineRule="auto"/>
        <w:ind w:firstLine="709"/>
        <w:jc w:val="center"/>
        <w:rPr>
          <w:rFonts w:ascii="Times New Roman" w:hAnsi="Times New Roman"/>
          <w:sz w:val="28"/>
          <w:szCs w:val="28"/>
        </w:rPr>
      </w:pPr>
      <w:r>
        <w:rPr>
          <w:rFonts w:ascii="Times New Roman" w:hAnsi="Times New Roman"/>
          <w:sz w:val="28"/>
          <w:szCs w:val="28"/>
        </w:rPr>
        <w:t>Рис. 1.1</w:t>
      </w:r>
      <w:r w:rsidR="00521933">
        <w:rPr>
          <w:rFonts w:ascii="Times New Roman" w:hAnsi="Times New Roman"/>
          <w:sz w:val="28"/>
          <w:szCs w:val="28"/>
        </w:rPr>
        <w:t>1</w:t>
      </w:r>
      <w:r>
        <w:rPr>
          <w:rFonts w:ascii="Times New Roman" w:hAnsi="Times New Roman"/>
          <w:sz w:val="28"/>
          <w:szCs w:val="28"/>
        </w:rPr>
        <w:t>. Зарубіжна практика формування загального резерву ліквідності [38, с. 30]</w:t>
      </w:r>
    </w:p>
    <w:p w:rsidR="0090393A" w:rsidRDefault="00137D3D" w:rsidP="00623F5C">
      <w:pPr>
        <w:spacing w:before="120" w:after="0" w:line="360" w:lineRule="auto"/>
        <w:ind w:firstLine="709"/>
        <w:jc w:val="both"/>
        <w:rPr>
          <w:rFonts w:ascii="Times New Roman" w:hAnsi="Times New Roman"/>
          <w:sz w:val="28"/>
          <w:szCs w:val="28"/>
        </w:rPr>
      </w:pPr>
      <w:proofErr w:type="spellStart"/>
      <w:r>
        <w:rPr>
          <w:rFonts w:ascii="Times New Roman" w:hAnsi="Times New Roman"/>
          <w:sz w:val="28"/>
          <w:szCs w:val="28"/>
        </w:rPr>
        <w:t>Gap</w:t>
      </w:r>
      <w:proofErr w:type="spellEnd"/>
      <w:r>
        <w:rPr>
          <w:rFonts w:ascii="Times New Roman" w:hAnsi="Times New Roman"/>
          <w:sz w:val="28"/>
          <w:szCs w:val="28"/>
        </w:rPr>
        <w:t>-аналіз п</w:t>
      </w:r>
      <w:r w:rsidRPr="00137D3D">
        <w:rPr>
          <w:rFonts w:ascii="Times New Roman" w:hAnsi="Times New Roman"/>
          <w:sz w:val="28"/>
          <w:szCs w:val="28"/>
        </w:rPr>
        <w:t>олягає в аналітичному розпод</w:t>
      </w:r>
      <w:r>
        <w:rPr>
          <w:rFonts w:ascii="Times New Roman" w:hAnsi="Times New Roman"/>
          <w:sz w:val="28"/>
          <w:szCs w:val="28"/>
        </w:rPr>
        <w:t>ілі активів, пасивів і внебалан</w:t>
      </w:r>
      <w:r w:rsidRPr="00137D3D">
        <w:rPr>
          <w:rFonts w:ascii="Times New Roman" w:hAnsi="Times New Roman"/>
          <w:sz w:val="28"/>
          <w:szCs w:val="28"/>
        </w:rPr>
        <w:t>сових позицій по задани</w:t>
      </w:r>
      <w:r>
        <w:rPr>
          <w:rFonts w:ascii="Times New Roman" w:hAnsi="Times New Roman"/>
          <w:sz w:val="28"/>
          <w:szCs w:val="28"/>
        </w:rPr>
        <w:t>м</w:t>
      </w:r>
      <w:r w:rsidRPr="00137D3D">
        <w:rPr>
          <w:rFonts w:ascii="Times New Roman" w:hAnsi="Times New Roman"/>
          <w:sz w:val="28"/>
          <w:szCs w:val="28"/>
        </w:rPr>
        <w:t xml:space="preserve"> тимчасовим діапазонам в відповідності з визначеними критеріями. Показником, який характеризує стан ліквідної позиції банку,</w:t>
      </w:r>
      <w:r>
        <w:rPr>
          <w:rFonts w:ascii="Times New Roman" w:hAnsi="Times New Roman"/>
          <w:sz w:val="28"/>
          <w:szCs w:val="28"/>
        </w:rPr>
        <w:t xml:space="preserve"> </w:t>
      </w:r>
      <w:r w:rsidRPr="00137D3D">
        <w:rPr>
          <w:rFonts w:ascii="Times New Roman" w:hAnsi="Times New Roman"/>
          <w:sz w:val="28"/>
          <w:szCs w:val="28"/>
        </w:rPr>
        <w:t>є розрив ліквідності (GAP)</w:t>
      </w:r>
      <w:r>
        <w:rPr>
          <w:rFonts w:ascii="Times New Roman" w:hAnsi="Times New Roman"/>
          <w:sz w:val="28"/>
          <w:szCs w:val="28"/>
        </w:rPr>
        <w:t>, тобто</w:t>
      </w:r>
      <w:r w:rsidRPr="00137D3D">
        <w:rPr>
          <w:rFonts w:ascii="Times New Roman" w:hAnsi="Times New Roman"/>
          <w:sz w:val="28"/>
          <w:szCs w:val="28"/>
        </w:rPr>
        <w:t xml:space="preserve"> різни</w:t>
      </w:r>
      <w:r>
        <w:rPr>
          <w:rFonts w:ascii="Times New Roman" w:hAnsi="Times New Roman"/>
          <w:sz w:val="28"/>
          <w:szCs w:val="28"/>
        </w:rPr>
        <w:t xml:space="preserve">ця між сумою надходжень і сумою </w:t>
      </w:r>
      <w:r w:rsidRPr="00137D3D">
        <w:rPr>
          <w:rFonts w:ascii="Times New Roman" w:hAnsi="Times New Roman"/>
          <w:sz w:val="28"/>
          <w:szCs w:val="28"/>
        </w:rPr>
        <w:t>використаних коштів.</w:t>
      </w:r>
      <w:r w:rsidR="00B02640" w:rsidRPr="00B02640">
        <w:t xml:space="preserve"> </w:t>
      </w:r>
      <w:r w:rsidR="00B02640" w:rsidRPr="00B02640">
        <w:rPr>
          <w:rFonts w:ascii="Times New Roman" w:hAnsi="Times New Roman"/>
          <w:sz w:val="28"/>
          <w:szCs w:val="28"/>
        </w:rPr>
        <w:t>Банк вибирає довільну форму ан</w:t>
      </w:r>
      <w:r w:rsidR="00B02640">
        <w:rPr>
          <w:rFonts w:ascii="Times New Roman" w:hAnsi="Times New Roman"/>
          <w:sz w:val="28"/>
          <w:szCs w:val="28"/>
        </w:rPr>
        <w:t xml:space="preserve">алітичної таблиці з урахуванням </w:t>
      </w:r>
      <w:r w:rsidR="00B02640" w:rsidRPr="00B02640">
        <w:rPr>
          <w:rFonts w:ascii="Times New Roman" w:hAnsi="Times New Roman"/>
          <w:sz w:val="28"/>
          <w:szCs w:val="28"/>
        </w:rPr>
        <w:t>особливостей структури свого балансу т</w:t>
      </w:r>
      <w:r w:rsidR="00B02640">
        <w:rPr>
          <w:rFonts w:ascii="Times New Roman" w:hAnsi="Times New Roman"/>
          <w:sz w:val="28"/>
          <w:szCs w:val="28"/>
        </w:rPr>
        <w:t xml:space="preserve">а необхідного рівня деталізації </w:t>
      </w:r>
      <w:r w:rsidR="00B02640" w:rsidRPr="00B02640">
        <w:rPr>
          <w:rFonts w:ascii="Times New Roman" w:hAnsi="Times New Roman"/>
          <w:sz w:val="28"/>
          <w:szCs w:val="28"/>
        </w:rPr>
        <w:t xml:space="preserve">інформації за строками. При цьому </w:t>
      </w:r>
      <w:r w:rsidR="00B02640">
        <w:rPr>
          <w:rFonts w:ascii="Times New Roman" w:hAnsi="Times New Roman"/>
          <w:sz w:val="28"/>
          <w:szCs w:val="28"/>
        </w:rPr>
        <w:t xml:space="preserve">надається перевага такому рівню </w:t>
      </w:r>
      <w:r w:rsidR="00B02640" w:rsidRPr="00B02640">
        <w:rPr>
          <w:rFonts w:ascii="Times New Roman" w:hAnsi="Times New Roman"/>
          <w:sz w:val="28"/>
          <w:szCs w:val="28"/>
        </w:rPr>
        <w:t xml:space="preserve">деталізації, який найточніше відображає специфіку його діяльності, </w:t>
      </w:r>
      <w:r w:rsidR="00B02640">
        <w:rPr>
          <w:rFonts w:ascii="Times New Roman" w:hAnsi="Times New Roman"/>
          <w:sz w:val="28"/>
          <w:szCs w:val="28"/>
        </w:rPr>
        <w:t xml:space="preserve">а </w:t>
      </w:r>
      <w:r w:rsidR="00B02640" w:rsidRPr="00B02640">
        <w:rPr>
          <w:rFonts w:ascii="Times New Roman" w:hAnsi="Times New Roman"/>
          <w:sz w:val="28"/>
          <w:szCs w:val="28"/>
        </w:rPr>
        <w:t>структурну деталізацію можна довести</w:t>
      </w:r>
      <w:r w:rsidR="00B02640">
        <w:rPr>
          <w:rFonts w:ascii="Times New Roman" w:hAnsi="Times New Roman"/>
          <w:sz w:val="28"/>
          <w:szCs w:val="28"/>
        </w:rPr>
        <w:t xml:space="preserve"> до рівня рахунків аналітичного </w:t>
      </w:r>
      <w:r w:rsidR="00B02640" w:rsidRPr="00B02640">
        <w:rPr>
          <w:rFonts w:ascii="Times New Roman" w:hAnsi="Times New Roman"/>
          <w:sz w:val="28"/>
          <w:szCs w:val="28"/>
        </w:rPr>
        <w:t>обліку кожної ко</w:t>
      </w:r>
      <w:r w:rsidR="00812063">
        <w:rPr>
          <w:rFonts w:ascii="Times New Roman" w:hAnsi="Times New Roman"/>
          <w:sz w:val="28"/>
          <w:szCs w:val="28"/>
        </w:rPr>
        <w:t>нкретної вимоги чи зобов'язання</w:t>
      </w:r>
      <w:r w:rsidR="00812063" w:rsidRPr="00812063">
        <w:t xml:space="preserve"> </w:t>
      </w:r>
      <w:r w:rsidR="00812063">
        <w:rPr>
          <w:rFonts w:ascii="Times New Roman" w:hAnsi="Times New Roman"/>
          <w:sz w:val="28"/>
          <w:szCs w:val="28"/>
        </w:rPr>
        <w:t>[38, с. 31</w:t>
      </w:r>
      <w:r w:rsidR="00812063" w:rsidRPr="00812063">
        <w:rPr>
          <w:rFonts w:ascii="Times New Roman" w:hAnsi="Times New Roman"/>
          <w:sz w:val="28"/>
          <w:szCs w:val="28"/>
        </w:rPr>
        <w:t>]</w:t>
      </w:r>
      <w:r w:rsidR="00812063">
        <w:rPr>
          <w:rFonts w:ascii="Times New Roman" w:hAnsi="Times New Roman"/>
          <w:sz w:val="28"/>
          <w:szCs w:val="28"/>
        </w:rPr>
        <w:t>.</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Отже, аналіз ліквідності банку є процесом дослідження чинників, які впливають на рівень ліквідності банку в динаміці. Це відбувається для виявлення відхилень від планових або нормативних значень та безпосереднього визначення впливу отриманих відхилень</w:t>
      </w:r>
      <w:r w:rsidR="00797BB8">
        <w:rPr>
          <w:rFonts w:ascii="Times New Roman" w:hAnsi="Times New Roman"/>
          <w:sz w:val="28"/>
          <w:szCs w:val="28"/>
        </w:rPr>
        <w:t xml:space="preserve"> на діяльність банку загалом [39</w:t>
      </w:r>
      <w:r>
        <w:rPr>
          <w:rFonts w:ascii="Times New Roman" w:hAnsi="Times New Roman"/>
          <w:sz w:val="28"/>
          <w:szCs w:val="28"/>
        </w:rPr>
        <w:t>, с. 297].</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Наведемо індикатори, які є свідченням та проявами того, що банківська установа не дотримується нормативів ліквідності. До них можна віднести:</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xml:space="preserve">«- негативна ділова репутація; </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зменшення довіри до банків; </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зменшення частки грошових коштів клієнтів у балансі банка;</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xml:space="preserve">- збільшення відсоткових ставок за кредитами, депозитами та іншими операціями; </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xml:space="preserve">- збільшення ризикованості банківських операцій; </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xml:space="preserve">- застосування механізму реінвестування та підтримки банку за рахунок коштів державного бюджету; </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xml:space="preserve">- зниження темпів розвитку </w:t>
      </w:r>
      <w:r w:rsidR="0028360E">
        <w:rPr>
          <w:rFonts w:ascii="Times New Roman" w:hAnsi="Times New Roman"/>
          <w:sz w:val="28"/>
          <w:szCs w:val="28"/>
        </w:rPr>
        <w:t>банківської системи загалом» [39</w:t>
      </w:r>
      <w:r>
        <w:rPr>
          <w:rFonts w:ascii="Times New Roman" w:hAnsi="Times New Roman"/>
          <w:sz w:val="28"/>
          <w:szCs w:val="28"/>
        </w:rPr>
        <w:t>, с. 297-298].</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Узагальнюючи наведене вище підсумуємо, що аналіз ліквідності банку – це складний аналітичний процес, який досліджує фактори, що впливають на зміну рівня ліквідності комерційного банку; має за мету виявлення невідповідностей нормативним або плановим показникам ліквідності та їх впливу на діяльність банківської структури в цілому. Інакше кажучи, аналіз ліквідності банку є важливою складовою механізму управління; підґрунтям для прийняття адекватних управлінських рішень; інструментом, який у поєднанні з іншими забезпечить фінансову стійкість банківської установи.</w:t>
      </w:r>
    </w:p>
    <w:p w:rsidR="00726F3D" w:rsidRDefault="00726F3D" w:rsidP="00726F3D">
      <w:pPr>
        <w:pStyle w:val="a4"/>
        <w:spacing w:after="0" w:line="360" w:lineRule="auto"/>
        <w:ind w:left="1489"/>
        <w:jc w:val="both"/>
        <w:rPr>
          <w:rFonts w:ascii="Times New Roman" w:hAnsi="Times New Roman" w:cs="Times New Roman"/>
          <w:b/>
          <w:sz w:val="28"/>
          <w:szCs w:val="28"/>
        </w:rPr>
      </w:pPr>
    </w:p>
    <w:p w:rsidR="00812063" w:rsidRDefault="00812063" w:rsidP="00726F3D">
      <w:pPr>
        <w:pStyle w:val="a4"/>
        <w:spacing w:after="0" w:line="360" w:lineRule="auto"/>
        <w:ind w:left="1489"/>
        <w:jc w:val="both"/>
        <w:rPr>
          <w:rFonts w:ascii="Times New Roman" w:hAnsi="Times New Roman" w:cs="Times New Roman"/>
          <w:b/>
          <w:sz w:val="28"/>
          <w:szCs w:val="28"/>
        </w:rPr>
      </w:pPr>
    </w:p>
    <w:p w:rsidR="00110EE2" w:rsidRDefault="00110EE2" w:rsidP="00110EE2">
      <w:pPr>
        <w:pStyle w:val="a4"/>
        <w:numPr>
          <w:ilvl w:val="1"/>
          <w:numId w:val="1"/>
        </w:numPr>
        <w:spacing w:after="0" w:line="360" w:lineRule="auto"/>
        <w:jc w:val="both"/>
        <w:rPr>
          <w:rFonts w:ascii="Times New Roman" w:hAnsi="Times New Roman" w:cs="Times New Roman"/>
          <w:sz w:val="28"/>
          <w:szCs w:val="28"/>
        </w:rPr>
      </w:pPr>
      <w:r w:rsidRPr="00F61A68">
        <w:rPr>
          <w:rFonts w:ascii="Times New Roman" w:hAnsi="Times New Roman" w:cs="Times New Roman"/>
          <w:sz w:val="28"/>
          <w:szCs w:val="28"/>
        </w:rPr>
        <w:t>Принципи управління ліквідністю комерційного банку</w:t>
      </w:r>
    </w:p>
    <w:p w:rsidR="00F61A68" w:rsidRPr="00F61A68" w:rsidRDefault="00F61A68" w:rsidP="00F61A68">
      <w:pPr>
        <w:pStyle w:val="a4"/>
        <w:spacing w:after="0" w:line="360" w:lineRule="auto"/>
        <w:ind w:left="1489"/>
        <w:jc w:val="both"/>
        <w:rPr>
          <w:rFonts w:ascii="Times New Roman" w:hAnsi="Times New Roman" w:cs="Times New Roman"/>
          <w:sz w:val="28"/>
          <w:szCs w:val="28"/>
        </w:rPr>
      </w:pPr>
    </w:p>
    <w:p w:rsidR="00110EE2" w:rsidRDefault="00110EE2" w:rsidP="00110EE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Як вже зазначалося раніше, ліквідність комерційного банку є однією з основних та найбільш складних категорій, яка забезпечує його фінансову стійкість. Ліквідність комерційного банку виступає однією з головних характеристик діяльності установи. Вона характеризує її надійність, стабільність. Отже кожна банківська установа повинна самостійно приймати та впроваджувати заходи задля підтримки ліквідності на відповідному рівні.</w:t>
      </w:r>
    </w:p>
    <w:p w:rsidR="00110EE2" w:rsidRDefault="00110EE2" w:rsidP="00FA5F7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Управління ліквідністю банку є дуже важливою діяльністю установи, оскільки ефективне управління мінімізує негативні наслідки та вірогідність проблем. Зауважимо, що зниження ліквідності окремого банку може призвести до проблем у роботі банківської системи в цілому. Протягом останніх часі, а </w:t>
      </w:r>
      <w:r>
        <w:rPr>
          <w:rFonts w:ascii="Times New Roman" w:hAnsi="Times New Roman" w:cs="Times New Roman"/>
          <w:sz w:val="28"/>
          <w:szCs w:val="28"/>
        </w:rPr>
        <w:lastRenderedPageBreak/>
        <w:t xml:space="preserve">також на усіх етапах розвитку банківської системи, саме ліквідність була вагомим об’єктом досліджень, аналізу, управління. </w:t>
      </w:r>
    </w:p>
    <w:p w:rsidR="00370603" w:rsidRDefault="00110EE2" w:rsidP="00110EE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Управління ліквідністю комерційного банку базується на загальних та специфічних принципах – засадах</w:t>
      </w:r>
      <w:r w:rsidR="00370603">
        <w:rPr>
          <w:rFonts w:ascii="Times New Roman" w:hAnsi="Times New Roman" w:cs="Times New Roman"/>
          <w:sz w:val="28"/>
          <w:szCs w:val="28"/>
        </w:rPr>
        <w:t xml:space="preserve"> (див. рис. 1.1</w:t>
      </w:r>
      <w:r w:rsidR="00F94757">
        <w:rPr>
          <w:rFonts w:ascii="Times New Roman" w:hAnsi="Times New Roman" w:cs="Times New Roman"/>
          <w:sz w:val="28"/>
          <w:szCs w:val="28"/>
        </w:rPr>
        <w:t>2</w:t>
      </w:r>
      <w:r w:rsidR="00370603">
        <w:rPr>
          <w:rFonts w:ascii="Times New Roman" w:hAnsi="Times New Roman" w:cs="Times New Roman"/>
          <w:sz w:val="28"/>
          <w:szCs w:val="28"/>
        </w:rPr>
        <w:t>).</w:t>
      </w:r>
      <w:r>
        <w:rPr>
          <w:rFonts w:ascii="Times New Roman" w:hAnsi="Times New Roman" w:cs="Times New Roman"/>
          <w:sz w:val="28"/>
          <w:szCs w:val="28"/>
        </w:rPr>
        <w:t xml:space="preserve"> </w:t>
      </w:r>
    </w:p>
    <w:p w:rsidR="00370603" w:rsidRDefault="00B70357" w:rsidP="00110EE2">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c">
            <w:drawing>
              <wp:inline distT="0" distB="0" distL="0" distR="0">
                <wp:extent cx="5486400" cy="3200400"/>
                <wp:effectExtent l="0" t="0" r="0" b="0"/>
                <wp:docPr id="170" name="Полотно 1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1" name="Прямоугольник 171"/>
                        <wps:cNvSpPr/>
                        <wps:spPr>
                          <a:xfrm>
                            <a:off x="1661160" y="83820"/>
                            <a:ext cx="2308860" cy="502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C452A" w:rsidRDefault="00F821E3" w:rsidP="007C452A">
                              <w:pPr>
                                <w:jc w:val="center"/>
                                <w:rPr>
                                  <w:rFonts w:ascii="Times New Roman" w:hAnsi="Times New Roman"/>
                                  <w:color w:val="000000" w:themeColor="text1"/>
                                  <w:sz w:val="24"/>
                                  <w:szCs w:val="24"/>
                                </w:rPr>
                              </w:pPr>
                              <w:r w:rsidRPr="007C452A">
                                <w:rPr>
                                  <w:rFonts w:ascii="Times New Roman" w:hAnsi="Times New Roman"/>
                                  <w:color w:val="000000" w:themeColor="text1"/>
                                  <w:sz w:val="24"/>
                                  <w:szCs w:val="24"/>
                                </w:rPr>
                                <w:t>Засади управління ліквідністю комерційного банку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ая со стрелкой 172"/>
                        <wps:cNvCnPr>
                          <a:endCxn id="174" idx="0"/>
                        </wps:cNvCnPr>
                        <wps:spPr>
                          <a:xfrm flipH="1">
                            <a:off x="1520190" y="586740"/>
                            <a:ext cx="128397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 name="Прямая со стрелкой 173"/>
                        <wps:cNvCnPr>
                          <a:stCxn id="171" idx="2"/>
                        </wps:cNvCnPr>
                        <wps:spPr>
                          <a:xfrm>
                            <a:off x="2815590" y="586740"/>
                            <a:ext cx="115443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4" name="Прямоугольник 174"/>
                        <wps:cNvSpPr/>
                        <wps:spPr>
                          <a:xfrm>
                            <a:off x="480060" y="853440"/>
                            <a:ext cx="2080260" cy="4343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C452A" w:rsidRDefault="00F821E3" w:rsidP="007C452A">
                              <w:pPr>
                                <w:jc w:val="center"/>
                                <w:rPr>
                                  <w:rFonts w:ascii="Times New Roman" w:hAnsi="Times New Roman"/>
                                  <w:color w:val="000000" w:themeColor="text1"/>
                                  <w:sz w:val="24"/>
                                  <w:szCs w:val="24"/>
                                </w:rPr>
                              </w:pPr>
                              <w:r w:rsidRPr="007C452A">
                                <w:rPr>
                                  <w:rFonts w:ascii="Times New Roman" w:hAnsi="Times New Roman"/>
                                  <w:color w:val="000000" w:themeColor="text1"/>
                                  <w:sz w:val="24"/>
                                  <w:szCs w:val="24"/>
                                </w:rPr>
                                <w:t>Загальні принципи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Прямоугольник 175"/>
                        <wps:cNvSpPr/>
                        <wps:spPr>
                          <a:xfrm>
                            <a:off x="2976540" y="868680"/>
                            <a:ext cx="2080260" cy="419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C452A" w:rsidRDefault="00F821E3" w:rsidP="007C452A">
                              <w:pPr>
                                <w:jc w:val="center"/>
                                <w:rPr>
                                  <w:rFonts w:ascii="Times New Roman" w:hAnsi="Times New Roman"/>
                                  <w:color w:val="000000" w:themeColor="text1"/>
                                  <w:sz w:val="24"/>
                                  <w:szCs w:val="24"/>
                                </w:rPr>
                              </w:pPr>
                              <w:r w:rsidRPr="007C452A">
                                <w:rPr>
                                  <w:rFonts w:ascii="Times New Roman" w:hAnsi="Times New Roman"/>
                                  <w:color w:val="000000" w:themeColor="text1"/>
                                  <w:sz w:val="24"/>
                                  <w:szCs w:val="24"/>
                                </w:rPr>
                                <w:t>Специфічні принци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Прямая соединительная линия 177"/>
                        <wps:cNvCnPr>
                          <a:stCxn id="174" idx="2"/>
                        </wps:cNvCnPr>
                        <wps:spPr>
                          <a:xfrm>
                            <a:off x="1520190" y="1287780"/>
                            <a:ext cx="0" cy="259080"/>
                          </a:xfrm>
                          <a:prstGeom prst="line">
                            <a:avLst/>
                          </a:prstGeom>
                        </wps:spPr>
                        <wps:style>
                          <a:lnRef idx="1">
                            <a:schemeClr val="dk1"/>
                          </a:lnRef>
                          <a:fillRef idx="0">
                            <a:schemeClr val="dk1"/>
                          </a:fillRef>
                          <a:effectRef idx="0">
                            <a:schemeClr val="dk1"/>
                          </a:effectRef>
                          <a:fontRef idx="minor">
                            <a:schemeClr val="tx1"/>
                          </a:fontRef>
                        </wps:style>
                        <wps:bodyPr/>
                      </wps:wsp>
                      <wps:wsp>
                        <wps:cNvPr id="178" name="Прямоугольник 178"/>
                        <wps:cNvSpPr/>
                        <wps:spPr>
                          <a:xfrm>
                            <a:off x="480060" y="1546860"/>
                            <a:ext cx="2057400" cy="14401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C452A" w:rsidRDefault="00F821E3" w:rsidP="007C452A">
                              <w:pPr>
                                <w:spacing w:after="0" w:line="240" w:lineRule="auto"/>
                                <w:jc w:val="both"/>
                                <w:rPr>
                                  <w:rFonts w:ascii="Times New Roman" w:hAnsi="Times New Roman"/>
                                  <w:color w:val="000000" w:themeColor="text1"/>
                                  <w:sz w:val="24"/>
                                  <w:szCs w:val="24"/>
                                </w:rPr>
                              </w:pPr>
                              <w:r w:rsidRPr="007C452A">
                                <w:rPr>
                                  <w:rFonts w:ascii="Times New Roman" w:hAnsi="Times New Roman"/>
                                  <w:color w:val="000000" w:themeColor="text1"/>
                                  <w:sz w:val="24"/>
                                  <w:szCs w:val="24"/>
                                </w:rPr>
                                <w:t>- цілеспрямованості,</w:t>
                              </w:r>
                            </w:p>
                            <w:p w:rsidR="00F821E3" w:rsidRPr="007C452A" w:rsidRDefault="00F821E3" w:rsidP="007C452A">
                              <w:pPr>
                                <w:spacing w:after="0" w:line="240" w:lineRule="auto"/>
                                <w:jc w:val="both"/>
                                <w:rPr>
                                  <w:rFonts w:ascii="Times New Roman" w:hAnsi="Times New Roman"/>
                                  <w:color w:val="000000" w:themeColor="text1"/>
                                  <w:sz w:val="24"/>
                                  <w:szCs w:val="24"/>
                                </w:rPr>
                              </w:pPr>
                              <w:r w:rsidRPr="007C452A">
                                <w:rPr>
                                  <w:rFonts w:ascii="Times New Roman" w:hAnsi="Times New Roman"/>
                                  <w:color w:val="000000" w:themeColor="text1"/>
                                  <w:sz w:val="24"/>
                                  <w:szCs w:val="24"/>
                                </w:rPr>
                                <w:t>- плановості,</w:t>
                              </w:r>
                            </w:p>
                            <w:p w:rsidR="00F821E3" w:rsidRPr="007C452A" w:rsidRDefault="00F821E3" w:rsidP="007C452A">
                              <w:pPr>
                                <w:spacing w:after="0" w:line="240" w:lineRule="auto"/>
                                <w:jc w:val="both"/>
                                <w:rPr>
                                  <w:rFonts w:ascii="Times New Roman" w:hAnsi="Times New Roman"/>
                                  <w:color w:val="000000" w:themeColor="text1"/>
                                  <w:sz w:val="24"/>
                                  <w:szCs w:val="24"/>
                                </w:rPr>
                              </w:pPr>
                              <w:r w:rsidRPr="007C452A">
                                <w:rPr>
                                  <w:rFonts w:ascii="Times New Roman" w:hAnsi="Times New Roman"/>
                                  <w:color w:val="000000" w:themeColor="text1"/>
                                  <w:sz w:val="24"/>
                                  <w:szCs w:val="24"/>
                                </w:rPr>
                                <w:t>- взаємозалежності,</w:t>
                              </w:r>
                            </w:p>
                            <w:p w:rsidR="00F821E3" w:rsidRPr="007C452A" w:rsidRDefault="00F821E3" w:rsidP="007C452A">
                              <w:pPr>
                                <w:spacing w:after="0" w:line="240" w:lineRule="auto"/>
                                <w:jc w:val="both"/>
                                <w:rPr>
                                  <w:rFonts w:ascii="Times New Roman" w:hAnsi="Times New Roman"/>
                                  <w:color w:val="000000" w:themeColor="text1"/>
                                  <w:sz w:val="24"/>
                                  <w:szCs w:val="24"/>
                                </w:rPr>
                              </w:pPr>
                              <w:r w:rsidRPr="007C452A">
                                <w:rPr>
                                  <w:rFonts w:ascii="Times New Roman" w:hAnsi="Times New Roman"/>
                                  <w:color w:val="000000" w:themeColor="text1"/>
                                  <w:sz w:val="24"/>
                                  <w:szCs w:val="24"/>
                                </w:rPr>
                                <w:t>- розподілу повноважень та відповідальності,</w:t>
                              </w:r>
                            </w:p>
                            <w:p w:rsidR="00F821E3" w:rsidRPr="007C452A" w:rsidRDefault="00F821E3" w:rsidP="007C452A">
                              <w:pPr>
                                <w:jc w:val="both"/>
                                <w:rPr>
                                  <w:rFonts w:ascii="Times New Roman" w:hAnsi="Times New Roman"/>
                                  <w:color w:val="000000" w:themeColor="text1"/>
                                  <w:sz w:val="24"/>
                                  <w:szCs w:val="24"/>
                                </w:rPr>
                              </w:pPr>
                              <w:r w:rsidRPr="007C452A">
                                <w:rPr>
                                  <w:rFonts w:ascii="Times New Roman" w:hAnsi="Times New Roman"/>
                                  <w:color w:val="000000" w:themeColor="text1"/>
                                  <w:sz w:val="24"/>
                                  <w:szCs w:val="24"/>
                                </w:rPr>
                                <w:t>- узгодженості, взаємодії.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Прямая соединительная линия 181"/>
                        <wps:cNvCnPr>
                          <a:stCxn id="175" idx="2"/>
                        </wps:cNvCnPr>
                        <wps:spPr>
                          <a:xfrm>
                            <a:off x="4016670" y="1287780"/>
                            <a:ext cx="6690" cy="259080"/>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Прямоугольник 182"/>
                        <wps:cNvSpPr/>
                        <wps:spPr>
                          <a:xfrm>
                            <a:off x="2976540" y="1546860"/>
                            <a:ext cx="2080260" cy="14401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C452A" w:rsidRDefault="00F821E3" w:rsidP="007C452A">
                              <w:pPr>
                                <w:spacing w:after="0" w:line="240" w:lineRule="auto"/>
                                <w:jc w:val="both"/>
                                <w:rPr>
                                  <w:rFonts w:ascii="Times New Roman" w:hAnsi="Times New Roman"/>
                                  <w:color w:val="000000" w:themeColor="text1"/>
                                </w:rPr>
                              </w:pPr>
                              <w:r w:rsidRPr="007C452A">
                                <w:rPr>
                                  <w:rFonts w:ascii="Times New Roman" w:hAnsi="Times New Roman"/>
                                  <w:color w:val="000000" w:themeColor="text1"/>
                                </w:rPr>
                                <w:t>- пріоритетність ліквідності;</w:t>
                              </w:r>
                            </w:p>
                            <w:p w:rsidR="00F821E3" w:rsidRPr="007C452A" w:rsidRDefault="00F821E3" w:rsidP="007C452A">
                              <w:pPr>
                                <w:spacing w:after="0" w:line="240" w:lineRule="auto"/>
                                <w:jc w:val="both"/>
                                <w:rPr>
                                  <w:rFonts w:ascii="Times New Roman" w:hAnsi="Times New Roman"/>
                                  <w:color w:val="000000" w:themeColor="text1"/>
                                </w:rPr>
                              </w:pPr>
                              <w:r w:rsidRPr="007C452A">
                                <w:rPr>
                                  <w:rFonts w:ascii="Times New Roman" w:hAnsi="Times New Roman"/>
                                  <w:color w:val="000000" w:themeColor="text1"/>
                                </w:rPr>
                                <w:t>- постійність аналізу потреби в ліквідних коштах;</w:t>
                              </w:r>
                            </w:p>
                            <w:p w:rsidR="00F821E3" w:rsidRPr="007C452A" w:rsidRDefault="00F821E3" w:rsidP="007C452A">
                              <w:pPr>
                                <w:spacing w:after="0" w:line="240" w:lineRule="auto"/>
                                <w:jc w:val="both"/>
                                <w:rPr>
                                  <w:rFonts w:ascii="Times New Roman" w:hAnsi="Times New Roman"/>
                                  <w:color w:val="000000" w:themeColor="text1"/>
                                </w:rPr>
                              </w:pPr>
                              <w:r w:rsidRPr="007C452A">
                                <w:rPr>
                                  <w:rFonts w:ascii="Times New Roman" w:hAnsi="Times New Roman"/>
                                  <w:color w:val="000000" w:themeColor="text1"/>
                                </w:rPr>
                                <w:t>- планування та прогнозування дій банку;</w:t>
                              </w:r>
                            </w:p>
                            <w:p w:rsidR="00F821E3" w:rsidRPr="007C452A" w:rsidRDefault="00F821E3" w:rsidP="007C452A">
                              <w:pPr>
                                <w:jc w:val="both"/>
                                <w:rPr>
                                  <w:rFonts w:ascii="Times New Roman" w:hAnsi="Times New Roman"/>
                                  <w:color w:val="000000" w:themeColor="text1"/>
                                </w:rPr>
                              </w:pPr>
                              <w:r w:rsidRPr="007C452A">
                                <w:rPr>
                                  <w:rFonts w:ascii="Times New Roman" w:hAnsi="Times New Roman"/>
                                  <w:color w:val="000000" w:themeColor="text1"/>
                                </w:rPr>
                                <w:t>- в</w:t>
                              </w:r>
                              <w:r>
                                <w:rPr>
                                  <w:rFonts w:ascii="Times New Roman" w:hAnsi="Times New Roman"/>
                                  <w:color w:val="000000" w:themeColor="text1"/>
                                </w:rPr>
                                <w:t xml:space="preserve">заємозв’язок ризику </w:t>
                              </w:r>
                              <w:r w:rsidRPr="007C452A">
                                <w:rPr>
                                  <w:rFonts w:ascii="Times New Roman" w:hAnsi="Times New Roman"/>
                                  <w:color w:val="000000" w:themeColor="text1"/>
                                </w:rPr>
                                <w:t>ліквідності з іншими сферами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70" o:spid="_x0000_s1188"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">
                <v:shape id="_x0000_s1189" type="#_x0000_t75" style="position:absolute;width:54864;height:32004;visibility:visible;mso-wrap-style:square">
                  <v:fill o:detectmouseclick="t"/>
                  <v:path o:connecttype="none"/>
                </v:shape>
                <v:rect id="Прямоугольник 171" o:spid="_x0000_s1190" style="position:absolute;left:16611;top:838;width:2308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" fillcolor="white [3212]" strokecolor="black [3213]" strokeweight="1pt">
                  <v:textbox>
                    <w:txbxContent>
                      <w:p w:rsidR="00F821E3" w:rsidRPr="007C452A" w:rsidRDefault="00F821E3" w:rsidP="007C452A">
                        <w:pPr>
                          <w:jc w:val="center"/>
                          <w:rPr>
                            <w:rFonts w:ascii="Times New Roman" w:hAnsi="Times New Roman"/>
                            <w:color w:val="000000" w:themeColor="text1"/>
                            <w:sz w:val="24"/>
                            <w:szCs w:val="24"/>
                          </w:rPr>
                        </w:pPr>
                        <w:r w:rsidRPr="007C452A">
                          <w:rPr>
                            <w:rFonts w:ascii="Times New Roman" w:hAnsi="Times New Roman"/>
                            <w:color w:val="000000" w:themeColor="text1"/>
                            <w:sz w:val="24"/>
                            <w:szCs w:val="24"/>
                          </w:rPr>
                          <w:t>Засади управління ліквідністю комерційного банку</w:t>
                        </w:r>
                      </w:p>
                    </w:txbxContent>
                  </v:textbox>
                </v:rect>
                <v:shape id="Прямая со стрелкой 172" o:spid="_x0000_s1191" type="#_x0000_t32" style="position:absolute;left:15201;top:5867;width:12840;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" strokecolor="black [3200]" strokeweight=".5pt">
                  <v:stroke endarrow="block" joinstyle="miter"/>
                </v:shape>
                <v:shape id="Прямая со стрелкой 173" o:spid="_x0000_s1192" type="#_x0000_t32" style="position:absolute;left:28155;top:5867;width:11545;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" strokecolor="black [3200]" strokeweight=".5pt">
                  <v:stroke endarrow="block" joinstyle="miter"/>
                </v:shape>
                <v:rect id="Прямоугольник 174" o:spid="_x0000_s1193" style="position:absolute;left:4800;top:8534;width:20803;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" fillcolor="white [3212]" strokecolor="black [3213]" strokeweight="1pt">
                  <v:textbox>
                    <w:txbxContent>
                      <w:p w:rsidR="00F821E3" w:rsidRPr="007C452A" w:rsidRDefault="00F821E3" w:rsidP="007C452A">
                        <w:pPr>
                          <w:jc w:val="center"/>
                          <w:rPr>
                            <w:rFonts w:ascii="Times New Roman" w:hAnsi="Times New Roman"/>
                            <w:color w:val="000000" w:themeColor="text1"/>
                            <w:sz w:val="24"/>
                            <w:szCs w:val="24"/>
                          </w:rPr>
                        </w:pPr>
                        <w:r w:rsidRPr="007C452A">
                          <w:rPr>
                            <w:rFonts w:ascii="Times New Roman" w:hAnsi="Times New Roman"/>
                            <w:color w:val="000000" w:themeColor="text1"/>
                            <w:sz w:val="24"/>
                            <w:szCs w:val="24"/>
                          </w:rPr>
                          <w:t>Загальні принципи</w:t>
                        </w:r>
                      </w:p>
                    </w:txbxContent>
                  </v:textbox>
                </v:rect>
                <v:rect id="Прямоугольник 175" o:spid="_x0000_s1194" style="position:absolute;left:29765;top:8686;width:2080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" fillcolor="white [3212]" strokecolor="black [3213]" strokeweight="1pt">
                  <v:textbox>
                    <w:txbxContent>
                      <w:p w:rsidR="00F821E3" w:rsidRPr="007C452A" w:rsidRDefault="00F821E3" w:rsidP="007C452A">
                        <w:pPr>
                          <w:jc w:val="center"/>
                          <w:rPr>
                            <w:rFonts w:ascii="Times New Roman" w:hAnsi="Times New Roman"/>
                            <w:color w:val="000000" w:themeColor="text1"/>
                            <w:sz w:val="24"/>
                            <w:szCs w:val="24"/>
                          </w:rPr>
                        </w:pPr>
                        <w:r w:rsidRPr="007C452A">
                          <w:rPr>
                            <w:rFonts w:ascii="Times New Roman" w:hAnsi="Times New Roman"/>
                            <w:color w:val="000000" w:themeColor="text1"/>
                            <w:sz w:val="24"/>
                            <w:szCs w:val="24"/>
                          </w:rPr>
                          <w:t>Специфічні принци</w:t>
                        </w:r>
                      </w:p>
                    </w:txbxContent>
                  </v:textbox>
                </v:rect>
                <v:line id="Прямая соединительная линия 177" o:spid="_x0000_s1195" style="position:absolute;visibility:visible;mso-wrap-style:square" from="15201,12877" to="15201,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" strokecolor="black [3200]" strokeweight=".5pt">
                  <v:stroke joinstyle="miter"/>
                </v:line>
                <v:rect id="Прямоугольник 178" o:spid="_x0000_s1196" style="position:absolute;left:4800;top:15468;width:20574;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" fillcolor="white [3212]" strokecolor="black [3213]" strokeweight="1pt">
                  <v:textbox>
                    <w:txbxContent>
                      <w:p w:rsidR="00F821E3" w:rsidRPr="007C452A" w:rsidRDefault="00F821E3" w:rsidP="007C452A">
                        <w:pPr>
                          <w:spacing w:after="0" w:line="240" w:lineRule="auto"/>
                          <w:jc w:val="both"/>
                          <w:rPr>
                            <w:rFonts w:ascii="Times New Roman" w:hAnsi="Times New Roman"/>
                            <w:color w:val="000000" w:themeColor="text1"/>
                            <w:sz w:val="24"/>
                            <w:szCs w:val="24"/>
                          </w:rPr>
                        </w:pPr>
                        <w:r w:rsidRPr="007C452A">
                          <w:rPr>
                            <w:rFonts w:ascii="Times New Roman" w:hAnsi="Times New Roman"/>
                            <w:color w:val="000000" w:themeColor="text1"/>
                            <w:sz w:val="24"/>
                            <w:szCs w:val="24"/>
                          </w:rPr>
                          <w:t>- цілеспрямованості,</w:t>
                        </w:r>
                      </w:p>
                      <w:p w:rsidR="00F821E3" w:rsidRPr="007C452A" w:rsidRDefault="00F821E3" w:rsidP="007C452A">
                        <w:pPr>
                          <w:spacing w:after="0" w:line="240" w:lineRule="auto"/>
                          <w:jc w:val="both"/>
                          <w:rPr>
                            <w:rFonts w:ascii="Times New Roman" w:hAnsi="Times New Roman"/>
                            <w:color w:val="000000" w:themeColor="text1"/>
                            <w:sz w:val="24"/>
                            <w:szCs w:val="24"/>
                          </w:rPr>
                        </w:pPr>
                        <w:r w:rsidRPr="007C452A">
                          <w:rPr>
                            <w:rFonts w:ascii="Times New Roman" w:hAnsi="Times New Roman"/>
                            <w:color w:val="000000" w:themeColor="text1"/>
                            <w:sz w:val="24"/>
                            <w:szCs w:val="24"/>
                          </w:rPr>
                          <w:t>- плановості,</w:t>
                        </w:r>
                      </w:p>
                      <w:p w:rsidR="00F821E3" w:rsidRPr="007C452A" w:rsidRDefault="00F821E3" w:rsidP="007C452A">
                        <w:pPr>
                          <w:spacing w:after="0" w:line="240" w:lineRule="auto"/>
                          <w:jc w:val="both"/>
                          <w:rPr>
                            <w:rFonts w:ascii="Times New Roman" w:hAnsi="Times New Roman"/>
                            <w:color w:val="000000" w:themeColor="text1"/>
                            <w:sz w:val="24"/>
                            <w:szCs w:val="24"/>
                          </w:rPr>
                        </w:pPr>
                        <w:r w:rsidRPr="007C452A">
                          <w:rPr>
                            <w:rFonts w:ascii="Times New Roman" w:hAnsi="Times New Roman"/>
                            <w:color w:val="000000" w:themeColor="text1"/>
                            <w:sz w:val="24"/>
                            <w:szCs w:val="24"/>
                          </w:rPr>
                          <w:t>- взаємозалежності,</w:t>
                        </w:r>
                      </w:p>
                      <w:p w:rsidR="00F821E3" w:rsidRPr="007C452A" w:rsidRDefault="00F821E3" w:rsidP="007C452A">
                        <w:pPr>
                          <w:spacing w:after="0" w:line="240" w:lineRule="auto"/>
                          <w:jc w:val="both"/>
                          <w:rPr>
                            <w:rFonts w:ascii="Times New Roman" w:hAnsi="Times New Roman"/>
                            <w:color w:val="000000" w:themeColor="text1"/>
                            <w:sz w:val="24"/>
                            <w:szCs w:val="24"/>
                          </w:rPr>
                        </w:pPr>
                        <w:r w:rsidRPr="007C452A">
                          <w:rPr>
                            <w:rFonts w:ascii="Times New Roman" w:hAnsi="Times New Roman"/>
                            <w:color w:val="000000" w:themeColor="text1"/>
                            <w:sz w:val="24"/>
                            <w:szCs w:val="24"/>
                          </w:rPr>
                          <w:t>- розподілу повноважень та відповідальності,</w:t>
                        </w:r>
                      </w:p>
                      <w:p w:rsidR="00F821E3" w:rsidRPr="007C452A" w:rsidRDefault="00F821E3" w:rsidP="007C452A">
                        <w:pPr>
                          <w:jc w:val="both"/>
                          <w:rPr>
                            <w:rFonts w:ascii="Times New Roman" w:hAnsi="Times New Roman"/>
                            <w:color w:val="000000" w:themeColor="text1"/>
                            <w:sz w:val="24"/>
                            <w:szCs w:val="24"/>
                          </w:rPr>
                        </w:pPr>
                        <w:r w:rsidRPr="007C452A">
                          <w:rPr>
                            <w:rFonts w:ascii="Times New Roman" w:hAnsi="Times New Roman"/>
                            <w:color w:val="000000" w:themeColor="text1"/>
                            <w:sz w:val="24"/>
                            <w:szCs w:val="24"/>
                          </w:rPr>
                          <w:t>- узгодженості, взаємодії.</w:t>
                        </w:r>
                      </w:p>
                    </w:txbxContent>
                  </v:textbox>
                </v:rect>
                <v:line id="Прямая соединительная линия 181" o:spid="_x0000_s1197" style="position:absolute;visibility:visible;mso-wrap-style:square" from="40166,12877" to="40233,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" strokecolor="black [3200]" strokeweight=".5pt">
                  <v:stroke joinstyle="miter"/>
                </v:line>
                <v:rect id="Прямоугольник 182" o:spid="_x0000_s1198" style="position:absolute;left:29765;top:15468;width:20803;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" fillcolor="white [3212]" strokecolor="black [3213]" strokeweight="1pt">
                  <v:textbox>
                    <w:txbxContent>
                      <w:p w:rsidR="00F821E3" w:rsidRPr="007C452A" w:rsidRDefault="00F821E3" w:rsidP="007C452A">
                        <w:pPr>
                          <w:spacing w:after="0" w:line="240" w:lineRule="auto"/>
                          <w:jc w:val="both"/>
                          <w:rPr>
                            <w:rFonts w:ascii="Times New Roman" w:hAnsi="Times New Roman"/>
                            <w:color w:val="000000" w:themeColor="text1"/>
                          </w:rPr>
                        </w:pPr>
                        <w:r w:rsidRPr="007C452A">
                          <w:rPr>
                            <w:rFonts w:ascii="Times New Roman" w:hAnsi="Times New Roman"/>
                            <w:color w:val="000000" w:themeColor="text1"/>
                          </w:rPr>
                          <w:t>- пріоритетність ліквідності;</w:t>
                        </w:r>
                      </w:p>
                      <w:p w:rsidR="00F821E3" w:rsidRPr="007C452A" w:rsidRDefault="00F821E3" w:rsidP="007C452A">
                        <w:pPr>
                          <w:spacing w:after="0" w:line="240" w:lineRule="auto"/>
                          <w:jc w:val="both"/>
                          <w:rPr>
                            <w:rFonts w:ascii="Times New Roman" w:hAnsi="Times New Roman"/>
                            <w:color w:val="000000" w:themeColor="text1"/>
                          </w:rPr>
                        </w:pPr>
                        <w:r w:rsidRPr="007C452A">
                          <w:rPr>
                            <w:rFonts w:ascii="Times New Roman" w:hAnsi="Times New Roman"/>
                            <w:color w:val="000000" w:themeColor="text1"/>
                          </w:rPr>
                          <w:t>- постійність аналізу потреби в ліквідних коштах;</w:t>
                        </w:r>
                      </w:p>
                      <w:p w:rsidR="00F821E3" w:rsidRPr="007C452A" w:rsidRDefault="00F821E3" w:rsidP="007C452A">
                        <w:pPr>
                          <w:spacing w:after="0" w:line="240" w:lineRule="auto"/>
                          <w:jc w:val="both"/>
                          <w:rPr>
                            <w:rFonts w:ascii="Times New Roman" w:hAnsi="Times New Roman"/>
                            <w:color w:val="000000" w:themeColor="text1"/>
                          </w:rPr>
                        </w:pPr>
                        <w:r w:rsidRPr="007C452A">
                          <w:rPr>
                            <w:rFonts w:ascii="Times New Roman" w:hAnsi="Times New Roman"/>
                            <w:color w:val="000000" w:themeColor="text1"/>
                          </w:rPr>
                          <w:t>- планування та прогнозування дій банку;</w:t>
                        </w:r>
                      </w:p>
                      <w:p w:rsidR="00F821E3" w:rsidRPr="007C452A" w:rsidRDefault="00F821E3" w:rsidP="007C452A">
                        <w:pPr>
                          <w:jc w:val="both"/>
                          <w:rPr>
                            <w:rFonts w:ascii="Times New Roman" w:hAnsi="Times New Roman"/>
                            <w:color w:val="000000" w:themeColor="text1"/>
                          </w:rPr>
                        </w:pPr>
                        <w:r w:rsidRPr="007C452A">
                          <w:rPr>
                            <w:rFonts w:ascii="Times New Roman" w:hAnsi="Times New Roman"/>
                            <w:color w:val="000000" w:themeColor="text1"/>
                          </w:rPr>
                          <w:t>- в</w:t>
                        </w:r>
                        <w:r>
                          <w:rPr>
                            <w:rFonts w:ascii="Times New Roman" w:hAnsi="Times New Roman"/>
                            <w:color w:val="000000" w:themeColor="text1"/>
                          </w:rPr>
                          <w:t xml:space="preserve">заємозв’язок ризику </w:t>
                        </w:r>
                        <w:r w:rsidRPr="007C452A">
                          <w:rPr>
                            <w:rFonts w:ascii="Times New Roman" w:hAnsi="Times New Roman"/>
                            <w:color w:val="000000" w:themeColor="text1"/>
                          </w:rPr>
                          <w:t>ліквідності з іншими сферами діяльності</w:t>
                        </w:r>
                      </w:p>
                    </w:txbxContent>
                  </v:textbox>
                </v:rect>
                <w10:anchorlock/>
              </v:group>
            </w:pict>
          </mc:Fallback>
        </mc:AlternateContent>
      </w:r>
    </w:p>
    <w:p w:rsidR="007C452A" w:rsidRDefault="007C452A" w:rsidP="007C452A">
      <w:pPr>
        <w:pStyle w:val="a4"/>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 1.1</w:t>
      </w:r>
      <w:r w:rsidR="00F94757">
        <w:rPr>
          <w:rFonts w:ascii="Times New Roman" w:hAnsi="Times New Roman" w:cs="Times New Roman"/>
          <w:sz w:val="28"/>
          <w:szCs w:val="28"/>
        </w:rPr>
        <w:t>2</w:t>
      </w:r>
      <w:r>
        <w:rPr>
          <w:rFonts w:ascii="Times New Roman" w:hAnsi="Times New Roman" w:cs="Times New Roman"/>
          <w:sz w:val="28"/>
          <w:szCs w:val="28"/>
        </w:rPr>
        <w:t xml:space="preserve">. </w:t>
      </w:r>
      <w:r w:rsidRPr="007C452A">
        <w:rPr>
          <w:rFonts w:ascii="Times New Roman" w:hAnsi="Times New Roman" w:cs="Times New Roman"/>
          <w:sz w:val="28"/>
          <w:szCs w:val="28"/>
        </w:rPr>
        <w:t>Засади управління ліквідністю комерційного банку</w:t>
      </w:r>
    </w:p>
    <w:p w:rsidR="00110EE2" w:rsidRPr="007C452A" w:rsidRDefault="00110EE2" w:rsidP="007C452A">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Загальні принципи управління ліквідністю – це основні засади, що притаманні економіці в цілому і є основою для формулювання відповідних правил, законів, концепцій управління ліквідністю комерційного банку. </w:t>
      </w:r>
      <w:r>
        <w:rPr>
          <w:rFonts w:ascii="Times New Roman" w:hAnsi="Times New Roman"/>
          <w:sz w:val="28"/>
          <w:szCs w:val="28"/>
        </w:rPr>
        <w:t xml:space="preserve">Специфічні принци - це принципи, які висвітлюють найважливіші напрямки управління ліквідністю банку (див. </w:t>
      </w:r>
      <w:r w:rsidRPr="00370603">
        <w:rPr>
          <w:rFonts w:ascii="Times New Roman" w:hAnsi="Times New Roman"/>
          <w:sz w:val="28"/>
          <w:szCs w:val="28"/>
        </w:rPr>
        <w:t>табл</w:t>
      </w:r>
      <w:r w:rsidR="00370603" w:rsidRPr="00370603">
        <w:rPr>
          <w:rFonts w:ascii="Times New Roman" w:hAnsi="Times New Roman"/>
          <w:sz w:val="28"/>
          <w:szCs w:val="28"/>
        </w:rPr>
        <w:t>.</w:t>
      </w:r>
      <w:r w:rsidR="0058293F">
        <w:rPr>
          <w:rFonts w:ascii="Times New Roman" w:hAnsi="Times New Roman"/>
          <w:sz w:val="28"/>
          <w:szCs w:val="28"/>
        </w:rPr>
        <w:t xml:space="preserve"> </w:t>
      </w:r>
      <w:r w:rsidRPr="00370603">
        <w:rPr>
          <w:rFonts w:ascii="Times New Roman" w:hAnsi="Times New Roman"/>
          <w:sz w:val="28"/>
          <w:szCs w:val="28"/>
        </w:rPr>
        <w:t>1.</w:t>
      </w:r>
      <w:r w:rsidR="00370603" w:rsidRPr="00370603">
        <w:rPr>
          <w:rFonts w:ascii="Times New Roman" w:hAnsi="Times New Roman"/>
          <w:sz w:val="28"/>
          <w:szCs w:val="28"/>
        </w:rPr>
        <w:t>9</w:t>
      </w:r>
      <w:r w:rsidRPr="00370603">
        <w:rPr>
          <w:rFonts w:ascii="Times New Roman" w:hAnsi="Times New Roman"/>
          <w:sz w:val="28"/>
          <w:szCs w:val="28"/>
        </w:rPr>
        <w:t>).</w:t>
      </w:r>
    </w:p>
    <w:p w:rsidR="007C452A" w:rsidRDefault="00110EE2" w:rsidP="007C452A">
      <w:pPr>
        <w:pStyle w:val="a4"/>
        <w:spacing w:after="0" w:line="360" w:lineRule="auto"/>
        <w:ind w:left="0" w:firstLine="709"/>
        <w:jc w:val="right"/>
        <w:rPr>
          <w:rFonts w:ascii="Times New Roman" w:hAnsi="Times New Roman" w:cs="Times New Roman"/>
          <w:sz w:val="28"/>
          <w:szCs w:val="28"/>
        </w:rPr>
      </w:pPr>
      <w:r w:rsidRPr="007C452A">
        <w:rPr>
          <w:rFonts w:ascii="Times New Roman" w:hAnsi="Times New Roman" w:cs="Times New Roman"/>
          <w:sz w:val="28"/>
          <w:szCs w:val="28"/>
        </w:rPr>
        <w:t>Таблиця 1.</w:t>
      </w:r>
      <w:r w:rsidR="007C452A" w:rsidRPr="007C452A">
        <w:rPr>
          <w:rFonts w:ascii="Times New Roman" w:hAnsi="Times New Roman" w:cs="Times New Roman"/>
          <w:sz w:val="28"/>
          <w:szCs w:val="28"/>
        </w:rPr>
        <w:t>9</w:t>
      </w:r>
      <w:r w:rsidR="007C452A">
        <w:rPr>
          <w:rFonts w:ascii="Times New Roman" w:hAnsi="Times New Roman" w:cs="Times New Roman"/>
          <w:sz w:val="28"/>
          <w:szCs w:val="28"/>
        </w:rPr>
        <w:t xml:space="preserve"> </w:t>
      </w:r>
    </w:p>
    <w:p w:rsidR="00110EE2" w:rsidRDefault="00110EE2" w:rsidP="005D1BA3">
      <w:pPr>
        <w:pStyle w:val="a4"/>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Специфічні принципи (засади) управління ліквідністю банку</w:t>
      </w:r>
    </w:p>
    <w:tbl>
      <w:tblPr>
        <w:tblStyle w:val="a5"/>
        <w:tblW w:w="0" w:type="auto"/>
        <w:jc w:val="center"/>
        <w:tblInd w:w="0" w:type="dxa"/>
        <w:tblLook w:val="04A0" w:firstRow="1" w:lastRow="0" w:firstColumn="1" w:lastColumn="0" w:noHBand="0" w:noVBand="1"/>
      </w:tblPr>
      <w:tblGrid>
        <w:gridCol w:w="3114"/>
        <w:gridCol w:w="6515"/>
      </w:tblGrid>
      <w:tr w:rsidR="00110EE2" w:rsidTr="006E56FC">
        <w:trPr>
          <w:trHeight w:val="601"/>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Специфічні принцип</w:t>
            </w:r>
          </w:p>
        </w:tc>
        <w:tc>
          <w:tcPr>
            <w:tcW w:w="6515"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Сутність</w:t>
            </w:r>
          </w:p>
        </w:tc>
      </w:tr>
      <w:tr w:rsidR="00110EE2" w:rsidTr="006E56FC">
        <w:trPr>
          <w:trHeight w:val="1316"/>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Пріоритетність ліквідності</w:t>
            </w:r>
          </w:p>
        </w:tc>
        <w:tc>
          <w:tcPr>
            <w:tcW w:w="6515"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постійний контроль діяльності підрозділів банку, відповідальних за мобілізацію i розміщення коштів на фінансових ринках; </w:t>
            </w:r>
          </w:p>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координація діяльності роботи підрозділів</w:t>
            </w:r>
          </w:p>
        </w:tc>
      </w:tr>
      <w:tr w:rsidR="00110EE2" w:rsidTr="006E56FC">
        <w:trPr>
          <w:trHeight w:val="1123"/>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Постійність аналізу потреби в ліквідних коштах</w:t>
            </w:r>
          </w:p>
        </w:tc>
        <w:tc>
          <w:tcPr>
            <w:tcW w:w="6515"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аналіз потреб у ліквідних коштах;</w:t>
            </w:r>
          </w:p>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прийняття рішень щодо їх розміщення</w:t>
            </w:r>
          </w:p>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Мета: уникнення як дефіциту, так i профіциту ліквідності </w:t>
            </w:r>
          </w:p>
        </w:tc>
      </w:tr>
    </w:tbl>
    <w:p w:rsidR="009D1FAC" w:rsidRDefault="009D1FAC" w:rsidP="00982BD8">
      <w:pPr>
        <w:pStyle w:val="a4"/>
        <w:spacing w:before="120" w:after="0" w:line="360" w:lineRule="auto"/>
        <w:ind w:left="0" w:firstLine="709"/>
        <w:jc w:val="both"/>
        <w:rPr>
          <w:rFonts w:ascii="Times New Roman" w:hAnsi="Times New Roman" w:cs="Times New Roman"/>
          <w:sz w:val="24"/>
          <w:szCs w:val="24"/>
        </w:rPr>
      </w:pPr>
    </w:p>
    <w:p w:rsidR="00001F55" w:rsidRPr="009D1FAC" w:rsidRDefault="009D1FAC" w:rsidP="009D1FAC">
      <w:pPr>
        <w:spacing w:line="259" w:lineRule="auto"/>
        <w:rPr>
          <w:rFonts w:ascii="Times New Roman" w:eastAsiaTheme="minorHAnsi" w:hAnsi="Times New Roman"/>
          <w:sz w:val="24"/>
          <w:szCs w:val="24"/>
        </w:rPr>
      </w:pPr>
      <w:r>
        <w:rPr>
          <w:rFonts w:ascii="Times New Roman" w:hAnsi="Times New Roman"/>
          <w:sz w:val="24"/>
          <w:szCs w:val="24"/>
        </w:rPr>
        <w:br w:type="page"/>
      </w:r>
    </w:p>
    <w:p w:rsidR="00001F55" w:rsidRPr="00001F55" w:rsidRDefault="00001F55" w:rsidP="00001F55">
      <w:pPr>
        <w:pStyle w:val="a4"/>
        <w:spacing w:before="120" w:after="0" w:line="360" w:lineRule="auto"/>
        <w:ind w:left="0" w:firstLine="709"/>
        <w:jc w:val="right"/>
        <w:rPr>
          <w:rFonts w:ascii="Times New Roman" w:hAnsi="Times New Roman" w:cs="Times New Roman"/>
          <w:sz w:val="28"/>
          <w:szCs w:val="28"/>
        </w:rPr>
      </w:pPr>
      <w:r w:rsidRPr="00001F55">
        <w:rPr>
          <w:rFonts w:ascii="Times New Roman" w:hAnsi="Times New Roman" w:cs="Times New Roman"/>
          <w:sz w:val="28"/>
          <w:szCs w:val="28"/>
        </w:rPr>
        <w:lastRenderedPageBreak/>
        <w:t>Продовження таблиці 1.9.</w:t>
      </w:r>
    </w:p>
    <w:tbl>
      <w:tblPr>
        <w:tblStyle w:val="a5"/>
        <w:tblW w:w="0" w:type="auto"/>
        <w:jc w:val="center"/>
        <w:tblInd w:w="0" w:type="dxa"/>
        <w:tblLook w:val="04A0" w:firstRow="1" w:lastRow="0" w:firstColumn="1" w:lastColumn="0" w:noHBand="0" w:noVBand="1"/>
      </w:tblPr>
      <w:tblGrid>
        <w:gridCol w:w="3114"/>
        <w:gridCol w:w="6515"/>
      </w:tblGrid>
      <w:tr w:rsidR="00001F55" w:rsidTr="00042D5E">
        <w:trPr>
          <w:trHeight w:val="601"/>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001F55" w:rsidRDefault="00001F55" w:rsidP="00042D5E">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Специфічні принцип</w:t>
            </w:r>
          </w:p>
        </w:tc>
        <w:tc>
          <w:tcPr>
            <w:tcW w:w="6515" w:type="dxa"/>
            <w:tcBorders>
              <w:top w:val="single" w:sz="4" w:space="0" w:color="auto"/>
              <w:left w:val="single" w:sz="4" w:space="0" w:color="auto"/>
              <w:bottom w:val="single" w:sz="4" w:space="0" w:color="auto"/>
              <w:right w:val="single" w:sz="4" w:space="0" w:color="auto"/>
            </w:tcBorders>
            <w:vAlign w:val="center"/>
            <w:hideMark/>
          </w:tcPr>
          <w:p w:rsidR="00001F55" w:rsidRDefault="00001F55" w:rsidP="00042D5E">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Сутність</w:t>
            </w:r>
          </w:p>
        </w:tc>
      </w:tr>
      <w:tr w:rsidR="00001F55" w:rsidTr="00042D5E">
        <w:trPr>
          <w:trHeight w:val="1691"/>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001F55" w:rsidRDefault="00001F55" w:rsidP="00042D5E">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Планування та прогнозування дій банку</w:t>
            </w:r>
          </w:p>
        </w:tc>
        <w:tc>
          <w:tcPr>
            <w:tcW w:w="6515" w:type="dxa"/>
            <w:tcBorders>
              <w:top w:val="single" w:sz="4" w:space="0" w:color="auto"/>
              <w:left w:val="single" w:sz="4" w:space="0" w:color="auto"/>
              <w:bottom w:val="single" w:sz="4" w:space="0" w:color="auto"/>
              <w:right w:val="single" w:sz="4" w:space="0" w:color="auto"/>
            </w:tcBorders>
            <w:vAlign w:val="center"/>
            <w:hideMark/>
          </w:tcPr>
          <w:p w:rsidR="00001F55" w:rsidRDefault="00001F55" w:rsidP="00042D5E">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передбачення можливості зняття найбільшими клієнтами банку коштів зі своїх рахунків, або, навпаки, значного припливу грошових коштів на рахунки клієнтів</w:t>
            </w:r>
          </w:p>
          <w:p w:rsidR="00001F55" w:rsidRDefault="00001F55" w:rsidP="00042D5E">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Прогнозування можливості виникнення незбалансованої ліквідності й кризових ситуацій </w:t>
            </w:r>
          </w:p>
        </w:tc>
      </w:tr>
      <w:tr w:rsidR="00001F55" w:rsidTr="00042D5E">
        <w:trPr>
          <w:trHeight w:val="1132"/>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001F55" w:rsidRDefault="00001F55" w:rsidP="00042D5E">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Взаємозв’язок ризику ліквідності з іншими сферами діяльності</w:t>
            </w:r>
          </w:p>
        </w:tc>
        <w:tc>
          <w:tcPr>
            <w:tcW w:w="6515" w:type="dxa"/>
            <w:tcBorders>
              <w:top w:val="single" w:sz="4" w:space="0" w:color="auto"/>
              <w:left w:val="single" w:sz="4" w:space="0" w:color="auto"/>
              <w:bottom w:val="single" w:sz="4" w:space="0" w:color="auto"/>
              <w:right w:val="single" w:sz="4" w:space="0" w:color="auto"/>
            </w:tcBorders>
            <w:vAlign w:val="center"/>
            <w:hideMark/>
          </w:tcPr>
          <w:p w:rsidR="00001F55" w:rsidRDefault="00001F55" w:rsidP="00042D5E">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залучення i розміщення коштів;</w:t>
            </w:r>
          </w:p>
          <w:p w:rsidR="00001F55" w:rsidRDefault="00001F55" w:rsidP="00042D5E">
            <w:pPr>
              <w:pStyle w:val="a4"/>
              <w:spacing w:line="240" w:lineRule="auto"/>
              <w:ind w:left="0"/>
              <w:jc w:val="both"/>
              <w:rPr>
                <w:rFonts w:ascii="Times New Roman" w:hAnsi="Times New Roman" w:cs="Times New Roman"/>
                <w:sz w:val="28"/>
                <w:szCs w:val="28"/>
              </w:rPr>
            </w:pPr>
            <w:r>
              <w:rPr>
                <w:rFonts w:ascii="Times New Roman" w:hAnsi="Times New Roman" w:cs="Times New Roman"/>
                <w:sz w:val="24"/>
                <w:szCs w:val="24"/>
              </w:rPr>
              <w:t>- управління ризиком відсоткових ставок</w:t>
            </w:r>
          </w:p>
        </w:tc>
      </w:tr>
    </w:tbl>
    <w:p w:rsidR="00982BD8" w:rsidRPr="007C452A" w:rsidRDefault="00982BD8" w:rsidP="00982BD8">
      <w:pPr>
        <w:pStyle w:val="a4"/>
        <w:spacing w:before="120" w:after="0" w:line="360" w:lineRule="auto"/>
        <w:ind w:left="0" w:firstLine="709"/>
        <w:jc w:val="both"/>
        <w:rPr>
          <w:rFonts w:ascii="Times New Roman" w:hAnsi="Times New Roman" w:cs="Times New Roman"/>
          <w:sz w:val="24"/>
          <w:szCs w:val="24"/>
        </w:rPr>
      </w:pPr>
      <w:r w:rsidRPr="007C452A">
        <w:rPr>
          <w:rFonts w:ascii="Times New Roman" w:hAnsi="Times New Roman" w:cs="Times New Roman"/>
          <w:sz w:val="24"/>
          <w:szCs w:val="24"/>
        </w:rPr>
        <w:t xml:space="preserve">Джерело: </w:t>
      </w:r>
      <w:r>
        <w:rPr>
          <w:rFonts w:ascii="Times New Roman" w:hAnsi="Times New Roman" w:cs="Times New Roman"/>
          <w:sz w:val="24"/>
          <w:szCs w:val="24"/>
        </w:rPr>
        <w:t>[40</w:t>
      </w:r>
      <w:r w:rsidRPr="007C452A">
        <w:rPr>
          <w:rFonts w:ascii="Times New Roman" w:hAnsi="Times New Roman" w:cs="Times New Roman"/>
          <w:sz w:val="24"/>
          <w:szCs w:val="24"/>
        </w:rPr>
        <w:t>, с. 84]</w:t>
      </w:r>
    </w:p>
    <w:p w:rsidR="00E11BA8" w:rsidRDefault="00E11BA8"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Вчені-економісти </w:t>
      </w:r>
      <w:r w:rsidRPr="00E11BA8">
        <w:rPr>
          <w:rFonts w:ascii="Times New Roman" w:hAnsi="Times New Roman" w:cs="Times New Roman"/>
          <w:sz w:val="28"/>
          <w:szCs w:val="28"/>
        </w:rPr>
        <w:t>Коваленко В. В.</w:t>
      </w:r>
      <w:r>
        <w:rPr>
          <w:rFonts w:ascii="Times New Roman" w:hAnsi="Times New Roman" w:cs="Times New Roman"/>
          <w:sz w:val="28"/>
          <w:szCs w:val="28"/>
        </w:rPr>
        <w:t xml:space="preserve"> та </w:t>
      </w:r>
      <w:proofErr w:type="spellStart"/>
      <w:r w:rsidRPr="00E11BA8">
        <w:rPr>
          <w:rFonts w:ascii="Times New Roman" w:hAnsi="Times New Roman" w:cs="Times New Roman"/>
          <w:sz w:val="28"/>
          <w:szCs w:val="28"/>
        </w:rPr>
        <w:t>Кочетков</w:t>
      </w:r>
      <w:proofErr w:type="spellEnd"/>
      <w:r w:rsidRPr="00E11BA8">
        <w:rPr>
          <w:rFonts w:ascii="Times New Roman" w:hAnsi="Times New Roman" w:cs="Times New Roman"/>
          <w:sz w:val="28"/>
          <w:szCs w:val="28"/>
        </w:rPr>
        <w:t xml:space="preserve"> В. М</w:t>
      </w:r>
      <w:r>
        <w:rPr>
          <w:rFonts w:ascii="Times New Roman" w:hAnsi="Times New Roman" w:cs="Times New Roman"/>
          <w:sz w:val="28"/>
          <w:szCs w:val="28"/>
        </w:rPr>
        <w:t xml:space="preserve"> акцентують, що «в</w:t>
      </w:r>
      <w:r w:rsidRPr="00E11BA8">
        <w:rPr>
          <w:rFonts w:ascii="Times New Roman" w:hAnsi="Times New Roman" w:cs="Times New Roman"/>
          <w:sz w:val="28"/>
          <w:szCs w:val="28"/>
        </w:rPr>
        <w:t>ажливою умовою ефективного управління фіна</w:t>
      </w:r>
      <w:r>
        <w:rPr>
          <w:rFonts w:ascii="Times New Roman" w:hAnsi="Times New Roman" w:cs="Times New Roman"/>
          <w:sz w:val="28"/>
          <w:szCs w:val="28"/>
        </w:rPr>
        <w:t xml:space="preserve">нсовою стійкістю та ліквідністю </w:t>
      </w:r>
      <w:r w:rsidRPr="00E11BA8">
        <w:rPr>
          <w:rFonts w:ascii="Times New Roman" w:hAnsi="Times New Roman" w:cs="Times New Roman"/>
          <w:sz w:val="28"/>
          <w:szCs w:val="28"/>
        </w:rPr>
        <w:t>банків є дотримання певного комплексу принципів</w:t>
      </w:r>
      <w:r>
        <w:rPr>
          <w:rFonts w:ascii="Times New Roman" w:hAnsi="Times New Roman" w:cs="Times New Roman"/>
          <w:sz w:val="28"/>
          <w:szCs w:val="28"/>
        </w:rPr>
        <w:t>» та виділяють наступні:</w:t>
      </w:r>
    </w:p>
    <w:p w:rsidR="00E11BA8" w:rsidRPr="00E11BA8" w:rsidRDefault="00E11BA8"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E11BA8">
        <w:rPr>
          <w:rFonts w:ascii="Times New Roman" w:hAnsi="Times New Roman" w:cs="Times New Roman"/>
          <w:sz w:val="28"/>
          <w:szCs w:val="28"/>
        </w:rPr>
        <w:t xml:space="preserve"> принцип єдності дій і засобів досягн</w:t>
      </w:r>
      <w:r>
        <w:rPr>
          <w:rFonts w:ascii="Times New Roman" w:hAnsi="Times New Roman" w:cs="Times New Roman"/>
          <w:sz w:val="28"/>
          <w:szCs w:val="28"/>
        </w:rPr>
        <w:t>ення мети суб’єктами управління</w:t>
      </w:r>
      <w:r w:rsidRPr="00E11BA8">
        <w:rPr>
          <w:rFonts w:ascii="Times New Roman" w:hAnsi="Times New Roman" w:cs="Times New Roman"/>
          <w:sz w:val="28"/>
          <w:szCs w:val="28"/>
        </w:rPr>
        <w:t>;</w:t>
      </w:r>
    </w:p>
    <w:p w:rsidR="00E11BA8" w:rsidRPr="00E11BA8" w:rsidRDefault="00E11BA8"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E11BA8">
        <w:rPr>
          <w:rFonts w:ascii="Times New Roman" w:hAnsi="Times New Roman" w:cs="Times New Roman"/>
          <w:sz w:val="28"/>
          <w:szCs w:val="28"/>
        </w:rPr>
        <w:t xml:space="preserve"> принцип комплексності процесу управління;</w:t>
      </w:r>
    </w:p>
    <w:p w:rsidR="00E11BA8" w:rsidRPr="00E11BA8" w:rsidRDefault="00E11BA8"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E11BA8">
        <w:rPr>
          <w:rFonts w:ascii="Times New Roman" w:hAnsi="Times New Roman" w:cs="Times New Roman"/>
          <w:sz w:val="28"/>
          <w:szCs w:val="28"/>
        </w:rPr>
        <w:t xml:space="preserve"> принцип єдності тактики і стратегії у процесі управління для забезпечення його безперервності;</w:t>
      </w:r>
    </w:p>
    <w:p w:rsidR="00E11BA8" w:rsidRPr="00E11BA8" w:rsidRDefault="00E11BA8"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E11BA8">
        <w:rPr>
          <w:rFonts w:ascii="Times New Roman" w:hAnsi="Times New Roman" w:cs="Times New Roman"/>
          <w:sz w:val="28"/>
          <w:szCs w:val="28"/>
        </w:rPr>
        <w:t xml:space="preserve"> принцип взаємозв’язку і взаємо</w:t>
      </w:r>
      <w:r>
        <w:rPr>
          <w:rFonts w:ascii="Times New Roman" w:hAnsi="Times New Roman" w:cs="Times New Roman"/>
          <w:sz w:val="28"/>
          <w:szCs w:val="28"/>
        </w:rPr>
        <w:t xml:space="preserve">обумовленості елементів системи </w:t>
      </w:r>
      <w:r w:rsidRPr="00E11BA8">
        <w:rPr>
          <w:rFonts w:ascii="Times New Roman" w:hAnsi="Times New Roman" w:cs="Times New Roman"/>
          <w:sz w:val="28"/>
          <w:szCs w:val="28"/>
        </w:rPr>
        <w:t>управління, який полягає у тому, що</w:t>
      </w:r>
      <w:r>
        <w:rPr>
          <w:rFonts w:ascii="Times New Roman" w:hAnsi="Times New Roman" w:cs="Times New Roman"/>
          <w:sz w:val="28"/>
          <w:szCs w:val="28"/>
        </w:rPr>
        <w:t xml:space="preserve"> </w:t>
      </w:r>
      <w:r w:rsidRPr="00E11BA8">
        <w:rPr>
          <w:rFonts w:ascii="Times New Roman" w:hAnsi="Times New Roman" w:cs="Times New Roman"/>
          <w:sz w:val="28"/>
          <w:szCs w:val="28"/>
        </w:rPr>
        <w:t>функціонування окремого елементу зумовлює особливості дії іншого, а</w:t>
      </w:r>
      <w:r>
        <w:rPr>
          <w:rFonts w:ascii="Times New Roman" w:hAnsi="Times New Roman" w:cs="Times New Roman"/>
          <w:sz w:val="28"/>
          <w:szCs w:val="28"/>
        </w:rPr>
        <w:t xml:space="preserve"> </w:t>
      </w:r>
      <w:r w:rsidRPr="00E11BA8">
        <w:rPr>
          <w:rFonts w:ascii="Times New Roman" w:hAnsi="Times New Roman" w:cs="Times New Roman"/>
          <w:sz w:val="28"/>
          <w:szCs w:val="28"/>
        </w:rPr>
        <w:t>взаємний вплив та цілеспрямованість усієї сукупності елементів забезпечує</w:t>
      </w:r>
      <w:r>
        <w:rPr>
          <w:rFonts w:ascii="Times New Roman" w:hAnsi="Times New Roman" w:cs="Times New Roman"/>
          <w:sz w:val="28"/>
          <w:szCs w:val="28"/>
        </w:rPr>
        <w:t xml:space="preserve"> </w:t>
      </w:r>
      <w:r w:rsidRPr="00E11BA8">
        <w:rPr>
          <w:rFonts w:ascii="Times New Roman" w:hAnsi="Times New Roman" w:cs="Times New Roman"/>
          <w:sz w:val="28"/>
          <w:szCs w:val="28"/>
        </w:rPr>
        <w:t>результативність процесу управління;</w:t>
      </w:r>
    </w:p>
    <w:p w:rsidR="00E11BA8" w:rsidRPr="00E11BA8" w:rsidRDefault="00E11BA8"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E11BA8">
        <w:rPr>
          <w:rFonts w:ascii="Times New Roman" w:hAnsi="Times New Roman" w:cs="Times New Roman"/>
          <w:sz w:val="28"/>
          <w:szCs w:val="28"/>
        </w:rPr>
        <w:t xml:space="preserve"> принцип гнучкості процесу управління</w:t>
      </w:r>
      <w:r>
        <w:rPr>
          <w:rFonts w:ascii="Times New Roman" w:hAnsi="Times New Roman" w:cs="Times New Roman"/>
          <w:sz w:val="28"/>
          <w:szCs w:val="28"/>
        </w:rPr>
        <w:t xml:space="preserve">, що </w:t>
      </w:r>
      <w:r w:rsidRPr="00E11BA8">
        <w:rPr>
          <w:rFonts w:ascii="Times New Roman" w:hAnsi="Times New Roman" w:cs="Times New Roman"/>
          <w:sz w:val="28"/>
          <w:szCs w:val="28"/>
        </w:rPr>
        <w:t>дає змогу адаптуватися до можливих змін на фінансовому ринку</w:t>
      </w:r>
      <w:r>
        <w:rPr>
          <w:rFonts w:ascii="Times New Roman" w:hAnsi="Times New Roman" w:cs="Times New Roman"/>
          <w:sz w:val="28"/>
          <w:szCs w:val="28"/>
        </w:rPr>
        <w:t xml:space="preserve"> [41, с. </w:t>
      </w:r>
      <w:r w:rsidR="008E37D6">
        <w:rPr>
          <w:rFonts w:ascii="Times New Roman" w:hAnsi="Times New Roman" w:cs="Times New Roman"/>
          <w:sz w:val="28"/>
          <w:szCs w:val="28"/>
        </w:rPr>
        <w:t>52</w:t>
      </w:r>
      <w:r>
        <w:rPr>
          <w:rFonts w:ascii="Times New Roman" w:hAnsi="Times New Roman" w:cs="Times New Roman"/>
          <w:sz w:val="28"/>
          <w:szCs w:val="28"/>
        </w:rPr>
        <w:t>]</w:t>
      </w:r>
      <w:r w:rsidRPr="00E11BA8">
        <w:rPr>
          <w:rFonts w:ascii="Times New Roman" w:hAnsi="Times New Roman" w:cs="Times New Roman"/>
          <w:sz w:val="28"/>
          <w:szCs w:val="28"/>
        </w:rPr>
        <w:t>.</w:t>
      </w:r>
    </w:p>
    <w:p w:rsidR="00110EE2" w:rsidRDefault="00110EE2" w:rsidP="002357CA">
      <w:pPr>
        <w:pStyle w:val="a4"/>
        <w:spacing w:before="240"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Світова фінансова криза, яка зруйнувала звичні засади управління ризиком ліквідності та потребувала появи нових загальних умов управління активами банківських установ, сприяла появі нових підходів щодо прогнозування та регулювання ліквідності банківських установ системи [</w:t>
      </w:r>
      <w:r w:rsidR="00CB54CE">
        <w:rPr>
          <w:rFonts w:ascii="Times New Roman" w:hAnsi="Times New Roman" w:cs="Times New Roman"/>
          <w:sz w:val="28"/>
          <w:szCs w:val="28"/>
        </w:rPr>
        <w:t>4</w:t>
      </w:r>
      <w:r w:rsidR="008D31F5">
        <w:rPr>
          <w:rFonts w:ascii="Times New Roman" w:hAnsi="Times New Roman" w:cs="Times New Roman"/>
          <w:sz w:val="28"/>
          <w:szCs w:val="28"/>
        </w:rPr>
        <w:t>2</w:t>
      </w:r>
      <w:r>
        <w:rPr>
          <w:rFonts w:ascii="Times New Roman" w:hAnsi="Times New Roman" w:cs="Times New Roman"/>
          <w:sz w:val="28"/>
          <w:szCs w:val="28"/>
        </w:rPr>
        <w:t>, с. 104].</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Отже, з метою забезпечення ефективного управління ліквідністю банків Базельським комітетом з питань банківського нагляду прийнята низка документів щодо ризику ліквідності, а саме:</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«Базельські принципи ефективного банківського нагляду»; «Краща практика менеджменту ліквідності в банківських організаціях» (2000 рік);</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 «Опора 3 Базель II (Ринкова дисципліна)» щодо збільшення публічного розкриття інформації про наявність ліквідності в банку (2003 рік);</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 «Принципи належного управління і нагляду за ризиком ліквідності» (2008 рік);</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 «Базель ІІІ: Міжнародні підходи до вимірювання ризику ліквідності, стандартів і моніторингу» (грудень 2010 рік);</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 «Принципи агрегування ризиків і надання звітності по ризикам» (січень 2013 рік);</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 «Базель ІІІ: показник покриття ліквідності та інструменти моніторингу ризику ліквідності» (січень 2013 рік);</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 «Базель III: Показник чистого стабільного фондування» (2014 рік) [29, с. 84].</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Саме у пакеті реформ Базель ІІІ було введено принципово нові коефіцієнти аналізу ліквідності:</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1) показник покриття ліквідності (</w:t>
      </w:r>
      <w:proofErr w:type="spellStart"/>
      <w:r>
        <w:rPr>
          <w:rFonts w:ascii="Times New Roman" w:hAnsi="Times New Roman" w:cs="Times New Roman"/>
          <w:sz w:val="28"/>
          <w:szCs w:val="28"/>
        </w:rPr>
        <w:t>Liguidity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coverage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ratio</w:t>
      </w:r>
      <w:proofErr w:type="spellEnd"/>
      <w:r>
        <w:rPr>
          <w:rFonts w:ascii="Times New Roman" w:hAnsi="Times New Roman" w:cs="Times New Roman"/>
          <w:sz w:val="28"/>
          <w:szCs w:val="28"/>
        </w:rPr>
        <w:t>, LCR);</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показник стабільного фінансування, </w:t>
      </w:r>
      <w:proofErr w:type="spellStart"/>
      <w:r>
        <w:rPr>
          <w:rFonts w:ascii="Times New Roman" w:hAnsi="Times New Roman" w:cs="Times New Roman"/>
          <w:sz w:val="28"/>
          <w:szCs w:val="28"/>
        </w:rPr>
        <w:t>нетто-фондуванн</w:t>
      </w:r>
      <w:r w:rsidR="00CB54CE">
        <w:rPr>
          <w:rFonts w:ascii="Times New Roman" w:hAnsi="Times New Roman" w:cs="Times New Roman"/>
          <w:sz w:val="28"/>
          <w:szCs w:val="28"/>
        </w:rPr>
        <w:t>я</w:t>
      </w:r>
      <w:proofErr w:type="spellEnd"/>
      <w:r w:rsidR="00CB54CE">
        <w:rPr>
          <w:rFonts w:ascii="Times New Roman" w:hAnsi="Times New Roman" w:cs="Times New Roman"/>
          <w:sz w:val="28"/>
          <w:szCs w:val="28"/>
        </w:rPr>
        <w:t xml:space="preserve"> (</w:t>
      </w:r>
      <w:proofErr w:type="spellStart"/>
      <w:r w:rsidR="00CB54CE">
        <w:rPr>
          <w:rFonts w:ascii="Times New Roman" w:hAnsi="Times New Roman" w:cs="Times New Roman"/>
          <w:sz w:val="28"/>
          <w:szCs w:val="28"/>
        </w:rPr>
        <w:t>Net</w:t>
      </w:r>
      <w:proofErr w:type="spellEnd"/>
      <w:r w:rsidR="00CB54CE">
        <w:rPr>
          <w:rFonts w:ascii="Times New Roman" w:hAnsi="Times New Roman" w:cs="Times New Roman"/>
          <w:sz w:val="28"/>
          <w:szCs w:val="28"/>
        </w:rPr>
        <w:t xml:space="preserve"> </w:t>
      </w:r>
      <w:proofErr w:type="spellStart"/>
      <w:r w:rsidR="00CB54CE">
        <w:rPr>
          <w:rFonts w:ascii="Times New Roman" w:hAnsi="Times New Roman" w:cs="Times New Roman"/>
          <w:sz w:val="28"/>
          <w:szCs w:val="28"/>
        </w:rPr>
        <w:t>stable</w:t>
      </w:r>
      <w:proofErr w:type="spellEnd"/>
      <w:r w:rsidR="00CB54CE">
        <w:rPr>
          <w:rFonts w:ascii="Times New Roman" w:hAnsi="Times New Roman" w:cs="Times New Roman"/>
          <w:sz w:val="28"/>
          <w:szCs w:val="28"/>
        </w:rPr>
        <w:t xml:space="preserve"> </w:t>
      </w:r>
      <w:proofErr w:type="spellStart"/>
      <w:r w:rsidR="00CB54CE">
        <w:rPr>
          <w:rFonts w:ascii="Times New Roman" w:hAnsi="Times New Roman" w:cs="Times New Roman"/>
          <w:sz w:val="28"/>
          <w:szCs w:val="28"/>
        </w:rPr>
        <w:t>funding</w:t>
      </w:r>
      <w:proofErr w:type="spellEnd"/>
      <w:r w:rsidR="00CB54CE">
        <w:rPr>
          <w:rFonts w:ascii="Times New Roman" w:hAnsi="Times New Roman" w:cs="Times New Roman"/>
          <w:sz w:val="28"/>
          <w:szCs w:val="28"/>
        </w:rPr>
        <w:t xml:space="preserve"> </w:t>
      </w:r>
      <w:proofErr w:type="spellStart"/>
      <w:r w:rsidR="00CB54CE">
        <w:rPr>
          <w:rFonts w:ascii="Times New Roman" w:hAnsi="Times New Roman" w:cs="Times New Roman"/>
          <w:sz w:val="28"/>
          <w:szCs w:val="28"/>
        </w:rPr>
        <w:t>ratio</w:t>
      </w:r>
      <w:proofErr w:type="spellEnd"/>
      <w:r w:rsidR="00CB54CE">
        <w:rPr>
          <w:rFonts w:ascii="Times New Roman" w:hAnsi="Times New Roman" w:cs="Times New Roman"/>
          <w:sz w:val="28"/>
          <w:szCs w:val="28"/>
        </w:rPr>
        <w:t>) [4</w:t>
      </w:r>
      <w:r w:rsidR="008D31F5">
        <w:rPr>
          <w:rFonts w:ascii="Times New Roman" w:hAnsi="Times New Roman" w:cs="Times New Roman"/>
          <w:sz w:val="28"/>
          <w:szCs w:val="28"/>
        </w:rPr>
        <w:t>3</w:t>
      </w:r>
      <w:r>
        <w:rPr>
          <w:rFonts w:ascii="Times New Roman" w:hAnsi="Times New Roman" w:cs="Times New Roman"/>
          <w:sz w:val="28"/>
          <w:szCs w:val="28"/>
        </w:rPr>
        <w:t>].</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Згідно з рішенням Базельського комітету з банківського нагляду, зміни до Базельських рекомендацій («Базель III») мали на меті такі основні цілі:</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зміцнити міжнародні нормативи з управління капіталом та ліквідністю для створення більш стійкого банківського сектору; </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 покращити здатність банківського сектору долати наслідки фінансових та економічних криз і таким чином знизити ризик розповсюдження цих проблем з фінансового у реальний сектор економіки» [</w:t>
      </w:r>
      <w:r w:rsidR="00CB54CE">
        <w:rPr>
          <w:rFonts w:ascii="Times New Roman" w:hAnsi="Times New Roman" w:cs="Times New Roman"/>
          <w:sz w:val="28"/>
          <w:szCs w:val="28"/>
        </w:rPr>
        <w:t>4</w:t>
      </w:r>
      <w:r w:rsidR="008D31F5">
        <w:rPr>
          <w:rFonts w:ascii="Times New Roman" w:hAnsi="Times New Roman" w:cs="Times New Roman"/>
          <w:sz w:val="28"/>
          <w:szCs w:val="28"/>
        </w:rPr>
        <w:t>3</w:t>
      </w:r>
      <w:r>
        <w:rPr>
          <w:rFonts w:ascii="Times New Roman" w:hAnsi="Times New Roman" w:cs="Times New Roman"/>
          <w:sz w:val="28"/>
          <w:szCs w:val="28"/>
        </w:rPr>
        <w:t>].</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Влучною є думка </w:t>
      </w:r>
      <w:proofErr w:type="spellStart"/>
      <w:r>
        <w:rPr>
          <w:rFonts w:ascii="Times New Roman" w:hAnsi="Times New Roman" w:cs="Times New Roman"/>
          <w:sz w:val="28"/>
          <w:szCs w:val="28"/>
        </w:rPr>
        <w:t>Парасій-Вергуненко</w:t>
      </w:r>
      <w:proofErr w:type="spellEnd"/>
      <w:r>
        <w:rPr>
          <w:rFonts w:ascii="Times New Roman" w:hAnsi="Times New Roman" w:cs="Times New Roman"/>
          <w:sz w:val="28"/>
          <w:szCs w:val="28"/>
        </w:rPr>
        <w:t xml:space="preserve"> І. М., </w:t>
      </w:r>
      <w:proofErr w:type="spellStart"/>
      <w:r>
        <w:rPr>
          <w:rFonts w:ascii="Times New Roman" w:hAnsi="Times New Roman" w:cs="Times New Roman"/>
          <w:sz w:val="28"/>
          <w:szCs w:val="28"/>
        </w:rPr>
        <w:t>Сівти</w:t>
      </w:r>
      <w:proofErr w:type="spellEnd"/>
      <w:r>
        <w:rPr>
          <w:rFonts w:ascii="Times New Roman" w:hAnsi="Times New Roman" w:cs="Times New Roman"/>
          <w:sz w:val="28"/>
          <w:szCs w:val="28"/>
        </w:rPr>
        <w:t xml:space="preserve"> Ю. М, що «для банківської системи України перехід до вимог і стандартів системи Базель III є важливою і необхідною умовою, оскільки Базельський комітет з питань </w:t>
      </w:r>
      <w:r>
        <w:rPr>
          <w:rFonts w:ascii="Times New Roman" w:hAnsi="Times New Roman" w:cs="Times New Roman"/>
          <w:sz w:val="28"/>
          <w:szCs w:val="28"/>
        </w:rPr>
        <w:lastRenderedPageBreak/>
        <w:t>банківського нагляду є саме тим міжнародним майданчиком, де розробляються найкращі в світі практики банківського регулювання» [</w:t>
      </w:r>
      <w:r w:rsidR="00CB54CE">
        <w:rPr>
          <w:rFonts w:ascii="Times New Roman" w:hAnsi="Times New Roman" w:cs="Times New Roman"/>
          <w:sz w:val="28"/>
          <w:szCs w:val="28"/>
        </w:rPr>
        <w:t>4</w:t>
      </w:r>
      <w:r w:rsidR="008D31F5">
        <w:rPr>
          <w:rFonts w:ascii="Times New Roman" w:hAnsi="Times New Roman" w:cs="Times New Roman"/>
          <w:sz w:val="28"/>
          <w:szCs w:val="28"/>
        </w:rPr>
        <w:t>4</w:t>
      </w:r>
      <w:r>
        <w:rPr>
          <w:rFonts w:ascii="Times New Roman" w:hAnsi="Times New Roman" w:cs="Times New Roman"/>
          <w:sz w:val="28"/>
          <w:szCs w:val="28"/>
        </w:rPr>
        <w:t xml:space="preserve">, с. 231]. </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Але, наразі, для економіки України, «миттєва інтеграція банківської системи до норм «Базель ІІІ» є неможливою та призведе до значного скорочення банківського сектору, оскільки вітчизняні банківські установи не готові до виконання вищевказаних норм ліквідності і потребують капіталізації та збільшення бази ліквідних активів. На сьогоднішній день «Базель ІІІ» є важливим орієнтиром, який повинен використовувати Національний Банк України у процесі оздоровлення та підвищення ефективності банківської системи, але до імплементації його основних положень фінансовий сектор України повинен пройти низку реформ, зокрема зменшення тіньової економіки, стабілізації валютного ринку та виведення з ринку проблемних фінансових установ» [</w:t>
      </w:r>
      <w:r w:rsidR="00CB54CE">
        <w:rPr>
          <w:rFonts w:ascii="Times New Roman" w:hAnsi="Times New Roman" w:cs="Times New Roman"/>
          <w:sz w:val="28"/>
          <w:szCs w:val="28"/>
        </w:rPr>
        <w:t>4</w:t>
      </w:r>
      <w:r w:rsidR="008D31F5">
        <w:rPr>
          <w:rFonts w:ascii="Times New Roman" w:hAnsi="Times New Roman" w:cs="Times New Roman"/>
          <w:sz w:val="28"/>
          <w:szCs w:val="28"/>
        </w:rPr>
        <w:t>2</w:t>
      </w:r>
      <w:r>
        <w:rPr>
          <w:rFonts w:ascii="Times New Roman" w:hAnsi="Times New Roman" w:cs="Times New Roman"/>
          <w:sz w:val="28"/>
          <w:szCs w:val="28"/>
        </w:rPr>
        <w:t>, с. 104].</w:t>
      </w:r>
    </w:p>
    <w:p w:rsidR="00110EE2" w:rsidRDefault="00110EE2" w:rsidP="002357CA">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Крім загальних та специфічних принципів, Базельським комітетом з банківського нагляду були розроблені принципи ефективного управління ліквідністю банку, які зведені у вісім груп, за напрямом організації фінансової діяльності банку (див</w:t>
      </w:r>
      <w:r w:rsidRPr="00CB54CE">
        <w:rPr>
          <w:rFonts w:ascii="Times New Roman" w:hAnsi="Times New Roman" w:cs="Times New Roman"/>
          <w:sz w:val="28"/>
          <w:szCs w:val="28"/>
        </w:rPr>
        <w:t>. табл</w:t>
      </w:r>
      <w:r w:rsidR="00CB54CE" w:rsidRPr="00CB54CE">
        <w:rPr>
          <w:rFonts w:ascii="Times New Roman" w:hAnsi="Times New Roman" w:cs="Times New Roman"/>
          <w:sz w:val="28"/>
          <w:szCs w:val="28"/>
        </w:rPr>
        <w:t>. 1.10</w:t>
      </w:r>
      <w:r w:rsidRPr="00CB54CE">
        <w:rPr>
          <w:rFonts w:ascii="Times New Roman" w:hAnsi="Times New Roman" w:cs="Times New Roman"/>
          <w:sz w:val="28"/>
          <w:szCs w:val="28"/>
        </w:rPr>
        <w:t>).</w:t>
      </w:r>
    </w:p>
    <w:p w:rsidR="002357CA" w:rsidRDefault="002357CA" w:rsidP="002357CA">
      <w:pPr>
        <w:spacing w:after="0" w:line="367" w:lineRule="auto"/>
        <w:ind w:firstLine="709"/>
        <w:jc w:val="both"/>
        <w:rPr>
          <w:rFonts w:ascii="Times New Roman" w:hAnsi="Times New Roman"/>
          <w:sz w:val="28"/>
          <w:szCs w:val="28"/>
        </w:rPr>
      </w:pPr>
      <w:r>
        <w:rPr>
          <w:rFonts w:ascii="Times New Roman" w:hAnsi="Times New Roman"/>
          <w:sz w:val="28"/>
          <w:szCs w:val="28"/>
        </w:rPr>
        <w:t>Отже для ефективного управління ліквідністю банківські установи повинні на постійній основі застосовувати означені вище принципи. Більш того, безперервно та в комплексі контролювати інші ризики, які характерні банківській діяльності та можуть привести до втрати ліквідності.</w:t>
      </w:r>
    </w:p>
    <w:p w:rsidR="00CB54CE" w:rsidRPr="00CB54CE" w:rsidRDefault="00CB54CE" w:rsidP="00CB54CE">
      <w:pPr>
        <w:pStyle w:val="a4"/>
        <w:spacing w:after="0" w:line="360" w:lineRule="auto"/>
        <w:ind w:left="0" w:firstLine="709"/>
        <w:jc w:val="right"/>
        <w:rPr>
          <w:rFonts w:ascii="Times New Roman" w:hAnsi="Times New Roman" w:cs="Times New Roman"/>
          <w:sz w:val="28"/>
          <w:szCs w:val="28"/>
        </w:rPr>
      </w:pPr>
      <w:r w:rsidRPr="00CB54CE">
        <w:rPr>
          <w:rFonts w:ascii="Times New Roman" w:hAnsi="Times New Roman" w:cs="Times New Roman"/>
          <w:sz w:val="28"/>
          <w:szCs w:val="28"/>
        </w:rPr>
        <w:t>Таблиця 1.10</w:t>
      </w:r>
    </w:p>
    <w:p w:rsidR="00110EE2" w:rsidRDefault="00110EE2" w:rsidP="00CB54CE">
      <w:pPr>
        <w:pStyle w:val="a4"/>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Принципи ефективного управління ліквідністю банку </w:t>
      </w:r>
    </w:p>
    <w:tbl>
      <w:tblPr>
        <w:tblStyle w:val="a5"/>
        <w:tblW w:w="0" w:type="auto"/>
        <w:jc w:val="center"/>
        <w:tblInd w:w="0" w:type="dxa"/>
        <w:tblLook w:val="04A0" w:firstRow="1" w:lastRow="0" w:firstColumn="1" w:lastColumn="0" w:noHBand="0" w:noVBand="1"/>
      </w:tblPr>
      <w:tblGrid>
        <w:gridCol w:w="1129"/>
        <w:gridCol w:w="3261"/>
        <w:gridCol w:w="5239"/>
      </w:tblGrid>
      <w:tr w:rsidR="00110EE2" w:rsidTr="006203D0">
        <w:trPr>
          <w:trHeight w:val="609"/>
          <w:jc w:val="center"/>
        </w:trPr>
        <w:tc>
          <w:tcPr>
            <w:tcW w:w="4390" w:type="dxa"/>
            <w:gridSpan w:val="2"/>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Принцип</w:t>
            </w:r>
          </w:p>
        </w:tc>
        <w:tc>
          <w:tcPr>
            <w:tcW w:w="5239"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Сутність</w:t>
            </w:r>
          </w:p>
        </w:tc>
      </w:tr>
      <w:tr w:rsidR="00110EE2" w:rsidRPr="00AA4D90" w:rsidTr="00D360AF">
        <w:trPr>
          <w:trHeight w:val="1695"/>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110EE2" w:rsidRPr="00AA4D90" w:rsidRDefault="00110EE2">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Група 1</w:t>
            </w:r>
          </w:p>
        </w:tc>
        <w:tc>
          <w:tcPr>
            <w:tcW w:w="3261" w:type="dxa"/>
            <w:tcBorders>
              <w:top w:val="single" w:sz="4" w:space="0" w:color="auto"/>
              <w:left w:val="single" w:sz="4" w:space="0" w:color="auto"/>
              <w:bottom w:val="single" w:sz="4" w:space="0" w:color="auto"/>
              <w:right w:val="single" w:sz="4" w:space="0" w:color="auto"/>
            </w:tcBorders>
            <w:vAlign w:val="center"/>
            <w:hideMark/>
          </w:tcPr>
          <w:p w:rsidR="00110EE2" w:rsidRPr="00AA4D90" w:rsidRDefault="00110EE2">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Визначення структури управління ліквідністю банку</w:t>
            </w:r>
          </w:p>
        </w:tc>
        <w:tc>
          <w:tcPr>
            <w:tcW w:w="5239" w:type="dxa"/>
            <w:tcBorders>
              <w:top w:val="single" w:sz="4" w:space="0" w:color="auto"/>
              <w:left w:val="single" w:sz="4" w:space="0" w:color="auto"/>
              <w:bottom w:val="single" w:sz="4" w:space="0" w:color="auto"/>
              <w:right w:val="single" w:sz="4" w:space="0" w:color="auto"/>
            </w:tcBorders>
            <w:vAlign w:val="center"/>
            <w:hideMark/>
          </w:tcPr>
          <w:p w:rsidR="00110EE2" w:rsidRPr="00AA4D90" w:rsidRDefault="00110EE2">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Наявність узгодженої стратегії безперервного управління його ліквідністю, яка повинна практично використовуватись в діяльності банку, а ситуація з ліквідністю в банку повинна бути доведена до керівництва банку</w:t>
            </w:r>
          </w:p>
        </w:tc>
      </w:tr>
    </w:tbl>
    <w:p w:rsidR="006203D0" w:rsidRDefault="006203D0" w:rsidP="00110EE2">
      <w:pPr>
        <w:spacing w:before="120" w:after="0" w:line="360" w:lineRule="auto"/>
        <w:ind w:firstLine="709"/>
        <w:jc w:val="both"/>
        <w:rPr>
          <w:rFonts w:ascii="Times New Roman" w:hAnsi="Times New Roman"/>
          <w:sz w:val="24"/>
          <w:szCs w:val="24"/>
        </w:rPr>
      </w:pPr>
    </w:p>
    <w:p w:rsidR="009D1FAC" w:rsidRDefault="009D1FAC">
      <w:pPr>
        <w:spacing w:line="259" w:lineRule="auto"/>
        <w:rPr>
          <w:rFonts w:ascii="Times New Roman" w:hAnsi="Times New Roman"/>
          <w:sz w:val="24"/>
          <w:szCs w:val="24"/>
        </w:rPr>
      </w:pPr>
      <w:r>
        <w:rPr>
          <w:rFonts w:ascii="Times New Roman" w:hAnsi="Times New Roman"/>
          <w:sz w:val="24"/>
          <w:szCs w:val="24"/>
        </w:rPr>
        <w:br w:type="page"/>
      </w:r>
    </w:p>
    <w:p w:rsidR="006203D0" w:rsidRPr="006203D0" w:rsidRDefault="005D1BA3" w:rsidP="006203D0">
      <w:pPr>
        <w:spacing w:before="120" w:after="0" w:line="360" w:lineRule="auto"/>
        <w:ind w:firstLine="709"/>
        <w:jc w:val="right"/>
        <w:rPr>
          <w:rFonts w:ascii="Times New Roman" w:hAnsi="Times New Roman"/>
          <w:sz w:val="28"/>
          <w:szCs w:val="28"/>
        </w:rPr>
      </w:pPr>
      <w:r>
        <w:rPr>
          <w:rFonts w:ascii="Times New Roman" w:hAnsi="Times New Roman"/>
          <w:sz w:val="28"/>
          <w:szCs w:val="28"/>
        </w:rPr>
        <w:lastRenderedPageBreak/>
        <w:t>Продовження таблиці 1.10</w:t>
      </w:r>
    </w:p>
    <w:tbl>
      <w:tblPr>
        <w:tblStyle w:val="a5"/>
        <w:tblW w:w="0" w:type="auto"/>
        <w:jc w:val="center"/>
        <w:tblInd w:w="0" w:type="dxa"/>
        <w:tblLook w:val="04A0" w:firstRow="1" w:lastRow="0" w:firstColumn="1" w:lastColumn="0" w:noHBand="0" w:noVBand="1"/>
      </w:tblPr>
      <w:tblGrid>
        <w:gridCol w:w="1129"/>
        <w:gridCol w:w="3261"/>
        <w:gridCol w:w="5239"/>
      </w:tblGrid>
      <w:tr w:rsidR="006203D0" w:rsidTr="00D360AF">
        <w:trPr>
          <w:trHeight w:val="654"/>
          <w:jc w:val="center"/>
        </w:trPr>
        <w:tc>
          <w:tcPr>
            <w:tcW w:w="4390" w:type="dxa"/>
            <w:gridSpan w:val="2"/>
            <w:tcBorders>
              <w:top w:val="single" w:sz="4" w:space="0" w:color="auto"/>
              <w:left w:val="single" w:sz="4" w:space="0" w:color="auto"/>
              <w:bottom w:val="single" w:sz="4" w:space="0" w:color="auto"/>
              <w:right w:val="single" w:sz="4" w:space="0" w:color="auto"/>
            </w:tcBorders>
            <w:vAlign w:val="center"/>
            <w:hideMark/>
          </w:tcPr>
          <w:p w:rsidR="006203D0" w:rsidRDefault="006203D0" w:rsidP="00042D5E">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Принцип</w:t>
            </w:r>
          </w:p>
        </w:tc>
        <w:tc>
          <w:tcPr>
            <w:tcW w:w="5239" w:type="dxa"/>
            <w:tcBorders>
              <w:top w:val="single" w:sz="4" w:space="0" w:color="auto"/>
              <w:left w:val="single" w:sz="4" w:space="0" w:color="auto"/>
              <w:bottom w:val="single" w:sz="4" w:space="0" w:color="auto"/>
              <w:right w:val="single" w:sz="4" w:space="0" w:color="auto"/>
            </w:tcBorders>
            <w:vAlign w:val="center"/>
            <w:hideMark/>
          </w:tcPr>
          <w:p w:rsidR="006203D0" w:rsidRDefault="006203D0" w:rsidP="00042D5E">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Сутність</w:t>
            </w:r>
          </w:p>
        </w:tc>
      </w:tr>
      <w:tr w:rsidR="006203D0" w:rsidRPr="00AA4D90" w:rsidTr="00D360AF">
        <w:trPr>
          <w:trHeight w:val="1981"/>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 xml:space="preserve">Група 2 </w:t>
            </w:r>
          </w:p>
        </w:tc>
        <w:tc>
          <w:tcPr>
            <w:tcW w:w="3261" w:type="dxa"/>
            <w:tcBorders>
              <w:top w:val="single" w:sz="4" w:space="0" w:color="auto"/>
              <w:left w:val="single" w:sz="4" w:space="0" w:color="auto"/>
              <w:bottom w:val="single" w:sz="4" w:space="0" w:color="auto"/>
              <w:right w:val="single" w:sz="4" w:space="0" w:color="auto"/>
            </w:tcBorders>
            <w:vAlign w:val="center"/>
            <w:hideMark/>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Моніторинг і вимірювання чистих потреб у фінансуванні</w:t>
            </w:r>
          </w:p>
        </w:tc>
        <w:tc>
          <w:tcPr>
            <w:tcW w:w="5239" w:type="dxa"/>
            <w:tcBorders>
              <w:top w:val="single" w:sz="4" w:space="0" w:color="auto"/>
              <w:left w:val="single" w:sz="4" w:space="0" w:color="auto"/>
              <w:bottom w:val="single" w:sz="4" w:space="0" w:color="auto"/>
              <w:right w:val="single" w:sz="4" w:space="0" w:color="auto"/>
            </w:tcBorders>
            <w:vAlign w:val="center"/>
            <w:hideMark/>
          </w:tcPr>
          <w:p w:rsidR="006203D0" w:rsidRPr="006203D0" w:rsidRDefault="006203D0" w:rsidP="00042D5E">
            <w:pPr>
              <w:pStyle w:val="a4"/>
              <w:spacing w:line="240" w:lineRule="auto"/>
              <w:ind w:left="0"/>
              <w:jc w:val="both"/>
              <w:rPr>
                <w:rFonts w:ascii="Times New Roman" w:hAnsi="Times New Roman" w:cs="Times New Roman"/>
              </w:rPr>
            </w:pPr>
            <w:r w:rsidRPr="006203D0">
              <w:rPr>
                <w:rFonts w:ascii="Times New Roman" w:hAnsi="Times New Roman" w:cs="Times New Roman"/>
              </w:rPr>
              <w:t>Дотримання постійного вимірювання та моніторингу чистих потреб у фінансуванні та проведення аналізу ліквідності банку, використовуючи різні сценарії та переглядати свої припущення щодо ліквідності на предмет їх правильності та відповідності ситуації, в разі потребі міняти їх</w:t>
            </w:r>
          </w:p>
        </w:tc>
      </w:tr>
      <w:tr w:rsidR="006203D0" w:rsidRPr="00AA4D90" w:rsidTr="00D360AF">
        <w:trPr>
          <w:trHeight w:val="1258"/>
          <w:jc w:val="center"/>
        </w:trPr>
        <w:tc>
          <w:tcPr>
            <w:tcW w:w="1129" w:type="dxa"/>
            <w:tcBorders>
              <w:top w:val="single" w:sz="4" w:space="0" w:color="auto"/>
              <w:left w:val="single" w:sz="4" w:space="0" w:color="auto"/>
              <w:bottom w:val="single" w:sz="4" w:space="0" w:color="auto"/>
              <w:right w:val="single" w:sz="4" w:space="0" w:color="auto"/>
            </w:tcBorders>
            <w:vAlign w:val="center"/>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Група 3</w:t>
            </w:r>
          </w:p>
        </w:tc>
        <w:tc>
          <w:tcPr>
            <w:tcW w:w="3261" w:type="dxa"/>
            <w:tcBorders>
              <w:top w:val="single" w:sz="4" w:space="0" w:color="auto"/>
              <w:left w:val="single" w:sz="4" w:space="0" w:color="auto"/>
              <w:bottom w:val="single" w:sz="4" w:space="0" w:color="auto"/>
              <w:right w:val="single" w:sz="4" w:space="0" w:color="auto"/>
            </w:tcBorders>
            <w:vAlign w:val="center"/>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Управління доступом до ринку</w:t>
            </w:r>
          </w:p>
        </w:tc>
        <w:tc>
          <w:tcPr>
            <w:tcW w:w="5239" w:type="dxa"/>
            <w:tcBorders>
              <w:top w:val="single" w:sz="4" w:space="0" w:color="auto"/>
              <w:left w:val="single" w:sz="4" w:space="0" w:color="auto"/>
              <w:bottom w:val="single" w:sz="4" w:space="0" w:color="auto"/>
              <w:right w:val="single" w:sz="4" w:space="0" w:color="auto"/>
            </w:tcBorders>
            <w:vAlign w:val="center"/>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Періодичність перегляду своїх відношень з власниками зобов’язань, з метою підтримки диверсифікації зобов’язань для забезпечення своїх активних операцій</w:t>
            </w:r>
          </w:p>
        </w:tc>
      </w:tr>
      <w:tr w:rsidR="006203D0" w:rsidRPr="00AA4D90" w:rsidTr="00D360AF">
        <w:trPr>
          <w:trHeight w:val="979"/>
          <w:jc w:val="center"/>
        </w:trPr>
        <w:tc>
          <w:tcPr>
            <w:tcW w:w="1129" w:type="dxa"/>
            <w:tcBorders>
              <w:top w:val="single" w:sz="4" w:space="0" w:color="auto"/>
              <w:left w:val="single" w:sz="4" w:space="0" w:color="auto"/>
              <w:bottom w:val="single" w:sz="4" w:space="0" w:color="auto"/>
              <w:right w:val="single" w:sz="4" w:space="0" w:color="auto"/>
            </w:tcBorders>
            <w:vAlign w:val="center"/>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Група 4</w:t>
            </w:r>
          </w:p>
        </w:tc>
        <w:tc>
          <w:tcPr>
            <w:tcW w:w="3261" w:type="dxa"/>
            <w:tcBorders>
              <w:top w:val="single" w:sz="4" w:space="0" w:color="auto"/>
              <w:left w:val="single" w:sz="4" w:space="0" w:color="auto"/>
              <w:bottom w:val="single" w:sz="4" w:space="0" w:color="auto"/>
              <w:right w:val="single" w:sz="4" w:space="0" w:color="auto"/>
            </w:tcBorders>
            <w:vAlign w:val="center"/>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Антикризове планування</w:t>
            </w:r>
          </w:p>
        </w:tc>
        <w:tc>
          <w:tcPr>
            <w:tcW w:w="5239" w:type="dxa"/>
            <w:tcBorders>
              <w:top w:val="single" w:sz="4" w:space="0" w:color="auto"/>
              <w:left w:val="single" w:sz="4" w:space="0" w:color="auto"/>
              <w:bottom w:val="single" w:sz="4" w:space="0" w:color="auto"/>
              <w:right w:val="single" w:sz="4" w:space="0" w:color="auto"/>
            </w:tcBorders>
            <w:vAlign w:val="center"/>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Наявність антикризового плану, для уникнення непередбачених ситуаціях, пов’язаних з недостатністю грошових коштів</w:t>
            </w:r>
          </w:p>
        </w:tc>
      </w:tr>
      <w:tr w:rsidR="006203D0" w:rsidRPr="00AA4D90" w:rsidTr="00D360AF">
        <w:trPr>
          <w:trHeight w:val="1276"/>
          <w:jc w:val="center"/>
        </w:trPr>
        <w:tc>
          <w:tcPr>
            <w:tcW w:w="1129" w:type="dxa"/>
            <w:tcBorders>
              <w:top w:val="single" w:sz="4" w:space="0" w:color="auto"/>
              <w:left w:val="single" w:sz="4" w:space="0" w:color="auto"/>
              <w:bottom w:val="single" w:sz="4" w:space="0" w:color="auto"/>
              <w:right w:val="single" w:sz="4" w:space="0" w:color="auto"/>
            </w:tcBorders>
            <w:vAlign w:val="center"/>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 xml:space="preserve">Група 5 </w:t>
            </w:r>
          </w:p>
        </w:tc>
        <w:tc>
          <w:tcPr>
            <w:tcW w:w="3261" w:type="dxa"/>
            <w:tcBorders>
              <w:top w:val="single" w:sz="4" w:space="0" w:color="auto"/>
              <w:left w:val="single" w:sz="4" w:space="0" w:color="auto"/>
              <w:bottom w:val="single" w:sz="4" w:space="0" w:color="auto"/>
              <w:right w:val="single" w:sz="4" w:space="0" w:color="auto"/>
            </w:tcBorders>
            <w:vAlign w:val="center"/>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Управління ліквідністю іноземної валюти</w:t>
            </w:r>
          </w:p>
        </w:tc>
        <w:tc>
          <w:tcPr>
            <w:tcW w:w="5239" w:type="dxa"/>
            <w:tcBorders>
              <w:top w:val="single" w:sz="4" w:space="0" w:color="auto"/>
              <w:left w:val="single" w:sz="4" w:space="0" w:color="auto"/>
              <w:bottom w:val="single" w:sz="4" w:space="0" w:color="auto"/>
              <w:right w:val="single" w:sz="4" w:space="0" w:color="auto"/>
            </w:tcBorders>
            <w:vAlign w:val="center"/>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Визначення позицій про те, що кожен банк повинен мати систему вимірювання, моніторингу та контролю його валютних позицій в основних валютах, з якими він активно працює</w:t>
            </w:r>
          </w:p>
        </w:tc>
      </w:tr>
      <w:tr w:rsidR="006203D0" w:rsidRPr="00AA4D90" w:rsidTr="00D360AF">
        <w:tblPrEx>
          <w:jc w:val="left"/>
        </w:tblPrEx>
        <w:trPr>
          <w:trHeight w:val="2542"/>
        </w:trPr>
        <w:tc>
          <w:tcPr>
            <w:tcW w:w="1129" w:type="dxa"/>
            <w:vAlign w:val="center"/>
            <w:hideMark/>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Група 6</w:t>
            </w:r>
          </w:p>
        </w:tc>
        <w:tc>
          <w:tcPr>
            <w:tcW w:w="3261" w:type="dxa"/>
            <w:vAlign w:val="center"/>
            <w:hideMark/>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Внутрішній контроль управління ризиком ліквідності</w:t>
            </w:r>
          </w:p>
        </w:tc>
        <w:tc>
          <w:tcPr>
            <w:tcW w:w="5239" w:type="dxa"/>
            <w:vAlign w:val="center"/>
            <w:hideMark/>
          </w:tcPr>
          <w:p w:rsidR="006203D0" w:rsidRPr="00AA4D90" w:rsidRDefault="006203D0" w:rsidP="00042D5E">
            <w:pPr>
              <w:pStyle w:val="a4"/>
              <w:spacing w:line="240" w:lineRule="auto"/>
              <w:ind w:left="0"/>
              <w:jc w:val="both"/>
              <w:rPr>
                <w:rFonts w:ascii="Times New Roman" w:hAnsi="Times New Roman" w:cs="Times New Roman"/>
                <w:sz w:val="24"/>
                <w:szCs w:val="24"/>
              </w:rPr>
            </w:pPr>
            <w:r w:rsidRPr="00AA4D90">
              <w:rPr>
                <w:rFonts w:ascii="Times New Roman" w:hAnsi="Times New Roman" w:cs="Times New Roman"/>
                <w:sz w:val="24"/>
                <w:szCs w:val="24"/>
              </w:rPr>
              <w:t>Визначає наявність у банку відповідної системи внутрішнього контролю для гнучкого та ефективного управління ризиком ліквідності (регулярні незалежні перевірки та оцінки ефективності системи, їх аналіз та забезпечення відповідних виправлень або покращень процесу здійснення внутрішнього контролю в разі такої необхідності)</w:t>
            </w:r>
          </w:p>
        </w:tc>
      </w:tr>
      <w:tr w:rsidR="006203D0" w:rsidTr="00D360AF">
        <w:trPr>
          <w:trHeight w:val="1029"/>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6203D0" w:rsidRDefault="006203D0" w:rsidP="00042D5E">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Група 7</w:t>
            </w:r>
          </w:p>
        </w:tc>
        <w:tc>
          <w:tcPr>
            <w:tcW w:w="3261" w:type="dxa"/>
            <w:tcBorders>
              <w:top w:val="single" w:sz="4" w:space="0" w:color="auto"/>
              <w:left w:val="single" w:sz="4" w:space="0" w:color="auto"/>
              <w:bottom w:val="single" w:sz="4" w:space="0" w:color="auto"/>
              <w:right w:val="single" w:sz="4" w:space="0" w:color="auto"/>
            </w:tcBorders>
            <w:vAlign w:val="center"/>
            <w:hideMark/>
          </w:tcPr>
          <w:p w:rsidR="006203D0" w:rsidRDefault="006203D0" w:rsidP="00042D5E">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Наявність механізму для розкриття інформації про банк</w:t>
            </w:r>
          </w:p>
        </w:tc>
        <w:tc>
          <w:tcPr>
            <w:tcW w:w="5239" w:type="dxa"/>
            <w:tcBorders>
              <w:top w:val="single" w:sz="4" w:space="0" w:color="auto"/>
              <w:left w:val="single" w:sz="4" w:space="0" w:color="auto"/>
              <w:bottom w:val="single" w:sz="4" w:space="0" w:color="auto"/>
              <w:right w:val="single" w:sz="4" w:space="0" w:color="auto"/>
            </w:tcBorders>
            <w:vAlign w:val="center"/>
            <w:hideMark/>
          </w:tcPr>
          <w:p w:rsidR="006203D0" w:rsidRDefault="006203D0" w:rsidP="00042D5E">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Публічне розкриття інформації про стан банку для покрашення його ліквідності</w:t>
            </w:r>
          </w:p>
        </w:tc>
      </w:tr>
      <w:tr w:rsidR="006203D0" w:rsidTr="00D360AF">
        <w:trPr>
          <w:trHeight w:val="1682"/>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6203D0" w:rsidRDefault="006203D0" w:rsidP="00042D5E">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Група 8</w:t>
            </w:r>
          </w:p>
        </w:tc>
        <w:tc>
          <w:tcPr>
            <w:tcW w:w="3261" w:type="dxa"/>
            <w:tcBorders>
              <w:top w:val="single" w:sz="4" w:space="0" w:color="auto"/>
              <w:left w:val="single" w:sz="4" w:space="0" w:color="auto"/>
              <w:bottom w:val="single" w:sz="4" w:space="0" w:color="auto"/>
              <w:right w:val="single" w:sz="4" w:space="0" w:color="auto"/>
            </w:tcBorders>
            <w:vAlign w:val="center"/>
            <w:hideMark/>
          </w:tcPr>
          <w:p w:rsidR="006203D0" w:rsidRDefault="006203D0" w:rsidP="00042D5E">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Працівники банківського нагляду</w:t>
            </w:r>
          </w:p>
        </w:tc>
        <w:tc>
          <w:tcPr>
            <w:tcW w:w="5239" w:type="dxa"/>
            <w:tcBorders>
              <w:top w:val="single" w:sz="4" w:space="0" w:color="auto"/>
              <w:left w:val="single" w:sz="4" w:space="0" w:color="auto"/>
              <w:bottom w:val="single" w:sz="4" w:space="0" w:color="auto"/>
              <w:right w:val="single" w:sz="4" w:space="0" w:color="auto"/>
            </w:tcBorders>
            <w:vAlign w:val="center"/>
            <w:hideMark/>
          </w:tcPr>
          <w:p w:rsidR="006203D0" w:rsidRDefault="006203D0" w:rsidP="00042D5E">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Наявний компетентний персонал (працівники), які будуть проводити незалежну оцінку банківських стратегій, політики, процедур та принципів, що відносяться до управління ліквідністю</w:t>
            </w:r>
          </w:p>
        </w:tc>
      </w:tr>
    </w:tbl>
    <w:p w:rsidR="00CB54CE" w:rsidRPr="00CB54CE" w:rsidRDefault="00CB54CE" w:rsidP="00110EE2">
      <w:pPr>
        <w:spacing w:before="120" w:after="0" w:line="360" w:lineRule="auto"/>
        <w:ind w:firstLine="709"/>
        <w:jc w:val="both"/>
        <w:rPr>
          <w:rFonts w:ascii="Times New Roman" w:hAnsi="Times New Roman"/>
          <w:sz w:val="24"/>
          <w:szCs w:val="24"/>
        </w:rPr>
      </w:pPr>
      <w:r w:rsidRPr="00CB54CE">
        <w:rPr>
          <w:rFonts w:ascii="Times New Roman" w:hAnsi="Times New Roman"/>
          <w:sz w:val="24"/>
          <w:szCs w:val="24"/>
        </w:rPr>
        <w:t>Джерело: [</w:t>
      </w:r>
      <w:r w:rsidR="008D31F5">
        <w:rPr>
          <w:rFonts w:ascii="Times New Roman" w:hAnsi="Times New Roman"/>
          <w:sz w:val="24"/>
          <w:szCs w:val="24"/>
        </w:rPr>
        <w:t>45</w:t>
      </w:r>
      <w:r w:rsidRPr="00CB54CE">
        <w:rPr>
          <w:rFonts w:ascii="Times New Roman" w:hAnsi="Times New Roman"/>
          <w:sz w:val="24"/>
          <w:szCs w:val="24"/>
        </w:rPr>
        <w:t>]</w:t>
      </w:r>
    </w:p>
    <w:p w:rsidR="00110EE2" w:rsidRDefault="00110EE2" w:rsidP="00CB54CE">
      <w:pPr>
        <w:spacing w:after="0" w:line="367" w:lineRule="auto"/>
        <w:ind w:firstLine="709"/>
        <w:jc w:val="both"/>
        <w:rPr>
          <w:rFonts w:ascii="Times New Roman" w:hAnsi="Times New Roman"/>
          <w:sz w:val="28"/>
          <w:szCs w:val="28"/>
        </w:rPr>
      </w:pPr>
      <w:r>
        <w:rPr>
          <w:rFonts w:ascii="Times New Roman" w:hAnsi="Times New Roman"/>
          <w:sz w:val="28"/>
          <w:szCs w:val="28"/>
        </w:rPr>
        <w:t xml:space="preserve">Принципи управління ліквідністю банку є базою прийняття ефективних управлінських рішень, яка поєднує загальні та специфічні принципи. Зазначені принципи слугують концептуальними базисами управління ліквідністю, які є невід’ємною частиною корпоративного управління банком </w:t>
      </w:r>
      <w:r w:rsidRPr="00CB54CE">
        <w:rPr>
          <w:rFonts w:ascii="Times New Roman" w:hAnsi="Times New Roman"/>
          <w:sz w:val="28"/>
          <w:szCs w:val="28"/>
        </w:rPr>
        <w:t xml:space="preserve">(див. </w:t>
      </w:r>
      <w:r w:rsidR="00CB54CE" w:rsidRPr="00CB54CE">
        <w:rPr>
          <w:rFonts w:ascii="Times New Roman" w:hAnsi="Times New Roman"/>
          <w:sz w:val="28"/>
          <w:szCs w:val="28"/>
        </w:rPr>
        <w:t>рис.1.1</w:t>
      </w:r>
      <w:r w:rsidR="00D360AF">
        <w:rPr>
          <w:rFonts w:ascii="Times New Roman" w:hAnsi="Times New Roman"/>
          <w:sz w:val="28"/>
          <w:szCs w:val="28"/>
        </w:rPr>
        <w:t>3</w:t>
      </w:r>
      <w:r w:rsidRPr="00CB54CE">
        <w:rPr>
          <w:rFonts w:ascii="Times New Roman" w:hAnsi="Times New Roman"/>
          <w:sz w:val="28"/>
          <w:szCs w:val="28"/>
        </w:rPr>
        <w:t>).</w:t>
      </w:r>
    </w:p>
    <w:p w:rsidR="00110EE2" w:rsidRDefault="00110EE2" w:rsidP="00110EE2">
      <w:pPr>
        <w:spacing w:after="0" w:line="360" w:lineRule="auto"/>
        <w:ind w:firstLine="709"/>
        <w:jc w:val="both"/>
        <w:rPr>
          <w:rFonts w:ascii="Times New Roman" w:hAnsi="Times New Roman"/>
          <w:sz w:val="28"/>
          <w:szCs w:val="28"/>
        </w:rPr>
      </w:pPr>
      <w:r>
        <w:rPr>
          <w:rFonts w:asciiTheme="minorHAnsi" w:hAnsiTheme="minorHAnsi" w:cstheme="minorBidi"/>
          <w:noProof/>
          <w:lang w:eastAsia="uk-UA"/>
        </w:rPr>
        <w:lastRenderedPageBreak/>
        <mc:AlternateContent>
          <mc:Choice Requires="wpc">
            <w:drawing>
              <wp:inline distT="0" distB="0" distL="0" distR="0">
                <wp:extent cx="5486400" cy="2773680"/>
                <wp:effectExtent l="0" t="0" r="0" b="0"/>
                <wp:docPr id="27" name="Полотно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 name="Скругленный прямоугольник 108"/>
                        <wps:cNvSpPr>
                          <a:spLocks noChangeArrowheads="1"/>
                        </wps:cNvSpPr>
                        <wps:spPr bwMode="auto">
                          <a:xfrm>
                            <a:off x="1588500" y="170443"/>
                            <a:ext cx="2355800" cy="728683"/>
                          </a:xfrm>
                          <a:prstGeom prst="roundRect">
                            <a:avLst>
                              <a:gd name="adj" fmla="val 16667"/>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jc w:val="center"/>
                                <w:rPr>
                                  <w:rFonts w:ascii="Times New Roman" w:hAnsi="Times New Roman"/>
                                  <w:color w:val="000000" w:themeColor="text1"/>
                                  <w:sz w:val="24"/>
                                  <w:szCs w:val="24"/>
                                </w:rPr>
                              </w:pPr>
                              <w:r>
                                <w:rPr>
                                  <w:rFonts w:ascii="Times New Roman" w:hAnsi="Times New Roman"/>
                                  <w:color w:val="000000" w:themeColor="text1"/>
                                  <w:sz w:val="24"/>
                                  <w:szCs w:val="24"/>
                                </w:rPr>
                                <w:t>Принципи корпоративного</w:t>
                              </w:r>
                            </w:p>
                            <w:p w:rsidR="00F821E3" w:rsidRDefault="00F821E3" w:rsidP="00110EE2">
                              <w:pPr>
                                <w:jc w:val="center"/>
                                <w:rPr>
                                  <w:rFonts w:ascii="Times New Roman" w:hAnsi="Times New Roman"/>
                                  <w:sz w:val="24"/>
                                  <w:szCs w:val="24"/>
                                </w:rPr>
                              </w:pPr>
                              <w:r>
                                <w:rPr>
                                  <w:rFonts w:ascii="Times New Roman" w:hAnsi="Times New Roman"/>
                                  <w:color w:val="000000" w:themeColor="text1"/>
                                  <w:sz w:val="24"/>
                                  <w:szCs w:val="24"/>
                                </w:rPr>
                                <w:t>управління</w:t>
                              </w:r>
                            </w:p>
                          </w:txbxContent>
                        </wps:txbx>
                        <wps:bodyPr rot="0" vert="horz" wrap="square" lIns="91440" tIns="45720" rIns="91440" bIns="45720" anchor="ctr" anchorCtr="0" upright="1">
                          <a:noAutofit/>
                        </wps:bodyPr>
                      </wps:wsp>
                      <wps:wsp>
                        <wps:cNvPr id="22" name="Овал 109"/>
                        <wps:cNvSpPr>
                          <a:spLocks noChangeArrowheads="1"/>
                        </wps:cNvSpPr>
                        <wps:spPr bwMode="auto">
                          <a:xfrm>
                            <a:off x="69700" y="403101"/>
                            <a:ext cx="1999300" cy="681971"/>
                          </a:xfrm>
                          <a:prstGeom prst="ellipse">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jc w:val="center"/>
                                <w:rPr>
                                  <w:rFonts w:ascii="Times New Roman" w:hAnsi="Times New Roman"/>
                                  <w:color w:val="000000" w:themeColor="text1"/>
                                  <w:sz w:val="24"/>
                                  <w:szCs w:val="24"/>
                                </w:rPr>
                              </w:pPr>
                              <w:r>
                                <w:rPr>
                                  <w:rFonts w:ascii="Times New Roman" w:hAnsi="Times New Roman"/>
                                  <w:color w:val="000000" w:themeColor="text1"/>
                                  <w:sz w:val="24"/>
                                  <w:szCs w:val="24"/>
                                </w:rPr>
                                <w:t>Загальні принципи</w:t>
                              </w:r>
                            </w:p>
                          </w:txbxContent>
                        </wps:txbx>
                        <wps:bodyPr rot="0" vert="horz" wrap="square" lIns="91440" tIns="45720" rIns="91440" bIns="45720" anchor="ctr" anchorCtr="0" upright="1">
                          <a:noAutofit/>
                        </wps:bodyPr>
                      </wps:wsp>
                      <wps:wsp>
                        <wps:cNvPr id="23" name="Овал 110"/>
                        <wps:cNvSpPr>
                          <a:spLocks noChangeArrowheads="1"/>
                        </wps:cNvSpPr>
                        <wps:spPr bwMode="auto">
                          <a:xfrm>
                            <a:off x="3477600" y="403101"/>
                            <a:ext cx="1998900" cy="697475"/>
                          </a:xfrm>
                          <a:prstGeom prst="ellipse">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pStyle w:val="a3"/>
                                <w:spacing w:before="0" w:beforeAutospacing="0" w:after="160" w:afterAutospacing="0" w:line="254" w:lineRule="auto"/>
                                <w:jc w:val="center"/>
                              </w:pPr>
                              <w:r>
                                <w:rPr>
                                  <w:rFonts w:eastAsia="Calibri"/>
                                  <w:color w:val="000000"/>
                                </w:rPr>
                                <w:t xml:space="preserve">Специфічні принципи </w:t>
                              </w:r>
                            </w:p>
                          </w:txbxContent>
                        </wps:txbx>
                        <wps:bodyPr rot="0" vert="horz" wrap="square" lIns="91440" tIns="45720" rIns="91440" bIns="45720" anchor="ctr" anchorCtr="0" upright="1">
                          <a:noAutofit/>
                        </wps:bodyPr>
                      </wps:wsp>
                      <wps:wsp>
                        <wps:cNvPr id="24" name="Овал 111"/>
                        <wps:cNvSpPr>
                          <a:spLocks noChangeArrowheads="1"/>
                        </wps:cNvSpPr>
                        <wps:spPr bwMode="auto">
                          <a:xfrm>
                            <a:off x="832300" y="1851564"/>
                            <a:ext cx="3941100" cy="612354"/>
                          </a:xfrm>
                          <a:prstGeom prst="ellipse">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jc w:val="center"/>
                                <w:rPr>
                                  <w:rFonts w:ascii="Times New Roman" w:hAnsi="Times New Roman"/>
                                  <w:color w:val="000000" w:themeColor="text1"/>
                                  <w:sz w:val="24"/>
                                  <w:szCs w:val="24"/>
                                </w:rPr>
                              </w:pPr>
                              <w:r>
                                <w:rPr>
                                  <w:rFonts w:ascii="Times New Roman" w:hAnsi="Times New Roman"/>
                                  <w:color w:val="000000" w:themeColor="text1"/>
                                  <w:sz w:val="24"/>
                                  <w:szCs w:val="24"/>
                                </w:rPr>
                                <w:t>Система управління ліквідністю</w:t>
                              </w:r>
                            </w:p>
                          </w:txbxContent>
                        </wps:txbx>
                        <wps:bodyPr rot="0" vert="horz" wrap="square" lIns="91440" tIns="45720" rIns="91440" bIns="45720" anchor="ctr" anchorCtr="0" upright="1">
                          <a:noAutofit/>
                        </wps:bodyPr>
                      </wps:wsp>
                      <wps:wsp>
                        <wps:cNvPr id="25" name="Овал 112"/>
                        <wps:cNvSpPr>
                          <a:spLocks noChangeArrowheads="1"/>
                        </wps:cNvSpPr>
                        <wps:spPr bwMode="auto">
                          <a:xfrm>
                            <a:off x="1526500" y="836910"/>
                            <a:ext cx="2503000" cy="635459"/>
                          </a:xfrm>
                          <a:prstGeom prst="ellipse">
                            <a:avLst/>
                          </a:prstGeom>
                          <a:solidFill>
                            <a:schemeClr val="bg1">
                              <a:lumMod val="100000"/>
                              <a:lumOff val="0"/>
                            </a:schemeClr>
                          </a:solidFill>
                          <a:ln w="12700">
                            <a:solidFill>
                              <a:schemeClr val="tx1">
                                <a:lumMod val="100000"/>
                                <a:lumOff val="0"/>
                              </a:schemeClr>
                            </a:solidFill>
                            <a:miter lim="800000"/>
                            <a:headEnd/>
                            <a:tailEnd/>
                          </a:ln>
                        </wps:spPr>
                        <wps:txbx>
                          <w:txbxContent>
                            <w:p w:rsidR="00F821E3" w:rsidRDefault="00F821E3" w:rsidP="00110EE2">
                              <w:pPr>
                                <w:jc w:val="center"/>
                                <w:rPr>
                                  <w:rFonts w:ascii="Times New Roman" w:hAnsi="Times New Roman"/>
                                  <w:color w:val="000000" w:themeColor="text1"/>
                                  <w:sz w:val="24"/>
                                  <w:szCs w:val="24"/>
                                </w:rPr>
                              </w:pPr>
                              <w:r>
                                <w:rPr>
                                  <w:rFonts w:ascii="Times New Roman" w:hAnsi="Times New Roman"/>
                                  <w:color w:val="000000" w:themeColor="text1"/>
                                  <w:sz w:val="24"/>
                                  <w:szCs w:val="24"/>
                                </w:rPr>
                                <w:t>«Базель ІІІ»</w:t>
                              </w:r>
                            </w:p>
                          </w:txbxContent>
                        </wps:txbx>
                        <wps:bodyPr rot="0" vert="horz" wrap="square" lIns="91440" tIns="45720" rIns="91440" bIns="45720" anchor="ctr" anchorCtr="0" upright="1">
                          <a:noAutofit/>
                        </wps:bodyPr>
                      </wps:wsp>
                      <wps:wsp>
                        <wps:cNvPr id="26" name="Стрелка вниз 113"/>
                        <wps:cNvSpPr>
                          <a:spLocks noChangeArrowheads="1"/>
                        </wps:cNvSpPr>
                        <wps:spPr bwMode="auto">
                          <a:xfrm>
                            <a:off x="2557200" y="1472169"/>
                            <a:ext cx="484600" cy="379195"/>
                          </a:xfrm>
                          <a:prstGeom prst="downArrow">
                            <a:avLst>
                              <a:gd name="adj1" fmla="val 50000"/>
                              <a:gd name="adj2" fmla="val 50000"/>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c:wpc>
                  </a:graphicData>
                </a:graphic>
              </wp:inline>
            </w:drawing>
          </mc:Choice>
          <mc:Fallback>
            <w:pict>
              <v:group id="Полотно 27" o:spid="_x0000_s1199" editas="canvas" style="width:6in;height:218.4pt;mso-position-horizontal-relative:char;mso-position-vertical-relative:line" coordsize="54864,27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">
                <v:shape id="_x0000_s1200" type="#_x0000_t75" style="position:absolute;width:54864;height:27736;visibility:visible;mso-wrap-style:square">
                  <v:fill o:detectmouseclick="t"/>
                  <v:path o:connecttype="none"/>
                </v:shape>
                <v:roundrect id="Скругленный прямоугольник 108" o:spid="_x0000_s1201" style="position:absolute;left:15885;top:1704;width:23558;height:7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" fillcolor="white [3212]" strokecolor="black [3213]" strokeweight="1pt">
                  <v:stroke joinstyle="miter"/>
                  <v:textbox>
                    <w:txbxContent>
                      <w:p w:rsidR="00F821E3" w:rsidRDefault="00F821E3" w:rsidP="00110EE2">
                        <w:pPr>
                          <w:jc w:val="center"/>
                          <w:rPr>
                            <w:rFonts w:ascii="Times New Roman" w:hAnsi="Times New Roman"/>
                            <w:color w:val="000000" w:themeColor="text1"/>
                            <w:sz w:val="24"/>
                            <w:szCs w:val="24"/>
                          </w:rPr>
                        </w:pPr>
                        <w:r>
                          <w:rPr>
                            <w:rFonts w:ascii="Times New Roman" w:hAnsi="Times New Roman"/>
                            <w:color w:val="000000" w:themeColor="text1"/>
                            <w:sz w:val="24"/>
                            <w:szCs w:val="24"/>
                          </w:rPr>
                          <w:t>Принципи корпоративного</w:t>
                        </w:r>
                      </w:p>
                      <w:p w:rsidR="00F821E3" w:rsidRDefault="00F821E3" w:rsidP="00110EE2">
                        <w:pPr>
                          <w:jc w:val="center"/>
                          <w:rPr>
                            <w:rFonts w:ascii="Times New Roman" w:hAnsi="Times New Roman"/>
                            <w:sz w:val="24"/>
                            <w:szCs w:val="24"/>
                          </w:rPr>
                        </w:pPr>
                        <w:r>
                          <w:rPr>
                            <w:rFonts w:ascii="Times New Roman" w:hAnsi="Times New Roman"/>
                            <w:color w:val="000000" w:themeColor="text1"/>
                            <w:sz w:val="24"/>
                            <w:szCs w:val="24"/>
                          </w:rPr>
                          <w:t>управління</w:t>
                        </w:r>
                      </w:p>
                    </w:txbxContent>
                  </v:textbox>
                </v:roundrect>
                <v:oval id="Овал 109" o:spid="_x0000_s1202" style="position:absolute;left:697;top:4031;width:19993;height:6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" fillcolor="white [3212]" strokecolor="black [3213]" strokeweight="1pt">
                  <v:stroke joinstyle="miter"/>
                  <v:textbox>
                    <w:txbxContent>
                      <w:p w:rsidR="00F821E3" w:rsidRDefault="00F821E3" w:rsidP="00110EE2">
                        <w:pPr>
                          <w:jc w:val="center"/>
                          <w:rPr>
                            <w:rFonts w:ascii="Times New Roman" w:hAnsi="Times New Roman"/>
                            <w:color w:val="000000" w:themeColor="text1"/>
                            <w:sz w:val="24"/>
                            <w:szCs w:val="24"/>
                          </w:rPr>
                        </w:pPr>
                        <w:r>
                          <w:rPr>
                            <w:rFonts w:ascii="Times New Roman" w:hAnsi="Times New Roman"/>
                            <w:color w:val="000000" w:themeColor="text1"/>
                            <w:sz w:val="24"/>
                            <w:szCs w:val="24"/>
                          </w:rPr>
                          <w:t>Загальні принципи</w:t>
                        </w:r>
                      </w:p>
                    </w:txbxContent>
                  </v:textbox>
                </v:oval>
                <v:oval id="Овал 110" o:spid="_x0000_s1203" style="position:absolute;left:34776;top:4031;width:19989;height:6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" fillcolor="white [3212]" strokecolor="black [3213]" strokeweight="1pt">
                  <v:stroke joinstyle="miter"/>
                  <v:textbox>
                    <w:txbxContent>
                      <w:p w:rsidR="00F821E3" w:rsidRDefault="00F821E3" w:rsidP="00110EE2">
                        <w:pPr>
                          <w:pStyle w:val="a3"/>
                          <w:spacing w:before="0" w:beforeAutospacing="0" w:after="160" w:afterAutospacing="0" w:line="254" w:lineRule="auto"/>
                          <w:jc w:val="center"/>
                        </w:pPr>
                        <w:r>
                          <w:rPr>
                            <w:rFonts w:eastAsia="Calibri"/>
                            <w:color w:val="000000"/>
                          </w:rPr>
                          <w:t xml:space="preserve">Специфічні принципи </w:t>
                        </w:r>
                      </w:p>
                    </w:txbxContent>
                  </v:textbox>
                </v:oval>
                <v:oval id="Овал 111" o:spid="_x0000_s1204" style="position:absolute;left:8323;top:18515;width:39411;height:6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" fillcolor="white [3212]" strokecolor="black [3213]" strokeweight="1pt">
                  <v:stroke joinstyle="miter"/>
                  <v:textbox>
                    <w:txbxContent>
                      <w:p w:rsidR="00F821E3" w:rsidRDefault="00F821E3" w:rsidP="00110EE2">
                        <w:pPr>
                          <w:jc w:val="center"/>
                          <w:rPr>
                            <w:rFonts w:ascii="Times New Roman" w:hAnsi="Times New Roman"/>
                            <w:color w:val="000000" w:themeColor="text1"/>
                            <w:sz w:val="24"/>
                            <w:szCs w:val="24"/>
                          </w:rPr>
                        </w:pPr>
                        <w:r>
                          <w:rPr>
                            <w:rFonts w:ascii="Times New Roman" w:hAnsi="Times New Roman"/>
                            <w:color w:val="000000" w:themeColor="text1"/>
                            <w:sz w:val="24"/>
                            <w:szCs w:val="24"/>
                          </w:rPr>
                          <w:t>Система управління ліквідністю</w:t>
                        </w:r>
                      </w:p>
                    </w:txbxContent>
                  </v:textbox>
                </v:oval>
                <v:oval id="Овал 112" o:spid="_x0000_s1205" style="position:absolute;left:15265;top:8369;width:25030;height:6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" fillcolor="white [3212]" strokecolor="black [3213]" strokeweight="1pt">
                  <v:stroke joinstyle="miter"/>
                  <v:textbox>
                    <w:txbxContent>
                      <w:p w:rsidR="00F821E3" w:rsidRDefault="00F821E3" w:rsidP="00110EE2">
                        <w:pPr>
                          <w:jc w:val="center"/>
                          <w:rPr>
                            <w:rFonts w:ascii="Times New Roman" w:hAnsi="Times New Roman"/>
                            <w:color w:val="000000" w:themeColor="text1"/>
                            <w:sz w:val="24"/>
                            <w:szCs w:val="24"/>
                          </w:rPr>
                        </w:pPr>
                        <w:r>
                          <w:rPr>
                            <w:rFonts w:ascii="Times New Roman" w:hAnsi="Times New Roman"/>
                            <w:color w:val="000000" w:themeColor="text1"/>
                            <w:sz w:val="24"/>
                            <w:szCs w:val="24"/>
                          </w:rPr>
                          <w:t>«Базель ІІІ»</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3" o:spid="_x0000_s1206" type="#_x0000_t67" style="position:absolute;left:25572;top:14721;width:4846;height:3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" adj="10800" fillcolor="white [3212]" strokecolor="black [3213]" strokeweight="1pt"/>
                <w10:anchorlock/>
              </v:group>
            </w:pict>
          </mc:Fallback>
        </mc:AlternateContent>
      </w:r>
    </w:p>
    <w:p w:rsidR="00110EE2" w:rsidRDefault="00CB54CE" w:rsidP="00110EE2">
      <w:pPr>
        <w:spacing w:after="0" w:line="360" w:lineRule="auto"/>
        <w:ind w:firstLine="709"/>
        <w:jc w:val="center"/>
        <w:rPr>
          <w:rFonts w:ascii="Times New Roman" w:hAnsi="Times New Roman"/>
          <w:sz w:val="28"/>
          <w:szCs w:val="28"/>
        </w:rPr>
      </w:pPr>
      <w:r w:rsidRPr="00CB54CE">
        <w:rPr>
          <w:rFonts w:ascii="Times New Roman" w:hAnsi="Times New Roman"/>
          <w:sz w:val="28"/>
          <w:szCs w:val="28"/>
        </w:rPr>
        <w:t>Рис. 1.1</w:t>
      </w:r>
      <w:r w:rsidR="00D360AF">
        <w:rPr>
          <w:rFonts w:ascii="Times New Roman" w:hAnsi="Times New Roman"/>
          <w:sz w:val="28"/>
          <w:szCs w:val="28"/>
        </w:rPr>
        <w:t>3</w:t>
      </w:r>
      <w:r w:rsidR="00110EE2" w:rsidRPr="00CB54CE">
        <w:rPr>
          <w:rFonts w:ascii="Times New Roman" w:hAnsi="Times New Roman"/>
          <w:sz w:val="28"/>
          <w:szCs w:val="28"/>
        </w:rPr>
        <w:t>. Концептуальні</w:t>
      </w:r>
      <w:r w:rsidR="00110EE2">
        <w:rPr>
          <w:rFonts w:ascii="Times New Roman" w:hAnsi="Times New Roman"/>
          <w:sz w:val="28"/>
          <w:szCs w:val="28"/>
        </w:rPr>
        <w:t xml:space="preserve"> базиси управління ліквідністю комерційного банку</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xml:space="preserve">Ґрунтуючись на принципах ефективного управління ліквідністю банку принципів під управлінням ліквідністю необхідно розуміти процес розробки та прийняття ефективних управлінських рішень щодо виконання комерційними банками їх зобов’язань в повному обсязі і у встановлені строки за рахунок наявних платіжних засобів з метою забезпечення ефективного розвитку комерційного банку як в поточному так і в майбутньому періоді, який повинен відбуватися в логічно визначеній послідовності [2, с. 77]. </w:t>
      </w:r>
    </w:p>
    <w:p w:rsidR="00110EE2" w:rsidRDefault="00110EE2" w:rsidP="00110EE2">
      <w:pPr>
        <w:spacing w:after="0" w:line="360" w:lineRule="auto"/>
        <w:ind w:firstLine="709"/>
        <w:jc w:val="both"/>
        <w:rPr>
          <w:rFonts w:ascii="Times New Roman" w:hAnsi="Times New Roman"/>
          <w:sz w:val="28"/>
          <w:szCs w:val="28"/>
        </w:rPr>
      </w:pPr>
      <w:r>
        <w:rPr>
          <w:rFonts w:ascii="Times New Roman" w:hAnsi="Times New Roman"/>
          <w:sz w:val="28"/>
          <w:szCs w:val="28"/>
        </w:rPr>
        <w:t xml:space="preserve">Етапи процесу управління банківською ліквідністю </w:t>
      </w:r>
      <w:r w:rsidRPr="008A7FC4">
        <w:rPr>
          <w:rFonts w:ascii="Times New Roman" w:hAnsi="Times New Roman"/>
          <w:sz w:val="28"/>
          <w:szCs w:val="28"/>
        </w:rPr>
        <w:t xml:space="preserve">наведено на </w:t>
      </w:r>
      <w:r w:rsidR="00D360AF">
        <w:rPr>
          <w:rFonts w:ascii="Times New Roman" w:hAnsi="Times New Roman"/>
          <w:sz w:val="28"/>
          <w:szCs w:val="28"/>
        </w:rPr>
        <w:t>рис. 1.14</w:t>
      </w:r>
      <w:r w:rsidRPr="008A7FC4">
        <w:rPr>
          <w:rFonts w:ascii="Times New Roman" w:hAnsi="Times New Roman"/>
          <w:sz w:val="28"/>
          <w:szCs w:val="28"/>
        </w:rPr>
        <w:t>.</w:t>
      </w:r>
    </w:p>
    <w:p w:rsidR="000D7F29" w:rsidRDefault="000D7F29" w:rsidP="000D7F29">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Акцентуємо, що усі зазначені етапи процесу управління ліквідністю комерційного банку є однаково важливими, оскільки від ефективності та правильності їх проведення залежить кінцевий результат діяльності банку.</w:t>
      </w:r>
    </w:p>
    <w:p w:rsidR="000D7F29" w:rsidRDefault="000D7F29" w:rsidP="000D7F29">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Отже перший етап, який передбачає пошук та обробку інформації про стан ліквідності банку, виконується на основі даних фінансової звітності банку. На даному етапі закладається наскільки ефективним буде весь процес управління, а також прийняті рішення та наслідки цих рішень щодо підвищення ліквідності банку [2, с. 82-83].</w:t>
      </w:r>
    </w:p>
    <w:p w:rsidR="009D1FAC" w:rsidRDefault="009D1FAC">
      <w:pPr>
        <w:spacing w:line="259" w:lineRule="auto"/>
        <w:rPr>
          <w:rFonts w:ascii="Times New Roman" w:hAnsi="Times New Roman"/>
          <w:sz w:val="28"/>
          <w:szCs w:val="28"/>
        </w:rPr>
      </w:pPr>
      <w:r>
        <w:rPr>
          <w:rFonts w:ascii="Times New Roman" w:hAnsi="Times New Roman"/>
          <w:sz w:val="28"/>
          <w:szCs w:val="28"/>
        </w:rPr>
        <w:br w:type="page"/>
      </w:r>
    </w:p>
    <w:p w:rsidR="008A7FC4" w:rsidRDefault="008A7FC4" w:rsidP="008A7FC4">
      <w:pPr>
        <w:pStyle w:val="a4"/>
        <w:spacing w:after="0" w:line="360" w:lineRule="auto"/>
        <w:ind w:left="0"/>
        <w:jc w:val="both"/>
        <w:rPr>
          <w:rFonts w:ascii="Times New Roman" w:hAnsi="Times New Roman" w:cs="Times New Roman"/>
          <w:sz w:val="28"/>
          <w:szCs w:val="28"/>
        </w:rPr>
      </w:pPr>
      <w:r>
        <w:rPr>
          <w:noProof/>
          <w:lang w:eastAsia="uk-UA"/>
        </w:rPr>
        <w:lastRenderedPageBreak/>
        <mc:AlternateContent>
          <mc:Choice Requires="wpc">
            <w:drawing>
              <wp:inline distT="0" distB="0" distL="0" distR="0" wp14:anchorId="4E02EA88" wp14:editId="60EC3740">
                <wp:extent cx="6009640" cy="3345180"/>
                <wp:effectExtent l="0" t="0" r="10160" b="0"/>
                <wp:docPr id="20" name="Полотно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Скругленный прямоугольник 87"/>
                        <wps:cNvSpPr>
                          <a:spLocks noChangeArrowheads="1"/>
                        </wps:cNvSpPr>
                        <wps:spPr bwMode="auto">
                          <a:xfrm>
                            <a:off x="30400" y="159962"/>
                            <a:ext cx="1150712" cy="358208"/>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8A7FC4">
                              <w:pPr>
                                <w:jc w:val="center"/>
                                <w:rPr>
                                  <w:rFonts w:ascii="Times New Roman" w:hAnsi="Times New Roman"/>
                                  <w:color w:val="000000" w:themeColor="text1"/>
                                  <w:sz w:val="28"/>
                                  <w:szCs w:val="28"/>
                                </w:rPr>
                              </w:pPr>
                              <w:r>
                                <w:rPr>
                                  <w:rFonts w:ascii="Times New Roman" w:hAnsi="Times New Roman"/>
                                  <w:color w:val="000000" w:themeColor="text1"/>
                                  <w:sz w:val="28"/>
                                  <w:szCs w:val="28"/>
                                </w:rPr>
                                <w:t>1 етап</w:t>
                              </w:r>
                            </w:p>
                          </w:txbxContent>
                        </wps:txbx>
                        <wps:bodyPr rot="0" vert="horz" wrap="square" lIns="91440" tIns="45720" rIns="91440" bIns="45720" anchor="ctr" anchorCtr="0" upright="1">
                          <a:noAutofit/>
                        </wps:bodyPr>
                      </wps:wsp>
                      <wps:wsp>
                        <wps:cNvPr id="2" name="Скругленный прямоугольник 88"/>
                        <wps:cNvSpPr>
                          <a:spLocks noChangeArrowheads="1"/>
                        </wps:cNvSpPr>
                        <wps:spPr bwMode="auto">
                          <a:xfrm>
                            <a:off x="30400" y="797176"/>
                            <a:ext cx="1150712" cy="358208"/>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8A7FC4">
                              <w:pPr>
                                <w:pStyle w:val="a3"/>
                                <w:spacing w:before="0" w:beforeAutospacing="0" w:after="160" w:afterAutospacing="0" w:line="254" w:lineRule="auto"/>
                                <w:jc w:val="center"/>
                              </w:pPr>
                              <w:r>
                                <w:rPr>
                                  <w:rFonts w:eastAsia="Calibri"/>
                                  <w:color w:val="000000"/>
                                  <w:sz w:val="28"/>
                                  <w:szCs w:val="28"/>
                                </w:rPr>
                                <w:t>2 етап</w:t>
                              </w:r>
                            </w:p>
                          </w:txbxContent>
                        </wps:txbx>
                        <wps:bodyPr rot="0" vert="horz" wrap="square" lIns="91440" tIns="45720" rIns="91440" bIns="45720" anchor="ctr" anchorCtr="0" upright="1">
                          <a:noAutofit/>
                        </wps:bodyPr>
                      </wps:wsp>
                      <wps:wsp>
                        <wps:cNvPr id="3" name="Скругленный прямоугольник 89"/>
                        <wps:cNvSpPr>
                          <a:spLocks noChangeArrowheads="1"/>
                        </wps:cNvSpPr>
                        <wps:spPr bwMode="auto">
                          <a:xfrm>
                            <a:off x="30400" y="1429691"/>
                            <a:ext cx="1150712" cy="358108"/>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8A7FC4">
                              <w:pPr>
                                <w:pStyle w:val="a3"/>
                                <w:spacing w:before="0" w:beforeAutospacing="0" w:after="160" w:afterAutospacing="0" w:line="254" w:lineRule="auto"/>
                                <w:jc w:val="center"/>
                              </w:pPr>
                              <w:r>
                                <w:rPr>
                                  <w:rFonts w:eastAsia="Calibri"/>
                                  <w:color w:val="000000"/>
                                  <w:sz w:val="28"/>
                                  <w:szCs w:val="28"/>
                                </w:rPr>
                                <w:t>3 етап</w:t>
                              </w:r>
                            </w:p>
                          </w:txbxContent>
                        </wps:txbx>
                        <wps:bodyPr rot="0" vert="horz" wrap="square" lIns="91440" tIns="45720" rIns="91440" bIns="45720" anchor="ctr" anchorCtr="0" upright="1">
                          <a:noAutofit/>
                        </wps:bodyPr>
                      </wps:wsp>
                      <wps:wsp>
                        <wps:cNvPr id="4" name="Скругленный прямоугольник 90"/>
                        <wps:cNvSpPr>
                          <a:spLocks noChangeArrowheads="1"/>
                        </wps:cNvSpPr>
                        <wps:spPr bwMode="auto">
                          <a:xfrm>
                            <a:off x="30400" y="2054504"/>
                            <a:ext cx="1150712" cy="358208"/>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8A7FC4">
                              <w:pPr>
                                <w:pStyle w:val="a3"/>
                                <w:spacing w:before="0" w:beforeAutospacing="0" w:after="160" w:afterAutospacing="0" w:line="254" w:lineRule="auto"/>
                                <w:jc w:val="center"/>
                              </w:pPr>
                              <w:r>
                                <w:rPr>
                                  <w:rFonts w:eastAsia="Calibri"/>
                                  <w:color w:val="000000"/>
                                  <w:sz w:val="28"/>
                                  <w:szCs w:val="28"/>
                                </w:rPr>
                                <w:t>4 етап</w:t>
                              </w:r>
                            </w:p>
                          </w:txbxContent>
                        </wps:txbx>
                        <wps:bodyPr rot="0" vert="horz" wrap="square" lIns="91440" tIns="45720" rIns="91440" bIns="45720" anchor="ctr" anchorCtr="0" upright="1">
                          <a:noAutofit/>
                        </wps:bodyPr>
                      </wps:wsp>
                      <wps:wsp>
                        <wps:cNvPr id="5" name="Скругленный прямоугольник 91"/>
                        <wps:cNvSpPr>
                          <a:spLocks noChangeArrowheads="1"/>
                        </wps:cNvSpPr>
                        <wps:spPr bwMode="auto">
                          <a:xfrm>
                            <a:off x="30400" y="2679418"/>
                            <a:ext cx="1150712" cy="358108"/>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8A7FC4">
                              <w:pPr>
                                <w:pStyle w:val="a3"/>
                                <w:spacing w:before="0" w:beforeAutospacing="0" w:after="160" w:afterAutospacing="0" w:line="254" w:lineRule="auto"/>
                                <w:jc w:val="center"/>
                              </w:pPr>
                              <w:r>
                                <w:rPr>
                                  <w:rFonts w:eastAsia="Calibri"/>
                                  <w:color w:val="000000"/>
                                  <w:sz w:val="28"/>
                                  <w:szCs w:val="28"/>
                                </w:rPr>
                                <w:t>5 етап</w:t>
                              </w:r>
                            </w:p>
                          </w:txbxContent>
                        </wps:txbx>
                        <wps:bodyPr rot="0" vert="horz" wrap="square" lIns="91440" tIns="45720" rIns="91440" bIns="45720" anchor="ctr" anchorCtr="0" upright="1">
                          <a:noAutofit/>
                        </wps:bodyPr>
                      </wps:wsp>
                      <wps:wsp>
                        <wps:cNvPr id="6" name="Скругленный прямоугольник 92"/>
                        <wps:cNvSpPr>
                          <a:spLocks noChangeArrowheads="1"/>
                        </wps:cNvSpPr>
                        <wps:spPr bwMode="auto">
                          <a:xfrm>
                            <a:off x="1493516" y="114261"/>
                            <a:ext cx="4114844" cy="487711"/>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8A7FC4">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Пошук та обробка інформації про стан ліквідності</w:t>
                              </w:r>
                            </w:p>
                            <w:p w:rsidR="00F821E3" w:rsidRDefault="00F821E3" w:rsidP="008A7FC4">
                              <w:pPr>
                                <w:spacing w:after="0" w:line="240" w:lineRule="auto"/>
                                <w:jc w:val="center"/>
                                <w:rPr>
                                  <w:rFonts w:ascii="Times New Roman" w:hAnsi="Times New Roman"/>
                                  <w:color w:val="000000" w:themeColor="text1"/>
                                </w:rPr>
                              </w:pPr>
                              <w:r>
                                <w:rPr>
                                  <w:rFonts w:ascii="Times New Roman" w:hAnsi="Times New Roman"/>
                                  <w:color w:val="000000" w:themeColor="text1"/>
                                  <w:sz w:val="24"/>
                                  <w:szCs w:val="24"/>
                                </w:rPr>
                                <w:t>банку</w:t>
                              </w:r>
                            </w:p>
                          </w:txbxContent>
                        </wps:txbx>
                        <wps:bodyPr rot="0" vert="horz" wrap="square" lIns="91440" tIns="45720" rIns="91440" bIns="45720" anchor="ctr" anchorCtr="0" upright="1">
                          <a:noAutofit/>
                        </wps:bodyPr>
                      </wps:wsp>
                      <wps:wsp>
                        <wps:cNvPr id="7" name="Скругленный прямоугольник 93"/>
                        <wps:cNvSpPr>
                          <a:spLocks noChangeArrowheads="1"/>
                        </wps:cNvSpPr>
                        <wps:spPr bwMode="auto">
                          <a:xfrm>
                            <a:off x="1493516" y="728575"/>
                            <a:ext cx="4114844" cy="475411"/>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8A7FC4">
                              <w:pPr>
                                <w:pStyle w:val="a3"/>
                                <w:spacing w:before="0" w:beforeAutospacing="0" w:after="0" w:afterAutospacing="0"/>
                                <w:jc w:val="center"/>
                              </w:pPr>
                              <w:r>
                                <w:rPr>
                                  <w:rFonts w:eastAsia="Calibri"/>
                                  <w:color w:val="000000"/>
                                </w:rPr>
                                <w:t>Вибір методу оцінки</w:t>
                              </w:r>
                            </w:p>
                          </w:txbxContent>
                        </wps:txbx>
                        <wps:bodyPr rot="0" vert="horz" wrap="square" lIns="91440" tIns="45720" rIns="91440" bIns="45720" anchor="ctr" anchorCtr="0" upright="1">
                          <a:noAutofit/>
                        </wps:bodyPr>
                      </wps:wsp>
                      <wps:wsp>
                        <wps:cNvPr id="8" name="Скругленный прямоугольник 94"/>
                        <wps:cNvSpPr>
                          <a:spLocks noChangeArrowheads="1"/>
                        </wps:cNvSpPr>
                        <wps:spPr bwMode="auto">
                          <a:xfrm>
                            <a:off x="1493516" y="1347189"/>
                            <a:ext cx="4114844" cy="488311"/>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8A7FC4">
                              <w:pPr>
                                <w:pStyle w:val="a3"/>
                                <w:spacing w:before="0" w:beforeAutospacing="0" w:after="0" w:afterAutospacing="0"/>
                                <w:ind w:left="-426"/>
                                <w:jc w:val="center"/>
                                <w:rPr>
                                  <w:rFonts w:eastAsia="Calibri"/>
                                  <w:color w:val="000000"/>
                                </w:rPr>
                              </w:pPr>
                              <w:r>
                                <w:rPr>
                                  <w:rFonts w:eastAsia="Calibri"/>
                                  <w:color w:val="000000"/>
                                </w:rPr>
                                <w:t xml:space="preserve">Характеристика рівня ліквідності </w:t>
                              </w:r>
                            </w:p>
                            <w:p w:rsidR="00F821E3" w:rsidRDefault="00F821E3" w:rsidP="008A7FC4">
                              <w:pPr>
                                <w:pStyle w:val="a3"/>
                                <w:spacing w:before="0" w:beforeAutospacing="0" w:after="160" w:afterAutospacing="0" w:line="252" w:lineRule="auto"/>
                                <w:ind w:left="-426"/>
                                <w:jc w:val="center"/>
                              </w:pPr>
                              <w:r>
                                <w:rPr>
                                  <w:rFonts w:eastAsia="Calibri"/>
                                  <w:color w:val="000000"/>
                                </w:rPr>
                                <w:t>й результатів оцінки</w:t>
                              </w:r>
                            </w:p>
                          </w:txbxContent>
                        </wps:txbx>
                        <wps:bodyPr rot="0" vert="horz" wrap="square" lIns="91440" tIns="45720" rIns="91440" bIns="45720" anchor="ctr" anchorCtr="0" upright="1">
                          <a:noAutofit/>
                        </wps:bodyPr>
                      </wps:wsp>
                      <wps:wsp>
                        <wps:cNvPr id="9" name="Скругленный прямоугольник 95"/>
                        <wps:cNvSpPr>
                          <a:spLocks noChangeArrowheads="1"/>
                        </wps:cNvSpPr>
                        <wps:spPr bwMode="auto">
                          <a:xfrm>
                            <a:off x="1493516" y="1983103"/>
                            <a:ext cx="4114844" cy="485811"/>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8A7FC4">
                              <w:pPr>
                                <w:pStyle w:val="a3"/>
                                <w:spacing w:before="0" w:beforeAutospacing="0" w:after="0" w:afterAutospacing="0"/>
                                <w:jc w:val="center"/>
                                <w:rPr>
                                  <w:color w:val="000000" w:themeColor="text1"/>
                                </w:rPr>
                              </w:pPr>
                              <w:r>
                                <w:rPr>
                                  <w:color w:val="000000" w:themeColor="text1"/>
                                </w:rPr>
                                <w:t>Визначення напрямків покращення рівня</w:t>
                              </w:r>
                            </w:p>
                            <w:p w:rsidR="00F821E3" w:rsidRDefault="00F821E3" w:rsidP="008A7FC4">
                              <w:pPr>
                                <w:pStyle w:val="a3"/>
                                <w:spacing w:before="0" w:beforeAutospacing="0" w:after="0" w:afterAutospacing="0"/>
                                <w:jc w:val="center"/>
                                <w:rPr>
                                  <w:color w:val="000000" w:themeColor="text1"/>
                                </w:rPr>
                              </w:pPr>
                              <w:r>
                                <w:rPr>
                                  <w:color w:val="000000" w:themeColor="text1"/>
                                </w:rPr>
                                <w:t>ліквідності банку</w:t>
                              </w:r>
                            </w:p>
                          </w:txbxContent>
                        </wps:txbx>
                        <wps:bodyPr rot="0" vert="horz" wrap="square" lIns="91440" tIns="45720" rIns="91440" bIns="45720" anchor="ctr" anchorCtr="0" upright="1">
                          <a:noAutofit/>
                        </wps:bodyPr>
                      </wps:wsp>
                      <wps:wsp>
                        <wps:cNvPr id="10" name="Скругленный прямоугольник 96"/>
                        <wps:cNvSpPr>
                          <a:spLocks noChangeArrowheads="1"/>
                        </wps:cNvSpPr>
                        <wps:spPr bwMode="auto">
                          <a:xfrm>
                            <a:off x="1493516" y="2618217"/>
                            <a:ext cx="4114844" cy="518812"/>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8A7FC4">
                              <w:pPr>
                                <w:pStyle w:val="a3"/>
                                <w:spacing w:before="0" w:beforeAutospacing="0" w:after="0" w:afterAutospacing="0"/>
                                <w:jc w:val="center"/>
                                <w:rPr>
                                  <w:rFonts w:eastAsia="Times New Roman"/>
                                  <w:color w:val="000000"/>
                                </w:rPr>
                              </w:pPr>
                              <w:r>
                                <w:rPr>
                                  <w:rFonts w:eastAsia="Times New Roman"/>
                                  <w:color w:val="000000"/>
                                </w:rPr>
                                <w:t>Забезпечення відновлення втраченої ліквідності банку та подальший її моніторинг</w:t>
                              </w:r>
                            </w:p>
                          </w:txbxContent>
                        </wps:txbx>
                        <wps:bodyPr rot="0" vert="horz" wrap="square" lIns="91440" tIns="45720" rIns="91440" bIns="45720" anchor="ctr" anchorCtr="0" upright="1">
                          <a:noAutofit/>
                        </wps:bodyPr>
                      </wps:wsp>
                      <wps:wsp>
                        <wps:cNvPr id="11" name="Прямая соединительная линия 97"/>
                        <wps:cNvCnPr>
                          <a:cxnSpLocks noChangeShapeType="1"/>
                          <a:stCxn id="1" idx="3"/>
                        </wps:cNvCnPr>
                        <wps:spPr bwMode="auto">
                          <a:xfrm>
                            <a:off x="1181113" y="338966"/>
                            <a:ext cx="312403"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2" name="Прямая соединительная линия 98"/>
                        <wps:cNvCnPr>
                          <a:cxnSpLocks noChangeShapeType="1"/>
                          <a:stCxn id="2" idx="3"/>
                          <a:endCxn id="7" idx="1"/>
                        </wps:cNvCnPr>
                        <wps:spPr bwMode="auto">
                          <a:xfrm flipV="1">
                            <a:off x="1181113" y="966180"/>
                            <a:ext cx="312403" cy="100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3" name="Прямая соединительная линия 99"/>
                        <wps:cNvCnPr>
                          <a:cxnSpLocks noChangeShapeType="1"/>
                        </wps:cNvCnPr>
                        <wps:spPr bwMode="auto">
                          <a:xfrm flipV="1">
                            <a:off x="1181113" y="1595894"/>
                            <a:ext cx="312403" cy="43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4" name="Прямая соединительная линия 100"/>
                        <wps:cNvCnPr>
                          <a:cxnSpLocks noChangeShapeType="1"/>
                        </wps:cNvCnPr>
                        <wps:spPr bwMode="auto">
                          <a:xfrm flipV="1">
                            <a:off x="1181113" y="2226008"/>
                            <a:ext cx="312403" cy="76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5" name="Прямая соединительная линия 101"/>
                        <wps:cNvCnPr>
                          <a:cxnSpLocks noChangeShapeType="1"/>
                        </wps:cNvCnPr>
                        <wps:spPr bwMode="auto">
                          <a:xfrm flipV="1">
                            <a:off x="1181113" y="2878923"/>
                            <a:ext cx="312403" cy="15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6" name="Выгнутая вправо стрелка 102"/>
                        <wps:cNvSpPr>
                          <a:spLocks noChangeArrowheads="1"/>
                        </wps:cNvSpPr>
                        <wps:spPr bwMode="auto">
                          <a:xfrm>
                            <a:off x="5608360" y="2191708"/>
                            <a:ext cx="396204" cy="819118"/>
                          </a:xfrm>
                          <a:prstGeom prst="curvedLeftArrow">
                            <a:avLst>
                              <a:gd name="adj1" fmla="val 25000"/>
                              <a:gd name="adj2" fmla="val 50000"/>
                              <a:gd name="adj3" fmla="val 25000"/>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7" name="Выгнутая вправо стрелка 103"/>
                        <wps:cNvSpPr>
                          <a:spLocks noChangeArrowheads="1"/>
                        </wps:cNvSpPr>
                        <wps:spPr bwMode="auto">
                          <a:xfrm>
                            <a:off x="5608360" y="1566294"/>
                            <a:ext cx="396204" cy="807718"/>
                          </a:xfrm>
                          <a:prstGeom prst="curvedLeftArrow">
                            <a:avLst>
                              <a:gd name="adj1" fmla="val 25011"/>
                              <a:gd name="adj2" fmla="val 50003"/>
                              <a:gd name="adj3" fmla="val 25000"/>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8" name="Выгнутая вправо стрелка 104"/>
                        <wps:cNvSpPr>
                          <a:spLocks noChangeArrowheads="1"/>
                        </wps:cNvSpPr>
                        <wps:spPr bwMode="auto">
                          <a:xfrm>
                            <a:off x="5608360" y="948180"/>
                            <a:ext cx="396204" cy="807718"/>
                          </a:xfrm>
                          <a:prstGeom prst="curvedLeftArrow">
                            <a:avLst>
                              <a:gd name="adj1" fmla="val 25011"/>
                              <a:gd name="adj2" fmla="val 50003"/>
                              <a:gd name="adj3" fmla="val 25000"/>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9" name="Выгнутая вправо стрелка 105"/>
                        <wps:cNvSpPr>
                          <a:spLocks noChangeArrowheads="1"/>
                        </wps:cNvSpPr>
                        <wps:spPr bwMode="auto">
                          <a:xfrm>
                            <a:off x="5608360" y="279065"/>
                            <a:ext cx="396204" cy="807718"/>
                          </a:xfrm>
                          <a:prstGeom prst="curvedLeftArrow">
                            <a:avLst>
                              <a:gd name="adj1" fmla="val 25011"/>
                              <a:gd name="adj2" fmla="val 50003"/>
                              <a:gd name="adj3" fmla="val 25000"/>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c:wpc>
                  </a:graphicData>
                </a:graphic>
              </wp:inline>
            </w:drawing>
          </mc:Choice>
          <mc:Fallback>
            <w:pict>
              <v:group w14:anchorId="4E02EA88" id="Полотно 20" o:spid="_x0000_s1207" editas="canvas" style="width:473.2pt;height:263.4pt;mso-position-horizontal-relative:char;mso-position-vertical-relative:line" coordsize="60096,3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">
                <v:shape id="_x0000_s1208" type="#_x0000_t75" style="position:absolute;width:60096;height:33451;visibility:visible;mso-wrap-style:square">
                  <v:fill o:detectmouseclick="t"/>
                  <v:path o:connecttype="none"/>
                </v:shape>
                <v:roundrect id="Скругленный прямоугольник 87" o:spid="_x0000_s1209" style="position:absolute;left:304;top:1599;width:11507;height:3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" strokeweight="1pt">
                  <v:stroke joinstyle="miter"/>
                  <v:textbox>
                    <w:txbxContent>
                      <w:p w:rsidR="00F821E3" w:rsidRDefault="00F821E3" w:rsidP="008A7FC4">
                        <w:pPr>
                          <w:jc w:val="center"/>
                          <w:rPr>
                            <w:rFonts w:ascii="Times New Roman" w:hAnsi="Times New Roman"/>
                            <w:color w:val="000000" w:themeColor="text1"/>
                            <w:sz w:val="28"/>
                            <w:szCs w:val="28"/>
                          </w:rPr>
                        </w:pPr>
                        <w:r>
                          <w:rPr>
                            <w:rFonts w:ascii="Times New Roman" w:hAnsi="Times New Roman"/>
                            <w:color w:val="000000" w:themeColor="text1"/>
                            <w:sz w:val="28"/>
                            <w:szCs w:val="28"/>
                          </w:rPr>
                          <w:t>1 етап</w:t>
                        </w:r>
                      </w:p>
                    </w:txbxContent>
                  </v:textbox>
                </v:roundrect>
                <v:roundrect id="Скругленный прямоугольник 88" o:spid="_x0000_s1210" style="position:absolute;left:304;top:7971;width:11507;height:3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" strokeweight="1pt">
                  <v:stroke joinstyle="miter"/>
                  <v:textbox>
                    <w:txbxContent>
                      <w:p w:rsidR="00F821E3" w:rsidRDefault="00F821E3" w:rsidP="008A7FC4">
                        <w:pPr>
                          <w:pStyle w:val="a3"/>
                          <w:spacing w:before="0" w:beforeAutospacing="0" w:after="160" w:afterAutospacing="0" w:line="254" w:lineRule="auto"/>
                          <w:jc w:val="center"/>
                        </w:pPr>
                        <w:r>
                          <w:rPr>
                            <w:rFonts w:eastAsia="Calibri"/>
                            <w:color w:val="000000"/>
                            <w:sz w:val="28"/>
                            <w:szCs w:val="28"/>
                          </w:rPr>
                          <w:t>2 етап</w:t>
                        </w:r>
                      </w:p>
                    </w:txbxContent>
                  </v:textbox>
                </v:roundrect>
                <v:roundrect id="Скругленный прямоугольник 89" o:spid="_x0000_s1211" style="position:absolute;left:304;top:14296;width:11507;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" strokeweight="1pt">
                  <v:stroke joinstyle="miter"/>
                  <v:textbox>
                    <w:txbxContent>
                      <w:p w:rsidR="00F821E3" w:rsidRDefault="00F821E3" w:rsidP="008A7FC4">
                        <w:pPr>
                          <w:pStyle w:val="a3"/>
                          <w:spacing w:before="0" w:beforeAutospacing="0" w:after="160" w:afterAutospacing="0" w:line="254" w:lineRule="auto"/>
                          <w:jc w:val="center"/>
                        </w:pPr>
                        <w:r>
                          <w:rPr>
                            <w:rFonts w:eastAsia="Calibri"/>
                            <w:color w:val="000000"/>
                            <w:sz w:val="28"/>
                            <w:szCs w:val="28"/>
                          </w:rPr>
                          <w:t>3 етап</w:t>
                        </w:r>
                      </w:p>
                    </w:txbxContent>
                  </v:textbox>
                </v:roundrect>
                <v:roundrect id="Скругленный прямоугольник 90" o:spid="_x0000_s1212" style="position:absolute;left:304;top:20545;width:11507;height:3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" strokeweight="1pt">
                  <v:stroke joinstyle="miter"/>
                  <v:textbox>
                    <w:txbxContent>
                      <w:p w:rsidR="00F821E3" w:rsidRDefault="00F821E3" w:rsidP="008A7FC4">
                        <w:pPr>
                          <w:pStyle w:val="a3"/>
                          <w:spacing w:before="0" w:beforeAutospacing="0" w:after="160" w:afterAutospacing="0" w:line="254" w:lineRule="auto"/>
                          <w:jc w:val="center"/>
                        </w:pPr>
                        <w:r>
                          <w:rPr>
                            <w:rFonts w:eastAsia="Calibri"/>
                            <w:color w:val="000000"/>
                            <w:sz w:val="28"/>
                            <w:szCs w:val="28"/>
                          </w:rPr>
                          <w:t>4 етап</w:t>
                        </w:r>
                      </w:p>
                    </w:txbxContent>
                  </v:textbox>
                </v:roundrect>
                <v:roundrect id="Скругленный прямоугольник 91" o:spid="_x0000_s1213" style="position:absolute;left:304;top:26794;width:11507;height:3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" strokeweight="1pt">
                  <v:stroke joinstyle="miter"/>
                  <v:textbox>
                    <w:txbxContent>
                      <w:p w:rsidR="00F821E3" w:rsidRDefault="00F821E3" w:rsidP="008A7FC4">
                        <w:pPr>
                          <w:pStyle w:val="a3"/>
                          <w:spacing w:before="0" w:beforeAutospacing="0" w:after="160" w:afterAutospacing="0" w:line="254" w:lineRule="auto"/>
                          <w:jc w:val="center"/>
                        </w:pPr>
                        <w:r>
                          <w:rPr>
                            <w:rFonts w:eastAsia="Calibri"/>
                            <w:color w:val="000000"/>
                            <w:sz w:val="28"/>
                            <w:szCs w:val="28"/>
                          </w:rPr>
                          <w:t>5 етап</w:t>
                        </w:r>
                      </w:p>
                    </w:txbxContent>
                  </v:textbox>
                </v:roundrect>
                <v:roundrect id="Скругленный прямоугольник 92" o:spid="_x0000_s1214" style="position:absolute;left:14935;top:1142;width:41148;height:4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" strokeweight="1pt">
                  <v:stroke joinstyle="miter"/>
                  <v:textbox>
                    <w:txbxContent>
                      <w:p w:rsidR="00F821E3" w:rsidRDefault="00F821E3" w:rsidP="008A7FC4">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Пошук та обробка інформації про стан ліквідності</w:t>
                        </w:r>
                      </w:p>
                      <w:p w:rsidR="00F821E3" w:rsidRDefault="00F821E3" w:rsidP="008A7FC4">
                        <w:pPr>
                          <w:spacing w:after="0" w:line="240" w:lineRule="auto"/>
                          <w:jc w:val="center"/>
                          <w:rPr>
                            <w:rFonts w:ascii="Times New Roman" w:hAnsi="Times New Roman"/>
                            <w:color w:val="000000" w:themeColor="text1"/>
                          </w:rPr>
                        </w:pPr>
                        <w:r>
                          <w:rPr>
                            <w:rFonts w:ascii="Times New Roman" w:hAnsi="Times New Roman"/>
                            <w:color w:val="000000" w:themeColor="text1"/>
                            <w:sz w:val="24"/>
                            <w:szCs w:val="24"/>
                          </w:rPr>
                          <w:t>банку</w:t>
                        </w:r>
                      </w:p>
                    </w:txbxContent>
                  </v:textbox>
                </v:roundrect>
                <v:roundrect id="Скругленный прямоугольник 93" o:spid="_x0000_s1215" style="position:absolute;left:14935;top:7285;width:41148;height:4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" strokeweight="1pt">
                  <v:stroke joinstyle="miter"/>
                  <v:textbox>
                    <w:txbxContent>
                      <w:p w:rsidR="00F821E3" w:rsidRDefault="00F821E3" w:rsidP="008A7FC4">
                        <w:pPr>
                          <w:pStyle w:val="a3"/>
                          <w:spacing w:before="0" w:beforeAutospacing="0" w:after="0" w:afterAutospacing="0"/>
                          <w:jc w:val="center"/>
                        </w:pPr>
                        <w:r>
                          <w:rPr>
                            <w:rFonts w:eastAsia="Calibri"/>
                            <w:color w:val="000000"/>
                          </w:rPr>
                          <w:t>Вибір методу оцінки</w:t>
                        </w:r>
                      </w:p>
                    </w:txbxContent>
                  </v:textbox>
                </v:roundrect>
                <v:roundrect id="Скругленный прямоугольник 94" o:spid="_x0000_s1216" style="position:absolute;left:14935;top:13471;width:41148;height:4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" strokeweight="1pt">
                  <v:stroke joinstyle="miter"/>
                  <v:textbox>
                    <w:txbxContent>
                      <w:p w:rsidR="00F821E3" w:rsidRDefault="00F821E3" w:rsidP="008A7FC4">
                        <w:pPr>
                          <w:pStyle w:val="a3"/>
                          <w:spacing w:before="0" w:beforeAutospacing="0" w:after="0" w:afterAutospacing="0"/>
                          <w:ind w:left="-426"/>
                          <w:jc w:val="center"/>
                          <w:rPr>
                            <w:rFonts w:eastAsia="Calibri"/>
                            <w:color w:val="000000"/>
                          </w:rPr>
                        </w:pPr>
                        <w:r>
                          <w:rPr>
                            <w:rFonts w:eastAsia="Calibri"/>
                            <w:color w:val="000000"/>
                          </w:rPr>
                          <w:t xml:space="preserve">Характеристика рівня ліквідності </w:t>
                        </w:r>
                      </w:p>
                      <w:p w:rsidR="00F821E3" w:rsidRDefault="00F821E3" w:rsidP="008A7FC4">
                        <w:pPr>
                          <w:pStyle w:val="a3"/>
                          <w:spacing w:before="0" w:beforeAutospacing="0" w:after="160" w:afterAutospacing="0" w:line="252" w:lineRule="auto"/>
                          <w:ind w:left="-426"/>
                          <w:jc w:val="center"/>
                        </w:pPr>
                        <w:r>
                          <w:rPr>
                            <w:rFonts w:eastAsia="Calibri"/>
                            <w:color w:val="000000"/>
                          </w:rPr>
                          <w:t>й результатів оцінки</w:t>
                        </w:r>
                      </w:p>
                    </w:txbxContent>
                  </v:textbox>
                </v:roundrect>
                <v:roundrect id="Скругленный прямоугольник 95" o:spid="_x0000_s1217" style="position:absolute;left:14935;top:19831;width:41148;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" strokeweight="1pt">
                  <v:stroke joinstyle="miter"/>
                  <v:textbox>
                    <w:txbxContent>
                      <w:p w:rsidR="00F821E3" w:rsidRDefault="00F821E3" w:rsidP="008A7FC4">
                        <w:pPr>
                          <w:pStyle w:val="a3"/>
                          <w:spacing w:before="0" w:beforeAutospacing="0" w:after="0" w:afterAutospacing="0"/>
                          <w:jc w:val="center"/>
                          <w:rPr>
                            <w:color w:val="000000" w:themeColor="text1"/>
                          </w:rPr>
                        </w:pPr>
                        <w:r>
                          <w:rPr>
                            <w:color w:val="000000" w:themeColor="text1"/>
                          </w:rPr>
                          <w:t>Визначення напрямків покращення рівня</w:t>
                        </w:r>
                      </w:p>
                      <w:p w:rsidR="00F821E3" w:rsidRDefault="00F821E3" w:rsidP="008A7FC4">
                        <w:pPr>
                          <w:pStyle w:val="a3"/>
                          <w:spacing w:before="0" w:beforeAutospacing="0" w:after="0" w:afterAutospacing="0"/>
                          <w:jc w:val="center"/>
                          <w:rPr>
                            <w:color w:val="000000" w:themeColor="text1"/>
                          </w:rPr>
                        </w:pPr>
                        <w:r>
                          <w:rPr>
                            <w:color w:val="000000" w:themeColor="text1"/>
                          </w:rPr>
                          <w:t>ліквідності банку</w:t>
                        </w:r>
                      </w:p>
                    </w:txbxContent>
                  </v:textbox>
                </v:roundrect>
                <v:roundrect id="Скругленный прямоугольник 96" o:spid="_x0000_s1218" style="position:absolute;left:14935;top:26182;width:41148;height:5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" strokeweight="1pt">
                  <v:stroke joinstyle="miter"/>
                  <v:textbox>
                    <w:txbxContent>
                      <w:p w:rsidR="00F821E3" w:rsidRDefault="00F821E3" w:rsidP="008A7FC4">
                        <w:pPr>
                          <w:pStyle w:val="a3"/>
                          <w:spacing w:before="0" w:beforeAutospacing="0" w:after="0" w:afterAutospacing="0"/>
                          <w:jc w:val="center"/>
                          <w:rPr>
                            <w:rFonts w:eastAsia="Times New Roman"/>
                            <w:color w:val="000000"/>
                          </w:rPr>
                        </w:pPr>
                        <w:r>
                          <w:rPr>
                            <w:rFonts w:eastAsia="Times New Roman"/>
                            <w:color w:val="000000"/>
                          </w:rPr>
                          <w:t>Забезпечення відновлення втраченої ліквідності банку та подальший її моніторинг</w:t>
                        </w:r>
                      </w:p>
                    </w:txbxContent>
                  </v:textbox>
                </v:roundrect>
                <v:line id="Прямая соединительная линия 97" o:spid="_x0000_s1219" style="position:absolute;visibility:visible;mso-wrap-style:square" from="11811,3389" to="1493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" strokeweight=".5pt">
                  <v:stroke joinstyle="miter"/>
                </v:line>
                <v:line id="Прямая соединительная линия 98" o:spid="_x0000_s1220" style="position:absolute;flip:y;visibility:visible;mso-wrap-style:square" from="11811,9661" to="14935,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" strokeweight=".5pt">
                  <v:stroke joinstyle="miter"/>
                </v:line>
                <v:line id="Прямая соединительная линия 99" o:spid="_x0000_s1221" style="position:absolute;flip:y;visibility:visible;mso-wrap-style:square" from="11811,15958" to="14935,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6bwAAAANsAAAAPAAAAZHJzL2Rvd25yZXYueG1sRE/dasIw&#10;FL4f7B3CGexupj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ZrD+m8AAAADbAAAADwAAAAAA&#10;AAAAAAAAAAAHAgAAZHJzL2Rvd25yZXYueG1sUEsFBgAAAAADAAMAtwAAAPQCAAAAAA==&#10;" strokeweight=".5pt">
                  <v:stroke joinstyle="miter"/>
                </v:line>
                <v:line id="Прямая соединительная линия 100" o:spid="_x0000_s1222" style="position:absolute;flip:y;visibility:visible;mso-wrap-style:square" from="11811,22260" to="14935,2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Прямая соединительная линия 101" o:spid="_x0000_s1223" style="position:absolute;flip:y;visibility:visible;mso-wrap-style:square" from="11811,28789" to="14935,2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shape id="Выгнутая вправо стрелка 102" o:spid="_x0000_s1224" type="#_x0000_t103" style="position:absolute;left:56083;top:21917;width:3962;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" adj="16376,20294,5400" strokeweight="1pt"/>
                <v:shape id="Выгнутая вправо стрелка 103" o:spid="_x0000_s1225" type="#_x0000_t103" style="position:absolute;left:56083;top:15662;width:3962;height:8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" adj="16302,20276,5400" strokeweight="1pt"/>
                <v:shape id="Выгнутая вправо стрелка 104" o:spid="_x0000_s1226" type="#_x0000_t103" style="position:absolute;left:56083;top:9481;width:3962;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" adj="16302,20276,5400" strokeweight="1pt"/>
                <v:shape id="Выгнутая вправо стрелка 105" o:spid="_x0000_s1227" type="#_x0000_t103" style="position:absolute;left:56083;top:2790;width:3962;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" adj="16302,20276,5400" strokeweight="1pt"/>
                <w10:anchorlock/>
              </v:group>
            </w:pict>
          </mc:Fallback>
        </mc:AlternateContent>
      </w:r>
    </w:p>
    <w:p w:rsidR="008A7FC4" w:rsidRPr="008A7FC4" w:rsidRDefault="00D360AF" w:rsidP="008A7FC4">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1.14</w:t>
      </w:r>
      <w:r w:rsidR="008A7FC4" w:rsidRPr="008A7FC4">
        <w:rPr>
          <w:rFonts w:ascii="Times New Roman" w:hAnsi="Times New Roman" w:cs="Times New Roman"/>
          <w:sz w:val="28"/>
          <w:szCs w:val="28"/>
        </w:rPr>
        <w:t>. Основні етапи процесу управління ліквідністю  комерційного банку</w:t>
      </w:r>
    </w:p>
    <w:p w:rsidR="008A7FC4" w:rsidRDefault="008A7FC4" w:rsidP="008A7FC4">
      <w:pPr>
        <w:pStyle w:val="a4"/>
        <w:spacing w:after="0" w:line="360" w:lineRule="auto"/>
        <w:ind w:left="0"/>
        <w:jc w:val="center"/>
        <w:rPr>
          <w:rFonts w:ascii="Times New Roman" w:hAnsi="Times New Roman" w:cs="Times New Roman"/>
          <w:sz w:val="28"/>
          <w:szCs w:val="28"/>
        </w:rPr>
      </w:pPr>
      <w:r w:rsidRPr="008A7FC4">
        <w:rPr>
          <w:rFonts w:ascii="Times New Roman" w:hAnsi="Times New Roman" w:cs="Times New Roman"/>
          <w:sz w:val="28"/>
          <w:szCs w:val="28"/>
        </w:rPr>
        <w:t>[2, с. 82-83]</w:t>
      </w:r>
    </w:p>
    <w:p w:rsidR="00110EE2" w:rsidRDefault="00110EE2" w:rsidP="00C51F11">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Другий та третій етапи передбачають відповідно вибір методів оцінки ліквідності та безпосередня її оцінка. Це дасть змогу охарактеризувати рівень ліквідності банку. Ці два етапи повинні передбачати загальну оцінку діяльності комерційного банку, аналіз коефіцієнтів ліквідності, аналіз потреби банку в ліквідних коштах, аналіз якості активів банку, аналіз ресурсної бази банківської установи [2, с. 82-83].</w:t>
      </w:r>
    </w:p>
    <w:p w:rsidR="00110EE2" w:rsidRDefault="00110EE2" w:rsidP="00C51F11">
      <w:pPr>
        <w:pStyle w:val="a4"/>
        <w:spacing w:after="0" w:line="367" w:lineRule="auto"/>
        <w:ind w:left="0" w:firstLine="709"/>
        <w:jc w:val="both"/>
        <w:rPr>
          <w:rFonts w:ascii="Times New Roman" w:hAnsi="Times New Roman" w:cs="Times New Roman"/>
          <w:sz w:val="28"/>
          <w:szCs w:val="28"/>
        </w:rPr>
      </w:pPr>
      <w:r>
        <w:rPr>
          <w:rFonts w:ascii="Times New Roman" w:hAnsi="Times New Roman" w:cs="Times New Roman"/>
          <w:sz w:val="28"/>
          <w:szCs w:val="28"/>
        </w:rPr>
        <w:t>Четвертий етап - визначення напрямків покращення підвищення ліквідності буде опиратися на результати попереднього етапу, а отже наскільки ці результати будуть точними, то настільки і влучними та обґрунтованими будуть визначені напрямки покращення ліквідності банку [2, с. 82-83].</w:t>
      </w:r>
    </w:p>
    <w:p w:rsidR="00110EE2" w:rsidRDefault="00110EE2" w:rsidP="00B44667">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П’ятий етап – це заключний та направлений на реалізацію прийнятих рішень щодо підвищенню ліквідності банку та подальший її моніторинг. Моніторинг дозволить визначити наскільки прийняті рішення були ефективними, а також в разі необхідності зробити їх коригування в майбутньому [2, с. 82-83].</w:t>
      </w:r>
    </w:p>
    <w:p w:rsidR="00B44667" w:rsidRDefault="00B44667" w:rsidP="0054044D">
      <w:pPr>
        <w:pStyle w:val="a4"/>
        <w:spacing w:after="0" w:line="360" w:lineRule="auto"/>
        <w:ind w:left="0" w:firstLine="709"/>
        <w:jc w:val="both"/>
        <w:rPr>
          <w:rFonts w:ascii="Times New Roman" w:hAnsi="Times New Roman" w:cs="Times New Roman"/>
          <w:sz w:val="28"/>
          <w:szCs w:val="28"/>
        </w:rPr>
      </w:pPr>
      <w:r w:rsidRPr="00B44667">
        <w:rPr>
          <w:rFonts w:ascii="Times New Roman" w:hAnsi="Times New Roman" w:cs="Times New Roman"/>
          <w:sz w:val="28"/>
          <w:szCs w:val="28"/>
        </w:rPr>
        <w:t>Таким чином</w:t>
      </w:r>
      <w:r>
        <w:rPr>
          <w:rFonts w:ascii="Times New Roman" w:hAnsi="Times New Roman" w:cs="Times New Roman"/>
          <w:sz w:val="28"/>
          <w:szCs w:val="28"/>
        </w:rPr>
        <w:t>,</w:t>
      </w:r>
      <w:r w:rsidRPr="00B44667">
        <w:rPr>
          <w:rFonts w:ascii="Times New Roman" w:hAnsi="Times New Roman" w:cs="Times New Roman"/>
          <w:sz w:val="28"/>
          <w:szCs w:val="28"/>
        </w:rPr>
        <w:t xml:space="preserve"> для ефекти</w:t>
      </w:r>
      <w:r>
        <w:rPr>
          <w:rFonts w:ascii="Times New Roman" w:hAnsi="Times New Roman" w:cs="Times New Roman"/>
          <w:sz w:val="28"/>
          <w:szCs w:val="28"/>
        </w:rPr>
        <w:t xml:space="preserve">вного управління ліквідністю </w:t>
      </w:r>
      <w:r w:rsidRPr="00B44667">
        <w:rPr>
          <w:rFonts w:ascii="Times New Roman" w:hAnsi="Times New Roman" w:cs="Times New Roman"/>
          <w:sz w:val="28"/>
          <w:szCs w:val="28"/>
        </w:rPr>
        <w:t>комерційні банки повинні застосовувати дані принципи,</w:t>
      </w:r>
      <w:r>
        <w:rPr>
          <w:rFonts w:ascii="Times New Roman" w:hAnsi="Times New Roman" w:cs="Times New Roman"/>
          <w:sz w:val="28"/>
          <w:szCs w:val="28"/>
        </w:rPr>
        <w:t xml:space="preserve"> </w:t>
      </w:r>
      <w:r w:rsidRPr="00B44667">
        <w:rPr>
          <w:rFonts w:ascii="Times New Roman" w:hAnsi="Times New Roman" w:cs="Times New Roman"/>
          <w:sz w:val="28"/>
          <w:szCs w:val="28"/>
        </w:rPr>
        <w:t xml:space="preserve">а також </w:t>
      </w:r>
      <w:r w:rsidR="00DA5981" w:rsidRPr="00B44667">
        <w:rPr>
          <w:rFonts w:ascii="Times New Roman" w:hAnsi="Times New Roman" w:cs="Times New Roman"/>
          <w:sz w:val="28"/>
          <w:szCs w:val="28"/>
        </w:rPr>
        <w:t>безперервно</w:t>
      </w:r>
      <w:r w:rsidRPr="00B44667">
        <w:rPr>
          <w:rFonts w:ascii="Times New Roman" w:hAnsi="Times New Roman" w:cs="Times New Roman"/>
          <w:sz w:val="28"/>
          <w:szCs w:val="28"/>
        </w:rPr>
        <w:t xml:space="preserve"> та в комплексі </w:t>
      </w:r>
      <w:r w:rsidRPr="00B44667">
        <w:rPr>
          <w:rFonts w:ascii="Times New Roman" w:hAnsi="Times New Roman" w:cs="Times New Roman"/>
          <w:sz w:val="28"/>
          <w:szCs w:val="28"/>
        </w:rPr>
        <w:lastRenderedPageBreak/>
        <w:t>контролювати інші ризик, що притаманні</w:t>
      </w:r>
      <w:r>
        <w:rPr>
          <w:rFonts w:ascii="Times New Roman" w:hAnsi="Times New Roman" w:cs="Times New Roman"/>
          <w:sz w:val="28"/>
          <w:szCs w:val="28"/>
        </w:rPr>
        <w:t xml:space="preserve"> </w:t>
      </w:r>
      <w:r w:rsidRPr="00B44667">
        <w:rPr>
          <w:rFonts w:ascii="Times New Roman" w:hAnsi="Times New Roman" w:cs="Times New Roman"/>
          <w:sz w:val="28"/>
          <w:szCs w:val="28"/>
        </w:rPr>
        <w:t>банківській діяльності та які можуть привести до втрати банком своєї</w:t>
      </w:r>
      <w:r>
        <w:rPr>
          <w:rFonts w:ascii="Times New Roman" w:hAnsi="Times New Roman" w:cs="Times New Roman"/>
          <w:sz w:val="28"/>
          <w:szCs w:val="28"/>
        </w:rPr>
        <w:t xml:space="preserve"> </w:t>
      </w:r>
      <w:r w:rsidRPr="00B44667">
        <w:rPr>
          <w:rFonts w:ascii="Times New Roman" w:hAnsi="Times New Roman" w:cs="Times New Roman"/>
          <w:sz w:val="28"/>
          <w:szCs w:val="28"/>
        </w:rPr>
        <w:t>ліквідності.</w:t>
      </w:r>
    </w:p>
    <w:p w:rsidR="0054044D" w:rsidRDefault="0054044D" w:rsidP="0054044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Треба зазначити, що на</w:t>
      </w:r>
      <w:r w:rsidRPr="0054044D">
        <w:rPr>
          <w:rFonts w:ascii="Times New Roman" w:hAnsi="Times New Roman" w:cs="Times New Roman"/>
          <w:sz w:val="28"/>
          <w:szCs w:val="28"/>
        </w:rPr>
        <w:t xml:space="preserve"> сьогодні, коли спостерігається</w:t>
      </w:r>
      <w:r>
        <w:rPr>
          <w:rFonts w:ascii="Times New Roman" w:hAnsi="Times New Roman" w:cs="Times New Roman"/>
          <w:sz w:val="28"/>
          <w:szCs w:val="28"/>
        </w:rPr>
        <w:t xml:space="preserve"> </w:t>
      </w:r>
      <w:r w:rsidRPr="0054044D">
        <w:rPr>
          <w:rFonts w:ascii="Times New Roman" w:hAnsi="Times New Roman" w:cs="Times New Roman"/>
          <w:sz w:val="28"/>
          <w:szCs w:val="28"/>
        </w:rPr>
        <w:t xml:space="preserve">жорстка конкуренція; дефіцит банківських ресурсів; невизначеність, яка викликана системною фінансовою кризою; карантинні обмеження пандемії COVID-19; ескалація конфлікту на Сході, який переріс у повномасштабну війну </w:t>
      </w:r>
      <w:proofErr w:type="spellStart"/>
      <w:r w:rsidRPr="0054044D">
        <w:rPr>
          <w:rFonts w:ascii="Times New Roman" w:hAnsi="Times New Roman" w:cs="Times New Roman"/>
          <w:sz w:val="28"/>
          <w:szCs w:val="28"/>
        </w:rPr>
        <w:t>росії</w:t>
      </w:r>
      <w:proofErr w:type="spellEnd"/>
      <w:r w:rsidRPr="0054044D">
        <w:rPr>
          <w:rFonts w:ascii="Times New Roman" w:hAnsi="Times New Roman" w:cs="Times New Roman"/>
          <w:sz w:val="28"/>
          <w:szCs w:val="28"/>
        </w:rPr>
        <w:t xml:space="preserve"> проти України</w:t>
      </w:r>
      <w:r>
        <w:rPr>
          <w:rFonts w:ascii="Times New Roman" w:hAnsi="Times New Roman" w:cs="Times New Roman"/>
          <w:sz w:val="28"/>
          <w:szCs w:val="28"/>
        </w:rPr>
        <w:t>,</w:t>
      </w:r>
      <w:r w:rsidRPr="0054044D">
        <w:rPr>
          <w:rFonts w:ascii="Times New Roman" w:hAnsi="Times New Roman" w:cs="Times New Roman"/>
          <w:sz w:val="28"/>
          <w:szCs w:val="28"/>
        </w:rPr>
        <w:t xml:space="preserve"> для </w:t>
      </w:r>
      <w:r>
        <w:rPr>
          <w:rFonts w:ascii="Times New Roman" w:hAnsi="Times New Roman" w:cs="Times New Roman"/>
          <w:sz w:val="28"/>
          <w:szCs w:val="28"/>
        </w:rPr>
        <w:t xml:space="preserve">комерційних банків </w:t>
      </w:r>
      <w:r w:rsidRPr="0054044D">
        <w:rPr>
          <w:rFonts w:ascii="Times New Roman" w:hAnsi="Times New Roman" w:cs="Times New Roman"/>
          <w:sz w:val="28"/>
          <w:szCs w:val="28"/>
        </w:rPr>
        <w:t xml:space="preserve">особливо актуальним </w:t>
      </w:r>
      <w:r>
        <w:rPr>
          <w:rFonts w:ascii="Times New Roman" w:hAnsi="Times New Roman" w:cs="Times New Roman"/>
          <w:sz w:val="28"/>
          <w:szCs w:val="28"/>
        </w:rPr>
        <w:t xml:space="preserve">стає </w:t>
      </w:r>
      <w:r w:rsidRPr="0054044D">
        <w:rPr>
          <w:rFonts w:ascii="Times New Roman" w:hAnsi="Times New Roman" w:cs="Times New Roman"/>
          <w:sz w:val="28"/>
          <w:szCs w:val="28"/>
        </w:rPr>
        <w:t xml:space="preserve">питання управління їх ліквідністю, </w:t>
      </w:r>
      <w:r>
        <w:rPr>
          <w:rFonts w:ascii="Times New Roman" w:hAnsi="Times New Roman" w:cs="Times New Roman"/>
          <w:sz w:val="28"/>
          <w:szCs w:val="28"/>
        </w:rPr>
        <w:t>тому що, саме</w:t>
      </w:r>
      <w:r w:rsidRPr="0054044D">
        <w:rPr>
          <w:rFonts w:ascii="Times New Roman" w:hAnsi="Times New Roman" w:cs="Times New Roman"/>
          <w:sz w:val="28"/>
          <w:szCs w:val="28"/>
        </w:rPr>
        <w:t xml:space="preserve"> ефективне управляння ліквідністю, яке </w:t>
      </w:r>
      <w:r>
        <w:rPr>
          <w:rFonts w:ascii="Times New Roman" w:hAnsi="Times New Roman" w:cs="Times New Roman"/>
          <w:sz w:val="28"/>
          <w:szCs w:val="28"/>
        </w:rPr>
        <w:t>здатне попередити</w:t>
      </w:r>
      <w:r w:rsidRPr="0054044D">
        <w:rPr>
          <w:rFonts w:ascii="Times New Roman" w:hAnsi="Times New Roman" w:cs="Times New Roman"/>
          <w:sz w:val="28"/>
          <w:szCs w:val="28"/>
        </w:rPr>
        <w:t xml:space="preserve"> та </w:t>
      </w:r>
      <w:r>
        <w:rPr>
          <w:rFonts w:ascii="Times New Roman" w:hAnsi="Times New Roman" w:cs="Times New Roman"/>
          <w:sz w:val="28"/>
          <w:szCs w:val="28"/>
        </w:rPr>
        <w:t>невілювати вплив</w:t>
      </w:r>
      <w:r w:rsidRPr="0054044D">
        <w:rPr>
          <w:rFonts w:ascii="Times New Roman" w:hAnsi="Times New Roman" w:cs="Times New Roman"/>
          <w:sz w:val="28"/>
          <w:szCs w:val="28"/>
        </w:rPr>
        <w:t xml:space="preserve"> зовнішніх та</w:t>
      </w:r>
      <w:r>
        <w:rPr>
          <w:rFonts w:ascii="Times New Roman" w:hAnsi="Times New Roman" w:cs="Times New Roman"/>
          <w:sz w:val="28"/>
          <w:szCs w:val="28"/>
        </w:rPr>
        <w:t xml:space="preserve"> </w:t>
      </w:r>
      <w:r w:rsidRPr="0054044D">
        <w:rPr>
          <w:rFonts w:ascii="Times New Roman" w:hAnsi="Times New Roman" w:cs="Times New Roman"/>
          <w:sz w:val="28"/>
          <w:szCs w:val="28"/>
        </w:rPr>
        <w:t xml:space="preserve">внутрішніх негативні </w:t>
      </w:r>
      <w:r>
        <w:rPr>
          <w:rFonts w:ascii="Times New Roman" w:hAnsi="Times New Roman" w:cs="Times New Roman"/>
          <w:sz w:val="28"/>
          <w:szCs w:val="28"/>
        </w:rPr>
        <w:t>факторів</w:t>
      </w:r>
      <w:r w:rsidRPr="0054044D">
        <w:rPr>
          <w:rFonts w:ascii="Times New Roman" w:hAnsi="Times New Roman" w:cs="Times New Roman"/>
          <w:sz w:val="28"/>
          <w:szCs w:val="28"/>
        </w:rPr>
        <w:t xml:space="preserve"> є</w:t>
      </w:r>
      <w:r>
        <w:rPr>
          <w:rFonts w:ascii="Times New Roman" w:hAnsi="Times New Roman" w:cs="Times New Roman"/>
          <w:sz w:val="28"/>
          <w:szCs w:val="28"/>
        </w:rPr>
        <w:t xml:space="preserve"> гарантом</w:t>
      </w:r>
      <w:r w:rsidRPr="0054044D">
        <w:rPr>
          <w:rFonts w:ascii="Times New Roman" w:hAnsi="Times New Roman" w:cs="Times New Roman"/>
          <w:sz w:val="28"/>
          <w:szCs w:val="28"/>
        </w:rPr>
        <w:t xml:space="preserve"> успішної діяльності </w:t>
      </w:r>
      <w:r>
        <w:rPr>
          <w:rFonts w:ascii="Times New Roman" w:hAnsi="Times New Roman" w:cs="Times New Roman"/>
          <w:sz w:val="28"/>
          <w:szCs w:val="28"/>
        </w:rPr>
        <w:t xml:space="preserve">комерційного банку. Інакше кажучи </w:t>
      </w:r>
      <w:r w:rsidRPr="0054044D">
        <w:rPr>
          <w:rFonts w:ascii="Times New Roman" w:hAnsi="Times New Roman" w:cs="Times New Roman"/>
          <w:sz w:val="28"/>
          <w:szCs w:val="28"/>
        </w:rPr>
        <w:t>управління</w:t>
      </w:r>
      <w:r>
        <w:rPr>
          <w:rFonts w:ascii="Times New Roman" w:hAnsi="Times New Roman" w:cs="Times New Roman"/>
          <w:sz w:val="28"/>
          <w:szCs w:val="28"/>
        </w:rPr>
        <w:t xml:space="preserve"> </w:t>
      </w:r>
      <w:r w:rsidRPr="0054044D">
        <w:rPr>
          <w:rFonts w:ascii="Times New Roman" w:hAnsi="Times New Roman" w:cs="Times New Roman"/>
          <w:sz w:val="28"/>
          <w:szCs w:val="28"/>
        </w:rPr>
        <w:t>ліквідністю</w:t>
      </w:r>
      <w:r>
        <w:rPr>
          <w:rFonts w:ascii="Times New Roman" w:hAnsi="Times New Roman" w:cs="Times New Roman"/>
          <w:sz w:val="28"/>
          <w:szCs w:val="28"/>
        </w:rPr>
        <w:t xml:space="preserve"> комерційного банку</w:t>
      </w:r>
      <w:r w:rsidRPr="0054044D">
        <w:rPr>
          <w:rFonts w:ascii="Times New Roman" w:hAnsi="Times New Roman" w:cs="Times New Roman"/>
          <w:sz w:val="28"/>
          <w:szCs w:val="28"/>
        </w:rPr>
        <w:t xml:space="preserve"> </w:t>
      </w:r>
      <w:r>
        <w:rPr>
          <w:rFonts w:ascii="Times New Roman" w:hAnsi="Times New Roman" w:cs="Times New Roman"/>
          <w:sz w:val="28"/>
          <w:szCs w:val="28"/>
        </w:rPr>
        <w:t xml:space="preserve">повинно </w:t>
      </w:r>
      <w:r w:rsidRPr="0054044D">
        <w:rPr>
          <w:rFonts w:ascii="Times New Roman" w:hAnsi="Times New Roman" w:cs="Times New Roman"/>
          <w:sz w:val="28"/>
          <w:szCs w:val="28"/>
        </w:rPr>
        <w:t xml:space="preserve">здійснюється </w:t>
      </w:r>
      <w:r>
        <w:rPr>
          <w:rFonts w:ascii="Times New Roman" w:hAnsi="Times New Roman" w:cs="Times New Roman"/>
          <w:sz w:val="28"/>
          <w:szCs w:val="28"/>
        </w:rPr>
        <w:t>за умови</w:t>
      </w:r>
      <w:r w:rsidRPr="0054044D">
        <w:rPr>
          <w:rFonts w:ascii="Times New Roman" w:hAnsi="Times New Roman" w:cs="Times New Roman"/>
          <w:sz w:val="28"/>
          <w:szCs w:val="28"/>
        </w:rPr>
        <w:t xml:space="preserve"> </w:t>
      </w:r>
      <w:r>
        <w:rPr>
          <w:rFonts w:ascii="Times New Roman" w:hAnsi="Times New Roman" w:cs="Times New Roman"/>
          <w:sz w:val="28"/>
          <w:szCs w:val="28"/>
        </w:rPr>
        <w:t xml:space="preserve">одночасної </w:t>
      </w:r>
      <w:r w:rsidRPr="0054044D">
        <w:rPr>
          <w:rFonts w:ascii="Times New Roman" w:hAnsi="Times New Roman" w:cs="Times New Roman"/>
          <w:sz w:val="28"/>
          <w:szCs w:val="28"/>
        </w:rPr>
        <w:t>реалізації</w:t>
      </w:r>
      <w:r>
        <w:rPr>
          <w:rFonts w:ascii="Times New Roman" w:hAnsi="Times New Roman" w:cs="Times New Roman"/>
          <w:sz w:val="28"/>
          <w:szCs w:val="28"/>
        </w:rPr>
        <w:t xml:space="preserve"> наступних завдань:</w:t>
      </w:r>
    </w:p>
    <w:p w:rsidR="0054044D" w:rsidRDefault="0054044D" w:rsidP="0054044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54044D">
        <w:rPr>
          <w:rFonts w:ascii="Times New Roman" w:hAnsi="Times New Roman" w:cs="Times New Roman"/>
          <w:sz w:val="28"/>
          <w:szCs w:val="28"/>
        </w:rPr>
        <w:t xml:space="preserve"> дотримання нормативного рівня ліквідності</w:t>
      </w:r>
      <w:r>
        <w:rPr>
          <w:rFonts w:ascii="Times New Roman" w:hAnsi="Times New Roman" w:cs="Times New Roman"/>
          <w:sz w:val="28"/>
          <w:szCs w:val="28"/>
        </w:rPr>
        <w:t>;</w:t>
      </w:r>
    </w:p>
    <w:p w:rsidR="0054044D" w:rsidRPr="0054044D" w:rsidRDefault="0054044D" w:rsidP="0054044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54044D">
        <w:rPr>
          <w:rFonts w:ascii="Times New Roman" w:hAnsi="Times New Roman" w:cs="Times New Roman"/>
          <w:sz w:val="28"/>
          <w:szCs w:val="28"/>
        </w:rPr>
        <w:t xml:space="preserve"> отримання</w:t>
      </w:r>
      <w:r>
        <w:rPr>
          <w:rFonts w:ascii="Times New Roman" w:hAnsi="Times New Roman" w:cs="Times New Roman"/>
          <w:sz w:val="28"/>
          <w:szCs w:val="28"/>
        </w:rPr>
        <w:t xml:space="preserve"> </w:t>
      </w:r>
      <w:r w:rsidRPr="0054044D">
        <w:rPr>
          <w:rFonts w:ascii="Times New Roman" w:hAnsi="Times New Roman" w:cs="Times New Roman"/>
          <w:sz w:val="28"/>
          <w:szCs w:val="28"/>
        </w:rPr>
        <w:t>максимального можливого доходу від активних операцій банку</w:t>
      </w:r>
      <w:r>
        <w:rPr>
          <w:rFonts w:ascii="Times New Roman" w:hAnsi="Times New Roman" w:cs="Times New Roman"/>
          <w:sz w:val="28"/>
          <w:szCs w:val="28"/>
        </w:rPr>
        <w:t>.</w:t>
      </w:r>
    </w:p>
    <w:p w:rsidR="00110EE2" w:rsidRDefault="00110EE2" w:rsidP="00B44667">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 розвитком економіки, зо</w:t>
      </w:r>
      <w:r w:rsidR="004E4DFF">
        <w:rPr>
          <w:rFonts w:ascii="Times New Roman" w:hAnsi="Times New Roman" w:cs="Times New Roman"/>
          <w:sz w:val="28"/>
          <w:szCs w:val="28"/>
        </w:rPr>
        <w:t>крема фінансових ринків, почали</w:t>
      </w:r>
      <w:r>
        <w:rPr>
          <w:rFonts w:ascii="Times New Roman" w:hAnsi="Times New Roman" w:cs="Times New Roman"/>
          <w:sz w:val="28"/>
          <w:szCs w:val="28"/>
        </w:rPr>
        <w:t xml:space="preserve"> розвива</w:t>
      </w:r>
      <w:r w:rsidR="004E4DFF">
        <w:rPr>
          <w:rFonts w:ascii="Times New Roman" w:hAnsi="Times New Roman" w:cs="Times New Roman"/>
          <w:sz w:val="28"/>
          <w:szCs w:val="28"/>
        </w:rPr>
        <w:t>т</w:t>
      </w:r>
      <w:r>
        <w:rPr>
          <w:rFonts w:ascii="Times New Roman" w:hAnsi="Times New Roman" w:cs="Times New Roman"/>
          <w:sz w:val="28"/>
          <w:szCs w:val="28"/>
        </w:rPr>
        <w:t>ись і різні теорії управління ліквідністю комерційних банків (див</w:t>
      </w:r>
      <w:r w:rsidRPr="003648B1">
        <w:rPr>
          <w:rFonts w:ascii="Times New Roman" w:hAnsi="Times New Roman" w:cs="Times New Roman"/>
          <w:sz w:val="28"/>
          <w:szCs w:val="28"/>
        </w:rPr>
        <w:t>. табл</w:t>
      </w:r>
      <w:r w:rsidR="003648B1" w:rsidRPr="003648B1">
        <w:rPr>
          <w:rFonts w:ascii="Times New Roman" w:hAnsi="Times New Roman" w:cs="Times New Roman"/>
          <w:sz w:val="28"/>
          <w:szCs w:val="28"/>
        </w:rPr>
        <w:t>.1.11</w:t>
      </w:r>
      <w:r w:rsidRPr="003648B1">
        <w:rPr>
          <w:rFonts w:ascii="Times New Roman" w:hAnsi="Times New Roman" w:cs="Times New Roman"/>
          <w:sz w:val="28"/>
          <w:szCs w:val="28"/>
        </w:rPr>
        <w:t>).</w:t>
      </w:r>
    </w:p>
    <w:p w:rsidR="003648B1" w:rsidRDefault="00110EE2" w:rsidP="003648B1">
      <w:pPr>
        <w:spacing w:after="0" w:line="360" w:lineRule="auto"/>
        <w:ind w:firstLine="708"/>
        <w:jc w:val="right"/>
        <w:rPr>
          <w:rFonts w:ascii="Times New Roman" w:hAnsi="Times New Roman"/>
          <w:sz w:val="28"/>
          <w:szCs w:val="28"/>
        </w:rPr>
      </w:pPr>
      <w:r w:rsidRPr="003648B1">
        <w:rPr>
          <w:rFonts w:ascii="Times New Roman" w:hAnsi="Times New Roman"/>
          <w:sz w:val="28"/>
          <w:szCs w:val="28"/>
        </w:rPr>
        <w:t>Таблиця 1.</w:t>
      </w:r>
      <w:r w:rsidR="003648B1" w:rsidRPr="003648B1">
        <w:rPr>
          <w:rFonts w:ascii="Times New Roman" w:hAnsi="Times New Roman"/>
          <w:sz w:val="28"/>
          <w:szCs w:val="28"/>
        </w:rPr>
        <w:t>11</w:t>
      </w:r>
    </w:p>
    <w:p w:rsidR="00110EE2" w:rsidRDefault="00110EE2" w:rsidP="003648B1">
      <w:pPr>
        <w:spacing w:after="0" w:line="360" w:lineRule="auto"/>
        <w:ind w:firstLine="708"/>
        <w:jc w:val="center"/>
        <w:rPr>
          <w:rFonts w:ascii="Times New Roman" w:hAnsi="Times New Roman"/>
          <w:sz w:val="28"/>
          <w:szCs w:val="28"/>
        </w:rPr>
      </w:pPr>
      <w:r>
        <w:rPr>
          <w:rFonts w:ascii="Times New Roman" w:hAnsi="Times New Roman"/>
          <w:sz w:val="28"/>
          <w:szCs w:val="28"/>
        </w:rPr>
        <w:t>Теорії управління ліквідністю комерційного банку</w:t>
      </w:r>
    </w:p>
    <w:tbl>
      <w:tblPr>
        <w:tblStyle w:val="a5"/>
        <w:tblW w:w="9639" w:type="dxa"/>
        <w:jc w:val="center"/>
        <w:tblInd w:w="0" w:type="dxa"/>
        <w:tblLook w:val="04A0" w:firstRow="1" w:lastRow="0" w:firstColumn="1" w:lastColumn="0" w:noHBand="0" w:noVBand="1"/>
      </w:tblPr>
      <w:tblGrid>
        <w:gridCol w:w="1846"/>
        <w:gridCol w:w="3253"/>
        <w:gridCol w:w="4540"/>
      </w:tblGrid>
      <w:tr w:rsidR="00110EE2" w:rsidTr="00010FB4">
        <w:trPr>
          <w:trHeight w:val="450"/>
          <w:jc w:val="center"/>
        </w:trPr>
        <w:tc>
          <w:tcPr>
            <w:tcW w:w="1846"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Найменування</w:t>
            </w:r>
          </w:p>
        </w:tc>
        <w:tc>
          <w:tcPr>
            <w:tcW w:w="3253"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Сутність</w:t>
            </w:r>
          </w:p>
        </w:tc>
        <w:tc>
          <w:tcPr>
            <w:tcW w:w="4540"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Недоліки</w:t>
            </w:r>
          </w:p>
        </w:tc>
      </w:tr>
      <w:tr w:rsidR="00110EE2" w:rsidTr="00010FB4">
        <w:trPr>
          <w:trHeight w:val="1763"/>
          <w:jc w:val="center"/>
        </w:trPr>
        <w:tc>
          <w:tcPr>
            <w:tcW w:w="1846"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Теорія комерційних позик</w:t>
            </w:r>
          </w:p>
        </w:tc>
        <w:tc>
          <w:tcPr>
            <w:tcW w:w="3253"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Банк зберігає свою ліквідність до того часу, поки його активи знаходяться у короткострокових позиках</w:t>
            </w:r>
          </w:p>
        </w:tc>
        <w:tc>
          <w:tcPr>
            <w:tcW w:w="4540" w:type="dxa"/>
            <w:tcBorders>
              <w:top w:val="single" w:sz="4" w:space="0" w:color="auto"/>
              <w:left w:val="single" w:sz="4" w:space="0" w:color="auto"/>
              <w:bottom w:val="single" w:sz="4" w:space="0" w:color="auto"/>
              <w:right w:val="single" w:sz="4" w:space="0" w:color="auto"/>
            </w:tcBorders>
            <w:vAlign w:val="center"/>
            <w:hideMark/>
          </w:tcPr>
          <w:p w:rsidR="00110EE2" w:rsidRDefault="00110EE2">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Не спирається на кредитні потреби економіки під час фази зростання економічного циклу. Жорстке дотримування теорії забороняло банкам фінансувати розширення діяльності підприємств</w:t>
            </w:r>
          </w:p>
        </w:tc>
      </w:tr>
      <w:tr w:rsidR="00010FB4" w:rsidTr="00126C28">
        <w:trPr>
          <w:trHeight w:val="2990"/>
          <w:jc w:val="center"/>
        </w:trPr>
        <w:tc>
          <w:tcPr>
            <w:tcW w:w="1846" w:type="dxa"/>
            <w:tcBorders>
              <w:top w:val="single" w:sz="4" w:space="0" w:color="auto"/>
              <w:left w:val="single" w:sz="4" w:space="0" w:color="auto"/>
              <w:bottom w:val="single" w:sz="4" w:space="0" w:color="auto"/>
              <w:right w:val="single" w:sz="4" w:space="0" w:color="auto"/>
            </w:tcBorders>
            <w:vAlign w:val="center"/>
            <w:hideMark/>
          </w:tcPr>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Теорія переміщення активів</w:t>
            </w:r>
          </w:p>
        </w:tc>
        <w:tc>
          <w:tcPr>
            <w:tcW w:w="3253" w:type="dxa"/>
            <w:tcBorders>
              <w:top w:val="single" w:sz="4" w:space="0" w:color="auto"/>
              <w:left w:val="single" w:sz="4" w:space="0" w:color="auto"/>
              <w:bottom w:val="single" w:sz="4" w:space="0" w:color="auto"/>
              <w:right w:val="single" w:sz="4" w:space="0" w:color="auto"/>
            </w:tcBorders>
            <w:vAlign w:val="center"/>
            <w:hideMark/>
          </w:tcPr>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Основні положення охоплюють те, що активи банків мають легко реалізовуватися:</w:t>
            </w:r>
          </w:p>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можливість рефінансування кредитів у центральному банку;</w:t>
            </w:r>
          </w:p>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високоліквідні застави (наприклад, цінні папери);</w:t>
            </w:r>
          </w:p>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урядові цінні папери та інше</w:t>
            </w:r>
          </w:p>
        </w:tc>
        <w:tc>
          <w:tcPr>
            <w:tcW w:w="4540" w:type="dxa"/>
            <w:tcBorders>
              <w:top w:val="single" w:sz="4" w:space="0" w:color="auto"/>
              <w:left w:val="single" w:sz="4" w:space="0" w:color="auto"/>
              <w:bottom w:val="single" w:sz="4" w:space="0" w:color="auto"/>
              <w:right w:val="single" w:sz="4" w:space="0" w:color="auto"/>
            </w:tcBorders>
            <w:vAlign w:val="center"/>
            <w:hideMark/>
          </w:tcPr>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В умовах кризи ліквідні активи можуть знецінюватися через різке падіння котувань фондового ринку.</w:t>
            </w:r>
          </w:p>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Високоліквідні активи мають низьку доходність</w:t>
            </w:r>
          </w:p>
        </w:tc>
      </w:tr>
    </w:tbl>
    <w:p w:rsidR="002357CA" w:rsidRDefault="002357CA" w:rsidP="00010FB4">
      <w:pPr>
        <w:pStyle w:val="a4"/>
        <w:spacing w:before="120" w:after="0" w:line="360" w:lineRule="auto"/>
        <w:ind w:left="0" w:firstLine="709"/>
        <w:jc w:val="right"/>
        <w:rPr>
          <w:rFonts w:ascii="Times New Roman" w:hAnsi="Times New Roman"/>
          <w:sz w:val="28"/>
          <w:szCs w:val="28"/>
        </w:rPr>
      </w:pPr>
    </w:p>
    <w:p w:rsidR="00010FB4" w:rsidRPr="00010FB4" w:rsidRDefault="005D1BA3" w:rsidP="00010FB4">
      <w:pPr>
        <w:pStyle w:val="a4"/>
        <w:spacing w:before="120" w:after="0" w:line="360" w:lineRule="auto"/>
        <w:ind w:left="0" w:firstLine="709"/>
        <w:jc w:val="right"/>
        <w:rPr>
          <w:rFonts w:ascii="Times New Roman" w:hAnsi="Times New Roman"/>
          <w:sz w:val="28"/>
          <w:szCs w:val="28"/>
        </w:rPr>
      </w:pPr>
      <w:r>
        <w:rPr>
          <w:rFonts w:ascii="Times New Roman" w:hAnsi="Times New Roman"/>
          <w:sz w:val="28"/>
          <w:szCs w:val="28"/>
        </w:rPr>
        <w:lastRenderedPageBreak/>
        <w:t>Продовження таблиці 1.11</w:t>
      </w:r>
    </w:p>
    <w:tbl>
      <w:tblPr>
        <w:tblStyle w:val="a5"/>
        <w:tblW w:w="9639" w:type="dxa"/>
        <w:jc w:val="center"/>
        <w:tblInd w:w="0" w:type="dxa"/>
        <w:tblLook w:val="04A0" w:firstRow="1" w:lastRow="0" w:firstColumn="1" w:lastColumn="0" w:noHBand="0" w:noVBand="1"/>
      </w:tblPr>
      <w:tblGrid>
        <w:gridCol w:w="1846"/>
        <w:gridCol w:w="3253"/>
        <w:gridCol w:w="4540"/>
      </w:tblGrid>
      <w:tr w:rsidR="00010FB4" w:rsidTr="003650EF">
        <w:trPr>
          <w:trHeight w:val="450"/>
          <w:jc w:val="center"/>
        </w:trPr>
        <w:tc>
          <w:tcPr>
            <w:tcW w:w="1846" w:type="dxa"/>
            <w:tcBorders>
              <w:top w:val="single" w:sz="4" w:space="0" w:color="auto"/>
              <w:left w:val="single" w:sz="4" w:space="0" w:color="auto"/>
              <w:bottom w:val="single" w:sz="4" w:space="0" w:color="auto"/>
              <w:right w:val="single" w:sz="4" w:space="0" w:color="auto"/>
            </w:tcBorders>
            <w:vAlign w:val="center"/>
            <w:hideMark/>
          </w:tcPr>
          <w:p w:rsidR="00010FB4" w:rsidRDefault="00010FB4" w:rsidP="003650EF">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Найменування</w:t>
            </w:r>
          </w:p>
        </w:tc>
        <w:tc>
          <w:tcPr>
            <w:tcW w:w="3253" w:type="dxa"/>
            <w:tcBorders>
              <w:top w:val="single" w:sz="4" w:space="0" w:color="auto"/>
              <w:left w:val="single" w:sz="4" w:space="0" w:color="auto"/>
              <w:bottom w:val="single" w:sz="4" w:space="0" w:color="auto"/>
              <w:right w:val="single" w:sz="4" w:space="0" w:color="auto"/>
            </w:tcBorders>
            <w:vAlign w:val="center"/>
            <w:hideMark/>
          </w:tcPr>
          <w:p w:rsidR="00010FB4" w:rsidRDefault="00010FB4" w:rsidP="003650EF">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Сутність</w:t>
            </w:r>
          </w:p>
        </w:tc>
        <w:tc>
          <w:tcPr>
            <w:tcW w:w="4540" w:type="dxa"/>
            <w:tcBorders>
              <w:top w:val="single" w:sz="4" w:space="0" w:color="auto"/>
              <w:left w:val="single" w:sz="4" w:space="0" w:color="auto"/>
              <w:bottom w:val="single" w:sz="4" w:space="0" w:color="auto"/>
              <w:right w:val="single" w:sz="4" w:space="0" w:color="auto"/>
            </w:tcBorders>
            <w:vAlign w:val="center"/>
            <w:hideMark/>
          </w:tcPr>
          <w:p w:rsidR="00010FB4" w:rsidRDefault="00010FB4" w:rsidP="003650EF">
            <w:pPr>
              <w:pStyle w:val="a4"/>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Недоліки</w:t>
            </w:r>
          </w:p>
        </w:tc>
      </w:tr>
      <w:tr w:rsidR="00010FB4" w:rsidTr="003650EF">
        <w:trPr>
          <w:trHeight w:val="2746"/>
          <w:jc w:val="center"/>
        </w:trPr>
        <w:tc>
          <w:tcPr>
            <w:tcW w:w="1846" w:type="dxa"/>
            <w:tcBorders>
              <w:top w:val="single" w:sz="4" w:space="0" w:color="auto"/>
              <w:left w:val="single" w:sz="4" w:space="0" w:color="auto"/>
              <w:bottom w:val="single" w:sz="4" w:space="0" w:color="auto"/>
              <w:right w:val="single" w:sz="4" w:space="0" w:color="auto"/>
            </w:tcBorders>
            <w:vAlign w:val="center"/>
            <w:hideMark/>
          </w:tcPr>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Теорія очікуваного доходу</w:t>
            </w:r>
          </w:p>
        </w:tc>
        <w:tc>
          <w:tcPr>
            <w:tcW w:w="3253" w:type="dxa"/>
            <w:tcBorders>
              <w:top w:val="single" w:sz="4" w:space="0" w:color="auto"/>
              <w:left w:val="single" w:sz="4" w:space="0" w:color="auto"/>
              <w:bottom w:val="single" w:sz="4" w:space="0" w:color="auto"/>
              <w:right w:val="single" w:sz="4" w:space="0" w:color="auto"/>
            </w:tcBorders>
            <w:vAlign w:val="center"/>
            <w:hideMark/>
          </w:tcPr>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Грошові потоки банку (процентні виплати за кредитами) необхідно планувати на основі аналізу майбутніх доходів позичальника (амортизаційні кредити i диференційовані за</w:t>
            </w:r>
          </w:p>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строками iнвестицiйнi портфелі)</w:t>
            </w:r>
          </w:p>
        </w:tc>
        <w:tc>
          <w:tcPr>
            <w:tcW w:w="4540" w:type="dxa"/>
            <w:tcBorders>
              <w:top w:val="single" w:sz="4" w:space="0" w:color="auto"/>
              <w:left w:val="single" w:sz="4" w:space="0" w:color="auto"/>
              <w:bottom w:val="single" w:sz="4" w:space="0" w:color="auto"/>
              <w:right w:val="single" w:sz="4" w:space="0" w:color="auto"/>
            </w:tcBorders>
            <w:vAlign w:val="center"/>
            <w:hideMark/>
          </w:tcPr>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Не завжди можна контролювати всі грошові потоки позичальника. Форс-мажорні обставини i системна криза можуть порушити грошові потоки позичальника. Можливість залучення коштів залежить від репутації банку</w:t>
            </w:r>
          </w:p>
        </w:tc>
      </w:tr>
      <w:tr w:rsidR="00010FB4" w:rsidTr="003650EF">
        <w:trPr>
          <w:trHeight w:val="1378"/>
          <w:jc w:val="center"/>
        </w:trPr>
        <w:tc>
          <w:tcPr>
            <w:tcW w:w="1846" w:type="dxa"/>
            <w:tcBorders>
              <w:top w:val="single" w:sz="4" w:space="0" w:color="auto"/>
              <w:left w:val="single" w:sz="4" w:space="0" w:color="auto"/>
              <w:bottom w:val="single" w:sz="4" w:space="0" w:color="auto"/>
              <w:right w:val="single" w:sz="4" w:space="0" w:color="auto"/>
            </w:tcBorders>
            <w:vAlign w:val="center"/>
            <w:hideMark/>
          </w:tcPr>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Теорія управління пасивами</w:t>
            </w:r>
          </w:p>
        </w:tc>
        <w:tc>
          <w:tcPr>
            <w:tcW w:w="3253" w:type="dxa"/>
            <w:tcBorders>
              <w:top w:val="single" w:sz="4" w:space="0" w:color="auto"/>
              <w:left w:val="single" w:sz="4" w:space="0" w:color="auto"/>
              <w:bottom w:val="single" w:sz="4" w:space="0" w:color="auto"/>
              <w:right w:val="single" w:sz="4" w:space="0" w:color="auto"/>
            </w:tcBorders>
            <w:vAlign w:val="center"/>
            <w:hideMark/>
          </w:tcPr>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Основою є те, що відбувається купівля активів на ринку для забезпечення ліквідності </w:t>
            </w:r>
          </w:p>
        </w:tc>
        <w:tc>
          <w:tcPr>
            <w:tcW w:w="4540" w:type="dxa"/>
            <w:tcBorders>
              <w:top w:val="single" w:sz="4" w:space="0" w:color="auto"/>
              <w:left w:val="single" w:sz="4" w:space="0" w:color="auto"/>
              <w:bottom w:val="single" w:sz="4" w:space="0" w:color="auto"/>
              <w:right w:val="single" w:sz="4" w:space="0" w:color="auto"/>
            </w:tcBorders>
            <w:vAlign w:val="center"/>
            <w:hideMark/>
          </w:tcPr>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Можливість залучення коштів залежить</w:t>
            </w:r>
          </w:p>
          <w:p w:rsidR="00010FB4" w:rsidRDefault="00010FB4" w:rsidP="003650EF">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від репутації банку</w:t>
            </w:r>
          </w:p>
        </w:tc>
      </w:tr>
    </w:tbl>
    <w:p w:rsidR="003648B1" w:rsidRPr="003648B1" w:rsidRDefault="003648B1" w:rsidP="002B553A">
      <w:pPr>
        <w:pStyle w:val="a4"/>
        <w:spacing w:before="120" w:after="0" w:line="360" w:lineRule="auto"/>
        <w:ind w:left="0" w:firstLine="709"/>
        <w:jc w:val="both"/>
        <w:rPr>
          <w:rFonts w:ascii="Times New Roman" w:hAnsi="Times New Roman" w:cs="Times New Roman"/>
          <w:sz w:val="24"/>
          <w:szCs w:val="24"/>
        </w:rPr>
      </w:pPr>
      <w:r w:rsidRPr="003648B1">
        <w:rPr>
          <w:rFonts w:ascii="Times New Roman" w:hAnsi="Times New Roman"/>
          <w:sz w:val="24"/>
          <w:szCs w:val="24"/>
        </w:rPr>
        <w:t>Джерело: [</w:t>
      </w:r>
      <w:r w:rsidR="00A916AE">
        <w:rPr>
          <w:rFonts w:ascii="Times New Roman" w:hAnsi="Times New Roman"/>
          <w:sz w:val="24"/>
          <w:szCs w:val="24"/>
        </w:rPr>
        <w:t>4</w:t>
      </w:r>
      <w:r w:rsidR="00010FB4">
        <w:rPr>
          <w:rFonts w:ascii="Times New Roman" w:hAnsi="Times New Roman"/>
          <w:sz w:val="24"/>
          <w:szCs w:val="24"/>
        </w:rPr>
        <w:t>6</w:t>
      </w:r>
      <w:r w:rsidRPr="003648B1">
        <w:rPr>
          <w:rFonts w:ascii="Times New Roman" w:hAnsi="Times New Roman"/>
          <w:sz w:val="24"/>
          <w:szCs w:val="24"/>
        </w:rPr>
        <w:t>, с. 86-89</w:t>
      </w:r>
      <w:r w:rsidRPr="003648B1">
        <w:rPr>
          <w:rFonts w:ascii="Times New Roman" w:hAnsi="Times New Roman"/>
          <w:sz w:val="24"/>
          <w:szCs w:val="24"/>
          <w:lang w:val="ru-RU"/>
        </w:rPr>
        <w:t xml:space="preserve">; </w:t>
      </w:r>
      <w:r w:rsidR="00A916AE">
        <w:rPr>
          <w:rFonts w:ascii="Times New Roman" w:hAnsi="Times New Roman"/>
          <w:sz w:val="24"/>
          <w:szCs w:val="24"/>
          <w:lang w:val="ru-RU"/>
        </w:rPr>
        <w:t>4</w:t>
      </w:r>
      <w:r w:rsidR="00010FB4">
        <w:rPr>
          <w:rFonts w:ascii="Times New Roman" w:hAnsi="Times New Roman"/>
          <w:sz w:val="24"/>
          <w:szCs w:val="24"/>
          <w:lang w:val="ru-RU"/>
        </w:rPr>
        <w:t>7</w:t>
      </w:r>
      <w:r w:rsidRPr="003648B1">
        <w:rPr>
          <w:rFonts w:ascii="Times New Roman" w:hAnsi="Times New Roman"/>
          <w:sz w:val="24"/>
          <w:szCs w:val="24"/>
          <w:lang w:val="ru-RU"/>
        </w:rPr>
        <w:t xml:space="preserve">, </w:t>
      </w:r>
      <w:r w:rsidRPr="003648B1">
        <w:rPr>
          <w:rFonts w:ascii="Times New Roman" w:hAnsi="Times New Roman"/>
          <w:sz w:val="24"/>
          <w:szCs w:val="24"/>
        </w:rPr>
        <w:t>с. 28]</w:t>
      </w:r>
    </w:p>
    <w:p w:rsidR="00110EE2" w:rsidRPr="002B553A" w:rsidRDefault="00110EE2" w:rsidP="00126C28">
      <w:pPr>
        <w:pStyle w:val="a4"/>
        <w:spacing w:before="12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Незважаючи на те, що у наведених теоріях є певні недоліки, вони все одно застосовуються у реальній практиці та дозволяють управляти ліквідністю банків.</w:t>
      </w:r>
      <w:r w:rsidR="002B553A">
        <w:rPr>
          <w:rFonts w:ascii="Times New Roman" w:hAnsi="Times New Roman" w:cs="Times New Roman"/>
          <w:sz w:val="28"/>
          <w:szCs w:val="28"/>
        </w:rPr>
        <w:t xml:space="preserve"> Більш того</w:t>
      </w:r>
      <w:r w:rsidR="002B553A" w:rsidRPr="002B553A">
        <w:t xml:space="preserve"> </w:t>
      </w:r>
      <w:r w:rsidR="002B553A">
        <w:rPr>
          <w:rFonts w:ascii="Times New Roman" w:hAnsi="Times New Roman" w:cs="Times New Roman"/>
          <w:sz w:val="28"/>
          <w:szCs w:val="28"/>
        </w:rPr>
        <w:t>ж</w:t>
      </w:r>
      <w:r w:rsidR="002B553A" w:rsidRPr="002B553A">
        <w:rPr>
          <w:rFonts w:ascii="Times New Roman" w:hAnsi="Times New Roman" w:cs="Times New Roman"/>
          <w:sz w:val="28"/>
          <w:szCs w:val="28"/>
        </w:rPr>
        <w:t xml:space="preserve">одна з </w:t>
      </w:r>
      <w:r w:rsidR="002B553A">
        <w:rPr>
          <w:rFonts w:ascii="Times New Roman" w:hAnsi="Times New Roman" w:cs="Times New Roman"/>
          <w:sz w:val="28"/>
          <w:szCs w:val="28"/>
        </w:rPr>
        <w:t>наведених теорій</w:t>
      </w:r>
      <w:r w:rsidR="002B553A" w:rsidRPr="002B553A">
        <w:rPr>
          <w:rFonts w:ascii="Times New Roman" w:hAnsi="Times New Roman" w:cs="Times New Roman"/>
          <w:sz w:val="28"/>
          <w:szCs w:val="28"/>
        </w:rPr>
        <w:t xml:space="preserve"> окремо не </w:t>
      </w:r>
      <w:r w:rsidR="002B553A">
        <w:rPr>
          <w:rFonts w:ascii="Times New Roman" w:hAnsi="Times New Roman" w:cs="Times New Roman"/>
          <w:sz w:val="28"/>
          <w:szCs w:val="28"/>
        </w:rPr>
        <w:t xml:space="preserve">здатні пояснити способи забезпечення </w:t>
      </w:r>
      <w:r w:rsidR="002B553A" w:rsidRPr="002B553A">
        <w:rPr>
          <w:rFonts w:ascii="Times New Roman" w:hAnsi="Times New Roman" w:cs="Times New Roman"/>
          <w:sz w:val="28"/>
          <w:szCs w:val="28"/>
        </w:rPr>
        <w:t xml:space="preserve">ліквідності банку. Тому </w:t>
      </w:r>
      <w:r w:rsidR="002B553A">
        <w:rPr>
          <w:rFonts w:ascii="Times New Roman" w:hAnsi="Times New Roman" w:cs="Times New Roman"/>
          <w:sz w:val="28"/>
          <w:szCs w:val="28"/>
        </w:rPr>
        <w:t>на сьогодні комерційні</w:t>
      </w:r>
      <w:r w:rsidR="002B553A" w:rsidRPr="002B553A">
        <w:rPr>
          <w:rFonts w:ascii="Times New Roman" w:hAnsi="Times New Roman" w:cs="Times New Roman"/>
          <w:sz w:val="28"/>
          <w:szCs w:val="28"/>
        </w:rPr>
        <w:t xml:space="preserve"> банки у своїй практичній</w:t>
      </w:r>
      <w:r w:rsidR="002B553A">
        <w:rPr>
          <w:rFonts w:ascii="Times New Roman" w:hAnsi="Times New Roman" w:cs="Times New Roman"/>
          <w:sz w:val="28"/>
          <w:szCs w:val="28"/>
        </w:rPr>
        <w:t xml:space="preserve"> </w:t>
      </w:r>
      <w:r w:rsidR="002B553A" w:rsidRPr="002B553A">
        <w:rPr>
          <w:rFonts w:ascii="Times New Roman" w:hAnsi="Times New Roman" w:cs="Times New Roman"/>
          <w:sz w:val="28"/>
          <w:szCs w:val="28"/>
        </w:rPr>
        <w:t xml:space="preserve">діяльності </w:t>
      </w:r>
      <w:r w:rsidR="002B553A">
        <w:rPr>
          <w:rFonts w:ascii="Times New Roman" w:hAnsi="Times New Roman" w:cs="Times New Roman"/>
          <w:sz w:val="28"/>
          <w:szCs w:val="28"/>
        </w:rPr>
        <w:t>застосовують</w:t>
      </w:r>
      <w:r w:rsidR="002B553A" w:rsidRPr="002B553A">
        <w:rPr>
          <w:rFonts w:ascii="Times New Roman" w:hAnsi="Times New Roman" w:cs="Times New Roman"/>
          <w:sz w:val="28"/>
          <w:szCs w:val="28"/>
        </w:rPr>
        <w:t xml:space="preserve"> </w:t>
      </w:r>
      <w:r w:rsidR="002B553A">
        <w:rPr>
          <w:rFonts w:ascii="Times New Roman" w:hAnsi="Times New Roman" w:cs="Times New Roman"/>
          <w:sz w:val="28"/>
          <w:szCs w:val="28"/>
        </w:rPr>
        <w:t>поради</w:t>
      </w:r>
      <w:r w:rsidR="002B553A" w:rsidRPr="002B553A">
        <w:rPr>
          <w:rFonts w:ascii="Times New Roman" w:hAnsi="Times New Roman" w:cs="Times New Roman"/>
          <w:sz w:val="28"/>
          <w:szCs w:val="28"/>
        </w:rPr>
        <w:t xml:space="preserve"> всіх чотирьох теорій,</w:t>
      </w:r>
      <w:r w:rsidR="002B553A">
        <w:rPr>
          <w:rFonts w:ascii="Times New Roman" w:hAnsi="Times New Roman" w:cs="Times New Roman"/>
          <w:sz w:val="28"/>
          <w:szCs w:val="28"/>
        </w:rPr>
        <w:t xml:space="preserve"> </w:t>
      </w:r>
      <w:r w:rsidR="002B553A" w:rsidRPr="002B553A">
        <w:rPr>
          <w:rFonts w:ascii="Times New Roman" w:hAnsi="Times New Roman" w:cs="Times New Roman"/>
          <w:sz w:val="28"/>
          <w:szCs w:val="28"/>
        </w:rPr>
        <w:t>віддаючи перевагу тій чи іншій з них виходячи з власного розуміння</w:t>
      </w:r>
      <w:r w:rsidR="002B553A">
        <w:rPr>
          <w:rFonts w:ascii="Times New Roman" w:hAnsi="Times New Roman" w:cs="Times New Roman"/>
          <w:sz w:val="28"/>
          <w:szCs w:val="28"/>
        </w:rPr>
        <w:t xml:space="preserve"> </w:t>
      </w:r>
      <w:r w:rsidR="002B553A" w:rsidRPr="002B553A">
        <w:rPr>
          <w:rFonts w:ascii="Times New Roman" w:hAnsi="Times New Roman" w:cs="Times New Roman"/>
          <w:sz w:val="28"/>
          <w:szCs w:val="28"/>
        </w:rPr>
        <w:t>специфіки умов в кожній конкретній ситуації.</w:t>
      </w:r>
    </w:p>
    <w:p w:rsidR="003648B1" w:rsidRDefault="0084571E" w:rsidP="00C51F11">
      <w:pPr>
        <w:pStyle w:val="a4"/>
        <w:spacing w:after="0" w:line="367" w:lineRule="auto"/>
        <w:ind w:left="0" w:firstLine="709"/>
        <w:jc w:val="both"/>
        <w:rPr>
          <w:rFonts w:ascii="Times New Roman" w:hAnsi="Times New Roman" w:cs="Times New Roman"/>
          <w:sz w:val="28"/>
          <w:szCs w:val="28"/>
        </w:rPr>
      </w:pPr>
      <w:r w:rsidRPr="0084571E">
        <w:rPr>
          <w:rFonts w:ascii="Times New Roman" w:hAnsi="Times New Roman" w:cs="Times New Roman"/>
          <w:sz w:val="28"/>
          <w:szCs w:val="28"/>
        </w:rPr>
        <w:t>Важливим складовими системи управління ліквідністю банку вважаються методи її регулювання, які теж базуються на вище зазначених принципах. Виділяють три методи управління ліквідністю, які були сформовані в процесі практичної банківської діяльності та науково підтверджені враховуючи їх економічну доцільність. Кожен з цих методів має як переваги, так і недоліки, а їх застосування визначається економічним станом банківської установи:</w:t>
      </w:r>
    </w:p>
    <w:p w:rsidR="0084571E" w:rsidRPr="0084571E" w:rsidRDefault="0084571E" w:rsidP="00C51F11">
      <w:pPr>
        <w:pStyle w:val="a4"/>
        <w:spacing w:after="0" w:line="367" w:lineRule="auto"/>
        <w:ind w:left="0" w:firstLine="709"/>
        <w:jc w:val="both"/>
        <w:rPr>
          <w:rFonts w:ascii="Times New Roman" w:hAnsi="Times New Roman" w:cs="Times New Roman"/>
          <w:sz w:val="28"/>
          <w:szCs w:val="28"/>
        </w:rPr>
      </w:pPr>
      <w:r w:rsidRPr="0084571E">
        <w:rPr>
          <w:rFonts w:ascii="Times New Roman" w:hAnsi="Times New Roman" w:cs="Times New Roman"/>
          <w:sz w:val="28"/>
          <w:szCs w:val="28"/>
        </w:rPr>
        <w:t>1) накопичення ліквідності (регулювання ліквідності через активи);</w:t>
      </w:r>
    </w:p>
    <w:p w:rsidR="0084571E" w:rsidRPr="0084571E" w:rsidRDefault="0084571E" w:rsidP="00C51F11">
      <w:pPr>
        <w:pStyle w:val="a4"/>
        <w:spacing w:after="0" w:line="367" w:lineRule="auto"/>
        <w:ind w:left="0" w:firstLine="709"/>
        <w:jc w:val="both"/>
        <w:rPr>
          <w:rFonts w:ascii="Times New Roman" w:hAnsi="Times New Roman" w:cs="Times New Roman"/>
          <w:sz w:val="28"/>
          <w:szCs w:val="28"/>
        </w:rPr>
      </w:pPr>
      <w:r w:rsidRPr="0084571E">
        <w:rPr>
          <w:rFonts w:ascii="Times New Roman" w:hAnsi="Times New Roman" w:cs="Times New Roman"/>
          <w:sz w:val="28"/>
          <w:szCs w:val="28"/>
        </w:rPr>
        <w:t>2) запозичення ліквідності (регулювання ліквідності через пасиви);</w:t>
      </w:r>
    </w:p>
    <w:p w:rsidR="003648B1" w:rsidRPr="009A7103" w:rsidRDefault="0084571E" w:rsidP="00C51F11">
      <w:pPr>
        <w:pStyle w:val="a4"/>
        <w:spacing w:after="0" w:line="367" w:lineRule="auto"/>
        <w:ind w:left="0" w:firstLine="709"/>
        <w:jc w:val="both"/>
        <w:rPr>
          <w:rFonts w:ascii="Times New Roman" w:hAnsi="Times New Roman" w:cs="Times New Roman"/>
          <w:sz w:val="28"/>
          <w:szCs w:val="28"/>
        </w:rPr>
      </w:pPr>
      <w:r w:rsidRPr="0084571E">
        <w:rPr>
          <w:rFonts w:ascii="Times New Roman" w:hAnsi="Times New Roman" w:cs="Times New Roman"/>
          <w:sz w:val="28"/>
          <w:szCs w:val="28"/>
        </w:rPr>
        <w:t>3) збалансованого регулювання ліквідності (регулюванн</w:t>
      </w:r>
      <w:r w:rsidR="009A7103">
        <w:rPr>
          <w:rFonts w:ascii="Times New Roman" w:hAnsi="Times New Roman" w:cs="Times New Roman"/>
          <w:sz w:val="28"/>
          <w:szCs w:val="28"/>
        </w:rPr>
        <w:t>я ліквідності через активи і пасиви) [4</w:t>
      </w:r>
      <w:r w:rsidR="00010FB4">
        <w:rPr>
          <w:rFonts w:ascii="Times New Roman" w:hAnsi="Times New Roman" w:cs="Times New Roman"/>
          <w:sz w:val="28"/>
          <w:szCs w:val="28"/>
        </w:rPr>
        <w:t>8</w:t>
      </w:r>
      <w:r w:rsidR="009A7103">
        <w:rPr>
          <w:rFonts w:ascii="Times New Roman" w:hAnsi="Times New Roman" w:cs="Times New Roman"/>
          <w:sz w:val="28"/>
          <w:szCs w:val="28"/>
        </w:rPr>
        <w:t>, с. 57</w:t>
      </w:r>
      <w:r w:rsidRPr="009A7103">
        <w:rPr>
          <w:rFonts w:ascii="Times New Roman" w:hAnsi="Times New Roman" w:cs="Times New Roman"/>
          <w:sz w:val="28"/>
          <w:szCs w:val="28"/>
        </w:rPr>
        <w:t>]</w:t>
      </w:r>
      <w:r w:rsidR="009A7103">
        <w:rPr>
          <w:rFonts w:ascii="Times New Roman" w:hAnsi="Times New Roman" w:cs="Times New Roman"/>
          <w:sz w:val="28"/>
          <w:szCs w:val="28"/>
        </w:rPr>
        <w:t>.</w:t>
      </w:r>
    </w:p>
    <w:p w:rsidR="005C288A" w:rsidRDefault="005C288A" w:rsidP="00C51F11">
      <w:pPr>
        <w:pStyle w:val="a4"/>
        <w:spacing w:after="0" w:line="367" w:lineRule="auto"/>
        <w:ind w:left="0" w:firstLine="709"/>
        <w:jc w:val="both"/>
        <w:rPr>
          <w:rFonts w:ascii="Times New Roman" w:hAnsi="Times New Roman" w:cs="Times New Roman"/>
          <w:sz w:val="28"/>
          <w:szCs w:val="28"/>
        </w:rPr>
      </w:pPr>
      <w:r w:rsidRPr="005C288A">
        <w:rPr>
          <w:rFonts w:ascii="Times New Roman" w:hAnsi="Times New Roman" w:cs="Times New Roman"/>
          <w:sz w:val="28"/>
          <w:szCs w:val="28"/>
        </w:rPr>
        <w:t xml:space="preserve">В свою чергу, </w:t>
      </w:r>
      <w:proofErr w:type="spellStart"/>
      <w:r w:rsidRPr="005C288A">
        <w:rPr>
          <w:rFonts w:ascii="Times New Roman" w:hAnsi="Times New Roman" w:cs="Times New Roman"/>
          <w:sz w:val="28"/>
          <w:szCs w:val="28"/>
        </w:rPr>
        <w:t>Серпенінова</w:t>
      </w:r>
      <w:proofErr w:type="spellEnd"/>
      <w:r w:rsidRPr="005C288A">
        <w:rPr>
          <w:rFonts w:ascii="Times New Roman" w:hAnsi="Times New Roman" w:cs="Times New Roman"/>
          <w:sz w:val="28"/>
          <w:szCs w:val="28"/>
        </w:rPr>
        <w:t xml:space="preserve"> Ю. С. зазначає: «</w:t>
      </w:r>
      <w:r>
        <w:rPr>
          <w:rFonts w:ascii="Times New Roman" w:hAnsi="Times New Roman" w:cs="Times New Roman"/>
          <w:sz w:val="28"/>
          <w:szCs w:val="28"/>
        </w:rPr>
        <w:t>…</w:t>
      </w:r>
      <w:r w:rsidRPr="005C288A">
        <w:rPr>
          <w:rFonts w:ascii="Times New Roman" w:hAnsi="Times New Roman" w:cs="Times New Roman"/>
          <w:sz w:val="28"/>
          <w:szCs w:val="28"/>
        </w:rPr>
        <w:t>управління ліквідністю банку включає в себе такі напрямки його реалізації:</w:t>
      </w:r>
    </w:p>
    <w:p w:rsidR="005C288A" w:rsidRDefault="005C288A" w:rsidP="00C51F11">
      <w:pPr>
        <w:pStyle w:val="a4"/>
        <w:spacing w:after="0" w:line="367" w:lineRule="auto"/>
        <w:ind w:left="0" w:firstLine="709"/>
        <w:jc w:val="both"/>
        <w:rPr>
          <w:rFonts w:ascii="Times New Roman" w:hAnsi="Times New Roman" w:cs="Times New Roman"/>
          <w:sz w:val="28"/>
          <w:szCs w:val="28"/>
        </w:rPr>
      </w:pPr>
      <w:r w:rsidRPr="005C288A">
        <w:rPr>
          <w:rFonts w:ascii="Times New Roman" w:hAnsi="Times New Roman" w:cs="Times New Roman"/>
          <w:sz w:val="28"/>
          <w:szCs w:val="28"/>
        </w:rPr>
        <w:lastRenderedPageBreak/>
        <w:t xml:space="preserve">- стратегії управління ліквідністю банку; </w:t>
      </w:r>
    </w:p>
    <w:p w:rsidR="005C288A" w:rsidRDefault="005C288A" w:rsidP="00C51F11">
      <w:pPr>
        <w:pStyle w:val="a4"/>
        <w:spacing w:after="0" w:line="367" w:lineRule="auto"/>
        <w:ind w:left="0" w:firstLine="709"/>
        <w:jc w:val="both"/>
        <w:rPr>
          <w:rFonts w:ascii="Times New Roman" w:hAnsi="Times New Roman" w:cs="Times New Roman"/>
          <w:sz w:val="28"/>
          <w:szCs w:val="28"/>
        </w:rPr>
      </w:pPr>
      <w:r w:rsidRPr="005C288A">
        <w:rPr>
          <w:rFonts w:ascii="Times New Roman" w:hAnsi="Times New Roman" w:cs="Times New Roman"/>
          <w:sz w:val="28"/>
          <w:szCs w:val="28"/>
        </w:rPr>
        <w:t xml:space="preserve">- методи управління ліквідністю банку; </w:t>
      </w:r>
    </w:p>
    <w:p w:rsidR="003648B1" w:rsidRDefault="005C288A" w:rsidP="00C51F11">
      <w:pPr>
        <w:pStyle w:val="a4"/>
        <w:spacing w:after="0" w:line="367" w:lineRule="auto"/>
        <w:ind w:left="0" w:firstLine="709"/>
        <w:jc w:val="both"/>
        <w:rPr>
          <w:rFonts w:ascii="Times New Roman" w:hAnsi="Times New Roman" w:cs="Times New Roman"/>
          <w:sz w:val="28"/>
          <w:szCs w:val="28"/>
        </w:rPr>
      </w:pPr>
      <w:r w:rsidRPr="005C288A">
        <w:rPr>
          <w:rFonts w:ascii="Times New Roman" w:hAnsi="Times New Roman" w:cs="Times New Roman"/>
          <w:sz w:val="28"/>
          <w:szCs w:val="28"/>
        </w:rPr>
        <w:t>- методи оцінки потреби в ліквідних коштах</w:t>
      </w:r>
      <w:r>
        <w:rPr>
          <w:rFonts w:ascii="Times New Roman" w:hAnsi="Times New Roman" w:cs="Times New Roman"/>
          <w:sz w:val="28"/>
          <w:szCs w:val="28"/>
        </w:rPr>
        <w:t>…</w:t>
      </w:r>
      <w:r w:rsidRPr="005C288A">
        <w:rPr>
          <w:rFonts w:ascii="Times New Roman" w:hAnsi="Times New Roman" w:cs="Times New Roman"/>
          <w:sz w:val="28"/>
          <w:szCs w:val="28"/>
        </w:rPr>
        <w:t>» [4</w:t>
      </w:r>
      <w:r w:rsidR="00010FB4">
        <w:rPr>
          <w:rFonts w:ascii="Times New Roman" w:hAnsi="Times New Roman" w:cs="Times New Roman"/>
          <w:sz w:val="28"/>
          <w:szCs w:val="28"/>
        </w:rPr>
        <w:t>9</w:t>
      </w:r>
      <w:r w:rsidRPr="005C288A">
        <w:rPr>
          <w:rFonts w:ascii="Times New Roman" w:hAnsi="Times New Roman" w:cs="Times New Roman"/>
          <w:sz w:val="28"/>
          <w:szCs w:val="28"/>
        </w:rPr>
        <w:t>].</w:t>
      </w:r>
    </w:p>
    <w:p w:rsidR="005C288A" w:rsidRDefault="00BD72D6" w:rsidP="00FD32D7">
      <w:pPr>
        <w:pStyle w:val="a4"/>
        <w:spacing w:after="0" w:line="360" w:lineRule="auto"/>
        <w:ind w:left="0" w:firstLine="709"/>
        <w:jc w:val="both"/>
        <w:rPr>
          <w:rFonts w:ascii="Times New Roman" w:hAnsi="Times New Roman" w:cs="Times New Roman"/>
          <w:sz w:val="28"/>
          <w:szCs w:val="28"/>
        </w:rPr>
      </w:pPr>
      <w:r w:rsidRPr="00BD72D6">
        <w:rPr>
          <w:rFonts w:ascii="Times New Roman" w:hAnsi="Times New Roman" w:cs="Times New Roman"/>
          <w:sz w:val="28"/>
          <w:szCs w:val="28"/>
        </w:rPr>
        <w:t xml:space="preserve">Підходи до реалізації напрямків управління ліквідністю </w:t>
      </w:r>
      <w:r>
        <w:rPr>
          <w:rFonts w:ascii="Times New Roman" w:hAnsi="Times New Roman" w:cs="Times New Roman"/>
          <w:sz w:val="28"/>
          <w:szCs w:val="28"/>
        </w:rPr>
        <w:t>комерційних банків в основу яких покладено принципи ефективного управління ліквідністю</w:t>
      </w:r>
      <w:r w:rsidRPr="00BD72D6">
        <w:rPr>
          <w:rFonts w:ascii="Times New Roman" w:hAnsi="Times New Roman" w:cs="Times New Roman"/>
          <w:sz w:val="28"/>
          <w:szCs w:val="28"/>
        </w:rPr>
        <w:t xml:space="preserve"> </w:t>
      </w:r>
      <w:r>
        <w:rPr>
          <w:rFonts w:ascii="Times New Roman" w:hAnsi="Times New Roman" w:cs="Times New Roman"/>
          <w:sz w:val="28"/>
          <w:szCs w:val="28"/>
        </w:rPr>
        <w:t>представлено на рис. 1.1</w:t>
      </w:r>
      <w:r w:rsidR="00D360AF">
        <w:rPr>
          <w:rFonts w:ascii="Times New Roman" w:hAnsi="Times New Roman" w:cs="Times New Roman"/>
          <w:sz w:val="28"/>
          <w:szCs w:val="28"/>
        </w:rPr>
        <w:t>5</w:t>
      </w:r>
      <w:r w:rsidR="00DA5981">
        <w:rPr>
          <w:rFonts w:ascii="Times New Roman" w:hAnsi="Times New Roman" w:cs="Times New Roman"/>
          <w:sz w:val="28"/>
          <w:szCs w:val="28"/>
        </w:rPr>
        <w:t>.</w:t>
      </w:r>
    </w:p>
    <w:p w:rsidR="00045EBA" w:rsidRDefault="00102392" w:rsidP="005F43DF">
      <w:pPr>
        <w:pStyle w:val="a4"/>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c">
            <w:drawing>
              <wp:inline distT="0" distB="0" distL="0" distR="0">
                <wp:extent cx="6050280" cy="4198620"/>
                <wp:effectExtent l="0" t="0" r="7620" b="0"/>
                <wp:docPr id="183" name="Полотно 1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4" name="Прямоугольник 184"/>
                        <wps:cNvSpPr/>
                        <wps:spPr>
                          <a:xfrm>
                            <a:off x="1805940" y="152400"/>
                            <a:ext cx="2430780" cy="5410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102392" w:rsidRDefault="00F821E3" w:rsidP="00102392">
                              <w:pPr>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Підходи до реалізації управління ліквідністю</w:t>
                              </w:r>
                              <w:r>
                                <w:rPr>
                                  <w:rFonts w:ascii="Times New Roman" w:hAnsi="Times New Roman"/>
                                  <w:color w:val="000000" w:themeColor="text1"/>
                                  <w:sz w:val="24"/>
                                  <w:szCs w:val="24"/>
                                </w:rPr>
                                <w:t xml:space="preserve"> комерційного банку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Прямая со стрелкой 185"/>
                        <wps:cNvCnPr/>
                        <wps:spPr>
                          <a:xfrm flipH="1">
                            <a:off x="1303020" y="693420"/>
                            <a:ext cx="502920" cy="289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 name="Прямая со стрелкой 186"/>
                        <wps:cNvCnPr>
                          <a:stCxn id="184" idx="2"/>
                        </wps:cNvCnPr>
                        <wps:spPr>
                          <a:xfrm>
                            <a:off x="3021330" y="693420"/>
                            <a:ext cx="0" cy="289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7" name="Прямая со стрелкой 187"/>
                        <wps:cNvCnPr/>
                        <wps:spPr>
                          <a:xfrm>
                            <a:off x="4236720" y="693420"/>
                            <a:ext cx="74676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 name="Прямоугольник 188"/>
                        <wps:cNvSpPr/>
                        <wps:spPr>
                          <a:xfrm>
                            <a:off x="800100" y="982980"/>
                            <a:ext cx="1082040" cy="8153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Стратегії управління</w:t>
                              </w:r>
                            </w:p>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ліквідністю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Прямоугольник 189"/>
                        <wps:cNvSpPr/>
                        <wps:spPr>
                          <a:xfrm>
                            <a:off x="2430780" y="982980"/>
                            <a:ext cx="1158240" cy="7543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Методи</w:t>
                              </w:r>
                            </w:p>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управління</w:t>
                              </w:r>
                            </w:p>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ліквідністю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Прямоугольник 190"/>
                        <wps:cNvSpPr/>
                        <wps:spPr>
                          <a:xfrm>
                            <a:off x="4389120" y="922020"/>
                            <a:ext cx="1196340" cy="8153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Методи оцінки</w:t>
                              </w:r>
                            </w:p>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потреби в ліквідних</w:t>
                              </w:r>
                            </w:p>
                            <w:p w:rsidR="00F821E3" w:rsidRPr="00102392" w:rsidRDefault="00F821E3" w:rsidP="00102392">
                              <w:pPr>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коштах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Прямая соединительная линия 191"/>
                        <wps:cNvCnPr/>
                        <wps:spPr>
                          <a:xfrm>
                            <a:off x="1303020" y="1798320"/>
                            <a:ext cx="0" cy="213360"/>
                          </a:xfrm>
                          <a:prstGeom prst="line">
                            <a:avLst/>
                          </a:prstGeom>
                        </wps:spPr>
                        <wps:style>
                          <a:lnRef idx="1">
                            <a:schemeClr val="dk1"/>
                          </a:lnRef>
                          <a:fillRef idx="0">
                            <a:schemeClr val="dk1"/>
                          </a:fillRef>
                          <a:effectRef idx="0">
                            <a:schemeClr val="dk1"/>
                          </a:effectRef>
                          <a:fontRef idx="minor">
                            <a:schemeClr val="tx1"/>
                          </a:fontRef>
                        </wps:style>
                        <wps:bodyPr/>
                      </wps:wsp>
                      <wps:wsp>
                        <wps:cNvPr id="192" name="Прямоугольник 192"/>
                        <wps:cNvSpPr/>
                        <wps:spPr>
                          <a:xfrm>
                            <a:off x="7620" y="2026920"/>
                            <a:ext cx="1912620" cy="9601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5F43DF" w:rsidRDefault="00F821E3" w:rsidP="00045EBA">
                              <w:pPr>
                                <w:spacing w:after="0" w:line="240" w:lineRule="auto"/>
                                <w:jc w:val="both"/>
                                <w:rPr>
                                  <w:rFonts w:ascii="Times New Roman" w:hAnsi="Times New Roman"/>
                                  <w:color w:val="000000" w:themeColor="text1"/>
                                  <w:sz w:val="24"/>
                                  <w:szCs w:val="24"/>
                                </w:rPr>
                              </w:pPr>
                              <w:r w:rsidRPr="005F43DF">
                                <w:rPr>
                                  <w:rFonts w:ascii="Times New Roman" w:hAnsi="Times New Roman"/>
                                  <w:color w:val="000000" w:themeColor="text1"/>
                                  <w:sz w:val="24"/>
                                  <w:szCs w:val="24"/>
                                </w:rPr>
                                <w:t>- управління</w:t>
                              </w:r>
                              <w:r>
                                <w:rPr>
                                  <w:rFonts w:ascii="Times New Roman" w:hAnsi="Times New Roman"/>
                                  <w:color w:val="000000" w:themeColor="text1"/>
                                  <w:sz w:val="24"/>
                                  <w:szCs w:val="24"/>
                                </w:rPr>
                                <w:t xml:space="preserve"> </w:t>
                              </w:r>
                              <w:r w:rsidRPr="005F43DF">
                                <w:rPr>
                                  <w:rFonts w:ascii="Times New Roman" w:hAnsi="Times New Roman"/>
                                  <w:color w:val="000000" w:themeColor="text1"/>
                                  <w:sz w:val="24"/>
                                  <w:szCs w:val="24"/>
                                </w:rPr>
                                <w:t>активами;</w:t>
                              </w:r>
                            </w:p>
                            <w:p w:rsidR="00F821E3" w:rsidRPr="005F43DF" w:rsidRDefault="00F821E3" w:rsidP="00045EBA">
                              <w:pPr>
                                <w:spacing w:after="0" w:line="240" w:lineRule="auto"/>
                                <w:jc w:val="both"/>
                                <w:rPr>
                                  <w:rFonts w:ascii="Times New Roman" w:hAnsi="Times New Roman"/>
                                  <w:color w:val="000000" w:themeColor="text1"/>
                                  <w:sz w:val="24"/>
                                  <w:szCs w:val="24"/>
                                </w:rPr>
                              </w:pPr>
                              <w:r w:rsidRPr="005F43D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управління </w:t>
                              </w:r>
                              <w:r w:rsidRPr="005F43DF">
                                <w:rPr>
                                  <w:rFonts w:ascii="Times New Roman" w:hAnsi="Times New Roman"/>
                                  <w:color w:val="000000" w:themeColor="text1"/>
                                  <w:sz w:val="24"/>
                                  <w:szCs w:val="24"/>
                                </w:rPr>
                                <w:t>пасивами;</w:t>
                              </w:r>
                            </w:p>
                            <w:p w:rsidR="00F821E3" w:rsidRPr="005F43DF" w:rsidRDefault="00F821E3" w:rsidP="00045EBA">
                              <w:pPr>
                                <w:spacing w:after="0" w:line="240" w:lineRule="auto"/>
                                <w:jc w:val="both"/>
                                <w:rPr>
                                  <w:rFonts w:ascii="Times New Roman" w:hAnsi="Times New Roman"/>
                                  <w:color w:val="000000" w:themeColor="text1"/>
                                  <w:sz w:val="24"/>
                                  <w:szCs w:val="24"/>
                                </w:rPr>
                              </w:pPr>
                              <w:r w:rsidRPr="005F43DF">
                                <w:rPr>
                                  <w:rFonts w:ascii="Times New Roman" w:hAnsi="Times New Roman"/>
                                  <w:color w:val="000000" w:themeColor="text1"/>
                                  <w:sz w:val="24"/>
                                  <w:szCs w:val="24"/>
                                </w:rPr>
                                <w:t>- управління</w:t>
                              </w:r>
                              <w:r>
                                <w:rPr>
                                  <w:rFonts w:ascii="Times New Roman" w:hAnsi="Times New Roman"/>
                                  <w:color w:val="000000" w:themeColor="text1"/>
                                  <w:sz w:val="24"/>
                                  <w:szCs w:val="24"/>
                                </w:rPr>
                                <w:t xml:space="preserve"> </w:t>
                              </w:r>
                              <w:r w:rsidRPr="005F43DF">
                                <w:rPr>
                                  <w:rFonts w:ascii="Times New Roman" w:hAnsi="Times New Roman"/>
                                  <w:color w:val="000000" w:themeColor="text1"/>
                                  <w:sz w:val="24"/>
                                  <w:szCs w:val="24"/>
                                </w:rPr>
                                <w:t>активами і</w:t>
                              </w:r>
                            </w:p>
                            <w:p w:rsidR="00F821E3" w:rsidRPr="005F43DF" w:rsidRDefault="00F821E3" w:rsidP="00045EBA">
                              <w:pPr>
                                <w:spacing w:after="0" w:line="240" w:lineRule="auto"/>
                                <w:jc w:val="both"/>
                                <w:rPr>
                                  <w:rFonts w:ascii="Times New Roman" w:hAnsi="Times New Roman"/>
                                  <w:color w:val="000000" w:themeColor="text1"/>
                                  <w:sz w:val="24"/>
                                  <w:szCs w:val="24"/>
                                </w:rPr>
                              </w:pPr>
                              <w:r w:rsidRPr="005F43DF">
                                <w:rPr>
                                  <w:rFonts w:ascii="Times New Roman" w:hAnsi="Times New Roman"/>
                                  <w:color w:val="000000" w:themeColor="text1"/>
                                  <w:sz w:val="24"/>
                                  <w:szCs w:val="24"/>
                                </w:rPr>
                                <w:t>пасивами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Прямая соединительная линия 193"/>
                        <wps:cNvCnPr/>
                        <wps:spPr>
                          <a:xfrm>
                            <a:off x="3021330" y="1737360"/>
                            <a:ext cx="0" cy="274320"/>
                          </a:xfrm>
                          <a:prstGeom prst="line">
                            <a:avLst/>
                          </a:prstGeom>
                        </wps:spPr>
                        <wps:style>
                          <a:lnRef idx="1">
                            <a:schemeClr val="dk1"/>
                          </a:lnRef>
                          <a:fillRef idx="0">
                            <a:schemeClr val="dk1"/>
                          </a:fillRef>
                          <a:effectRef idx="0">
                            <a:schemeClr val="dk1"/>
                          </a:effectRef>
                          <a:fontRef idx="minor">
                            <a:schemeClr val="tx1"/>
                          </a:fontRef>
                        </wps:style>
                        <wps:bodyPr/>
                      </wps:wsp>
                      <wps:wsp>
                        <wps:cNvPr id="194" name="Прямоугольник 194"/>
                        <wps:cNvSpPr/>
                        <wps:spPr>
                          <a:xfrm>
                            <a:off x="1996440" y="2026920"/>
                            <a:ext cx="1889760" cy="18516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фондового пулу;</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конверсії фондів;</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управлінн</w:t>
                              </w:r>
                              <w:r>
                                <w:rPr>
                                  <w:rFonts w:ascii="Times New Roman" w:hAnsi="Times New Roman"/>
                                  <w:color w:val="000000" w:themeColor="text1"/>
                                  <w:sz w:val="24"/>
                                  <w:szCs w:val="24"/>
                                </w:rPr>
                                <w:t xml:space="preserve">я резервною </w:t>
                              </w:r>
                              <w:r w:rsidRPr="00045EBA">
                                <w:rPr>
                                  <w:rFonts w:ascii="Times New Roman" w:hAnsi="Times New Roman"/>
                                  <w:color w:val="000000" w:themeColor="text1"/>
                                  <w:sz w:val="24"/>
                                  <w:szCs w:val="24"/>
                                </w:rPr>
                                <w:t>позицією;</w:t>
                              </w:r>
                            </w:p>
                            <w:p w:rsidR="00F821E3" w:rsidRPr="00045EBA" w:rsidRDefault="00F821E3" w:rsidP="00045EBA">
                              <w:pPr>
                                <w:spacing w:after="0" w:line="240" w:lineRule="auto"/>
                                <w:jc w:val="both"/>
                                <w:rPr>
                                  <w:color w:val="000000" w:themeColor="text1"/>
                                </w:rPr>
                              </w:pPr>
                              <w:r w:rsidRPr="00045EBA">
                                <w:rPr>
                                  <w:rFonts w:ascii="Times New Roman" w:hAnsi="Times New Roman"/>
                                  <w:color w:val="000000" w:themeColor="text1"/>
                                  <w:sz w:val="24"/>
                                  <w:szCs w:val="24"/>
                                </w:rPr>
                                <w:t xml:space="preserve">- метод </w:t>
                              </w:r>
                              <w:proofErr w:type="spellStart"/>
                              <w:r w:rsidRPr="00045EBA">
                                <w:rPr>
                                  <w:rFonts w:ascii="Times New Roman" w:hAnsi="Times New Roman"/>
                                  <w:color w:val="000000" w:themeColor="text1"/>
                                  <w:sz w:val="24"/>
                                  <w:szCs w:val="24"/>
                                </w:rPr>
                                <w:t>сек’ютеризації</w:t>
                              </w:r>
                              <w:proofErr w:type="spellEnd"/>
                              <w:r w:rsidRPr="00045EBA">
                                <w:rPr>
                                  <w:color w:val="000000" w:themeColor="text1"/>
                                </w:rPr>
                                <w:t>;</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математичного</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моделювання;</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управління</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кредитною позицією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Прямая соединительная линия 195"/>
                        <wps:cNvCnPr/>
                        <wps:spPr>
                          <a:xfrm>
                            <a:off x="4983480" y="1737360"/>
                            <a:ext cx="0" cy="274320"/>
                          </a:xfrm>
                          <a:prstGeom prst="line">
                            <a:avLst/>
                          </a:prstGeom>
                        </wps:spPr>
                        <wps:style>
                          <a:lnRef idx="1">
                            <a:schemeClr val="dk1"/>
                          </a:lnRef>
                          <a:fillRef idx="0">
                            <a:schemeClr val="dk1"/>
                          </a:fillRef>
                          <a:effectRef idx="0">
                            <a:schemeClr val="dk1"/>
                          </a:effectRef>
                          <a:fontRef idx="minor">
                            <a:schemeClr val="tx1"/>
                          </a:fontRef>
                        </wps:style>
                        <wps:bodyPr/>
                      </wps:wsp>
                      <wps:wsp>
                        <wps:cNvPr id="196" name="Прямоугольник 196"/>
                        <wps:cNvSpPr/>
                        <wps:spPr>
                          <a:xfrm>
                            <a:off x="3954780" y="2011680"/>
                            <a:ext cx="2026920" cy="20802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загальна оцінка діяльності банку;</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структури ресурсів;</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коефіцієнтів</w:t>
                              </w:r>
                              <w:r>
                                <w:rPr>
                                  <w:rFonts w:ascii="Times New Roman" w:hAnsi="Times New Roman"/>
                                  <w:color w:val="000000" w:themeColor="text1"/>
                                  <w:sz w:val="24"/>
                                  <w:szCs w:val="24"/>
                                </w:rPr>
                                <w:t xml:space="preserve"> </w:t>
                              </w:r>
                              <w:r w:rsidRPr="00045EBA">
                                <w:rPr>
                                  <w:rFonts w:ascii="Times New Roman" w:hAnsi="Times New Roman"/>
                                  <w:color w:val="000000" w:themeColor="text1"/>
                                  <w:sz w:val="24"/>
                                  <w:szCs w:val="24"/>
                                </w:rPr>
                                <w:t>ліквідності;</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грошових потоків;</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коефіцієнтів</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платоспроможності;</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структури капіталу;</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а</w:t>
                              </w:r>
                              <w:r>
                                <w:rPr>
                                  <w:rFonts w:ascii="Times New Roman" w:hAnsi="Times New Roman"/>
                                  <w:color w:val="000000" w:themeColor="text1"/>
                                  <w:sz w:val="24"/>
                                  <w:szCs w:val="24"/>
                                </w:rPr>
                                <w:t xml:space="preserve">наліз потреби банку в ліквідних </w:t>
                              </w:r>
                              <w:r w:rsidRPr="00045EBA">
                                <w:rPr>
                                  <w:rFonts w:ascii="Times New Roman" w:hAnsi="Times New Roman"/>
                                  <w:color w:val="000000" w:themeColor="text1"/>
                                  <w:sz w:val="24"/>
                                  <w:szCs w:val="24"/>
                                </w:rPr>
                                <w:t>коштах.</w:t>
                              </w:r>
                              <w:r w:rsidRPr="00045EBA">
                                <w:rPr>
                                  <w:rFonts w:ascii="Times New Roman" w:hAnsi="Times New Roman"/>
                                  <w:color w:val="000000" w:themeColor="text1"/>
                                  <w:sz w:val="24"/>
                                  <w:szCs w:val="24"/>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83" o:spid="_x0000_s1228" editas="canvas" style="width:476.4pt;height:330.6pt;mso-position-horizontal-relative:char;mso-position-vertical-relative:line" coordsize="60502,4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">
                <v:shape id="_x0000_s1229" type="#_x0000_t75" style="position:absolute;width:60502;height:41986;visibility:visible;mso-wrap-style:square">
                  <v:fill o:detectmouseclick="t"/>
                  <v:path o:connecttype="none"/>
                </v:shape>
                <v:rect id="Прямоугольник 184" o:spid="_x0000_s1230" style="position:absolute;left:18059;top:1524;width:24308;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" fillcolor="white [3212]" strokecolor="black [3213]" strokeweight="1pt">
                  <v:textbox>
                    <w:txbxContent>
                      <w:p w:rsidR="00F821E3" w:rsidRPr="00102392" w:rsidRDefault="00F821E3" w:rsidP="00102392">
                        <w:pPr>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Підходи до реалізації управління ліквідністю</w:t>
                        </w:r>
                        <w:r>
                          <w:rPr>
                            <w:rFonts w:ascii="Times New Roman" w:hAnsi="Times New Roman"/>
                            <w:color w:val="000000" w:themeColor="text1"/>
                            <w:sz w:val="24"/>
                            <w:szCs w:val="24"/>
                          </w:rPr>
                          <w:t xml:space="preserve"> комерційного банку</w:t>
                        </w:r>
                      </w:p>
                    </w:txbxContent>
                  </v:textbox>
                </v:rect>
                <v:shape id="Прямая со стрелкой 185" o:spid="_x0000_s1231" type="#_x0000_t32" style="position:absolute;left:13030;top:6934;width:5029;height:28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" strokecolor="black [3200]" strokeweight=".5pt">
                  <v:stroke endarrow="block" joinstyle="miter"/>
                </v:shape>
                <v:shape id="Прямая со стрелкой 186" o:spid="_x0000_s1232" type="#_x0000_t32" style="position:absolute;left:30213;top:6934;width:0;height:2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" strokecolor="black [3200]" strokeweight=".5pt">
                  <v:stroke endarrow="block" joinstyle="miter"/>
                </v:shape>
                <v:shape id="Прямая со стрелкой 187" o:spid="_x0000_s1233" type="#_x0000_t32" style="position:absolute;left:42367;top:6934;width:746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" strokecolor="black [3200]" strokeweight=".5pt">
                  <v:stroke endarrow="block" joinstyle="miter"/>
                </v:shape>
                <v:rect id="Прямоугольник 188" o:spid="_x0000_s1234" style="position:absolute;left:8001;top:9829;width:10820;height:8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" fillcolor="white [3212]" strokecolor="black [3213]" strokeweight="1pt">
                  <v:textbox>
                    <w:txbxContent>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Стратегії управління</w:t>
                        </w:r>
                      </w:p>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ліквідністю</w:t>
                        </w:r>
                      </w:p>
                    </w:txbxContent>
                  </v:textbox>
                </v:rect>
                <v:rect id="Прямоугольник 189" o:spid="_x0000_s1235" style="position:absolute;left:24307;top:9829;width:11583;height:7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" fillcolor="white [3212]" strokecolor="black [3213]" strokeweight="1pt">
                  <v:textbox>
                    <w:txbxContent>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Методи</w:t>
                        </w:r>
                      </w:p>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управління</w:t>
                        </w:r>
                      </w:p>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ліквідністю</w:t>
                        </w:r>
                      </w:p>
                    </w:txbxContent>
                  </v:textbox>
                </v:rect>
                <v:rect id="Прямоугольник 190" o:spid="_x0000_s1236" style="position:absolute;left:43891;top:9220;width:11963;height:8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" fillcolor="white [3212]" strokecolor="black [3213]" strokeweight="1pt">
                  <v:textbox>
                    <w:txbxContent>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Методи оцінки</w:t>
                        </w:r>
                      </w:p>
                      <w:p w:rsidR="00F821E3" w:rsidRPr="00102392" w:rsidRDefault="00F821E3" w:rsidP="00102392">
                        <w:pPr>
                          <w:spacing w:after="0" w:line="240" w:lineRule="auto"/>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потреби в ліквідних</w:t>
                        </w:r>
                      </w:p>
                      <w:p w:rsidR="00F821E3" w:rsidRPr="00102392" w:rsidRDefault="00F821E3" w:rsidP="00102392">
                        <w:pPr>
                          <w:jc w:val="center"/>
                          <w:rPr>
                            <w:rFonts w:ascii="Times New Roman" w:hAnsi="Times New Roman"/>
                            <w:color w:val="000000" w:themeColor="text1"/>
                            <w:sz w:val="24"/>
                            <w:szCs w:val="24"/>
                          </w:rPr>
                        </w:pPr>
                        <w:r w:rsidRPr="00102392">
                          <w:rPr>
                            <w:rFonts w:ascii="Times New Roman" w:hAnsi="Times New Roman"/>
                            <w:color w:val="000000" w:themeColor="text1"/>
                            <w:sz w:val="24"/>
                            <w:szCs w:val="24"/>
                          </w:rPr>
                          <w:t>коштах</w:t>
                        </w:r>
                      </w:p>
                    </w:txbxContent>
                  </v:textbox>
                </v:rect>
                <v:line id="Прямая соединительная линия 191" o:spid="_x0000_s1237" style="position:absolute;visibility:visible;mso-wrap-style:square" from="13030,17983" to="13030,2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" strokecolor="black [3200]" strokeweight=".5pt">
                  <v:stroke joinstyle="miter"/>
                </v:line>
                <v:rect id="Прямоугольник 192" o:spid="_x0000_s1238" style="position:absolute;left:76;top:20269;width:19126;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" fillcolor="white [3212]" strokecolor="black [3213]" strokeweight="1pt">
                  <v:textbox>
                    <w:txbxContent>
                      <w:p w:rsidR="00F821E3" w:rsidRPr="005F43DF" w:rsidRDefault="00F821E3" w:rsidP="00045EBA">
                        <w:pPr>
                          <w:spacing w:after="0" w:line="240" w:lineRule="auto"/>
                          <w:jc w:val="both"/>
                          <w:rPr>
                            <w:rFonts w:ascii="Times New Roman" w:hAnsi="Times New Roman"/>
                            <w:color w:val="000000" w:themeColor="text1"/>
                            <w:sz w:val="24"/>
                            <w:szCs w:val="24"/>
                          </w:rPr>
                        </w:pPr>
                        <w:r w:rsidRPr="005F43DF">
                          <w:rPr>
                            <w:rFonts w:ascii="Times New Roman" w:hAnsi="Times New Roman"/>
                            <w:color w:val="000000" w:themeColor="text1"/>
                            <w:sz w:val="24"/>
                            <w:szCs w:val="24"/>
                          </w:rPr>
                          <w:t>- управління</w:t>
                        </w:r>
                        <w:r>
                          <w:rPr>
                            <w:rFonts w:ascii="Times New Roman" w:hAnsi="Times New Roman"/>
                            <w:color w:val="000000" w:themeColor="text1"/>
                            <w:sz w:val="24"/>
                            <w:szCs w:val="24"/>
                          </w:rPr>
                          <w:t xml:space="preserve"> </w:t>
                        </w:r>
                        <w:r w:rsidRPr="005F43DF">
                          <w:rPr>
                            <w:rFonts w:ascii="Times New Roman" w:hAnsi="Times New Roman"/>
                            <w:color w:val="000000" w:themeColor="text1"/>
                            <w:sz w:val="24"/>
                            <w:szCs w:val="24"/>
                          </w:rPr>
                          <w:t>активами;</w:t>
                        </w:r>
                      </w:p>
                      <w:p w:rsidR="00F821E3" w:rsidRPr="005F43DF" w:rsidRDefault="00F821E3" w:rsidP="00045EBA">
                        <w:pPr>
                          <w:spacing w:after="0" w:line="240" w:lineRule="auto"/>
                          <w:jc w:val="both"/>
                          <w:rPr>
                            <w:rFonts w:ascii="Times New Roman" w:hAnsi="Times New Roman"/>
                            <w:color w:val="000000" w:themeColor="text1"/>
                            <w:sz w:val="24"/>
                            <w:szCs w:val="24"/>
                          </w:rPr>
                        </w:pPr>
                        <w:r w:rsidRPr="005F43D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управління </w:t>
                        </w:r>
                        <w:r w:rsidRPr="005F43DF">
                          <w:rPr>
                            <w:rFonts w:ascii="Times New Roman" w:hAnsi="Times New Roman"/>
                            <w:color w:val="000000" w:themeColor="text1"/>
                            <w:sz w:val="24"/>
                            <w:szCs w:val="24"/>
                          </w:rPr>
                          <w:t>пасивами;</w:t>
                        </w:r>
                      </w:p>
                      <w:p w:rsidR="00F821E3" w:rsidRPr="005F43DF" w:rsidRDefault="00F821E3" w:rsidP="00045EBA">
                        <w:pPr>
                          <w:spacing w:after="0" w:line="240" w:lineRule="auto"/>
                          <w:jc w:val="both"/>
                          <w:rPr>
                            <w:rFonts w:ascii="Times New Roman" w:hAnsi="Times New Roman"/>
                            <w:color w:val="000000" w:themeColor="text1"/>
                            <w:sz w:val="24"/>
                            <w:szCs w:val="24"/>
                          </w:rPr>
                        </w:pPr>
                        <w:r w:rsidRPr="005F43DF">
                          <w:rPr>
                            <w:rFonts w:ascii="Times New Roman" w:hAnsi="Times New Roman"/>
                            <w:color w:val="000000" w:themeColor="text1"/>
                            <w:sz w:val="24"/>
                            <w:szCs w:val="24"/>
                          </w:rPr>
                          <w:t>- управління</w:t>
                        </w:r>
                        <w:r>
                          <w:rPr>
                            <w:rFonts w:ascii="Times New Roman" w:hAnsi="Times New Roman"/>
                            <w:color w:val="000000" w:themeColor="text1"/>
                            <w:sz w:val="24"/>
                            <w:szCs w:val="24"/>
                          </w:rPr>
                          <w:t xml:space="preserve"> </w:t>
                        </w:r>
                        <w:r w:rsidRPr="005F43DF">
                          <w:rPr>
                            <w:rFonts w:ascii="Times New Roman" w:hAnsi="Times New Roman"/>
                            <w:color w:val="000000" w:themeColor="text1"/>
                            <w:sz w:val="24"/>
                            <w:szCs w:val="24"/>
                          </w:rPr>
                          <w:t>активами і</w:t>
                        </w:r>
                      </w:p>
                      <w:p w:rsidR="00F821E3" w:rsidRPr="005F43DF" w:rsidRDefault="00F821E3" w:rsidP="00045EBA">
                        <w:pPr>
                          <w:spacing w:after="0" w:line="240" w:lineRule="auto"/>
                          <w:jc w:val="both"/>
                          <w:rPr>
                            <w:rFonts w:ascii="Times New Roman" w:hAnsi="Times New Roman"/>
                            <w:color w:val="000000" w:themeColor="text1"/>
                            <w:sz w:val="24"/>
                            <w:szCs w:val="24"/>
                          </w:rPr>
                        </w:pPr>
                        <w:r w:rsidRPr="005F43DF">
                          <w:rPr>
                            <w:rFonts w:ascii="Times New Roman" w:hAnsi="Times New Roman"/>
                            <w:color w:val="000000" w:themeColor="text1"/>
                            <w:sz w:val="24"/>
                            <w:szCs w:val="24"/>
                          </w:rPr>
                          <w:t>пасивами</w:t>
                        </w:r>
                      </w:p>
                    </w:txbxContent>
                  </v:textbox>
                </v:rect>
                <v:line id="Прямая соединительная линия 193" o:spid="_x0000_s1239" style="position:absolute;visibility:visible;mso-wrap-style:square" from="30213,17373" to="30213,2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" strokecolor="black [3200]" strokeweight=".5pt">
                  <v:stroke joinstyle="miter"/>
                </v:line>
                <v:rect id="Прямоугольник 194" o:spid="_x0000_s1240" style="position:absolute;left:19964;top:20269;width:18898;height:18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" fillcolor="white [3212]" strokecolor="black [3213]" strokeweight="1pt">
                  <v:textbox>
                    <w:txbxContent>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фондового пулу;</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конверсії фондів;</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управлінн</w:t>
                        </w:r>
                        <w:r>
                          <w:rPr>
                            <w:rFonts w:ascii="Times New Roman" w:hAnsi="Times New Roman"/>
                            <w:color w:val="000000" w:themeColor="text1"/>
                            <w:sz w:val="24"/>
                            <w:szCs w:val="24"/>
                          </w:rPr>
                          <w:t xml:space="preserve">я резервною </w:t>
                        </w:r>
                        <w:r w:rsidRPr="00045EBA">
                          <w:rPr>
                            <w:rFonts w:ascii="Times New Roman" w:hAnsi="Times New Roman"/>
                            <w:color w:val="000000" w:themeColor="text1"/>
                            <w:sz w:val="24"/>
                            <w:szCs w:val="24"/>
                          </w:rPr>
                          <w:t>позицією;</w:t>
                        </w:r>
                      </w:p>
                      <w:p w:rsidR="00F821E3" w:rsidRPr="00045EBA" w:rsidRDefault="00F821E3" w:rsidP="00045EBA">
                        <w:pPr>
                          <w:spacing w:after="0" w:line="240" w:lineRule="auto"/>
                          <w:jc w:val="both"/>
                          <w:rPr>
                            <w:color w:val="000000" w:themeColor="text1"/>
                          </w:rPr>
                        </w:pPr>
                        <w:r w:rsidRPr="00045EBA">
                          <w:rPr>
                            <w:rFonts w:ascii="Times New Roman" w:hAnsi="Times New Roman"/>
                            <w:color w:val="000000" w:themeColor="text1"/>
                            <w:sz w:val="24"/>
                            <w:szCs w:val="24"/>
                          </w:rPr>
                          <w:t xml:space="preserve">- метод </w:t>
                        </w:r>
                        <w:proofErr w:type="spellStart"/>
                        <w:r w:rsidRPr="00045EBA">
                          <w:rPr>
                            <w:rFonts w:ascii="Times New Roman" w:hAnsi="Times New Roman"/>
                            <w:color w:val="000000" w:themeColor="text1"/>
                            <w:sz w:val="24"/>
                            <w:szCs w:val="24"/>
                          </w:rPr>
                          <w:t>сек’ютеризації</w:t>
                        </w:r>
                        <w:proofErr w:type="spellEnd"/>
                        <w:r w:rsidRPr="00045EBA">
                          <w:rPr>
                            <w:color w:val="000000" w:themeColor="text1"/>
                          </w:rPr>
                          <w:t>;</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математичного</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моделювання;</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управління</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кредитною позицією</w:t>
                        </w:r>
                      </w:p>
                    </w:txbxContent>
                  </v:textbox>
                </v:rect>
                <v:line id="Прямая соединительная линия 195" o:spid="_x0000_s1241" style="position:absolute;visibility:visible;mso-wrap-style:square" from="49834,17373" to="49834,2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" strokecolor="black [3200]" strokeweight=".5pt">
                  <v:stroke joinstyle="miter"/>
                </v:line>
                <v:rect id="Прямоугольник 196" o:spid="_x0000_s1242" style="position:absolute;left:39547;top:20116;width:20270;height:2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" fillcolor="white [3212]" strokecolor="black [3213]" strokeweight="1pt">
                  <v:textbox>
                    <w:txbxContent>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загальна оцінка діяльності банку;</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структури ресурсів;</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коефіцієнтів</w:t>
                        </w:r>
                        <w:r>
                          <w:rPr>
                            <w:rFonts w:ascii="Times New Roman" w:hAnsi="Times New Roman"/>
                            <w:color w:val="000000" w:themeColor="text1"/>
                            <w:sz w:val="24"/>
                            <w:szCs w:val="24"/>
                          </w:rPr>
                          <w:t xml:space="preserve"> </w:t>
                        </w:r>
                        <w:r w:rsidRPr="00045EBA">
                          <w:rPr>
                            <w:rFonts w:ascii="Times New Roman" w:hAnsi="Times New Roman"/>
                            <w:color w:val="000000" w:themeColor="text1"/>
                            <w:sz w:val="24"/>
                            <w:szCs w:val="24"/>
                          </w:rPr>
                          <w:t>ліквідності;</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грошових потоків;</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коефіцієнтів</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платоспроможності;</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метод структури капіталу;</w:t>
                        </w:r>
                      </w:p>
                      <w:p w:rsidR="00F821E3" w:rsidRPr="00045EBA" w:rsidRDefault="00F821E3" w:rsidP="00045EBA">
                        <w:pPr>
                          <w:spacing w:after="0" w:line="240" w:lineRule="auto"/>
                          <w:jc w:val="both"/>
                          <w:rPr>
                            <w:rFonts w:ascii="Times New Roman" w:hAnsi="Times New Roman"/>
                            <w:color w:val="000000" w:themeColor="text1"/>
                            <w:sz w:val="24"/>
                            <w:szCs w:val="24"/>
                          </w:rPr>
                        </w:pPr>
                        <w:r w:rsidRPr="00045EBA">
                          <w:rPr>
                            <w:rFonts w:ascii="Times New Roman" w:hAnsi="Times New Roman"/>
                            <w:color w:val="000000" w:themeColor="text1"/>
                            <w:sz w:val="24"/>
                            <w:szCs w:val="24"/>
                          </w:rPr>
                          <w:t>- а</w:t>
                        </w:r>
                        <w:r>
                          <w:rPr>
                            <w:rFonts w:ascii="Times New Roman" w:hAnsi="Times New Roman"/>
                            <w:color w:val="000000" w:themeColor="text1"/>
                            <w:sz w:val="24"/>
                            <w:szCs w:val="24"/>
                          </w:rPr>
                          <w:t xml:space="preserve">наліз потреби банку в ліквідних </w:t>
                        </w:r>
                        <w:r w:rsidRPr="00045EBA">
                          <w:rPr>
                            <w:rFonts w:ascii="Times New Roman" w:hAnsi="Times New Roman"/>
                            <w:color w:val="000000" w:themeColor="text1"/>
                            <w:sz w:val="24"/>
                            <w:szCs w:val="24"/>
                          </w:rPr>
                          <w:t>коштах.</w:t>
                        </w:r>
                        <w:r w:rsidRPr="00045EBA">
                          <w:rPr>
                            <w:rFonts w:ascii="Times New Roman" w:hAnsi="Times New Roman"/>
                            <w:color w:val="000000" w:themeColor="text1"/>
                            <w:sz w:val="24"/>
                            <w:szCs w:val="24"/>
                          </w:rPr>
                          <w:cr/>
                        </w:r>
                      </w:p>
                    </w:txbxContent>
                  </v:textbox>
                </v:rect>
                <w10:anchorlock/>
              </v:group>
            </w:pict>
          </mc:Fallback>
        </mc:AlternateContent>
      </w:r>
    </w:p>
    <w:p w:rsidR="00045EBA" w:rsidRDefault="003E0FC0" w:rsidP="003E0FC0">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1.1</w:t>
      </w:r>
      <w:r w:rsidR="00D360AF">
        <w:rPr>
          <w:rFonts w:ascii="Times New Roman" w:hAnsi="Times New Roman" w:cs="Times New Roman"/>
          <w:sz w:val="28"/>
          <w:szCs w:val="28"/>
        </w:rPr>
        <w:t>5</w:t>
      </w:r>
      <w:r>
        <w:rPr>
          <w:rFonts w:ascii="Times New Roman" w:hAnsi="Times New Roman" w:cs="Times New Roman"/>
          <w:sz w:val="28"/>
          <w:szCs w:val="28"/>
        </w:rPr>
        <w:t xml:space="preserve">. </w:t>
      </w:r>
      <w:r w:rsidRPr="003E0FC0">
        <w:rPr>
          <w:rFonts w:ascii="Times New Roman" w:hAnsi="Times New Roman" w:cs="Times New Roman"/>
          <w:sz w:val="28"/>
          <w:szCs w:val="28"/>
        </w:rPr>
        <w:t>Підходи до реалізації напрямків управління ліквідністю комерційних банків в основу яких покладено принципи ефективного управління ліквідністю</w:t>
      </w:r>
      <w:r>
        <w:rPr>
          <w:rFonts w:ascii="Times New Roman" w:hAnsi="Times New Roman" w:cs="Times New Roman"/>
          <w:sz w:val="28"/>
          <w:szCs w:val="28"/>
        </w:rPr>
        <w:t xml:space="preserve"> </w:t>
      </w:r>
      <w:r w:rsidRPr="003E0FC0">
        <w:rPr>
          <w:rFonts w:ascii="Times New Roman" w:hAnsi="Times New Roman" w:cs="Times New Roman"/>
          <w:sz w:val="28"/>
          <w:szCs w:val="28"/>
        </w:rPr>
        <w:t>[4</w:t>
      </w:r>
      <w:r w:rsidR="00010FB4">
        <w:rPr>
          <w:rFonts w:ascii="Times New Roman" w:hAnsi="Times New Roman" w:cs="Times New Roman"/>
          <w:sz w:val="28"/>
          <w:szCs w:val="28"/>
        </w:rPr>
        <w:t>8</w:t>
      </w:r>
      <w:r w:rsidRPr="003E0FC0">
        <w:rPr>
          <w:rFonts w:ascii="Times New Roman" w:hAnsi="Times New Roman" w:cs="Times New Roman"/>
          <w:sz w:val="28"/>
          <w:szCs w:val="28"/>
        </w:rPr>
        <w:t>, с. 57</w:t>
      </w:r>
      <w:r>
        <w:rPr>
          <w:rFonts w:ascii="Times New Roman" w:hAnsi="Times New Roman" w:cs="Times New Roman"/>
          <w:sz w:val="28"/>
          <w:szCs w:val="28"/>
        </w:rPr>
        <w:t>; 48</w:t>
      </w:r>
      <w:r w:rsidRPr="003E0FC0">
        <w:rPr>
          <w:rFonts w:ascii="Times New Roman" w:hAnsi="Times New Roman" w:cs="Times New Roman"/>
          <w:sz w:val="28"/>
          <w:szCs w:val="28"/>
        </w:rPr>
        <w:t>]</w:t>
      </w:r>
    </w:p>
    <w:p w:rsidR="00493943" w:rsidRDefault="00493943" w:rsidP="00493943">
      <w:pPr>
        <w:pStyle w:val="a4"/>
        <w:spacing w:after="0" w:line="360" w:lineRule="auto"/>
        <w:ind w:left="0" w:firstLine="709"/>
        <w:jc w:val="both"/>
        <w:rPr>
          <w:rFonts w:ascii="Times New Roman" w:hAnsi="Times New Roman" w:cs="Times New Roman"/>
          <w:sz w:val="28"/>
          <w:szCs w:val="28"/>
        </w:rPr>
      </w:pPr>
      <w:r w:rsidRPr="00204565">
        <w:rPr>
          <w:rFonts w:ascii="Times New Roman" w:hAnsi="Times New Roman" w:cs="Times New Roman"/>
          <w:sz w:val="28"/>
          <w:szCs w:val="28"/>
        </w:rPr>
        <w:t>Управління ліквідністю банку за системним підходом – це цілеспрямов</w:t>
      </w:r>
      <w:r>
        <w:rPr>
          <w:rFonts w:ascii="Times New Roman" w:hAnsi="Times New Roman" w:cs="Times New Roman"/>
          <w:sz w:val="28"/>
          <w:szCs w:val="28"/>
        </w:rPr>
        <w:t xml:space="preserve">ана діяльність, що базується на </w:t>
      </w:r>
      <w:r w:rsidRPr="00204565">
        <w:rPr>
          <w:rFonts w:ascii="Times New Roman" w:hAnsi="Times New Roman" w:cs="Times New Roman"/>
          <w:sz w:val="28"/>
          <w:szCs w:val="28"/>
        </w:rPr>
        <w:t>загальнопр</w:t>
      </w:r>
      <w:r>
        <w:rPr>
          <w:rFonts w:ascii="Times New Roman" w:hAnsi="Times New Roman" w:cs="Times New Roman"/>
          <w:sz w:val="28"/>
          <w:szCs w:val="28"/>
        </w:rPr>
        <w:t xml:space="preserve">ийнятих принципах управління та </w:t>
      </w:r>
      <w:r w:rsidRPr="00204565">
        <w:rPr>
          <w:rFonts w:ascii="Times New Roman" w:hAnsi="Times New Roman" w:cs="Times New Roman"/>
          <w:sz w:val="28"/>
          <w:szCs w:val="28"/>
        </w:rPr>
        <w:t>передбачає взаємоузгоджене поєднання окремих елементів системи в</w:t>
      </w:r>
      <w:r>
        <w:rPr>
          <w:rFonts w:ascii="Times New Roman" w:hAnsi="Times New Roman" w:cs="Times New Roman"/>
          <w:sz w:val="28"/>
          <w:szCs w:val="28"/>
        </w:rPr>
        <w:t xml:space="preserve"> </w:t>
      </w:r>
      <w:r w:rsidRPr="00204565">
        <w:rPr>
          <w:rFonts w:ascii="Times New Roman" w:hAnsi="Times New Roman" w:cs="Times New Roman"/>
          <w:sz w:val="28"/>
          <w:szCs w:val="28"/>
        </w:rPr>
        <w:t>межах наявного забезпечення з метою отримання максимального ефекту синергії під час їх взаємодії [4</w:t>
      </w:r>
      <w:r w:rsidR="00010FB4">
        <w:rPr>
          <w:rFonts w:ascii="Times New Roman" w:hAnsi="Times New Roman" w:cs="Times New Roman"/>
          <w:sz w:val="28"/>
          <w:szCs w:val="28"/>
        </w:rPr>
        <w:t>8</w:t>
      </w:r>
      <w:r>
        <w:rPr>
          <w:rFonts w:ascii="Times New Roman" w:hAnsi="Times New Roman" w:cs="Times New Roman"/>
          <w:sz w:val="28"/>
          <w:szCs w:val="28"/>
        </w:rPr>
        <w:t>, с. 58</w:t>
      </w:r>
      <w:r w:rsidRPr="00204565">
        <w:rPr>
          <w:rFonts w:ascii="Times New Roman" w:hAnsi="Times New Roman" w:cs="Times New Roman"/>
          <w:sz w:val="28"/>
          <w:szCs w:val="28"/>
        </w:rPr>
        <w:t>]</w:t>
      </w:r>
      <w:r>
        <w:rPr>
          <w:rFonts w:ascii="Times New Roman" w:hAnsi="Times New Roman" w:cs="Times New Roman"/>
          <w:sz w:val="28"/>
          <w:szCs w:val="28"/>
        </w:rPr>
        <w:t>.</w:t>
      </w:r>
    </w:p>
    <w:p w:rsidR="00110EE2" w:rsidRDefault="00110EE2" w:rsidP="00493943">
      <w:pPr>
        <w:pStyle w:val="a4"/>
        <w:spacing w:before="120"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Підсумуємо, наведені принципи управління ліквідністю банку є всесвітньовизнаними та успішно використовуються в управлінні ліквідністю банків багатьох країн світу. Саме тому Україна почала процес запровадження </w:t>
      </w:r>
      <w:r>
        <w:rPr>
          <w:rFonts w:ascii="Times New Roman" w:hAnsi="Times New Roman" w:cs="Times New Roman"/>
          <w:sz w:val="28"/>
          <w:szCs w:val="28"/>
        </w:rPr>
        <w:lastRenderedPageBreak/>
        <w:t>принципів «Базелю ІІІ». Це якісно новий підхід до управління ліквідністю банків, в основу якого покладено забезпечення підвищення контролю за його ефективністю. Процес запровадження «Базеля ІІІ» є доволі тривалим, але за умови переходу українських банків до цих стандартів покращиться та посилиться контроль за рівнем їх ліквідності та банківської системи в цілому.</w:t>
      </w:r>
    </w:p>
    <w:p w:rsidR="00B312A0" w:rsidRDefault="00B312A0" w:rsidP="00110EE2">
      <w:pPr>
        <w:pStyle w:val="a4"/>
        <w:spacing w:after="0" w:line="360" w:lineRule="auto"/>
        <w:ind w:left="1489"/>
        <w:jc w:val="both"/>
        <w:rPr>
          <w:rFonts w:ascii="Times New Roman" w:hAnsi="Times New Roman" w:cs="Times New Roman"/>
          <w:sz w:val="28"/>
          <w:szCs w:val="28"/>
        </w:rPr>
      </w:pPr>
    </w:p>
    <w:p w:rsidR="00044323" w:rsidRDefault="00044323" w:rsidP="00110EE2">
      <w:pPr>
        <w:pStyle w:val="a4"/>
        <w:spacing w:after="0" w:line="360" w:lineRule="auto"/>
        <w:ind w:left="1489"/>
        <w:jc w:val="both"/>
        <w:rPr>
          <w:rFonts w:ascii="Times New Roman" w:hAnsi="Times New Roman" w:cs="Times New Roman"/>
          <w:sz w:val="28"/>
          <w:szCs w:val="28"/>
        </w:rPr>
      </w:pPr>
    </w:p>
    <w:p w:rsidR="00110EE2" w:rsidRPr="00C037FC" w:rsidRDefault="00110EE2" w:rsidP="00110EE2">
      <w:pPr>
        <w:spacing w:after="0" w:line="360" w:lineRule="auto"/>
        <w:ind w:firstLine="708"/>
        <w:jc w:val="both"/>
        <w:rPr>
          <w:rFonts w:ascii="Times New Roman" w:hAnsi="Times New Roman"/>
          <w:sz w:val="28"/>
          <w:szCs w:val="28"/>
        </w:rPr>
      </w:pPr>
      <w:r w:rsidRPr="00C037FC">
        <w:rPr>
          <w:rFonts w:ascii="Times New Roman" w:hAnsi="Times New Roman"/>
          <w:sz w:val="28"/>
          <w:szCs w:val="28"/>
        </w:rPr>
        <w:t>Висновки до розділу І</w:t>
      </w:r>
    </w:p>
    <w:p w:rsidR="00110EE2" w:rsidRDefault="00110EE2" w:rsidP="00110EE2">
      <w:pPr>
        <w:spacing w:after="0" w:line="360" w:lineRule="auto"/>
        <w:ind w:firstLine="708"/>
        <w:jc w:val="both"/>
        <w:rPr>
          <w:rFonts w:ascii="Times New Roman" w:hAnsi="Times New Roman"/>
          <w:b/>
          <w:sz w:val="28"/>
          <w:szCs w:val="28"/>
        </w:rPr>
      </w:pPr>
    </w:p>
    <w:p w:rsidR="00110EE2" w:rsidRDefault="00110EE2" w:rsidP="00D81F08">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результатами дослідження теоретичних аспектів оцінки та управління ліквідністю комерційного банку можна зробити наступні висновки:</w:t>
      </w:r>
    </w:p>
    <w:p w:rsidR="00F9745D" w:rsidRDefault="009D1FAC" w:rsidP="00D81F08">
      <w:pPr>
        <w:pStyle w:val="a4"/>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Встановлено, що к</w:t>
      </w:r>
      <w:r w:rsidR="00110EE2">
        <w:rPr>
          <w:rFonts w:ascii="Times New Roman" w:hAnsi="Times New Roman" w:cs="Times New Roman"/>
          <w:sz w:val="28"/>
          <w:szCs w:val="28"/>
        </w:rPr>
        <w:t xml:space="preserve">атегорія «ліквідність комерційного банку» є багатозначною та серед науковців-економістів відсутній єдиний підхід щодо її визначення. Узагальнюючи існуючі підходи до визначення окресленого поняття зазначимо, що «ліквідність комерційного банку» - </w:t>
      </w:r>
      <w:r w:rsidR="00D81F08" w:rsidRPr="00D81F08">
        <w:rPr>
          <w:rFonts w:ascii="Times New Roman" w:hAnsi="Times New Roman" w:cs="Times New Roman"/>
          <w:sz w:val="28"/>
          <w:szCs w:val="28"/>
        </w:rPr>
        <w:t>це спроможність та здатність банку забезпечити повне і своєчасне виконання своїх фінансових зобов’язань перед усіма стейкхолдерами, маючи для цього достатню кількість ресурсів, як готівкових, так і безготівкових, а також можливість та готовність пропонувати ліквідні банківські продукти.</w:t>
      </w:r>
      <w:r w:rsidR="00110EE2">
        <w:rPr>
          <w:rFonts w:ascii="Times New Roman" w:hAnsi="Times New Roman" w:cs="Times New Roman"/>
          <w:sz w:val="28"/>
          <w:szCs w:val="28"/>
        </w:rPr>
        <w:t xml:space="preserve"> Але виходячи з аналізу підходів до визначення поняття «ліквідності банку», враховуючи фактори негативного впливу на ліквідність та її структуру</w:t>
      </w:r>
      <w:r>
        <w:rPr>
          <w:rFonts w:ascii="Times New Roman" w:hAnsi="Times New Roman" w:cs="Times New Roman"/>
          <w:sz w:val="28"/>
          <w:szCs w:val="28"/>
        </w:rPr>
        <w:t>,</w:t>
      </w:r>
      <w:r w:rsidR="00110EE2">
        <w:rPr>
          <w:rFonts w:ascii="Times New Roman" w:hAnsi="Times New Roman" w:cs="Times New Roman"/>
          <w:sz w:val="28"/>
          <w:szCs w:val="28"/>
        </w:rPr>
        <w:t xml:space="preserve"> доцільно поняття «ліквідність банку» розуміти у широкому та вузькому сенсі. </w:t>
      </w:r>
      <w:r w:rsidR="00D81F08" w:rsidRPr="00D81F08">
        <w:rPr>
          <w:rFonts w:ascii="Times New Roman" w:hAnsi="Times New Roman" w:cs="Times New Roman"/>
          <w:sz w:val="28"/>
          <w:szCs w:val="28"/>
        </w:rPr>
        <w:t>Тобто ліквідність як запас, що є характеристикою ліквідності банку на даний момент (відображає наявність ресурсів для задоволення зобов’язань в конкретно визначений період); ліквідність як потік, що є характеристикою майбутнього (надає можливість здійснити прогноз змін).</w:t>
      </w:r>
      <w:r w:rsidR="00D81F08">
        <w:rPr>
          <w:rFonts w:ascii="Times New Roman" w:hAnsi="Times New Roman" w:cs="Times New Roman"/>
          <w:sz w:val="28"/>
          <w:szCs w:val="28"/>
        </w:rPr>
        <w:t xml:space="preserve"> </w:t>
      </w:r>
    </w:p>
    <w:p w:rsidR="00F9745D" w:rsidRDefault="009D1FAC" w:rsidP="00D81F08">
      <w:pPr>
        <w:pStyle w:val="a4"/>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Визначено, що а</w:t>
      </w:r>
      <w:r w:rsidR="00110EE2" w:rsidRPr="00F9745D">
        <w:rPr>
          <w:rFonts w:ascii="Times New Roman" w:hAnsi="Times New Roman" w:cs="Times New Roman"/>
          <w:sz w:val="28"/>
          <w:szCs w:val="28"/>
        </w:rPr>
        <w:t xml:space="preserve">наліз ліквідності комерційного банку – це складний аналітичний процес, який досліджує фактори, що впливають на її рівень; основною ціллю якого є виявлення недотримання нормативним або плановим показникам ліквідності та їх впливу на діяльність банківської структури в цілому. Тобто, аналіз ліквідності банку є невід’ємною та вагомою складовою механізму управління; підґрунтям для прийняття ефективних управлінських </w:t>
      </w:r>
      <w:r w:rsidR="00110EE2" w:rsidRPr="00F9745D">
        <w:rPr>
          <w:rFonts w:ascii="Times New Roman" w:hAnsi="Times New Roman" w:cs="Times New Roman"/>
          <w:sz w:val="28"/>
          <w:szCs w:val="28"/>
        </w:rPr>
        <w:lastRenderedPageBreak/>
        <w:t xml:space="preserve">рішень; інструментом, який у поєднанні з іншими, забезпечить фінансову стійкість та надійність банківської установи. Під час аналізу ліквідності банку застосовують нормативи ліквідності як загальноприйняті, так і розроблені банком. </w:t>
      </w:r>
      <w:r w:rsidR="00F06E3B" w:rsidRPr="00F9745D">
        <w:rPr>
          <w:rFonts w:ascii="Times New Roman" w:hAnsi="Times New Roman" w:cs="Times New Roman"/>
          <w:sz w:val="28"/>
          <w:szCs w:val="28"/>
        </w:rPr>
        <w:t>Станом на 31.12.2021</w:t>
      </w:r>
      <w:r w:rsidR="00110EE2" w:rsidRPr="00F9745D">
        <w:rPr>
          <w:rFonts w:ascii="Times New Roman" w:hAnsi="Times New Roman" w:cs="Times New Roman"/>
          <w:sz w:val="28"/>
          <w:szCs w:val="28"/>
        </w:rPr>
        <w:t xml:space="preserve"> регулятором встановлено наступні нормативи ліквідності: Н6 - норматив короткострокової ліквідності; LCR - коефіцієнт покриття ліквідністю; NSFR - коефіцієнта чистого стабільного фінансування. </w:t>
      </w:r>
      <w:r w:rsidR="00F06E3B" w:rsidRPr="00F9745D">
        <w:rPr>
          <w:rFonts w:ascii="Times New Roman" w:hAnsi="Times New Roman" w:cs="Times New Roman"/>
          <w:sz w:val="28"/>
          <w:szCs w:val="28"/>
        </w:rPr>
        <w:t xml:space="preserve">Проте у зв’язку із запровадженням нормативу NSFR, розрахунок якого базується не лише на статистичних даних, а й на реальних обсягах наявного та необхідного стабільного фінансування, </w:t>
      </w:r>
      <w:r w:rsidR="00126C28" w:rsidRPr="00F9745D">
        <w:rPr>
          <w:rFonts w:ascii="Times New Roman" w:hAnsi="Times New Roman" w:cs="Times New Roman"/>
          <w:sz w:val="28"/>
          <w:szCs w:val="28"/>
        </w:rPr>
        <w:t>НБУ</w:t>
      </w:r>
      <w:r w:rsidR="00F06E3B" w:rsidRPr="00F9745D">
        <w:rPr>
          <w:rFonts w:ascii="Times New Roman" w:hAnsi="Times New Roman" w:cs="Times New Roman"/>
          <w:sz w:val="28"/>
          <w:szCs w:val="28"/>
        </w:rPr>
        <w:t xml:space="preserve"> з 23.03.2022 норматив ліквідності Н6 скасував. </w:t>
      </w:r>
    </w:p>
    <w:p w:rsidR="00110EE2" w:rsidRPr="00F9745D" w:rsidRDefault="00110EE2" w:rsidP="00F9745D">
      <w:pPr>
        <w:pStyle w:val="a4"/>
        <w:spacing w:after="0" w:line="360" w:lineRule="auto"/>
        <w:ind w:left="0"/>
        <w:jc w:val="both"/>
        <w:rPr>
          <w:rFonts w:ascii="Times New Roman" w:hAnsi="Times New Roman" w:cs="Times New Roman"/>
          <w:sz w:val="28"/>
          <w:szCs w:val="28"/>
        </w:rPr>
      </w:pPr>
      <w:r w:rsidRPr="00F9745D">
        <w:rPr>
          <w:rFonts w:ascii="Times New Roman" w:hAnsi="Times New Roman" w:cs="Times New Roman"/>
          <w:sz w:val="28"/>
          <w:szCs w:val="28"/>
        </w:rPr>
        <w:t xml:space="preserve">Зазначені нормативи ліквідності сприяють наближенню національного регулювання ліквідності до стандартів </w:t>
      </w:r>
      <w:r w:rsidR="00727495">
        <w:rPr>
          <w:rFonts w:ascii="Times New Roman" w:hAnsi="Times New Roman" w:cs="Times New Roman"/>
          <w:sz w:val="28"/>
          <w:szCs w:val="28"/>
        </w:rPr>
        <w:t>ЄС</w:t>
      </w:r>
      <w:r w:rsidRPr="00F9745D">
        <w:rPr>
          <w:rFonts w:ascii="Times New Roman" w:hAnsi="Times New Roman" w:cs="Times New Roman"/>
          <w:sz w:val="28"/>
          <w:szCs w:val="28"/>
        </w:rPr>
        <w:t xml:space="preserve">; надають змогу виявити ефективні елементів управління, які будуть націлені на подолання нестачі ліквідності. Задля підвищення ефективності аналізу ліквідності банку на практиці застосовують метод аналізу активів і пасивів, який дає змогу отримати інформаційну основу для подальшого його проведення. Проте з метою отримання вичерпної інформації застосовують методи </w:t>
      </w:r>
      <w:proofErr w:type="spellStart"/>
      <w:r w:rsidR="00D353D7" w:rsidRPr="00F9745D">
        <w:rPr>
          <w:rFonts w:ascii="Times New Roman" w:hAnsi="Times New Roman" w:cs="Times New Roman"/>
          <w:sz w:val="28"/>
          <w:szCs w:val="28"/>
        </w:rPr>
        <w:t>G</w:t>
      </w:r>
      <w:r w:rsidRPr="00F9745D">
        <w:rPr>
          <w:rFonts w:ascii="Times New Roman" w:hAnsi="Times New Roman" w:cs="Times New Roman"/>
          <w:sz w:val="28"/>
          <w:szCs w:val="28"/>
        </w:rPr>
        <w:t>ap</w:t>
      </w:r>
      <w:proofErr w:type="spellEnd"/>
      <w:r w:rsidRPr="00F9745D">
        <w:rPr>
          <w:rFonts w:ascii="Times New Roman" w:hAnsi="Times New Roman" w:cs="Times New Roman"/>
          <w:sz w:val="28"/>
          <w:szCs w:val="28"/>
        </w:rPr>
        <w:t>-аналізу, загального фонду коштів, розподілу активів</w:t>
      </w:r>
      <w:r w:rsidR="00166993">
        <w:rPr>
          <w:rFonts w:ascii="Times New Roman" w:hAnsi="Times New Roman" w:cs="Times New Roman"/>
          <w:sz w:val="28"/>
          <w:szCs w:val="28"/>
        </w:rPr>
        <w:t xml:space="preserve"> тощо</w:t>
      </w:r>
      <w:r w:rsidRPr="00F9745D">
        <w:rPr>
          <w:rFonts w:ascii="Times New Roman" w:hAnsi="Times New Roman" w:cs="Times New Roman"/>
          <w:sz w:val="28"/>
          <w:szCs w:val="28"/>
        </w:rPr>
        <w:t>.</w:t>
      </w:r>
    </w:p>
    <w:p w:rsidR="00110EE2" w:rsidRDefault="00767D48" w:rsidP="00F06E3B">
      <w:pPr>
        <w:pStyle w:val="a4"/>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Розкрито п</w:t>
      </w:r>
      <w:r w:rsidR="00110EE2">
        <w:rPr>
          <w:rFonts w:ascii="Times New Roman" w:hAnsi="Times New Roman" w:cs="Times New Roman"/>
          <w:sz w:val="28"/>
          <w:szCs w:val="28"/>
        </w:rPr>
        <w:t>ринципи управління ліквідністю комерційного банку</w:t>
      </w:r>
      <w:r>
        <w:rPr>
          <w:rFonts w:ascii="Times New Roman" w:hAnsi="Times New Roman" w:cs="Times New Roman"/>
          <w:sz w:val="28"/>
          <w:szCs w:val="28"/>
        </w:rPr>
        <w:t>, які</w:t>
      </w:r>
      <w:r w:rsidR="00110EE2">
        <w:rPr>
          <w:rFonts w:ascii="Times New Roman" w:hAnsi="Times New Roman" w:cs="Times New Roman"/>
          <w:sz w:val="28"/>
          <w:szCs w:val="28"/>
        </w:rPr>
        <w:t xml:space="preserve"> поділяються на загальні, специфічні та ефективного управління </w:t>
      </w:r>
      <w:r>
        <w:rPr>
          <w:rFonts w:ascii="Times New Roman" w:hAnsi="Times New Roman" w:cs="Times New Roman"/>
          <w:sz w:val="28"/>
          <w:szCs w:val="28"/>
        </w:rPr>
        <w:t>і</w:t>
      </w:r>
      <w:r w:rsidR="00110EE2">
        <w:rPr>
          <w:rFonts w:ascii="Times New Roman" w:hAnsi="Times New Roman" w:cs="Times New Roman"/>
          <w:sz w:val="28"/>
          <w:szCs w:val="28"/>
        </w:rPr>
        <w:t xml:space="preserve"> разом складають концептуальні базиси управління ліквідністю комерційного банку. Принципи ефективного управління ліквідністю банку успішно використовуються в управлінні ліквідністю банків багатьох країн світу. Саме тому Україна почала процес запровадження принципів «Базелю ІІІ». Це якісно новий підхід до управління ліквідністю банків, в основу якого покладено забезпечення підвищення контролю за його ефективністю</w:t>
      </w:r>
      <w:r w:rsidR="00BA626A">
        <w:rPr>
          <w:rFonts w:ascii="Times New Roman" w:hAnsi="Times New Roman" w:cs="Times New Roman"/>
          <w:sz w:val="28"/>
          <w:szCs w:val="28"/>
        </w:rPr>
        <w:t>.</w:t>
      </w:r>
      <w:r w:rsidR="00110EE2">
        <w:rPr>
          <w:rFonts w:ascii="Times New Roman" w:hAnsi="Times New Roman" w:cs="Times New Roman"/>
          <w:sz w:val="28"/>
          <w:szCs w:val="28"/>
        </w:rPr>
        <w:t xml:space="preserve"> </w:t>
      </w:r>
      <w:r w:rsidR="002028D8">
        <w:rPr>
          <w:rFonts w:ascii="Times New Roman" w:hAnsi="Times New Roman" w:cs="Times New Roman"/>
          <w:sz w:val="28"/>
          <w:szCs w:val="28"/>
        </w:rPr>
        <w:t xml:space="preserve">Зазначені принципи є </w:t>
      </w:r>
      <w:r w:rsidR="00110EE2">
        <w:rPr>
          <w:rFonts w:ascii="Times New Roman" w:hAnsi="Times New Roman" w:cs="Times New Roman"/>
          <w:sz w:val="28"/>
          <w:szCs w:val="28"/>
        </w:rPr>
        <w:t>доцільним</w:t>
      </w:r>
      <w:r w:rsidR="002028D8">
        <w:rPr>
          <w:rFonts w:ascii="Times New Roman" w:hAnsi="Times New Roman" w:cs="Times New Roman"/>
          <w:sz w:val="28"/>
          <w:szCs w:val="28"/>
        </w:rPr>
        <w:t>и</w:t>
      </w:r>
      <w:r w:rsidR="00110EE2">
        <w:rPr>
          <w:rFonts w:ascii="Times New Roman" w:hAnsi="Times New Roman" w:cs="Times New Roman"/>
          <w:sz w:val="28"/>
          <w:szCs w:val="28"/>
        </w:rPr>
        <w:t>, а головне можливим</w:t>
      </w:r>
      <w:r w:rsidR="002028D8">
        <w:rPr>
          <w:rFonts w:ascii="Times New Roman" w:hAnsi="Times New Roman" w:cs="Times New Roman"/>
          <w:sz w:val="28"/>
          <w:szCs w:val="28"/>
        </w:rPr>
        <w:t>и</w:t>
      </w:r>
      <w:r w:rsidR="00110EE2">
        <w:rPr>
          <w:rFonts w:ascii="Times New Roman" w:hAnsi="Times New Roman" w:cs="Times New Roman"/>
          <w:sz w:val="28"/>
          <w:szCs w:val="28"/>
        </w:rPr>
        <w:t xml:space="preserve">, до використання в сучасній національній практиці. Процес запровадження «Базеля ІІІ» є доволі тривалим, але за умови переходу українських банків до цих стандартів покращиться та посилиться контроль за рівнем їх ліквідності та </w:t>
      </w:r>
      <w:r w:rsidR="00727495">
        <w:rPr>
          <w:rFonts w:ascii="Times New Roman" w:hAnsi="Times New Roman" w:cs="Times New Roman"/>
          <w:sz w:val="28"/>
          <w:szCs w:val="28"/>
        </w:rPr>
        <w:t>ліквідності</w:t>
      </w:r>
      <w:r w:rsidR="00542C9B">
        <w:rPr>
          <w:rFonts w:ascii="Times New Roman" w:hAnsi="Times New Roman" w:cs="Times New Roman"/>
          <w:sz w:val="28"/>
          <w:szCs w:val="28"/>
        </w:rPr>
        <w:t xml:space="preserve"> </w:t>
      </w:r>
      <w:r w:rsidR="00110EE2">
        <w:rPr>
          <w:rFonts w:ascii="Times New Roman" w:hAnsi="Times New Roman" w:cs="Times New Roman"/>
          <w:sz w:val="28"/>
          <w:szCs w:val="28"/>
        </w:rPr>
        <w:t>банківської системи в цілому.</w:t>
      </w:r>
    </w:p>
    <w:p w:rsidR="00B04864" w:rsidRDefault="00B04864">
      <w:pPr>
        <w:spacing w:line="259" w:lineRule="auto"/>
      </w:pPr>
      <w:r>
        <w:br w:type="page"/>
      </w:r>
    </w:p>
    <w:p w:rsidR="003A40EE" w:rsidRDefault="003A40EE" w:rsidP="003A40EE">
      <w:pPr>
        <w:spacing w:after="0" w:line="360" w:lineRule="auto"/>
        <w:jc w:val="center"/>
        <w:rPr>
          <w:rFonts w:ascii="Times New Roman" w:hAnsi="Times New Roman"/>
          <w:sz w:val="28"/>
          <w:szCs w:val="28"/>
        </w:rPr>
      </w:pPr>
      <w:r>
        <w:rPr>
          <w:rFonts w:ascii="Times New Roman" w:hAnsi="Times New Roman"/>
          <w:sz w:val="28"/>
          <w:szCs w:val="28"/>
        </w:rPr>
        <w:lastRenderedPageBreak/>
        <w:t>РОЗДІЛ 2</w:t>
      </w:r>
    </w:p>
    <w:p w:rsidR="003A40EE" w:rsidRPr="003A40EE" w:rsidRDefault="003A40EE" w:rsidP="003A40EE">
      <w:pPr>
        <w:spacing w:after="0" w:line="360" w:lineRule="auto"/>
        <w:jc w:val="center"/>
        <w:rPr>
          <w:rFonts w:ascii="Times New Roman" w:hAnsi="Times New Roman"/>
          <w:sz w:val="28"/>
          <w:szCs w:val="28"/>
        </w:rPr>
      </w:pPr>
      <w:r w:rsidRPr="003A40EE">
        <w:rPr>
          <w:rFonts w:ascii="Times New Roman" w:hAnsi="Times New Roman"/>
          <w:sz w:val="28"/>
          <w:szCs w:val="28"/>
        </w:rPr>
        <w:t>АНАЛІТИЧНИЙ ІНСТРУМЕНТАРІЙ УПРАВЛІННЯ ЛІКВІДНІСТЮ КОМЕРЦІЙНОГО БАНКУ</w:t>
      </w:r>
    </w:p>
    <w:p w:rsidR="005057BF" w:rsidRDefault="005057BF">
      <w:pPr>
        <w:rPr>
          <w:rFonts w:ascii="Times New Roman" w:hAnsi="Times New Roman"/>
          <w:sz w:val="24"/>
          <w:szCs w:val="24"/>
        </w:rPr>
      </w:pPr>
    </w:p>
    <w:p w:rsidR="003A40EE" w:rsidRDefault="003A40EE">
      <w:pPr>
        <w:rPr>
          <w:rFonts w:ascii="Times New Roman" w:hAnsi="Times New Roman"/>
          <w:sz w:val="24"/>
          <w:szCs w:val="24"/>
        </w:rPr>
      </w:pPr>
    </w:p>
    <w:p w:rsidR="003A40EE" w:rsidRDefault="003A40EE" w:rsidP="003A40EE">
      <w:pPr>
        <w:spacing w:after="0" w:line="360" w:lineRule="auto"/>
        <w:ind w:firstLine="709"/>
        <w:rPr>
          <w:rFonts w:ascii="Times New Roman" w:hAnsi="Times New Roman"/>
          <w:sz w:val="28"/>
          <w:szCs w:val="28"/>
        </w:rPr>
      </w:pPr>
      <w:r w:rsidRPr="003A40EE">
        <w:rPr>
          <w:rFonts w:ascii="Times New Roman" w:hAnsi="Times New Roman"/>
          <w:sz w:val="28"/>
          <w:szCs w:val="28"/>
        </w:rPr>
        <w:t>2.1. Організаційно-економічні передумови управління ліквідністю АТ «Ідея Банк»</w:t>
      </w:r>
    </w:p>
    <w:p w:rsidR="00C210E9" w:rsidRDefault="00C210E9" w:rsidP="003A40EE">
      <w:pPr>
        <w:spacing w:after="0" w:line="360" w:lineRule="auto"/>
        <w:ind w:firstLine="709"/>
        <w:rPr>
          <w:rFonts w:ascii="Times New Roman" w:hAnsi="Times New Roman"/>
          <w:sz w:val="28"/>
          <w:szCs w:val="28"/>
        </w:rPr>
      </w:pPr>
    </w:p>
    <w:p w:rsidR="000818D3" w:rsidRDefault="000818D3" w:rsidP="000818D3">
      <w:pPr>
        <w:spacing w:after="0" w:line="360" w:lineRule="auto"/>
        <w:ind w:firstLine="708"/>
        <w:jc w:val="both"/>
        <w:rPr>
          <w:rFonts w:ascii="Times New Roman" w:hAnsi="Times New Roman"/>
          <w:sz w:val="28"/>
          <w:szCs w:val="28"/>
        </w:rPr>
      </w:pPr>
      <w:r>
        <w:rPr>
          <w:rFonts w:ascii="Times New Roman" w:hAnsi="Times New Roman"/>
          <w:sz w:val="28"/>
          <w:szCs w:val="28"/>
        </w:rPr>
        <w:t>Економіка – це складна система, всі складові якої тісно пов’язані між собою та відіграють важливу роль. Одну з найважливіших ролей в економіці на сьогодні відведено саме банківській системі, нормальне функціонування якої забезпечує нормальне функціонування економіки в цілому. Банківська система вважається у відмінному стані тоді, коли вона стійка, добре капіталізована та ліквідна.</w:t>
      </w:r>
    </w:p>
    <w:p w:rsidR="000818D3" w:rsidRDefault="000818D3" w:rsidP="000818D3">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Невід’ємною складовою банківської системи України є комерційні банки. </w:t>
      </w:r>
      <w:r w:rsidR="002055CB" w:rsidRPr="002055CB">
        <w:rPr>
          <w:rFonts w:ascii="Times New Roman" w:hAnsi="Times New Roman"/>
          <w:sz w:val="28"/>
          <w:szCs w:val="28"/>
        </w:rPr>
        <w:t>Комерційні банки - це багатопрофільні кредитні установи, що здійснюють операції у різних секторах ринку позичкових капіталів, обслуговуючи підприємства всіх галузей економіки та населення.</w:t>
      </w:r>
      <w:r w:rsidR="002055CB">
        <w:rPr>
          <w:rFonts w:ascii="Times New Roman" w:hAnsi="Times New Roman"/>
          <w:sz w:val="28"/>
          <w:szCs w:val="28"/>
        </w:rPr>
        <w:t xml:space="preserve"> </w:t>
      </w:r>
      <w:r>
        <w:rPr>
          <w:rFonts w:ascii="Times New Roman" w:hAnsi="Times New Roman"/>
          <w:sz w:val="28"/>
          <w:szCs w:val="28"/>
        </w:rPr>
        <w:t>За даними, які розміщені на офіційному сайті ТОВ «</w:t>
      </w:r>
      <w:proofErr w:type="spellStart"/>
      <w:r>
        <w:rPr>
          <w:rFonts w:ascii="Times New Roman" w:hAnsi="Times New Roman"/>
          <w:sz w:val="28"/>
          <w:szCs w:val="28"/>
        </w:rPr>
        <w:t>МiнфiнМедiа</w:t>
      </w:r>
      <w:proofErr w:type="spellEnd"/>
      <w:r>
        <w:rPr>
          <w:rFonts w:ascii="Times New Roman" w:hAnsi="Times New Roman"/>
          <w:sz w:val="28"/>
          <w:szCs w:val="28"/>
        </w:rPr>
        <w:t>», кількість комерційних банків протягом останніх де</w:t>
      </w:r>
      <w:r w:rsidR="002055CB">
        <w:rPr>
          <w:rFonts w:ascii="Times New Roman" w:hAnsi="Times New Roman"/>
          <w:sz w:val="28"/>
          <w:szCs w:val="28"/>
        </w:rPr>
        <w:t xml:space="preserve">сяти років стрімко знижується </w:t>
      </w:r>
      <w:r w:rsidR="00DA092C">
        <w:rPr>
          <w:rFonts w:ascii="Times New Roman" w:hAnsi="Times New Roman"/>
          <w:sz w:val="28"/>
          <w:szCs w:val="28"/>
        </w:rPr>
        <w:t>(див. рис. 2.1</w:t>
      </w:r>
      <w:r w:rsidRPr="002A08FF">
        <w:rPr>
          <w:rFonts w:ascii="Times New Roman" w:hAnsi="Times New Roman"/>
          <w:sz w:val="28"/>
          <w:szCs w:val="28"/>
        </w:rPr>
        <w:t>)</w:t>
      </w:r>
      <w:r w:rsidR="00DA092C" w:rsidRPr="00DA092C">
        <w:rPr>
          <w:rFonts w:ascii="Times New Roman" w:hAnsi="Times New Roman"/>
          <w:sz w:val="28"/>
          <w:szCs w:val="28"/>
        </w:rPr>
        <w:t xml:space="preserve"> </w:t>
      </w:r>
      <w:r w:rsidR="00DA092C">
        <w:rPr>
          <w:rFonts w:ascii="Times New Roman" w:hAnsi="Times New Roman"/>
          <w:sz w:val="28"/>
          <w:szCs w:val="28"/>
        </w:rPr>
        <w:t>[50]</w:t>
      </w:r>
      <w:r w:rsidRPr="002A08FF">
        <w:rPr>
          <w:rFonts w:ascii="Times New Roman" w:hAnsi="Times New Roman"/>
          <w:sz w:val="28"/>
          <w:szCs w:val="28"/>
        </w:rPr>
        <w:t>.</w:t>
      </w:r>
      <w:r>
        <w:rPr>
          <w:rFonts w:ascii="Times New Roman" w:hAnsi="Times New Roman"/>
          <w:sz w:val="28"/>
          <w:szCs w:val="28"/>
        </w:rPr>
        <w:t xml:space="preserve"> </w:t>
      </w:r>
    </w:p>
    <w:p w:rsidR="000818D3" w:rsidRDefault="002A08FF" w:rsidP="002A08FF">
      <w:pPr>
        <w:spacing w:after="0" w:line="360" w:lineRule="auto"/>
        <w:ind w:firstLine="709"/>
        <w:jc w:val="center"/>
        <w:rPr>
          <w:rFonts w:ascii="Times New Roman" w:hAnsi="Times New Roman"/>
          <w:sz w:val="28"/>
          <w:szCs w:val="28"/>
        </w:rPr>
      </w:pPr>
      <w:r>
        <w:rPr>
          <w:noProof/>
          <w:lang w:eastAsia="uk-UA"/>
        </w:rPr>
        <w:drawing>
          <wp:inline distT="0" distB="0" distL="0" distR="0" wp14:anchorId="68623975" wp14:editId="1B43220F">
            <wp:extent cx="5059680" cy="2895600"/>
            <wp:effectExtent l="0" t="0" r="7620"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55F6D" w:rsidRDefault="00E55F6D" w:rsidP="00E55F6D">
      <w:pPr>
        <w:spacing w:after="0" w:line="360" w:lineRule="auto"/>
        <w:ind w:firstLine="708"/>
        <w:jc w:val="center"/>
        <w:rPr>
          <w:rFonts w:ascii="Times New Roman" w:hAnsi="Times New Roman"/>
          <w:sz w:val="28"/>
          <w:szCs w:val="28"/>
        </w:rPr>
      </w:pPr>
      <w:r w:rsidRPr="00E55F6D">
        <w:rPr>
          <w:rFonts w:ascii="Times New Roman" w:hAnsi="Times New Roman"/>
          <w:sz w:val="28"/>
          <w:szCs w:val="28"/>
        </w:rPr>
        <w:t>Рис. 2.1.</w:t>
      </w:r>
      <w:r>
        <w:rPr>
          <w:rFonts w:ascii="Times New Roman" w:hAnsi="Times New Roman"/>
          <w:sz w:val="28"/>
          <w:szCs w:val="28"/>
        </w:rPr>
        <w:t xml:space="preserve"> Кількість комерційних банків [50</w:t>
      </w:r>
      <w:r w:rsidRPr="00E55F6D">
        <w:rPr>
          <w:rFonts w:ascii="Times New Roman" w:hAnsi="Times New Roman"/>
          <w:sz w:val="28"/>
          <w:szCs w:val="28"/>
        </w:rPr>
        <w:t>]</w:t>
      </w:r>
    </w:p>
    <w:p w:rsidR="00E55F6D" w:rsidRDefault="00E55F6D" w:rsidP="00E55F6D">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Як вбачається з поданих даних, кількість діючих комерційних банків зменшується переважно за рахунок банків з вітчизняним капіталом.</w:t>
      </w:r>
    </w:p>
    <w:p w:rsidR="003650EF" w:rsidRDefault="003650EF" w:rsidP="003650EF">
      <w:pPr>
        <w:spacing w:after="0" w:line="360" w:lineRule="auto"/>
        <w:ind w:firstLine="708"/>
        <w:jc w:val="both"/>
        <w:rPr>
          <w:rFonts w:ascii="Times New Roman" w:hAnsi="Times New Roman"/>
          <w:sz w:val="28"/>
          <w:szCs w:val="28"/>
        </w:rPr>
      </w:pPr>
      <w:r>
        <w:rPr>
          <w:rFonts w:ascii="Times New Roman" w:hAnsi="Times New Roman"/>
          <w:sz w:val="28"/>
          <w:szCs w:val="28"/>
        </w:rPr>
        <w:t>Так, не зважаючи на виклики економічних криз останніх десятиліть, одним із банків з іноземним капіталом, що найбільш розвивається, є Акціонерне Товариство «Ідея Банк» (</w:t>
      </w:r>
      <w:proofErr w:type="spellStart"/>
      <w:r>
        <w:rPr>
          <w:rFonts w:ascii="Times New Roman" w:hAnsi="Times New Roman"/>
          <w:sz w:val="28"/>
          <w:szCs w:val="28"/>
        </w:rPr>
        <w:t>скор</w:t>
      </w:r>
      <w:proofErr w:type="spellEnd"/>
      <w:r>
        <w:rPr>
          <w:rFonts w:ascii="Times New Roman" w:hAnsi="Times New Roman"/>
          <w:sz w:val="28"/>
          <w:szCs w:val="28"/>
        </w:rPr>
        <w:t>. АТ «Ідея Банк» або «Банк»), який працює на ринку України з 1989 року та представлений в усіх її областях. Діяльність Банку ґрунтується на чинному законодавстві та ліцензіях, виданих Національним банком України. АТ «Ідея Банк» має статус банку з іноземним капіталом та статус ощадного. У 2007 Банк було придбано польською фінансовою групою «</w:t>
      </w:r>
      <w:proofErr w:type="spellStart"/>
      <w:r>
        <w:rPr>
          <w:rFonts w:ascii="Times New Roman" w:hAnsi="Times New Roman"/>
          <w:sz w:val="28"/>
          <w:szCs w:val="28"/>
        </w:rPr>
        <w:t>Getin</w:t>
      </w:r>
      <w:proofErr w:type="spellEnd"/>
      <w:r>
        <w:rPr>
          <w:rFonts w:ascii="Times New Roman" w:hAnsi="Times New Roman"/>
          <w:sz w:val="28"/>
          <w:szCs w:val="28"/>
        </w:rPr>
        <w:t xml:space="preserve"> </w:t>
      </w:r>
      <w:proofErr w:type="spellStart"/>
      <w:r>
        <w:rPr>
          <w:rFonts w:ascii="Times New Roman" w:hAnsi="Times New Roman"/>
          <w:sz w:val="28"/>
          <w:szCs w:val="28"/>
        </w:rPr>
        <w:t>Holding</w:t>
      </w:r>
      <w:proofErr w:type="spellEnd"/>
      <w:r>
        <w:rPr>
          <w:rFonts w:ascii="Times New Roman" w:hAnsi="Times New Roman"/>
          <w:sz w:val="28"/>
          <w:szCs w:val="28"/>
        </w:rPr>
        <w:t xml:space="preserve"> S.A.». Пряма участь </w:t>
      </w:r>
      <w:proofErr w:type="spellStart"/>
      <w:r>
        <w:rPr>
          <w:rFonts w:ascii="Times New Roman" w:hAnsi="Times New Roman"/>
          <w:sz w:val="28"/>
          <w:szCs w:val="28"/>
        </w:rPr>
        <w:t>Getin</w:t>
      </w:r>
      <w:proofErr w:type="spellEnd"/>
      <w:r>
        <w:rPr>
          <w:rFonts w:ascii="Times New Roman" w:hAnsi="Times New Roman"/>
          <w:sz w:val="28"/>
          <w:szCs w:val="28"/>
        </w:rPr>
        <w:t xml:space="preserve"> </w:t>
      </w:r>
      <w:proofErr w:type="spellStart"/>
      <w:r>
        <w:rPr>
          <w:rFonts w:ascii="Times New Roman" w:hAnsi="Times New Roman"/>
          <w:sz w:val="28"/>
          <w:szCs w:val="28"/>
        </w:rPr>
        <w:t>Holding</w:t>
      </w:r>
      <w:proofErr w:type="spellEnd"/>
      <w:r>
        <w:rPr>
          <w:rFonts w:ascii="Times New Roman" w:hAnsi="Times New Roman"/>
          <w:sz w:val="28"/>
          <w:szCs w:val="28"/>
        </w:rPr>
        <w:t xml:space="preserve"> S.A у статутному капіталі АТ «Ідея Банк» станом на 31.12.2021 становить 100%.</w:t>
      </w:r>
    </w:p>
    <w:p w:rsidR="003650EF" w:rsidRDefault="003650EF" w:rsidP="003650EF">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АТ «Ідея банк» є роздрібним банком, надаючи широкий перелік фінансових послуг клієнтам – фізичним особам та фізичним особам-підприємцям. Банк також надає послуги юридичним особам. Послуги банку надаються через власну мережу відділень, банкоматів, партнерів, а також </w:t>
      </w:r>
      <w:proofErr w:type="spellStart"/>
      <w:r>
        <w:rPr>
          <w:rFonts w:ascii="Times New Roman" w:hAnsi="Times New Roman"/>
          <w:sz w:val="28"/>
          <w:szCs w:val="28"/>
        </w:rPr>
        <w:t>digital</w:t>
      </w:r>
      <w:proofErr w:type="spellEnd"/>
      <w:r>
        <w:rPr>
          <w:rFonts w:ascii="Times New Roman" w:hAnsi="Times New Roman"/>
          <w:sz w:val="28"/>
          <w:szCs w:val="28"/>
        </w:rPr>
        <w:t>-канали (Інтернет-</w:t>
      </w:r>
      <w:proofErr w:type="spellStart"/>
      <w:r>
        <w:rPr>
          <w:rFonts w:ascii="Times New Roman" w:hAnsi="Times New Roman"/>
          <w:sz w:val="28"/>
          <w:szCs w:val="28"/>
        </w:rPr>
        <w:t>банкінг</w:t>
      </w:r>
      <w:proofErr w:type="spellEnd"/>
      <w:r>
        <w:rPr>
          <w:rFonts w:ascii="Times New Roman" w:hAnsi="Times New Roman"/>
          <w:sz w:val="28"/>
          <w:szCs w:val="28"/>
        </w:rPr>
        <w:t xml:space="preserve">) та мобільний додаток </w:t>
      </w:r>
      <w:proofErr w:type="spellStart"/>
      <w:r>
        <w:rPr>
          <w:rFonts w:ascii="Times New Roman" w:hAnsi="Times New Roman"/>
          <w:sz w:val="28"/>
          <w:szCs w:val="28"/>
        </w:rPr>
        <w:t>O.Bank</w:t>
      </w:r>
      <w:proofErr w:type="spellEnd"/>
      <w:r>
        <w:rPr>
          <w:rFonts w:ascii="Times New Roman" w:hAnsi="Times New Roman"/>
          <w:sz w:val="28"/>
          <w:szCs w:val="28"/>
        </w:rPr>
        <w:t xml:space="preserve">. Банк активно впроваджує нові технології для вдосконалення обслуговування клієнтів, прагне дотримуватися високих стандартів якості обслуговування клієнтів, використовуючи свій багаторічний досвід на ринку та кращі європейські практики </w:t>
      </w:r>
      <w:r w:rsidR="00DA092C">
        <w:rPr>
          <w:rFonts w:ascii="Times New Roman" w:hAnsi="Times New Roman"/>
          <w:sz w:val="28"/>
          <w:szCs w:val="28"/>
        </w:rPr>
        <w:t>(див. рис. 2.2</w:t>
      </w:r>
      <w:r w:rsidRPr="00F9266A">
        <w:rPr>
          <w:rFonts w:ascii="Times New Roman" w:hAnsi="Times New Roman"/>
          <w:sz w:val="28"/>
          <w:szCs w:val="28"/>
        </w:rPr>
        <w:t>).</w:t>
      </w:r>
    </w:p>
    <w:p w:rsidR="00F9266A" w:rsidRDefault="00F9266A" w:rsidP="00F9266A">
      <w:pPr>
        <w:spacing w:after="0" w:line="360" w:lineRule="auto"/>
        <w:ind w:firstLine="708"/>
        <w:jc w:val="both"/>
        <w:rPr>
          <w:rFonts w:ascii="Times New Roman" w:hAnsi="Times New Roman"/>
          <w:sz w:val="28"/>
          <w:szCs w:val="28"/>
        </w:rPr>
      </w:pPr>
      <w:r w:rsidRPr="00F9266A">
        <w:rPr>
          <w:rFonts w:ascii="Times New Roman" w:hAnsi="Times New Roman"/>
          <w:sz w:val="28"/>
          <w:szCs w:val="28"/>
        </w:rPr>
        <w:t>Стратегія Банку спрямована на забезпечення висок</w:t>
      </w:r>
      <w:r>
        <w:rPr>
          <w:rFonts w:ascii="Times New Roman" w:hAnsi="Times New Roman"/>
          <w:sz w:val="28"/>
          <w:szCs w:val="28"/>
        </w:rPr>
        <w:t xml:space="preserve">оефективної бізнес моделі. Банк </w:t>
      </w:r>
      <w:r w:rsidRPr="00F9266A">
        <w:rPr>
          <w:rFonts w:ascii="Times New Roman" w:hAnsi="Times New Roman"/>
          <w:sz w:val="28"/>
          <w:szCs w:val="28"/>
        </w:rPr>
        <w:t>ставить на меті утримання лідируючих позицій в роздрібному сегменті банківського ринку</w:t>
      </w:r>
      <w:r>
        <w:rPr>
          <w:rFonts w:ascii="Times New Roman" w:hAnsi="Times New Roman"/>
          <w:sz w:val="28"/>
          <w:szCs w:val="28"/>
        </w:rPr>
        <w:t xml:space="preserve"> </w:t>
      </w:r>
      <w:r w:rsidRPr="00F9266A">
        <w:rPr>
          <w:rFonts w:ascii="Times New Roman" w:hAnsi="Times New Roman"/>
          <w:sz w:val="28"/>
          <w:szCs w:val="28"/>
        </w:rPr>
        <w:t>України. Основними стратегічними цілями Банку є підтримання високоефективної бізнес</w:t>
      </w:r>
      <w:r>
        <w:rPr>
          <w:rFonts w:ascii="Times New Roman" w:hAnsi="Times New Roman"/>
          <w:sz w:val="28"/>
          <w:szCs w:val="28"/>
        </w:rPr>
        <w:t xml:space="preserve"> </w:t>
      </w:r>
      <w:r w:rsidRPr="00F9266A">
        <w:rPr>
          <w:rFonts w:ascii="Times New Roman" w:hAnsi="Times New Roman"/>
          <w:sz w:val="28"/>
          <w:szCs w:val="28"/>
        </w:rPr>
        <w:t>моделі, підвищення стійкості банку, забезпечення достатнього рівня капіталізації з</w:t>
      </w:r>
      <w:r>
        <w:rPr>
          <w:rFonts w:ascii="Times New Roman" w:hAnsi="Times New Roman"/>
          <w:sz w:val="28"/>
          <w:szCs w:val="28"/>
        </w:rPr>
        <w:t xml:space="preserve"> </w:t>
      </w:r>
      <w:r w:rsidRPr="00F9266A">
        <w:rPr>
          <w:rFonts w:ascii="Times New Roman" w:hAnsi="Times New Roman"/>
          <w:sz w:val="28"/>
          <w:szCs w:val="28"/>
        </w:rPr>
        <w:t>врахуванням змін регуляторних вимог, укріплення бренду банку, розвиток мобільного</w:t>
      </w:r>
      <w:r>
        <w:rPr>
          <w:rFonts w:ascii="Times New Roman" w:hAnsi="Times New Roman"/>
          <w:sz w:val="28"/>
          <w:szCs w:val="28"/>
        </w:rPr>
        <w:t xml:space="preserve"> </w:t>
      </w:r>
      <w:r w:rsidRPr="00F9266A">
        <w:rPr>
          <w:rFonts w:ascii="Times New Roman" w:hAnsi="Times New Roman"/>
          <w:sz w:val="28"/>
          <w:szCs w:val="28"/>
        </w:rPr>
        <w:t xml:space="preserve">цифрового банку </w:t>
      </w:r>
      <w:proofErr w:type="spellStart"/>
      <w:r w:rsidRPr="00F9266A">
        <w:rPr>
          <w:rFonts w:ascii="Times New Roman" w:hAnsi="Times New Roman"/>
          <w:sz w:val="28"/>
          <w:szCs w:val="28"/>
        </w:rPr>
        <w:t>O.Bank</w:t>
      </w:r>
      <w:proofErr w:type="spellEnd"/>
      <w:r w:rsidRPr="00F9266A">
        <w:rPr>
          <w:rFonts w:ascii="Times New Roman" w:hAnsi="Times New Roman"/>
          <w:sz w:val="28"/>
          <w:szCs w:val="28"/>
        </w:rPr>
        <w:t>, фокусування на покращенні та зниженні ризик профілю клієнтів</w:t>
      </w:r>
      <w:r>
        <w:rPr>
          <w:rFonts w:ascii="Times New Roman" w:hAnsi="Times New Roman"/>
          <w:sz w:val="28"/>
          <w:szCs w:val="28"/>
        </w:rPr>
        <w:t xml:space="preserve"> Б</w:t>
      </w:r>
      <w:r w:rsidRPr="00F9266A">
        <w:rPr>
          <w:rFonts w:ascii="Times New Roman" w:hAnsi="Times New Roman"/>
          <w:sz w:val="28"/>
          <w:szCs w:val="28"/>
        </w:rPr>
        <w:t>анку</w:t>
      </w:r>
      <w:r>
        <w:rPr>
          <w:rFonts w:ascii="Times New Roman" w:hAnsi="Times New Roman"/>
          <w:sz w:val="28"/>
          <w:szCs w:val="28"/>
        </w:rPr>
        <w:t>.</w:t>
      </w:r>
    </w:p>
    <w:p w:rsidR="001B2B50" w:rsidRDefault="001B2B50" w:rsidP="001B2B50">
      <w:pPr>
        <w:spacing w:after="0" w:line="360" w:lineRule="auto"/>
        <w:ind w:firstLine="708"/>
        <w:jc w:val="both"/>
        <w:rPr>
          <w:rFonts w:ascii="Times New Roman" w:hAnsi="Times New Roman"/>
          <w:sz w:val="28"/>
          <w:szCs w:val="28"/>
        </w:rPr>
      </w:pPr>
      <w:r w:rsidRPr="001B2B50">
        <w:rPr>
          <w:rFonts w:ascii="Times New Roman" w:hAnsi="Times New Roman"/>
          <w:sz w:val="28"/>
          <w:szCs w:val="28"/>
        </w:rPr>
        <w:t>Важливим стратегічн</w:t>
      </w:r>
      <w:r>
        <w:rPr>
          <w:rFonts w:ascii="Times New Roman" w:hAnsi="Times New Roman"/>
          <w:sz w:val="28"/>
          <w:szCs w:val="28"/>
        </w:rPr>
        <w:t xml:space="preserve">им напрямком роботи банку є підвищення якості </w:t>
      </w:r>
      <w:r w:rsidRPr="001B2B50">
        <w:rPr>
          <w:rFonts w:ascii="Times New Roman" w:hAnsi="Times New Roman"/>
          <w:sz w:val="28"/>
          <w:szCs w:val="28"/>
        </w:rPr>
        <w:t>обслуговування клієнтів, забезпечення їх доступними продуктами та зручними сервісами</w:t>
      </w:r>
      <w:r>
        <w:rPr>
          <w:rFonts w:ascii="Times New Roman" w:hAnsi="Times New Roman"/>
          <w:sz w:val="28"/>
          <w:szCs w:val="28"/>
        </w:rPr>
        <w:t>.</w:t>
      </w:r>
    </w:p>
    <w:p w:rsidR="001B2B50" w:rsidRDefault="001B2B50">
      <w:pPr>
        <w:spacing w:line="259" w:lineRule="auto"/>
        <w:rPr>
          <w:rFonts w:ascii="Times New Roman" w:hAnsi="Times New Roman"/>
          <w:sz w:val="28"/>
          <w:szCs w:val="28"/>
        </w:rPr>
      </w:pPr>
      <w:r>
        <w:rPr>
          <w:rFonts w:ascii="Times New Roman" w:hAnsi="Times New Roman"/>
          <w:sz w:val="28"/>
          <w:szCs w:val="28"/>
        </w:rPr>
        <w:br w:type="page"/>
      </w:r>
    </w:p>
    <w:p w:rsidR="00DC09D4" w:rsidRDefault="00DC09D4" w:rsidP="00DC09D4">
      <w:pPr>
        <w:spacing w:after="0" w:line="360" w:lineRule="auto"/>
        <w:ind w:firstLine="708"/>
        <w:jc w:val="both"/>
        <w:rPr>
          <w:rFonts w:ascii="Times New Roman" w:hAnsi="Times New Roman"/>
          <w:sz w:val="28"/>
          <w:szCs w:val="28"/>
        </w:rPr>
      </w:pPr>
      <w:r>
        <w:rPr>
          <w:noProof/>
          <w:lang w:eastAsia="uk-UA"/>
        </w:rPr>
        <w:lastRenderedPageBreak/>
        <mc:AlternateContent>
          <mc:Choice Requires="wpc">
            <w:drawing>
              <wp:inline distT="0" distB="0" distL="0" distR="0" wp14:anchorId="71295E03" wp14:editId="1EA7388E">
                <wp:extent cx="5486400" cy="2895600"/>
                <wp:effectExtent l="0" t="0" r="0" b="0"/>
                <wp:docPr id="200"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4" name="Овал 3"/>
                        <wps:cNvSpPr>
                          <a:spLocks noChangeArrowheads="1"/>
                        </wps:cNvSpPr>
                        <wps:spPr bwMode="auto">
                          <a:xfrm>
                            <a:off x="178200" y="289560"/>
                            <a:ext cx="4982700" cy="1139437"/>
                          </a:xfrm>
                          <a:prstGeom prst="ellipse">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DC09D4">
                              <w:pPr>
                                <w:spacing w:after="0" w:line="240" w:lineRule="auto"/>
                                <w:jc w:val="center"/>
                                <w:rPr>
                                  <w:rFonts w:ascii="Times New Roman" w:hAnsi="Times New Roman"/>
                                  <w:color w:val="000000" w:themeColor="text1"/>
                                  <w:sz w:val="24"/>
                                  <w:szCs w:val="24"/>
                                </w:rPr>
                              </w:pPr>
                              <w:r>
                                <w:rPr>
                                  <w:rFonts w:ascii="Times New Roman" w:hAnsi="Times New Roman"/>
                                  <w:b/>
                                  <w:color w:val="000000" w:themeColor="text1"/>
                                  <w:sz w:val="24"/>
                                  <w:szCs w:val="24"/>
                                </w:rPr>
                                <w:t>МІСІЯ:</w:t>
                              </w:r>
                              <w:r>
                                <w:rPr>
                                  <w:rFonts w:ascii="Times New Roman" w:hAnsi="Times New Roman"/>
                                  <w:color w:val="000000" w:themeColor="text1"/>
                                  <w:sz w:val="24"/>
                                  <w:szCs w:val="24"/>
                                </w:rPr>
                                <w:t xml:space="preserve"> </w:t>
                              </w:r>
                            </w:p>
                            <w:p w:rsidR="00F821E3" w:rsidRDefault="00F821E3" w:rsidP="00DC09D4">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бути найближчим до клієнта банком – доступним фінансовим партнером, який реалізовує прості рішення для втілення ідей </w:t>
                              </w:r>
                            </w:p>
                          </w:txbxContent>
                        </wps:txbx>
                        <wps:bodyPr rot="0" vert="horz" wrap="square" lIns="91440" tIns="45720" rIns="91440" bIns="45720" anchor="ctr" anchorCtr="0" upright="1">
                          <a:noAutofit/>
                        </wps:bodyPr>
                      </wps:wsp>
                      <wps:wsp>
                        <wps:cNvPr id="139" name="Скругленный прямоугольник 4"/>
                        <wps:cNvSpPr>
                          <a:spLocks noChangeArrowheads="1"/>
                        </wps:cNvSpPr>
                        <wps:spPr bwMode="auto">
                          <a:xfrm>
                            <a:off x="1480000" y="1428997"/>
                            <a:ext cx="2340300" cy="387515"/>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DC09D4">
                              <w:pPr>
                                <w:jc w:val="center"/>
                                <w:rPr>
                                  <w:rFonts w:ascii="Times New Roman" w:hAnsi="Times New Roman"/>
                                  <w:b/>
                                  <w:color w:val="000000" w:themeColor="text1"/>
                                  <w:sz w:val="24"/>
                                  <w:szCs w:val="24"/>
                                </w:rPr>
                              </w:pPr>
                              <w:r>
                                <w:rPr>
                                  <w:rFonts w:ascii="Times New Roman" w:hAnsi="Times New Roman"/>
                                  <w:b/>
                                  <w:color w:val="000000" w:themeColor="text1"/>
                                  <w:sz w:val="24"/>
                                  <w:szCs w:val="24"/>
                                </w:rPr>
                                <w:t>ЦІННОСТІ</w:t>
                              </w:r>
                            </w:p>
                          </w:txbxContent>
                        </wps:txbx>
                        <wps:bodyPr rot="0" vert="horz" wrap="square" lIns="91440" tIns="45720" rIns="91440" bIns="45720" anchor="ctr" anchorCtr="0" upright="1">
                          <a:noAutofit/>
                        </wps:bodyPr>
                      </wps:wsp>
                      <wps:wsp>
                        <wps:cNvPr id="148" name="Прямая соединительная линия 5"/>
                        <wps:cNvCnPr>
                          <a:cxnSpLocks noChangeShapeType="1"/>
                        </wps:cNvCnPr>
                        <wps:spPr bwMode="auto">
                          <a:xfrm flipH="1">
                            <a:off x="751600" y="1777800"/>
                            <a:ext cx="728400" cy="294587"/>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69" name="Прямая соединительная линия 6"/>
                        <wps:cNvCnPr>
                          <a:cxnSpLocks noChangeShapeType="1"/>
                        </wps:cNvCnPr>
                        <wps:spPr bwMode="auto">
                          <a:xfrm flipH="1">
                            <a:off x="1906200" y="1816512"/>
                            <a:ext cx="728500" cy="356606"/>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76" name="Прямая соединительная линия 7"/>
                        <wps:cNvCnPr>
                          <a:cxnSpLocks noChangeShapeType="1"/>
                        </wps:cNvCnPr>
                        <wps:spPr bwMode="auto">
                          <a:xfrm>
                            <a:off x="2650200" y="1816512"/>
                            <a:ext cx="728400" cy="356606"/>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79" name="Прямая соединительная линия 8"/>
                        <wps:cNvCnPr>
                          <a:cxnSpLocks noChangeShapeType="1"/>
                        </wps:cNvCnPr>
                        <wps:spPr bwMode="auto">
                          <a:xfrm>
                            <a:off x="3820300" y="1777800"/>
                            <a:ext cx="817500" cy="294587"/>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80" name="Прямоугольник 9"/>
                        <wps:cNvSpPr>
                          <a:spLocks noChangeArrowheads="1"/>
                        </wps:cNvSpPr>
                        <wps:spPr bwMode="auto">
                          <a:xfrm>
                            <a:off x="178200" y="2072388"/>
                            <a:ext cx="1162400" cy="333299"/>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DC09D4">
                              <w:pPr>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інноваційність</w:t>
                              </w:r>
                              <w:proofErr w:type="spellEnd"/>
                            </w:p>
                          </w:txbxContent>
                        </wps:txbx>
                        <wps:bodyPr rot="0" vert="horz" wrap="square" lIns="91440" tIns="45720" rIns="91440" bIns="45720" anchor="ctr" anchorCtr="0" upright="1">
                          <a:noAutofit/>
                        </wps:bodyPr>
                      </wps:wsp>
                      <wps:wsp>
                        <wps:cNvPr id="197" name="Прямоугольник 10"/>
                        <wps:cNvSpPr>
                          <a:spLocks noChangeArrowheads="1"/>
                        </wps:cNvSpPr>
                        <wps:spPr bwMode="auto">
                          <a:xfrm>
                            <a:off x="1480000" y="2173117"/>
                            <a:ext cx="999700" cy="488344"/>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DC09D4">
                              <w:pPr>
                                <w:jc w:val="center"/>
                                <w:rPr>
                                  <w:rFonts w:ascii="Times New Roman" w:hAnsi="Times New Roman"/>
                                  <w:color w:val="000000" w:themeColor="text1"/>
                                  <w:sz w:val="24"/>
                                  <w:szCs w:val="24"/>
                                </w:rPr>
                              </w:pPr>
                              <w:r>
                                <w:rPr>
                                  <w:rFonts w:ascii="Times New Roman" w:hAnsi="Times New Roman"/>
                                  <w:color w:val="000000" w:themeColor="text1"/>
                                  <w:sz w:val="24"/>
                                  <w:szCs w:val="24"/>
                                </w:rPr>
                                <w:t>довіра і надійність</w:t>
                              </w:r>
                            </w:p>
                          </w:txbxContent>
                        </wps:txbx>
                        <wps:bodyPr rot="0" vert="horz" wrap="square" lIns="91440" tIns="45720" rIns="91440" bIns="45720" anchor="ctr" anchorCtr="0" upright="1">
                          <a:noAutofit/>
                        </wps:bodyPr>
                      </wps:wsp>
                      <wps:wsp>
                        <wps:cNvPr id="198" name="Прямоугольник 11"/>
                        <wps:cNvSpPr>
                          <a:spLocks noChangeArrowheads="1"/>
                        </wps:cNvSpPr>
                        <wps:spPr bwMode="auto">
                          <a:xfrm>
                            <a:off x="2867100" y="2173117"/>
                            <a:ext cx="999700" cy="488344"/>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DC09D4">
                              <w:pPr>
                                <w:jc w:val="center"/>
                                <w:rPr>
                                  <w:rFonts w:ascii="Times New Roman" w:hAnsi="Times New Roman"/>
                                  <w:color w:val="000000" w:themeColor="text1"/>
                                  <w:sz w:val="24"/>
                                  <w:szCs w:val="24"/>
                                </w:rPr>
                              </w:pPr>
                              <w:r>
                                <w:rPr>
                                  <w:rFonts w:ascii="Times New Roman" w:hAnsi="Times New Roman"/>
                                  <w:color w:val="000000" w:themeColor="text1"/>
                                  <w:sz w:val="24"/>
                                  <w:szCs w:val="24"/>
                                </w:rPr>
                                <w:t>ефективний розвиток</w:t>
                              </w:r>
                            </w:p>
                          </w:txbxContent>
                        </wps:txbx>
                        <wps:bodyPr rot="0" vert="horz" wrap="square" lIns="91440" tIns="45720" rIns="91440" bIns="45720" anchor="ctr" anchorCtr="0" upright="1">
                          <a:noAutofit/>
                        </wps:bodyPr>
                      </wps:wsp>
                      <wps:wsp>
                        <wps:cNvPr id="199" name="Прямоугольник 12"/>
                        <wps:cNvSpPr>
                          <a:spLocks noChangeArrowheads="1"/>
                        </wps:cNvSpPr>
                        <wps:spPr bwMode="auto">
                          <a:xfrm>
                            <a:off x="4068300" y="2072388"/>
                            <a:ext cx="1139100" cy="333299"/>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DC09D4">
                              <w:pPr>
                                <w:jc w:val="center"/>
                                <w:rPr>
                                  <w:rFonts w:ascii="Times New Roman" w:hAnsi="Times New Roman"/>
                                  <w:color w:val="000000" w:themeColor="text1"/>
                                  <w:sz w:val="24"/>
                                  <w:szCs w:val="24"/>
                                </w:rPr>
                              </w:pPr>
                              <w:r>
                                <w:rPr>
                                  <w:rFonts w:ascii="Times New Roman" w:hAnsi="Times New Roman"/>
                                  <w:color w:val="000000" w:themeColor="text1"/>
                                  <w:sz w:val="24"/>
                                  <w:szCs w:val="24"/>
                                </w:rPr>
                                <w:t>якість</w:t>
                              </w:r>
                            </w:p>
                          </w:txbxContent>
                        </wps:txbx>
                        <wps:bodyPr rot="0" vert="horz" wrap="square" lIns="91440" tIns="45720" rIns="91440" bIns="45720" anchor="ctr" anchorCtr="0" upright="1">
                          <a:noAutofit/>
                        </wps:bodyPr>
                      </wps:wsp>
                    </wpc:wpc>
                  </a:graphicData>
                </a:graphic>
              </wp:inline>
            </w:drawing>
          </mc:Choice>
          <mc:Fallback>
            <w:pict>
              <v:group w14:anchorId="71295E03" id="Полотно 2" o:spid="_x0000_s1243" editas="canvas" style="width:6in;height:228pt;mso-position-horizontal-relative:char;mso-position-vertical-relative:line" coordsize="54864,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">
                <v:shape id="_x0000_s1244" type="#_x0000_t75" style="position:absolute;width:54864;height:28956;visibility:visible;mso-wrap-style:square">
                  <v:fill o:detectmouseclick="t"/>
                  <v:path o:connecttype="none"/>
                </v:shape>
                <v:oval id="Овал 3" o:spid="_x0000_s1245" style="position:absolute;left:1782;top:2895;width:49827;height:11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" strokeweight="1pt">
                  <v:stroke joinstyle="miter"/>
                  <v:textbox>
                    <w:txbxContent>
                      <w:p w:rsidR="00F821E3" w:rsidRDefault="00F821E3" w:rsidP="00DC09D4">
                        <w:pPr>
                          <w:spacing w:after="0" w:line="240" w:lineRule="auto"/>
                          <w:jc w:val="center"/>
                          <w:rPr>
                            <w:rFonts w:ascii="Times New Roman" w:hAnsi="Times New Roman"/>
                            <w:color w:val="000000" w:themeColor="text1"/>
                            <w:sz w:val="24"/>
                            <w:szCs w:val="24"/>
                          </w:rPr>
                        </w:pPr>
                        <w:r>
                          <w:rPr>
                            <w:rFonts w:ascii="Times New Roman" w:hAnsi="Times New Roman"/>
                            <w:b/>
                            <w:color w:val="000000" w:themeColor="text1"/>
                            <w:sz w:val="24"/>
                            <w:szCs w:val="24"/>
                          </w:rPr>
                          <w:t>МІСІЯ:</w:t>
                        </w:r>
                        <w:r>
                          <w:rPr>
                            <w:rFonts w:ascii="Times New Roman" w:hAnsi="Times New Roman"/>
                            <w:color w:val="000000" w:themeColor="text1"/>
                            <w:sz w:val="24"/>
                            <w:szCs w:val="24"/>
                          </w:rPr>
                          <w:t xml:space="preserve"> </w:t>
                        </w:r>
                      </w:p>
                      <w:p w:rsidR="00F821E3" w:rsidRDefault="00F821E3" w:rsidP="00DC09D4">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бути найближчим до клієнта банком – доступним фінансовим партнером, який реалізовує прості рішення для втілення ідей </w:t>
                        </w:r>
                      </w:p>
                    </w:txbxContent>
                  </v:textbox>
                </v:oval>
                <v:roundrect id="Скругленный прямоугольник 4" o:spid="_x0000_s1246" style="position:absolute;left:14800;top:14289;width:23403;height:3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" strokeweight="1pt">
                  <v:stroke joinstyle="miter"/>
                  <v:textbox>
                    <w:txbxContent>
                      <w:p w:rsidR="00F821E3" w:rsidRDefault="00F821E3" w:rsidP="00DC09D4">
                        <w:pPr>
                          <w:jc w:val="center"/>
                          <w:rPr>
                            <w:rFonts w:ascii="Times New Roman" w:hAnsi="Times New Roman"/>
                            <w:b/>
                            <w:color w:val="000000" w:themeColor="text1"/>
                            <w:sz w:val="24"/>
                            <w:szCs w:val="24"/>
                          </w:rPr>
                        </w:pPr>
                        <w:r>
                          <w:rPr>
                            <w:rFonts w:ascii="Times New Roman" w:hAnsi="Times New Roman"/>
                            <w:b/>
                            <w:color w:val="000000" w:themeColor="text1"/>
                            <w:sz w:val="24"/>
                            <w:szCs w:val="24"/>
                          </w:rPr>
                          <w:t>ЦІННОСТІ</w:t>
                        </w:r>
                      </w:p>
                    </w:txbxContent>
                  </v:textbox>
                </v:roundrect>
                <v:line id="Прямая соединительная линия 5" o:spid="_x0000_s1247" style="position:absolute;flip:x;visibility:visible;mso-wrap-style:square" from="7516,17778" to="14800,2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" strokeweight=".5pt">
                  <v:stroke joinstyle="miter"/>
                </v:line>
                <v:line id="Прямая соединительная линия 6" o:spid="_x0000_s1248" style="position:absolute;flip:x;visibility:visible;mso-wrap-style:square" from="19062,18165" to="26347,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" strokeweight=".5pt">
                  <v:stroke joinstyle="miter"/>
                </v:line>
                <v:line id="Прямая соединительная линия 7" o:spid="_x0000_s1249" style="position:absolute;visibility:visible;mso-wrap-style:square" from="26502,18165" to="33786,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" strokeweight=".5pt">
                  <v:stroke joinstyle="miter"/>
                </v:line>
                <v:line id="Прямая соединительная линия 8" o:spid="_x0000_s1250" style="position:absolute;visibility:visible;mso-wrap-style:square" from="38203,17778" to="46378,2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" strokeweight=".5pt">
                  <v:stroke joinstyle="miter"/>
                </v:line>
                <v:rect id="Прямоугольник 9" o:spid="_x0000_s1251" style="position:absolute;left:1782;top:20723;width:1162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" strokeweight="1pt">
                  <v:textbox>
                    <w:txbxContent>
                      <w:p w:rsidR="00F821E3" w:rsidRDefault="00F821E3" w:rsidP="00DC09D4">
                        <w:pPr>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інноваційність</w:t>
                        </w:r>
                        <w:proofErr w:type="spellEnd"/>
                      </w:p>
                    </w:txbxContent>
                  </v:textbox>
                </v:rect>
                <v:rect id="Прямоугольник 10" o:spid="_x0000_s1252" style="position:absolute;left:14800;top:21731;width:9997;height: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" strokeweight="1pt">
                  <v:textbox>
                    <w:txbxContent>
                      <w:p w:rsidR="00F821E3" w:rsidRDefault="00F821E3" w:rsidP="00DC09D4">
                        <w:pPr>
                          <w:jc w:val="center"/>
                          <w:rPr>
                            <w:rFonts w:ascii="Times New Roman" w:hAnsi="Times New Roman"/>
                            <w:color w:val="000000" w:themeColor="text1"/>
                            <w:sz w:val="24"/>
                            <w:szCs w:val="24"/>
                          </w:rPr>
                        </w:pPr>
                        <w:r>
                          <w:rPr>
                            <w:rFonts w:ascii="Times New Roman" w:hAnsi="Times New Roman"/>
                            <w:color w:val="000000" w:themeColor="text1"/>
                            <w:sz w:val="24"/>
                            <w:szCs w:val="24"/>
                          </w:rPr>
                          <w:t>довіра і надійність</w:t>
                        </w:r>
                      </w:p>
                    </w:txbxContent>
                  </v:textbox>
                </v:rect>
                <v:rect id="Прямоугольник 11" o:spid="_x0000_s1253" style="position:absolute;left:28671;top:21731;width:9997;height: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" strokeweight="1pt">
                  <v:textbox>
                    <w:txbxContent>
                      <w:p w:rsidR="00F821E3" w:rsidRDefault="00F821E3" w:rsidP="00DC09D4">
                        <w:pPr>
                          <w:jc w:val="center"/>
                          <w:rPr>
                            <w:rFonts w:ascii="Times New Roman" w:hAnsi="Times New Roman"/>
                            <w:color w:val="000000" w:themeColor="text1"/>
                            <w:sz w:val="24"/>
                            <w:szCs w:val="24"/>
                          </w:rPr>
                        </w:pPr>
                        <w:r>
                          <w:rPr>
                            <w:rFonts w:ascii="Times New Roman" w:hAnsi="Times New Roman"/>
                            <w:color w:val="000000" w:themeColor="text1"/>
                            <w:sz w:val="24"/>
                            <w:szCs w:val="24"/>
                          </w:rPr>
                          <w:t>ефективний розвиток</w:t>
                        </w:r>
                      </w:p>
                    </w:txbxContent>
                  </v:textbox>
                </v:rect>
                <v:rect id="Прямоугольник 12" o:spid="_x0000_s1254" style="position:absolute;left:40683;top:20723;width:1139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" strokeweight="1pt">
                  <v:textbox>
                    <w:txbxContent>
                      <w:p w:rsidR="00F821E3" w:rsidRDefault="00F821E3" w:rsidP="00DC09D4">
                        <w:pPr>
                          <w:jc w:val="center"/>
                          <w:rPr>
                            <w:rFonts w:ascii="Times New Roman" w:hAnsi="Times New Roman"/>
                            <w:color w:val="000000" w:themeColor="text1"/>
                            <w:sz w:val="24"/>
                            <w:szCs w:val="24"/>
                          </w:rPr>
                        </w:pPr>
                        <w:r>
                          <w:rPr>
                            <w:rFonts w:ascii="Times New Roman" w:hAnsi="Times New Roman"/>
                            <w:color w:val="000000" w:themeColor="text1"/>
                            <w:sz w:val="24"/>
                            <w:szCs w:val="24"/>
                          </w:rPr>
                          <w:t>якість</w:t>
                        </w:r>
                      </w:p>
                    </w:txbxContent>
                  </v:textbox>
                </v:rect>
                <w10:anchorlock/>
              </v:group>
            </w:pict>
          </mc:Fallback>
        </mc:AlternateContent>
      </w:r>
    </w:p>
    <w:p w:rsidR="00DC09D4" w:rsidRDefault="00DC09D4" w:rsidP="00DC09D4">
      <w:pPr>
        <w:spacing w:after="0" w:line="360" w:lineRule="auto"/>
        <w:ind w:firstLine="708"/>
        <w:jc w:val="center"/>
        <w:rPr>
          <w:rFonts w:ascii="Times New Roman" w:hAnsi="Times New Roman"/>
          <w:sz w:val="28"/>
          <w:szCs w:val="28"/>
        </w:rPr>
      </w:pPr>
      <w:r w:rsidRPr="00DC09D4">
        <w:rPr>
          <w:rFonts w:ascii="Times New Roman" w:hAnsi="Times New Roman"/>
          <w:sz w:val="28"/>
          <w:szCs w:val="28"/>
        </w:rPr>
        <w:t>Рис. 2.2. Місія</w:t>
      </w:r>
      <w:r>
        <w:rPr>
          <w:rFonts w:ascii="Times New Roman" w:hAnsi="Times New Roman"/>
          <w:sz w:val="28"/>
          <w:szCs w:val="28"/>
        </w:rPr>
        <w:t xml:space="preserve"> та цінності АТ «Ідея Банк»</w:t>
      </w:r>
      <w:r>
        <w:t xml:space="preserve"> </w:t>
      </w:r>
      <w:r>
        <w:rPr>
          <w:rFonts w:ascii="Times New Roman" w:hAnsi="Times New Roman"/>
          <w:sz w:val="28"/>
          <w:szCs w:val="28"/>
        </w:rPr>
        <w:t>[</w:t>
      </w:r>
      <w:r w:rsidR="00FD0511">
        <w:rPr>
          <w:rFonts w:ascii="Times New Roman" w:hAnsi="Times New Roman"/>
          <w:sz w:val="28"/>
          <w:szCs w:val="28"/>
        </w:rPr>
        <w:t>51</w:t>
      </w:r>
      <w:r>
        <w:rPr>
          <w:rFonts w:ascii="Times New Roman" w:hAnsi="Times New Roman"/>
          <w:sz w:val="28"/>
          <w:szCs w:val="28"/>
        </w:rPr>
        <w:t>]</w:t>
      </w:r>
    </w:p>
    <w:p w:rsidR="00981183" w:rsidRDefault="00981183" w:rsidP="00981183">
      <w:pPr>
        <w:spacing w:before="240" w:after="0" w:line="360" w:lineRule="auto"/>
        <w:ind w:firstLine="709"/>
        <w:jc w:val="both"/>
        <w:rPr>
          <w:rFonts w:ascii="Times New Roman" w:hAnsi="Times New Roman"/>
          <w:sz w:val="28"/>
          <w:szCs w:val="28"/>
        </w:rPr>
      </w:pPr>
      <w:r>
        <w:rPr>
          <w:rFonts w:ascii="Times New Roman" w:hAnsi="Times New Roman"/>
          <w:sz w:val="28"/>
          <w:szCs w:val="28"/>
        </w:rPr>
        <w:t>Станом на 31.12.2021 організаційна структура АТ «Ідея Банк» включає Головний банк та 82 відділення. Відділення є відокремленим підрозділом Банку, основним завданням якого є залучення i обслуговування клієнтів шляхом територіального наближення до них з метою забезпечення реалізації планів продажу банківських продуктів i послуг, визначених для даного відділення.</w:t>
      </w:r>
    </w:p>
    <w:p w:rsidR="00981183" w:rsidRDefault="00981183" w:rsidP="00981183">
      <w:pPr>
        <w:spacing w:after="0" w:line="360" w:lineRule="auto"/>
        <w:ind w:firstLine="708"/>
        <w:jc w:val="both"/>
        <w:rPr>
          <w:rFonts w:ascii="Times New Roman" w:hAnsi="Times New Roman"/>
          <w:sz w:val="28"/>
          <w:szCs w:val="28"/>
        </w:rPr>
      </w:pPr>
      <w:r>
        <w:rPr>
          <w:rFonts w:ascii="Times New Roman" w:hAnsi="Times New Roman"/>
          <w:sz w:val="28"/>
          <w:szCs w:val="28"/>
        </w:rPr>
        <w:t>Структура Головного банку станом на 31.12.2021 року включає вісімнадцять самостійних Департаментів, дев’ять Управлінь та три відокремлені відділи, об'єднаних у п’ять вертикалей, що підпорядковані окремим членам Правління [51].</w:t>
      </w:r>
    </w:p>
    <w:p w:rsidR="00981183" w:rsidRDefault="00981183" w:rsidP="00981183">
      <w:pPr>
        <w:spacing w:after="0" w:line="360" w:lineRule="auto"/>
        <w:ind w:firstLine="708"/>
        <w:jc w:val="both"/>
        <w:rPr>
          <w:rFonts w:ascii="Times New Roman" w:hAnsi="Times New Roman"/>
          <w:sz w:val="28"/>
          <w:szCs w:val="28"/>
        </w:rPr>
      </w:pPr>
      <w:r>
        <w:rPr>
          <w:rFonts w:ascii="Times New Roman" w:hAnsi="Times New Roman"/>
          <w:sz w:val="28"/>
          <w:szCs w:val="28"/>
        </w:rPr>
        <w:t xml:space="preserve">Структуру управління Банком формують та становлять органи управління та контролю Банку, до яких належать: </w:t>
      </w:r>
    </w:p>
    <w:p w:rsidR="00981183" w:rsidRDefault="00981183" w:rsidP="00981183">
      <w:pPr>
        <w:spacing w:after="0" w:line="360" w:lineRule="auto"/>
        <w:ind w:firstLine="708"/>
        <w:jc w:val="both"/>
        <w:rPr>
          <w:rFonts w:ascii="Times New Roman" w:hAnsi="Times New Roman"/>
          <w:sz w:val="28"/>
          <w:szCs w:val="28"/>
          <w:u w:val="single"/>
        </w:rPr>
      </w:pPr>
      <w:r>
        <w:rPr>
          <w:rFonts w:ascii="Times New Roman" w:hAnsi="Times New Roman"/>
          <w:sz w:val="28"/>
          <w:szCs w:val="28"/>
        </w:rPr>
        <w:t xml:space="preserve">1. </w:t>
      </w:r>
      <w:r>
        <w:rPr>
          <w:rFonts w:ascii="Times New Roman" w:hAnsi="Times New Roman"/>
          <w:sz w:val="28"/>
          <w:szCs w:val="28"/>
          <w:u w:val="single"/>
        </w:rPr>
        <w:t xml:space="preserve">Вищий орган управління – Загальні збори акціонерів, які представлені єдиним акціонером Банку - </w:t>
      </w:r>
      <w:proofErr w:type="spellStart"/>
      <w:r>
        <w:rPr>
          <w:rFonts w:ascii="Times New Roman" w:hAnsi="Times New Roman"/>
          <w:sz w:val="28"/>
          <w:szCs w:val="28"/>
          <w:u w:val="single"/>
        </w:rPr>
        <w:t>Гетiн</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Холдiнг</w:t>
      </w:r>
      <w:proofErr w:type="spellEnd"/>
      <w:r>
        <w:rPr>
          <w:rFonts w:ascii="Times New Roman" w:hAnsi="Times New Roman"/>
          <w:sz w:val="28"/>
          <w:szCs w:val="28"/>
          <w:u w:val="single"/>
        </w:rPr>
        <w:t xml:space="preserve"> С.А. (</w:t>
      </w:r>
      <w:proofErr w:type="spellStart"/>
      <w:r>
        <w:rPr>
          <w:rFonts w:ascii="Times New Roman" w:hAnsi="Times New Roman"/>
          <w:sz w:val="28"/>
          <w:szCs w:val="28"/>
          <w:u w:val="single"/>
        </w:rPr>
        <w:t>Getin</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Holdіng</w:t>
      </w:r>
      <w:proofErr w:type="spellEnd"/>
      <w:r>
        <w:rPr>
          <w:rFonts w:ascii="Times New Roman" w:hAnsi="Times New Roman"/>
          <w:sz w:val="28"/>
          <w:szCs w:val="28"/>
          <w:u w:val="single"/>
        </w:rPr>
        <w:t xml:space="preserve"> S.A.),</w:t>
      </w:r>
      <w:r>
        <w:rPr>
          <w:rFonts w:ascii="Times New Roman" w:hAnsi="Times New Roman"/>
          <w:sz w:val="28"/>
          <w:szCs w:val="28"/>
        </w:rPr>
        <w:t xml:space="preserve"> які діють відповідно до чинного законодавства України, Статуту, Положення про Загальні збори акціонерів та інших внутрішніх положень Банку. До основних повноважень Загальних зборів акціонерів АТ «Ідея Банк» належать:</w:t>
      </w:r>
    </w:p>
    <w:p w:rsidR="00981183" w:rsidRDefault="00981183" w:rsidP="00981183">
      <w:pPr>
        <w:spacing w:after="0" w:line="360" w:lineRule="auto"/>
        <w:ind w:firstLine="708"/>
        <w:jc w:val="both"/>
        <w:rPr>
          <w:rFonts w:ascii="Times New Roman" w:hAnsi="Times New Roman"/>
          <w:sz w:val="28"/>
          <w:szCs w:val="28"/>
        </w:rPr>
      </w:pPr>
      <w:r>
        <w:rPr>
          <w:rFonts w:ascii="Times New Roman" w:hAnsi="Times New Roman"/>
          <w:sz w:val="28"/>
          <w:szCs w:val="28"/>
        </w:rPr>
        <w:t>- визначення основних напрямів діяльності;</w:t>
      </w:r>
    </w:p>
    <w:p w:rsidR="00981183" w:rsidRDefault="00981183" w:rsidP="00981183">
      <w:pPr>
        <w:spacing w:after="0" w:line="360" w:lineRule="auto"/>
        <w:ind w:firstLine="708"/>
        <w:jc w:val="both"/>
        <w:rPr>
          <w:rFonts w:ascii="Times New Roman" w:hAnsi="Times New Roman"/>
          <w:sz w:val="28"/>
          <w:szCs w:val="28"/>
        </w:rPr>
      </w:pPr>
      <w:r>
        <w:rPr>
          <w:rFonts w:ascii="Times New Roman" w:hAnsi="Times New Roman"/>
          <w:sz w:val="28"/>
          <w:szCs w:val="28"/>
        </w:rPr>
        <w:t>- внесення змін до Статуту;</w:t>
      </w:r>
    </w:p>
    <w:p w:rsidR="00981183" w:rsidRDefault="00981183" w:rsidP="00981183">
      <w:pPr>
        <w:spacing w:after="0" w:line="360" w:lineRule="auto"/>
        <w:ind w:firstLine="708"/>
        <w:jc w:val="both"/>
        <w:rPr>
          <w:rFonts w:ascii="Times New Roman" w:hAnsi="Times New Roman"/>
          <w:sz w:val="28"/>
          <w:szCs w:val="28"/>
        </w:rPr>
      </w:pPr>
      <w:r>
        <w:rPr>
          <w:rFonts w:ascii="Times New Roman" w:hAnsi="Times New Roman"/>
          <w:sz w:val="28"/>
          <w:szCs w:val="28"/>
        </w:rPr>
        <w:t>- прийняття рішень про зміну типу Банку;</w:t>
      </w:r>
    </w:p>
    <w:p w:rsidR="00981183" w:rsidRDefault="00981183" w:rsidP="00981183">
      <w:pPr>
        <w:spacing w:after="0" w:line="360" w:lineRule="auto"/>
        <w:ind w:firstLine="708"/>
        <w:jc w:val="both"/>
        <w:rPr>
          <w:rFonts w:ascii="Times New Roman" w:hAnsi="Times New Roman"/>
          <w:sz w:val="28"/>
          <w:szCs w:val="28"/>
        </w:rPr>
      </w:pPr>
      <w:r>
        <w:rPr>
          <w:rFonts w:ascii="Times New Roman" w:hAnsi="Times New Roman"/>
          <w:sz w:val="28"/>
          <w:szCs w:val="28"/>
        </w:rPr>
        <w:t>- прийняття рішення про збільшення статутного капіталу;</w:t>
      </w:r>
    </w:p>
    <w:p w:rsidR="00981183" w:rsidRDefault="00981183" w:rsidP="00981183">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розподіл прибутку і збитків з урахуванням вимог, передбачених законом;</w:t>
      </w:r>
    </w:p>
    <w:p w:rsidR="00981183" w:rsidRDefault="00981183" w:rsidP="00981183">
      <w:pPr>
        <w:spacing w:after="0" w:line="360" w:lineRule="auto"/>
        <w:ind w:firstLine="708"/>
        <w:jc w:val="both"/>
        <w:rPr>
          <w:rFonts w:ascii="Times New Roman" w:hAnsi="Times New Roman"/>
          <w:sz w:val="28"/>
          <w:szCs w:val="28"/>
        </w:rPr>
      </w:pPr>
      <w:r>
        <w:rPr>
          <w:rFonts w:ascii="Times New Roman" w:hAnsi="Times New Roman"/>
          <w:sz w:val="28"/>
          <w:szCs w:val="28"/>
        </w:rPr>
        <w:t>- обрання членів наглядової ради та прийняття рішення про припинення інших повноважень.</w:t>
      </w:r>
    </w:p>
    <w:p w:rsidR="00981183" w:rsidRDefault="00981183" w:rsidP="00981183">
      <w:pPr>
        <w:spacing w:after="0" w:line="360" w:lineRule="auto"/>
        <w:ind w:firstLine="708"/>
        <w:jc w:val="both"/>
        <w:rPr>
          <w:rFonts w:ascii="Times New Roman" w:hAnsi="Times New Roman"/>
          <w:sz w:val="28"/>
          <w:szCs w:val="28"/>
          <w:u w:val="single"/>
        </w:rPr>
      </w:pPr>
      <w:r>
        <w:rPr>
          <w:rFonts w:ascii="Times New Roman" w:hAnsi="Times New Roman"/>
          <w:sz w:val="28"/>
          <w:szCs w:val="28"/>
        </w:rPr>
        <w:t xml:space="preserve">2. </w:t>
      </w:r>
      <w:r>
        <w:rPr>
          <w:rFonts w:ascii="Times New Roman" w:hAnsi="Times New Roman"/>
          <w:sz w:val="28"/>
          <w:szCs w:val="28"/>
          <w:u w:val="single"/>
        </w:rPr>
        <w:t>Наглядовий орган - Наглядова рада</w:t>
      </w:r>
      <w:r>
        <w:rPr>
          <w:rFonts w:ascii="Times New Roman" w:hAnsi="Times New Roman"/>
          <w:sz w:val="28"/>
          <w:szCs w:val="28"/>
        </w:rPr>
        <w:t>. Наглядова рада Банку є органом, що здійснює контроль за діяльністю Правління, захист прав вкладників, інших кредиторів та акціонерів Банку. У своїй роботі Наглядова рада керується діючим законодавством України, нормативними документами Національного банку України, Статутом та іншими внутрішніми нормативними документами Банку. Наглядова рада АТ «Ідея Банк» складається з семи членів, троє з яких є незалежними.</w:t>
      </w:r>
    </w:p>
    <w:p w:rsidR="00981183" w:rsidRDefault="00981183" w:rsidP="00981183">
      <w:pPr>
        <w:spacing w:after="0" w:line="360" w:lineRule="auto"/>
        <w:ind w:firstLine="708"/>
        <w:jc w:val="both"/>
        <w:rPr>
          <w:rFonts w:ascii="Times New Roman" w:hAnsi="Times New Roman"/>
          <w:sz w:val="28"/>
          <w:szCs w:val="28"/>
          <w:u w:val="single"/>
        </w:rPr>
      </w:pPr>
      <w:r>
        <w:rPr>
          <w:rFonts w:ascii="Times New Roman" w:hAnsi="Times New Roman"/>
          <w:sz w:val="28"/>
          <w:szCs w:val="28"/>
        </w:rPr>
        <w:t xml:space="preserve">3. </w:t>
      </w:r>
      <w:r>
        <w:rPr>
          <w:rFonts w:ascii="Times New Roman" w:hAnsi="Times New Roman"/>
          <w:sz w:val="28"/>
          <w:szCs w:val="28"/>
          <w:u w:val="single"/>
        </w:rPr>
        <w:t>Виконавчий орган - Правління Банку</w:t>
      </w:r>
      <w:r>
        <w:rPr>
          <w:rFonts w:ascii="Times New Roman" w:hAnsi="Times New Roman"/>
          <w:sz w:val="28"/>
          <w:szCs w:val="28"/>
        </w:rPr>
        <w:t>. Правління Банку є колегіальним виконавчим органом, який здійснює поточне управління діяльністю Банку. Правління несе відповідальність за ефективність роботи Банку згідно з принципами та порядком, встановленими Статутом, рішеннями Загальних зборів акціонерів і Наглядової ради Банку.</w:t>
      </w:r>
    </w:p>
    <w:p w:rsidR="00981183" w:rsidRDefault="00981183" w:rsidP="00981183">
      <w:pPr>
        <w:spacing w:after="0" w:line="360" w:lineRule="auto"/>
        <w:ind w:firstLine="709"/>
        <w:jc w:val="both"/>
        <w:rPr>
          <w:rFonts w:ascii="Times New Roman" w:hAnsi="Times New Roman"/>
          <w:sz w:val="28"/>
          <w:szCs w:val="28"/>
        </w:rPr>
      </w:pPr>
      <w:r>
        <w:rPr>
          <w:rFonts w:ascii="Times New Roman" w:hAnsi="Times New Roman"/>
          <w:sz w:val="28"/>
          <w:szCs w:val="28"/>
        </w:rPr>
        <w:t xml:space="preserve">З метою захисту прав та законних інтересів акціонерів АТ «Ідея Банк» забезпечує комплексний, незалежний, об'єктивний та професійний контроль за фінансово-господарською діяльністю Банку. Контроль за фінансово-господарською діяльністю Банку здійснюється як через залучення незалежного зовнішнього аудитора (аудиторської фірми), так і через механізми внутрішнього контролю. </w:t>
      </w:r>
    </w:p>
    <w:p w:rsidR="00F9266A" w:rsidRDefault="00981183" w:rsidP="00981183">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Національна рейтингова агенція «Кредит Рейтинг» 22.03.2022 підтвердила довгостроковий кредитний рейтинг АТ «Ідея Банк» за національною рейтинговою шкалою до рівня </w:t>
      </w:r>
      <w:proofErr w:type="spellStart"/>
      <w:r>
        <w:rPr>
          <w:rFonts w:ascii="Times New Roman" w:hAnsi="Times New Roman"/>
          <w:sz w:val="28"/>
          <w:szCs w:val="28"/>
        </w:rPr>
        <w:t>uaAA</w:t>
      </w:r>
      <w:proofErr w:type="spellEnd"/>
      <w:r>
        <w:rPr>
          <w:rFonts w:ascii="Times New Roman" w:hAnsi="Times New Roman"/>
          <w:sz w:val="28"/>
          <w:szCs w:val="28"/>
        </w:rPr>
        <w:t xml:space="preserve"> зі стабільним прогнозом [</w:t>
      </w:r>
      <w:r w:rsidR="00533B63">
        <w:rPr>
          <w:rFonts w:ascii="Times New Roman" w:hAnsi="Times New Roman"/>
          <w:sz w:val="28"/>
          <w:szCs w:val="28"/>
        </w:rPr>
        <w:t>52</w:t>
      </w:r>
      <w:r>
        <w:rPr>
          <w:rFonts w:ascii="Times New Roman" w:hAnsi="Times New Roman"/>
          <w:sz w:val="28"/>
          <w:szCs w:val="28"/>
        </w:rPr>
        <w:t xml:space="preserve">]. За останні шість років АТ «Ідея Банк» піднявся на 17 позицій у рейтингу 50 провідних українських банків за версією </w:t>
      </w:r>
      <w:proofErr w:type="spellStart"/>
      <w:r>
        <w:rPr>
          <w:rFonts w:ascii="Times New Roman" w:hAnsi="Times New Roman"/>
          <w:sz w:val="28"/>
          <w:szCs w:val="28"/>
        </w:rPr>
        <w:t>Finclub</w:t>
      </w:r>
      <w:proofErr w:type="spellEnd"/>
      <w:r>
        <w:rPr>
          <w:rFonts w:ascii="Times New Roman" w:hAnsi="Times New Roman"/>
          <w:sz w:val="28"/>
          <w:szCs w:val="28"/>
        </w:rPr>
        <w:t xml:space="preserve"> та посів 16 позицію серед усіх банків, що працюють в Україні. У загальному рейтингу </w:t>
      </w:r>
      <w:proofErr w:type="spellStart"/>
      <w:r>
        <w:rPr>
          <w:rFonts w:ascii="Times New Roman" w:hAnsi="Times New Roman"/>
          <w:sz w:val="28"/>
          <w:szCs w:val="28"/>
        </w:rPr>
        <w:t>Finclub</w:t>
      </w:r>
      <w:proofErr w:type="spellEnd"/>
      <w:r>
        <w:rPr>
          <w:rFonts w:ascii="Times New Roman" w:hAnsi="Times New Roman"/>
          <w:sz w:val="28"/>
          <w:szCs w:val="28"/>
        </w:rPr>
        <w:t xml:space="preserve"> 2021 АТ «Ідея Банк» посів в номінаціях: «Кредитні картки» – 4 місце, «Кредит готівкою» – 4 місце, «Класичний депозит» – 8 місце [</w:t>
      </w:r>
      <w:r w:rsidR="00533B63">
        <w:rPr>
          <w:rFonts w:ascii="Times New Roman" w:hAnsi="Times New Roman"/>
          <w:sz w:val="28"/>
          <w:szCs w:val="28"/>
        </w:rPr>
        <w:t>53</w:t>
      </w:r>
      <w:r>
        <w:rPr>
          <w:rFonts w:ascii="Times New Roman" w:hAnsi="Times New Roman"/>
          <w:sz w:val="28"/>
          <w:szCs w:val="28"/>
        </w:rPr>
        <w:t>].</w:t>
      </w:r>
    </w:p>
    <w:p w:rsidR="00B47F3E" w:rsidRDefault="00B47F3E" w:rsidP="00B47F3E">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АТ «Ідея Банк» надає великого значення соціальним чинникам сталого розвитку суспільства та неухильно дотримується принципів соціально </w:t>
      </w:r>
      <w:r>
        <w:rPr>
          <w:rFonts w:ascii="Times New Roman" w:hAnsi="Times New Roman"/>
          <w:sz w:val="28"/>
          <w:szCs w:val="28"/>
        </w:rPr>
        <w:lastRenderedPageBreak/>
        <w:t>відповідального ведення бізнесу. Це націленість на співпрацю з громадами в регіонах, увага до питань збереження довкілля, охорони здоров’я та безпеки працівників, дотримання прав людини. Сталий розвиток є невід’ємною частиною стратегії діяльності Банку.</w:t>
      </w:r>
    </w:p>
    <w:p w:rsidR="00B47F3E" w:rsidRDefault="00B47F3E" w:rsidP="00B47F3E">
      <w:pPr>
        <w:spacing w:after="0" w:line="360" w:lineRule="auto"/>
        <w:ind w:firstLine="709"/>
        <w:jc w:val="both"/>
        <w:rPr>
          <w:rFonts w:ascii="Times New Roman" w:hAnsi="Times New Roman"/>
          <w:sz w:val="28"/>
          <w:szCs w:val="28"/>
        </w:rPr>
      </w:pPr>
      <w:r>
        <w:rPr>
          <w:rFonts w:ascii="Times New Roman" w:hAnsi="Times New Roman"/>
          <w:sz w:val="28"/>
          <w:szCs w:val="28"/>
        </w:rPr>
        <w:t>У своїй діяльності Банк керується чинним законодавством України, повною мірою виконуючи свої зобов’язання перед акціонером, клієнтами, партнерами, персоналом та забезпечуючи прозору й публічну фінансову діяльність та звітність, своєчасну сплату всіх податків і офіційну заробітну плату своїм працівникам [51].</w:t>
      </w:r>
    </w:p>
    <w:p w:rsidR="00975C79" w:rsidRDefault="00975C79" w:rsidP="00975C79">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Незважаючи на пандемію </w:t>
      </w:r>
      <w:proofErr w:type="spellStart"/>
      <w:r>
        <w:rPr>
          <w:rFonts w:ascii="Times New Roman" w:hAnsi="Times New Roman"/>
          <w:sz w:val="28"/>
          <w:szCs w:val="28"/>
        </w:rPr>
        <w:t>коронавірусу</w:t>
      </w:r>
      <w:proofErr w:type="spellEnd"/>
      <w:r>
        <w:rPr>
          <w:rFonts w:ascii="Times New Roman" w:hAnsi="Times New Roman"/>
          <w:sz w:val="28"/>
          <w:szCs w:val="28"/>
        </w:rPr>
        <w:t xml:space="preserve"> COVID-19, яка продовжувала впливати на діяльність Банку протягом 2021 року, Банк продемонстрував високу ефективність, фінансову стабільність та високі показники за всіма напрямками діяльності.</w:t>
      </w:r>
      <w:r>
        <w:t xml:space="preserve"> </w:t>
      </w:r>
      <w:r>
        <w:rPr>
          <w:rFonts w:ascii="Times New Roman" w:hAnsi="Times New Roman"/>
          <w:sz w:val="28"/>
          <w:szCs w:val="28"/>
        </w:rPr>
        <w:t>Результати діяльності за 2021 рік стали найкращими за всі роки його діяльності. Чистий прибуток за 2021 рік склав 581,1 млн. грн., що дозволило Банку демонструвати одні з найкращих по банківській системі показники рентабельності активів і капіталу та ефективності діяльності. Досягнення цілей та високих результатів діяльності вдалося завдяки системній роботі по підвищенню якості обслуговування клієнтів, підвищенню ефективності та розширенню каналів продажів, оптимізації процесів та впровадженню технологій у відповідності до вимог ринку [51].</w:t>
      </w:r>
    </w:p>
    <w:p w:rsidR="00DF0F71" w:rsidRDefault="00DF0F71" w:rsidP="00DF0F71">
      <w:pPr>
        <w:spacing w:after="0" w:line="360" w:lineRule="auto"/>
        <w:ind w:firstLine="709"/>
        <w:jc w:val="both"/>
        <w:rPr>
          <w:rFonts w:ascii="Times New Roman" w:hAnsi="Times New Roman"/>
          <w:sz w:val="28"/>
          <w:szCs w:val="28"/>
        </w:rPr>
      </w:pPr>
      <w:r>
        <w:rPr>
          <w:rFonts w:ascii="Times New Roman" w:hAnsi="Times New Roman"/>
          <w:sz w:val="28"/>
          <w:szCs w:val="28"/>
        </w:rPr>
        <w:t>За результатами оцінки стійкості банку, сформованими Національним банком України на основі балансу АТ «Ідея Банк» на 31.12.2021, потреби в капіталі за базовим та несприятливим макроекономічним сценарієм банк не мав. Це підтверджує достатній рівень капіталізації та високий рівень фінансової стійкості Банку.</w:t>
      </w:r>
    </w:p>
    <w:p w:rsidR="002E1BF1" w:rsidRDefault="007377FE" w:rsidP="007377FE">
      <w:pPr>
        <w:spacing w:after="0" w:line="360" w:lineRule="auto"/>
        <w:ind w:firstLine="708"/>
        <w:jc w:val="both"/>
        <w:rPr>
          <w:rFonts w:ascii="Times New Roman" w:hAnsi="Times New Roman"/>
          <w:sz w:val="28"/>
          <w:szCs w:val="28"/>
        </w:rPr>
      </w:pPr>
      <w:r>
        <w:rPr>
          <w:rFonts w:ascii="Times New Roman" w:hAnsi="Times New Roman"/>
          <w:sz w:val="28"/>
          <w:szCs w:val="28"/>
        </w:rPr>
        <w:t>Останніми роками</w:t>
      </w:r>
      <w:r w:rsidRPr="007377FE">
        <w:rPr>
          <w:rFonts w:ascii="Times New Roman" w:hAnsi="Times New Roman"/>
          <w:sz w:val="28"/>
          <w:szCs w:val="28"/>
        </w:rPr>
        <w:t xml:space="preserve"> на розвиток економіки та банківського сектору в Україні окрім суспільно</w:t>
      </w:r>
      <w:r>
        <w:rPr>
          <w:rFonts w:ascii="Times New Roman" w:hAnsi="Times New Roman"/>
          <w:sz w:val="28"/>
          <w:szCs w:val="28"/>
        </w:rPr>
        <w:t>-</w:t>
      </w:r>
      <w:r w:rsidRPr="007377FE">
        <w:rPr>
          <w:rFonts w:ascii="Times New Roman" w:hAnsi="Times New Roman"/>
          <w:sz w:val="28"/>
          <w:szCs w:val="28"/>
        </w:rPr>
        <w:t>політичних та зовнішньополітичних подій</w:t>
      </w:r>
      <w:r w:rsidR="005B7419">
        <w:rPr>
          <w:rFonts w:ascii="Times New Roman" w:hAnsi="Times New Roman"/>
          <w:sz w:val="28"/>
          <w:szCs w:val="28"/>
        </w:rPr>
        <w:t xml:space="preserve"> ще й</w:t>
      </w:r>
      <w:r w:rsidRPr="007377FE">
        <w:rPr>
          <w:rFonts w:ascii="Times New Roman" w:hAnsi="Times New Roman"/>
          <w:sz w:val="28"/>
          <w:szCs w:val="28"/>
        </w:rPr>
        <w:t xml:space="preserve"> додались карантинн</w:t>
      </w:r>
      <w:r w:rsidR="005B7419">
        <w:rPr>
          <w:rFonts w:ascii="Times New Roman" w:hAnsi="Times New Roman"/>
          <w:sz w:val="28"/>
          <w:szCs w:val="28"/>
        </w:rPr>
        <w:t>і</w:t>
      </w:r>
      <w:r w:rsidRPr="007377FE">
        <w:rPr>
          <w:rFonts w:ascii="Times New Roman" w:hAnsi="Times New Roman"/>
          <w:sz w:val="28"/>
          <w:szCs w:val="28"/>
        </w:rPr>
        <w:t xml:space="preserve"> заход</w:t>
      </w:r>
      <w:r w:rsidR="005B7419">
        <w:rPr>
          <w:rFonts w:ascii="Times New Roman" w:hAnsi="Times New Roman"/>
          <w:sz w:val="28"/>
          <w:szCs w:val="28"/>
        </w:rPr>
        <w:t>и</w:t>
      </w:r>
      <w:r w:rsidRPr="007377FE">
        <w:rPr>
          <w:rFonts w:ascii="Times New Roman" w:hAnsi="Times New Roman"/>
          <w:sz w:val="28"/>
          <w:szCs w:val="28"/>
        </w:rPr>
        <w:t xml:space="preserve">, обумовленні пандемією </w:t>
      </w:r>
      <w:r w:rsidR="005B7419" w:rsidRPr="007377FE">
        <w:rPr>
          <w:rFonts w:ascii="Times New Roman" w:hAnsi="Times New Roman"/>
          <w:sz w:val="28"/>
          <w:szCs w:val="28"/>
        </w:rPr>
        <w:t>COVID</w:t>
      </w:r>
      <w:r w:rsidRPr="007377FE">
        <w:rPr>
          <w:rFonts w:ascii="Times New Roman" w:hAnsi="Times New Roman"/>
          <w:sz w:val="28"/>
          <w:szCs w:val="28"/>
        </w:rPr>
        <w:t xml:space="preserve"> – 19. Попри це Банк </w:t>
      </w:r>
      <w:r w:rsidR="005B7419">
        <w:rPr>
          <w:rFonts w:ascii="Times New Roman" w:hAnsi="Times New Roman"/>
          <w:sz w:val="28"/>
          <w:szCs w:val="28"/>
        </w:rPr>
        <w:t>продемонстрував</w:t>
      </w:r>
      <w:r w:rsidRPr="007377FE">
        <w:rPr>
          <w:rFonts w:ascii="Times New Roman" w:hAnsi="Times New Roman"/>
          <w:sz w:val="28"/>
          <w:szCs w:val="28"/>
        </w:rPr>
        <w:t xml:space="preserve"> стабільну ефективну роботу та прибуткову діяльність</w:t>
      </w:r>
      <w:r>
        <w:t>.</w:t>
      </w:r>
    </w:p>
    <w:p w:rsidR="00461EAD" w:rsidRDefault="00461EAD" w:rsidP="00461EAD">
      <w:pPr>
        <w:spacing w:after="0" w:line="360" w:lineRule="auto"/>
        <w:ind w:firstLine="709"/>
        <w:jc w:val="both"/>
        <w:rPr>
          <w:rFonts w:ascii="Times New Roman" w:hAnsi="Times New Roman"/>
          <w:sz w:val="28"/>
          <w:szCs w:val="28"/>
          <w:lang w:val="ru-RU"/>
        </w:rPr>
      </w:pPr>
      <w:r>
        <w:rPr>
          <w:rFonts w:ascii="Times New Roman" w:hAnsi="Times New Roman"/>
          <w:sz w:val="28"/>
          <w:szCs w:val="28"/>
        </w:rPr>
        <w:t xml:space="preserve">Розглянемо основні результати діяльності АТ «Ідея Банк» за період з 2017 по 2021 рр., які </w:t>
      </w:r>
      <w:r w:rsidR="00A57E8F">
        <w:rPr>
          <w:rFonts w:ascii="Times New Roman" w:hAnsi="Times New Roman"/>
          <w:sz w:val="28"/>
          <w:szCs w:val="28"/>
        </w:rPr>
        <w:t>наведені в табл. 2.1</w:t>
      </w:r>
      <w:r w:rsidRPr="00461EAD">
        <w:rPr>
          <w:rFonts w:ascii="Times New Roman" w:hAnsi="Times New Roman"/>
          <w:sz w:val="28"/>
          <w:szCs w:val="28"/>
        </w:rPr>
        <w:t xml:space="preserve"> </w:t>
      </w:r>
      <w:r w:rsidRPr="00461EAD">
        <w:rPr>
          <w:rFonts w:ascii="Times New Roman" w:hAnsi="Times New Roman"/>
          <w:sz w:val="28"/>
          <w:szCs w:val="28"/>
          <w:lang w:val="ru-RU"/>
        </w:rPr>
        <w:t>[51].</w:t>
      </w:r>
    </w:p>
    <w:p w:rsidR="00876ACF" w:rsidRDefault="00876ACF" w:rsidP="00F9266A">
      <w:pPr>
        <w:spacing w:after="0" w:line="360" w:lineRule="auto"/>
        <w:ind w:firstLine="708"/>
        <w:jc w:val="both"/>
        <w:rPr>
          <w:rFonts w:ascii="Times New Roman" w:hAnsi="Times New Roman"/>
          <w:sz w:val="28"/>
          <w:szCs w:val="28"/>
        </w:rPr>
        <w:sectPr w:rsidR="00876ACF">
          <w:headerReference w:type="default" r:id="rId9"/>
          <w:pgSz w:w="11906" w:h="16838"/>
          <w:pgMar w:top="850" w:right="850" w:bottom="850" w:left="1417" w:header="708" w:footer="708" w:gutter="0"/>
          <w:cols w:space="708"/>
          <w:docGrid w:linePitch="360"/>
        </w:sectPr>
      </w:pPr>
    </w:p>
    <w:p w:rsidR="00D523D4" w:rsidRDefault="00D523D4" w:rsidP="00D523D4">
      <w:pPr>
        <w:spacing w:after="0" w:line="360" w:lineRule="auto"/>
        <w:jc w:val="right"/>
        <w:rPr>
          <w:rFonts w:ascii="Times New Roman" w:hAnsi="Times New Roman"/>
          <w:sz w:val="28"/>
          <w:szCs w:val="28"/>
        </w:rPr>
      </w:pPr>
      <w:r w:rsidRPr="00D523D4">
        <w:rPr>
          <w:rFonts w:ascii="Times New Roman" w:hAnsi="Times New Roman"/>
          <w:sz w:val="28"/>
          <w:szCs w:val="28"/>
        </w:rPr>
        <w:lastRenderedPageBreak/>
        <w:t>Таблиця 2.1</w:t>
      </w:r>
    </w:p>
    <w:p w:rsidR="00D523D4" w:rsidRDefault="00D523D4" w:rsidP="00D523D4">
      <w:pPr>
        <w:spacing w:after="0" w:line="360" w:lineRule="auto"/>
        <w:jc w:val="center"/>
        <w:rPr>
          <w:rFonts w:ascii="Times New Roman" w:hAnsi="Times New Roman"/>
          <w:sz w:val="28"/>
          <w:szCs w:val="28"/>
        </w:rPr>
      </w:pPr>
      <w:r>
        <w:rPr>
          <w:rFonts w:ascii="Times New Roman" w:hAnsi="Times New Roman"/>
          <w:sz w:val="28"/>
          <w:szCs w:val="28"/>
        </w:rPr>
        <w:t>Динаміка основних показників діяльності АТ «Ідея Банк» за даними фінансової звітності за період з 2017 по 2021 р</w:t>
      </w:r>
      <w:r w:rsidR="006D65A0">
        <w:rPr>
          <w:rFonts w:ascii="Times New Roman" w:hAnsi="Times New Roman"/>
          <w:sz w:val="28"/>
          <w:szCs w:val="28"/>
        </w:rPr>
        <w:t xml:space="preserve">оки </w:t>
      </w:r>
      <w:r>
        <w:rPr>
          <w:rFonts w:ascii="Times New Roman" w:hAnsi="Times New Roman"/>
          <w:sz w:val="28"/>
          <w:szCs w:val="28"/>
        </w:rPr>
        <w:t>[51]</w:t>
      </w:r>
    </w:p>
    <w:tbl>
      <w:tblPr>
        <w:tblW w:w="15163" w:type="dxa"/>
        <w:tblLook w:val="04A0" w:firstRow="1" w:lastRow="0" w:firstColumn="1" w:lastColumn="0" w:noHBand="0" w:noVBand="1"/>
      </w:tblPr>
      <w:tblGrid>
        <w:gridCol w:w="3591"/>
        <w:gridCol w:w="841"/>
        <w:gridCol w:w="709"/>
        <w:gridCol w:w="709"/>
        <w:gridCol w:w="850"/>
        <w:gridCol w:w="851"/>
        <w:gridCol w:w="709"/>
        <w:gridCol w:w="708"/>
        <w:gridCol w:w="851"/>
        <w:gridCol w:w="666"/>
        <w:gridCol w:w="751"/>
        <w:gridCol w:w="666"/>
        <w:gridCol w:w="851"/>
        <w:gridCol w:w="850"/>
        <w:gridCol w:w="709"/>
        <w:gridCol w:w="851"/>
      </w:tblGrid>
      <w:tr w:rsidR="00D523D4" w:rsidTr="00D523D4">
        <w:trPr>
          <w:trHeight w:val="552"/>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Найменування статті</w:t>
            </w:r>
          </w:p>
        </w:tc>
        <w:tc>
          <w:tcPr>
            <w:tcW w:w="3969" w:type="dxa"/>
            <w:gridSpan w:val="5"/>
            <w:tcBorders>
              <w:top w:val="single" w:sz="4" w:space="0" w:color="auto"/>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lang w:eastAsia="uk-UA"/>
              </w:rPr>
            </w:pPr>
            <w:r>
              <w:rPr>
                <w:rFonts w:ascii="Times New Roman" w:eastAsia="Times New Roman" w:hAnsi="Times New Roman"/>
                <w:color w:val="000000"/>
                <w:lang w:eastAsia="uk-UA"/>
              </w:rPr>
              <w:t>в млн. грн., якщо не зазначено інше</w:t>
            </w:r>
          </w:p>
        </w:tc>
        <w:tc>
          <w:tcPr>
            <w:tcW w:w="3586" w:type="dxa"/>
            <w:gridSpan w:val="5"/>
            <w:tcBorders>
              <w:top w:val="single" w:sz="4" w:space="0" w:color="auto"/>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Абсолютне відхилення,</w:t>
            </w:r>
            <w:r>
              <w:t xml:space="preserve"> </w:t>
            </w:r>
            <w:r>
              <w:rPr>
                <w:rFonts w:ascii="Times New Roman" w:eastAsia="Times New Roman" w:hAnsi="Times New Roman"/>
                <w:bCs/>
                <w:color w:val="000000"/>
                <w:lang w:eastAsia="uk-UA"/>
              </w:rPr>
              <w:t>млн. грн., якщо не зазначено інше</w:t>
            </w:r>
          </w:p>
        </w:tc>
        <w:tc>
          <w:tcPr>
            <w:tcW w:w="3927" w:type="dxa"/>
            <w:gridSpan w:val="5"/>
            <w:tcBorders>
              <w:top w:val="single" w:sz="4" w:space="0" w:color="auto"/>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Темпи приросту, %</w:t>
            </w:r>
          </w:p>
        </w:tc>
      </w:tr>
      <w:tr w:rsidR="00D523D4" w:rsidTr="00D523D4">
        <w:trPr>
          <w:trHeight w:val="5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3D4" w:rsidRDefault="00D523D4">
            <w:pPr>
              <w:spacing w:after="0"/>
              <w:rPr>
                <w:rFonts w:ascii="Times New Roman" w:eastAsia="Times New Roman" w:hAnsi="Times New Roman"/>
                <w:b/>
                <w:bCs/>
                <w:color w:val="000000"/>
                <w:lang w:eastAsia="uk-UA"/>
              </w:rPr>
            </w:pP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2017</w:t>
            </w:r>
          </w:p>
        </w:tc>
        <w:tc>
          <w:tcPr>
            <w:tcW w:w="709"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2018</w:t>
            </w:r>
          </w:p>
        </w:tc>
        <w:tc>
          <w:tcPr>
            <w:tcW w:w="709"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2019</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2020</w:t>
            </w:r>
          </w:p>
        </w:tc>
        <w:tc>
          <w:tcPr>
            <w:tcW w:w="851"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2021</w:t>
            </w:r>
          </w:p>
        </w:tc>
        <w:tc>
          <w:tcPr>
            <w:tcW w:w="709"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2018 –</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2017</w:t>
            </w:r>
          </w:p>
        </w:tc>
        <w:tc>
          <w:tcPr>
            <w:tcW w:w="708"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2019 –</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2018</w:t>
            </w:r>
          </w:p>
        </w:tc>
        <w:tc>
          <w:tcPr>
            <w:tcW w:w="851"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 xml:space="preserve">2020 </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2019</w:t>
            </w:r>
          </w:p>
        </w:tc>
        <w:tc>
          <w:tcPr>
            <w:tcW w:w="567"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2021 –</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2020</w:t>
            </w:r>
          </w:p>
        </w:tc>
        <w:tc>
          <w:tcPr>
            <w:tcW w:w="751"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2021</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2017</w:t>
            </w:r>
          </w:p>
        </w:tc>
        <w:tc>
          <w:tcPr>
            <w:tcW w:w="666"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2018 -2017</w:t>
            </w:r>
          </w:p>
        </w:tc>
        <w:tc>
          <w:tcPr>
            <w:tcW w:w="851"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 xml:space="preserve">2019 </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2018</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2020</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 xml:space="preserve"> -</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2019</w:t>
            </w:r>
          </w:p>
        </w:tc>
        <w:tc>
          <w:tcPr>
            <w:tcW w:w="709"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2021 –</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2020</w:t>
            </w:r>
          </w:p>
        </w:tc>
        <w:tc>
          <w:tcPr>
            <w:tcW w:w="851"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2021</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w:t>
            </w:r>
          </w:p>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2017</w:t>
            </w:r>
          </w:p>
        </w:tc>
      </w:tr>
      <w:tr w:rsidR="00D523D4" w:rsidTr="00D523D4">
        <w:trPr>
          <w:trHeight w:val="288"/>
        </w:trPr>
        <w:tc>
          <w:tcPr>
            <w:tcW w:w="15163" w:type="dxa"/>
            <w:gridSpan w:val="16"/>
            <w:tcBorders>
              <w:top w:val="single" w:sz="4" w:space="0" w:color="auto"/>
              <w:left w:val="single" w:sz="4" w:space="0" w:color="auto"/>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Балансові показники</w:t>
            </w:r>
          </w:p>
        </w:tc>
      </w:tr>
      <w:tr w:rsidR="00D523D4" w:rsidTr="00D523D4">
        <w:trPr>
          <w:trHeight w:val="28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Чисті активи</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3 579</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4 205</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5 406</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5 082</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6 073</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626</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1 201</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-324</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991</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2 494</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17,49</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28,6</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-6,0</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19,5</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69,7</w:t>
            </w:r>
          </w:p>
        </w:tc>
      </w:tr>
      <w:tr w:rsidR="00D523D4" w:rsidTr="00D523D4">
        <w:trPr>
          <w:trHeight w:val="287"/>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Кредитно-інвестиційний портфель</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3 010</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3 504</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4 308</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3 933</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4 943</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494</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804</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-375</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1 010</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1 933</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16,41</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22,9</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-8,7</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25,7</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64,2</w:t>
            </w:r>
          </w:p>
        </w:tc>
      </w:tr>
      <w:tr w:rsidR="00D523D4" w:rsidTr="00D523D4">
        <w:trPr>
          <w:trHeight w:val="28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Кошти клієнтів</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3 006</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3 286</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4 191</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3 829</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4 238</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280</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905</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-362</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409</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1 232</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9,31</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27,5</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-8,6</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10,7</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41,0</w:t>
            </w:r>
          </w:p>
        </w:tc>
      </w:tr>
      <w:tr w:rsidR="00D523D4" w:rsidTr="00D523D4">
        <w:trPr>
          <w:trHeight w:val="28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Статутний капітал</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299</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299</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299</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299</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323</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0</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0</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0</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24</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24</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0</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0</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0,0</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8,0</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8,0</w:t>
            </w:r>
          </w:p>
        </w:tc>
      </w:tr>
      <w:tr w:rsidR="00D523D4" w:rsidTr="00D523D4">
        <w:trPr>
          <w:trHeight w:val="28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 xml:space="preserve">Власний капітал </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423</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718</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927</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932</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1 463</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295</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209</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531</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1 040</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69,74</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29,1</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0,5</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57,0</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245,9</w:t>
            </w:r>
          </w:p>
        </w:tc>
      </w:tr>
      <w:tr w:rsidR="00D523D4" w:rsidTr="00D523D4">
        <w:trPr>
          <w:trHeight w:val="288"/>
        </w:trPr>
        <w:tc>
          <w:tcPr>
            <w:tcW w:w="15163" w:type="dxa"/>
            <w:gridSpan w:val="16"/>
            <w:tcBorders>
              <w:top w:val="single" w:sz="4" w:space="0" w:color="auto"/>
              <w:left w:val="single" w:sz="4" w:space="0" w:color="auto"/>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Звіт про прибутки та збитки</w:t>
            </w:r>
          </w:p>
        </w:tc>
      </w:tr>
      <w:tr w:rsidR="00D523D4" w:rsidTr="00D523D4">
        <w:trPr>
          <w:trHeight w:val="28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Чистий процентний дохід</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791</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1 265</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1 610</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1 675</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2 065</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474</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345</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65</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390</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1 274</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59,9</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27,3</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4,0</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23,3</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161,1</w:t>
            </w:r>
          </w:p>
        </w:tc>
      </w:tr>
      <w:tr w:rsidR="00D523D4" w:rsidTr="00D523D4">
        <w:trPr>
          <w:trHeight w:val="28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Чистий комісійний дохід</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127</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132</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172</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134</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156</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40</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-38</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22</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29</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3,9</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30,3</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-22,1</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16,4</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22,8</w:t>
            </w:r>
          </w:p>
        </w:tc>
      </w:tr>
      <w:tr w:rsidR="00D523D4" w:rsidTr="00D523D4">
        <w:trPr>
          <w:trHeight w:val="28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Інший операційний дохід</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954</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44</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61</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51</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37</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-910</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17</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-14</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-917</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-95,4</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38,6</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-16,4</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-27,5</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-96,1</w:t>
            </w:r>
          </w:p>
        </w:tc>
      </w:tr>
      <w:tr w:rsidR="00D523D4" w:rsidTr="00D523D4">
        <w:trPr>
          <w:trHeight w:val="28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Адміністративні витрати</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353</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474</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562</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629</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732</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121</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88</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67</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103</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379</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34,3</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18,6</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11,9</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16,4</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107,4</w:t>
            </w:r>
          </w:p>
        </w:tc>
      </w:tr>
      <w:tr w:rsidR="00D523D4" w:rsidTr="00D523D4">
        <w:trPr>
          <w:trHeight w:val="28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Прибуток до оподаткування</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169</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410</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461</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274</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711</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241</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51</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-187</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437</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542</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142,6</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12,4</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-40,6</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159,5</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320,7</w:t>
            </w:r>
          </w:p>
        </w:tc>
      </w:tr>
      <w:tr w:rsidR="00D523D4" w:rsidTr="00D523D4">
        <w:trPr>
          <w:trHeight w:val="28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Прибуток за рік</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139</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336</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378</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225</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581</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197</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42</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-153</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356</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442</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141,7</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12,5</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-40,5</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158,2</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318,0</w:t>
            </w:r>
          </w:p>
        </w:tc>
      </w:tr>
      <w:tr w:rsidR="00D523D4" w:rsidTr="00D523D4">
        <w:trPr>
          <w:trHeight w:val="28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Дохідність активів (ROA), %</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4,18</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8,86</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7,78</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4,4</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10,8</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4,68</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-1,08</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-3,38</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6,40</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6,62</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eastAsia="Times New Roman" w:cs="Calibri"/>
                <w:color w:val="000000"/>
                <w:lang w:eastAsia="uk-UA"/>
              </w:rPr>
            </w:pPr>
            <w:r>
              <w:rPr>
                <w:rFonts w:eastAsia="Times New Roman" w:cs="Calibri"/>
                <w:color w:val="000000"/>
                <w:lang w:eastAsia="uk-UA"/>
              </w:rPr>
              <w:t>-</w:t>
            </w:r>
          </w:p>
        </w:tc>
      </w:tr>
      <w:tr w:rsidR="00D523D4" w:rsidTr="00D523D4">
        <w:trPr>
          <w:trHeight w:val="253"/>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Дохідність капіталу (ROE), %</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48,82</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57,37</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49,16</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27,5</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52,5</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8,55</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-8,21</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-21,66</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25,00</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3,68</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eastAsia="Times New Roman" w:cs="Calibri"/>
                <w:color w:val="000000"/>
                <w:lang w:eastAsia="uk-UA"/>
              </w:rPr>
            </w:pPr>
            <w:r>
              <w:rPr>
                <w:rFonts w:eastAsia="Times New Roman" w:cs="Calibri"/>
                <w:color w:val="000000"/>
                <w:lang w:eastAsia="uk-UA"/>
              </w:rPr>
              <w:t>-</w:t>
            </w:r>
          </w:p>
        </w:tc>
      </w:tr>
      <w:tr w:rsidR="00D523D4" w:rsidTr="00D523D4">
        <w:trPr>
          <w:trHeight w:val="28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proofErr w:type="spellStart"/>
            <w:r>
              <w:rPr>
                <w:rFonts w:ascii="Times New Roman" w:eastAsia="Times New Roman" w:hAnsi="Times New Roman"/>
                <w:color w:val="000000"/>
                <w:lang w:eastAsia="uk-UA"/>
              </w:rPr>
              <w:t>Cost-to-Income</w:t>
            </w:r>
            <w:proofErr w:type="spellEnd"/>
            <w:r>
              <w:rPr>
                <w:rFonts w:ascii="Times New Roman" w:eastAsia="Times New Roman" w:hAnsi="Times New Roman"/>
                <w:color w:val="000000"/>
                <w:lang w:eastAsia="uk-UA"/>
              </w:rPr>
              <w:t xml:space="preserve"> </w:t>
            </w:r>
            <w:proofErr w:type="spellStart"/>
            <w:r>
              <w:rPr>
                <w:rFonts w:ascii="Times New Roman" w:eastAsia="Times New Roman" w:hAnsi="Times New Roman"/>
                <w:color w:val="000000"/>
                <w:lang w:eastAsia="uk-UA"/>
              </w:rPr>
              <w:t>Ratio</w:t>
            </w:r>
            <w:proofErr w:type="spellEnd"/>
            <w:r>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36,95</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32,86</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30,23</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33,7</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32,4</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-4,09</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-2,63</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3,47</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-1,30</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-4,55</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eastAsia="Times New Roman" w:cs="Calibri"/>
                <w:color w:val="000000"/>
                <w:lang w:eastAsia="uk-UA"/>
              </w:rPr>
            </w:pPr>
            <w:r>
              <w:rPr>
                <w:rFonts w:eastAsia="Times New Roman" w:cs="Calibri"/>
                <w:color w:val="000000"/>
                <w:lang w:eastAsia="uk-UA"/>
              </w:rPr>
              <w:t>-</w:t>
            </w:r>
          </w:p>
        </w:tc>
      </w:tr>
      <w:tr w:rsidR="00D523D4" w:rsidTr="00D523D4">
        <w:trPr>
          <w:trHeight w:val="288"/>
        </w:trPr>
        <w:tc>
          <w:tcPr>
            <w:tcW w:w="15163" w:type="dxa"/>
            <w:gridSpan w:val="16"/>
            <w:tcBorders>
              <w:top w:val="single" w:sz="4" w:space="0" w:color="auto"/>
              <w:left w:val="single" w:sz="4" w:space="0" w:color="auto"/>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Загальна інформація про Банк</w:t>
            </w:r>
          </w:p>
        </w:tc>
      </w:tr>
      <w:tr w:rsidR="00D523D4" w:rsidTr="00D523D4">
        <w:trPr>
          <w:trHeight w:val="52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Показник достатності капіталу згідно з Базелем ІІ, %</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10,76</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10,48</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10,03</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10,2</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10,9</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-0,28</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-0,45</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0,17</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0,70</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0,14</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eastAsia="Times New Roman" w:cs="Calibri"/>
                <w:color w:val="000000"/>
                <w:lang w:eastAsia="uk-UA"/>
              </w:rPr>
            </w:pPr>
            <w:r>
              <w:rPr>
                <w:rFonts w:eastAsia="Times New Roman" w:cs="Calibri"/>
                <w:color w:val="000000"/>
                <w:lang w:eastAsia="uk-UA"/>
              </w:rPr>
              <w:t>-</w:t>
            </w:r>
          </w:p>
        </w:tc>
      </w:tr>
      <w:tr w:rsidR="00D523D4" w:rsidTr="00D523D4">
        <w:trPr>
          <w:trHeight w:val="521"/>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Показник достатності регуляторного капіталу згідно з вимогами НБУ, %</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15,41</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16,87</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20,11</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21,5</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14,9</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1,46</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3,24</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1,39</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-6,60</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-0,51</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eastAsia="Times New Roman" w:cs="Calibri"/>
                <w:color w:val="000000"/>
                <w:lang w:eastAsia="uk-UA"/>
              </w:rPr>
            </w:pPr>
            <w:r>
              <w:rPr>
                <w:rFonts w:eastAsia="Times New Roman" w:cs="Calibri"/>
                <w:color w:val="000000"/>
                <w:lang w:eastAsia="uk-UA"/>
              </w:rPr>
              <w:t>-</w:t>
            </w:r>
          </w:p>
        </w:tc>
      </w:tr>
      <w:tr w:rsidR="00D523D4" w:rsidTr="00D523D4">
        <w:trPr>
          <w:trHeight w:val="288"/>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Кількість відділень Банку</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82</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82</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82</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82</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82</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eastAsia="Times New Roman" w:cs="Calibri"/>
                <w:color w:val="000000"/>
                <w:lang w:eastAsia="uk-UA"/>
              </w:rPr>
            </w:pPr>
            <w:r>
              <w:rPr>
                <w:rFonts w:eastAsia="Times New Roman" w:cs="Calibri"/>
                <w:color w:val="000000"/>
                <w:lang w:eastAsia="uk-UA"/>
              </w:rPr>
              <w:t>-</w:t>
            </w:r>
          </w:p>
        </w:tc>
      </w:tr>
      <w:tr w:rsidR="00D523D4" w:rsidTr="00D523D4">
        <w:trPr>
          <w:trHeight w:val="263"/>
        </w:trPr>
        <w:tc>
          <w:tcPr>
            <w:tcW w:w="3681" w:type="dxa"/>
            <w:tcBorders>
              <w:top w:val="nil"/>
              <w:left w:val="single" w:sz="4" w:space="0" w:color="auto"/>
              <w:bottom w:val="single" w:sz="4" w:space="0" w:color="auto"/>
              <w:right w:val="single" w:sz="4" w:space="0" w:color="auto"/>
            </w:tcBorders>
            <w:vAlign w:val="center"/>
            <w:hideMark/>
          </w:tcPr>
          <w:p w:rsidR="00D523D4" w:rsidRDefault="00D523D4">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Облікова чисельність працівників</w:t>
            </w:r>
          </w:p>
        </w:tc>
        <w:tc>
          <w:tcPr>
            <w:tcW w:w="850" w:type="dxa"/>
            <w:tcBorders>
              <w:top w:val="nil"/>
              <w:left w:val="nil"/>
              <w:bottom w:val="single" w:sz="4" w:space="0" w:color="auto"/>
              <w:right w:val="single" w:sz="4" w:space="0" w:color="auto"/>
            </w:tcBorders>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715</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953</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1 270</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1 270</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1 262</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238</w:t>
            </w:r>
          </w:p>
        </w:tc>
        <w:tc>
          <w:tcPr>
            <w:tcW w:w="708"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317</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567"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w:t>
            </w:r>
          </w:p>
        </w:tc>
        <w:tc>
          <w:tcPr>
            <w:tcW w:w="7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547</w:t>
            </w:r>
          </w:p>
        </w:tc>
        <w:tc>
          <w:tcPr>
            <w:tcW w:w="666"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0"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09"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51" w:type="dxa"/>
            <w:tcBorders>
              <w:top w:val="nil"/>
              <w:left w:val="nil"/>
              <w:bottom w:val="single" w:sz="4" w:space="0" w:color="auto"/>
              <w:right w:val="single" w:sz="4" w:space="0" w:color="auto"/>
            </w:tcBorders>
            <w:noWrap/>
            <w:vAlign w:val="center"/>
            <w:hideMark/>
          </w:tcPr>
          <w:p w:rsidR="00D523D4" w:rsidRDefault="00D523D4">
            <w:pPr>
              <w:spacing w:after="0" w:line="240" w:lineRule="auto"/>
              <w:jc w:val="center"/>
              <w:rPr>
                <w:rFonts w:eastAsia="Times New Roman" w:cs="Calibri"/>
                <w:color w:val="000000"/>
                <w:lang w:eastAsia="uk-UA"/>
              </w:rPr>
            </w:pPr>
            <w:r>
              <w:rPr>
                <w:rFonts w:eastAsia="Times New Roman" w:cs="Calibri"/>
                <w:color w:val="000000"/>
                <w:lang w:eastAsia="uk-UA"/>
              </w:rPr>
              <w:t>-</w:t>
            </w:r>
          </w:p>
        </w:tc>
      </w:tr>
    </w:tbl>
    <w:p w:rsidR="00D523D4" w:rsidRDefault="00D523D4" w:rsidP="00F9266A">
      <w:pPr>
        <w:spacing w:after="0" w:line="360" w:lineRule="auto"/>
        <w:ind w:firstLine="708"/>
        <w:jc w:val="both"/>
        <w:rPr>
          <w:rFonts w:ascii="Times New Roman" w:hAnsi="Times New Roman"/>
          <w:sz w:val="28"/>
          <w:szCs w:val="28"/>
        </w:rPr>
        <w:sectPr w:rsidR="00D523D4" w:rsidSect="00876ACF">
          <w:pgSz w:w="16838" w:h="11906" w:orient="landscape"/>
          <w:pgMar w:top="851" w:right="851" w:bottom="1418" w:left="851" w:header="709" w:footer="709" w:gutter="0"/>
          <w:cols w:space="708"/>
          <w:docGrid w:linePitch="360"/>
        </w:sectPr>
      </w:pPr>
    </w:p>
    <w:p w:rsidR="00503B94" w:rsidRDefault="00503B94" w:rsidP="00503B9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З аналізу основних показників Банку вбачається, що чисті активи на протязі періоду, який досліджується, мали тенденцію до збільшення. Так чисті активи Банку на кінець 2021 року склали 6 073 млн. грн., збільшилися на 991 млн. грн. або 19,5% у порівнянні з 2020 роком та на 2 494 млн. грн або 69,7 % у порівнянні з 2017 роком. За розміром чистих активів Банк займає 32 місце серед банків України. Зміна обсягів чистих активів Банку обумовлена збільшенням кредитного портфелю, який є основною складовою активів. Але чисті активи Банку на кінець 2020 року склали 5 082 млн. грн., зменшилися на 324 млн. грн. або 6 % у порівнянні з 2019 роком. За розміром чистих активів Банк у 2020 році займає 29 місце в банківській системі України. Зміна обсягів чистих активів Банку обумовлена зменшенням кредитного портфелю, який є основною складовою активів. Високоліквідні активи Банку складають більше 10% чистих активів та підтримуються в обсязі, достатньому для обслуговування клієнтів та виконання всіх зобов`язань Банку.</w:t>
      </w:r>
      <w:r w:rsidR="00292CF0">
        <w:rPr>
          <w:rFonts w:ascii="Times New Roman" w:hAnsi="Times New Roman"/>
          <w:sz w:val="28"/>
          <w:szCs w:val="28"/>
        </w:rPr>
        <w:t xml:space="preserve"> Динаміка чистих активів Банку представлена на рис. 2.3.</w:t>
      </w:r>
    </w:p>
    <w:p w:rsidR="00B94FEC" w:rsidRDefault="007B306C" w:rsidP="007B306C">
      <w:pPr>
        <w:spacing w:after="0" w:line="360" w:lineRule="auto"/>
        <w:ind w:firstLine="709"/>
        <w:jc w:val="center"/>
        <w:rPr>
          <w:rFonts w:ascii="Times New Roman" w:hAnsi="Times New Roman"/>
          <w:sz w:val="28"/>
          <w:szCs w:val="28"/>
        </w:rPr>
      </w:pPr>
      <w:r>
        <w:rPr>
          <w:noProof/>
          <w:lang w:eastAsia="uk-UA"/>
        </w:rPr>
        <w:drawing>
          <wp:inline distT="0" distB="0" distL="0" distR="0" wp14:anchorId="0B1922FE" wp14:editId="27D826A2">
            <wp:extent cx="4434840" cy="2232660"/>
            <wp:effectExtent l="0" t="0" r="3810" b="15240"/>
            <wp:docPr id="201" name="Диаграмма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94FEC" w:rsidRDefault="007B306C" w:rsidP="00503B94">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 2.3. </w:t>
      </w:r>
      <w:r w:rsidRPr="007B306C">
        <w:rPr>
          <w:rFonts w:ascii="Times New Roman" w:hAnsi="Times New Roman"/>
          <w:sz w:val="28"/>
          <w:szCs w:val="28"/>
        </w:rPr>
        <w:t>Динаміка чистих активів Банку</w:t>
      </w:r>
      <w:r>
        <w:rPr>
          <w:rFonts w:ascii="Times New Roman" w:hAnsi="Times New Roman"/>
          <w:sz w:val="28"/>
          <w:szCs w:val="28"/>
        </w:rPr>
        <w:t xml:space="preserve"> за період 2017-2021 роки</w:t>
      </w:r>
      <w:r w:rsidR="00FF304B">
        <w:rPr>
          <w:rFonts w:ascii="Times New Roman" w:hAnsi="Times New Roman"/>
          <w:sz w:val="28"/>
          <w:szCs w:val="28"/>
        </w:rPr>
        <w:t xml:space="preserve"> </w:t>
      </w:r>
      <w:r w:rsidR="00FF304B" w:rsidRPr="00FF304B">
        <w:rPr>
          <w:rFonts w:ascii="Times New Roman" w:hAnsi="Times New Roman"/>
          <w:sz w:val="28"/>
          <w:szCs w:val="28"/>
        </w:rPr>
        <w:t>[51]</w:t>
      </w:r>
    </w:p>
    <w:p w:rsidR="00FA06F2" w:rsidRDefault="00503B94" w:rsidP="00604F9F">
      <w:pPr>
        <w:spacing w:before="240" w:after="0" w:line="360" w:lineRule="auto"/>
        <w:ind w:firstLine="709"/>
        <w:jc w:val="both"/>
        <w:rPr>
          <w:rFonts w:ascii="Times New Roman" w:hAnsi="Times New Roman"/>
          <w:sz w:val="28"/>
          <w:szCs w:val="28"/>
        </w:rPr>
      </w:pPr>
      <w:r>
        <w:rPr>
          <w:rFonts w:ascii="Times New Roman" w:hAnsi="Times New Roman"/>
          <w:sz w:val="28"/>
          <w:szCs w:val="28"/>
        </w:rPr>
        <w:t xml:space="preserve">Розмір кредитно-інвестиційного портфелю Банку на кінець 2021 року склав 4 943 млн. грн., збільшився на 1,010 млн. грн. або 25,7 % у порівнянні з минулим роком та збільшився на 1 933 млн. грн або 64,2 % у порівнянні з 2017 роком. Основним сегментом кредитування є роздрібні клієнти – фізичні особи та фізичні особи-підприємці. В 2020 році відбулося зниження кредитно-інвестиційного портфелю. Вплив COVID-19 та застосування політики консервативного ризик-орієнтованого підходу в процесі здійснення </w:t>
      </w:r>
      <w:r>
        <w:rPr>
          <w:rFonts w:ascii="Times New Roman" w:hAnsi="Times New Roman"/>
          <w:sz w:val="28"/>
          <w:szCs w:val="28"/>
        </w:rPr>
        <w:lastRenderedPageBreak/>
        <w:t>кредитування вплинули на приріст резервів під зменшення корисності кредитів.</w:t>
      </w:r>
      <w:r w:rsidR="00FA06F2">
        <w:rPr>
          <w:rFonts w:ascii="Times New Roman" w:hAnsi="Times New Roman"/>
          <w:sz w:val="28"/>
          <w:szCs w:val="28"/>
        </w:rPr>
        <w:t xml:space="preserve"> </w:t>
      </w:r>
      <w:r w:rsidR="00FA06F2" w:rsidRPr="00FA06F2">
        <w:rPr>
          <w:rFonts w:ascii="Times New Roman" w:hAnsi="Times New Roman"/>
          <w:sz w:val="28"/>
          <w:szCs w:val="28"/>
        </w:rPr>
        <w:t>Динаміка кредитно-інвестиційного портфелю Банку представлена на рис. 2.</w:t>
      </w:r>
      <w:r w:rsidR="00FA06F2">
        <w:rPr>
          <w:rFonts w:ascii="Times New Roman" w:hAnsi="Times New Roman"/>
          <w:sz w:val="28"/>
          <w:szCs w:val="28"/>
        </w:rPr>
        <w:t>4.</w:t>
      </w:r>
    </w:p>
    <w:p w:rsidR="00FA06F2" w:rsidRDefault="00FA06F2" w:rsidP="00FA06F2">
      <w:pPr>
        <w:spacing w:before="120" w:after="0" w:line="360" w:lineRule="auto"/>
        <w:ind w:firstLine="709"/>
        <w:jc w:val="center"/>
        <w:rPr>
          <w:rFonts w:ascii="Times New Roman" w:hAnsi="Times New Roman"/>
          <w:sz w:val="28"/>
          <w:szCs w:val="28"/>
        </w:rPr>
      </w:pPr>
      <w:r>
        <w:rPr>
          <w:noProof/>
          <w:lang w:eastAsia="uk-UA"/>
        </w:rPr>
        <w:drawing>
          <wp:inline distT="0" distB="0" distL="0" distR="0" wp14:anchorId="388D6FBE" wp14:editId="3C3119EB">
            <wp:extent cx="4381500" cy="2369820"/>
            <wp:effectExtent l="0" t="0" r="0" b="11430"/>
            <wp:docPr id="202" name="Диаграмма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A06F2" w:rsidRPr="00FA06F2" w:rsidRDefault="00FA06F2" w:rsidP="00FA06F2">
      <w:pPr>
        <w:spacing w:before="120" w:after="0" w:line="360" w:lineRule="auto"/>
        <w:ind w:firstLine="709"/>
        <w:jc w:val="center"/>
        <w:rPr>
          <w:rFonts w:ascii="Times New Roman" w:hAnsi="Times New Roman"/>
          <w:sz w:val="28"/>
          <w:szCs w:val="28"/>
        </w:rPr>
      </w:pPr>
      <w:r>
        <w:rPr>
          <w:rFonts w:ascii="Times New Roman" w:hAnsi="Times New Roman"/>
          <w:sz w:val="28"/>
          <w:szCs w:val="28"/>
        </w:rPr>
        <w:t xml:space="preserve">Рис. 2.4. </w:t>
      </w:r>
      <w:r w:rsidRPr="00FA06F2">
        <w:rPr>
          <w:rFonts w:ascii="Times New Roman" w:hAnsi="Times New Roman"/>
          <w:sz w:val="28"/>
          <w:szCs w:val="28"/>
        </w:rPr>
        <w:t>Динаміка кредитно-інвестиційного портфелю Банку</w:t>
      </w:r>
      <w:r w:rsidRPr="00FA06F2">
        <w:t xml:space="preserve"> </w:t>
      </w:r>
      <w:r w:rsidRPr="00FA06F2">
        <w:rPr>
          <w:rFonts w:ascii="Times New Roman" w:hAnsi="Times New Roman"/>
          <w:sz w:val="28"/>
          <w:szCs w:val="28"/>
        </w:rPr>
        <w:t>за період 2017-2021 роки</w:t>
      </w:r>
      <w:r w:rsidR="00FF304B">
        <w:rPr>
          <w:rFonts w:ascii="Times New Roman" w:hAnsi="Times New Roman"/>
          <w:sz w:val="28"/>
          <w:szCs w:val="28"/>
        </w:rPr>
        <w:t xml:space="preserve"> </w:t>
      </w:r>
      <w:r w:rsidR="00FF304B" w:rsidRPr="00FF304B">
        <w:rPr>
          <w:rFonts w:ascii="Times New Roman" w:hAnsi="Times New Roman"/>
          <w:sz w:val="28"/>
          <w:szCs w:val="28"/>
        </w:rPr>
        <w:t>[51]</w:t>
      </w:r>
    </w:p>
    <w:p w:rsidR="00503B94" w:rsidRDefault="00503B94" w:rsidP="00604F9F">
      <w:pPr>
        <w:spacing w:before="240" w:after="0" w:line="360" w:lineRule="auto"/>
        <w:ind w:firstLine="709"/>
        <w:jc w:val="both"/>
        <w:rPr>
          <w:rFonts w:ascii="Times New Roman" w:hAnsi="Times New Roman"/>
          <w:sz w:val="28"/>
          <w:szCs w:val="28"/>
        </w:rPr>
      </w:pPr>
      <w:r>
        <w:rPr>
          <w:rFonts w:ascii="Times New Roman" w:hAnsi="Times New Roman"/>
          <w:sz w:val="28"/>
          <w:szCs w:val="28"/>
        </w:rPr>
        <w:t>Загальна сума сформованих резервів під зменшення корисності кредитів у 2020 році зросла на 346,7 млн. грн. та на кінець 2020 року склала 2 802 млн. грн. За розміром кредитного портфелю фізичним особам Банк у 2021 році займає 13 місце серед банків України. Застосування політики консервативного ризик-орієнтованого підходу в процесі здійснення кредитування вплинули на приріст резервів під зменшення корисності кредитів. Загальна сума сформованих резервів під зменшення корисності кредитів зросла на 1,057 млн. грн. та на кінець 2021 року склала 3,859 млн. грн.</w:t>
      </w:r>
    </w:p>
    <w:p w:rsidR="003209AD" w:rsidRDefault="003209AD" w:rsidP="003209AD">
      <w:pPr>
        <w:spacing w:after="0" w:line="360" w:lineRule="auto"/>
        <w:ind w:firstLine="709"/>
        <w:jc w:val="both"/>
        <w:rPr>
          <w:rFonts w:ascii="Times New Roman" w:hAnsi="Times New Roman"/>
          <w:sz w:val="28"/>
          <w:szCs w:val="28"/>
        </w:rPr>
      </w:pPr>
      <w:r>
        <w:rPr>
          <w:rFonts w:ascii="Times New Roman" w:hAnsi="Times New Roman"/>
          <w:sz w:val="28"/>
          <w:szCs w:val="28"/>
        </w:rPr>
        <w:t>Основною складовою ресурсної Бази банку є кошти клієнтів – фізичних та юридичних осіб.</w:t>
      </w:r>
      <w:r>
        <w:t xml:space="preserve"> </w:t>
      </w:r>
      <w:r>
        <w:rPr>
          <w:rFonts w:ascii="Times New Roman" w:hAnsi="Times New Roman"/>
          <w:sz w:val="28"/>
          <w:szCs w:val="28"/>
        </w:rPr>
        <w:t>На кінець 2021 року обсяг коштів клієнтів Банку</w:t>
      </w:r>
      <w:r>
        <w:t xml:space="preserve"> </w:t>
      </w:r>
      <w:r>
        <w:rPr>
          <w:rFonts w:ascii="Times New Roman" w:hAnsi="Times New Roman"/>
          <w:sz w:val="28"/>
          <w:szCs w:val="28"/>
        </w:rPr>
        <w:t xml:space="preserve">склав 4,238 </w:t>
      </w:r>
    </w:p>
    <w:p w:rsidR="003209AD" w:rsidRDefault="003209AD" w:rsidP="003209AD">
      <w:pPr>
        <w:spacing w:after="0" w:line="360" w:lineRule="auto"/>
        <w:jc w:val="both"/>
        <w:rPr>
          <w:rFonts w:ascii="Times New Roman" w:hAnsi="Times New Roman"/>
          <w:sz w:val="28"/>
          <w:szCs w:val="28"/>
        </w:rPr>
      </w:pPr>
      <w:r>
        <w:rPr>
          <w:rFonts w:ascii="Times New Roman" w:hAnsi="Times New Roman"/>
          <w:sz w:val="28"/>
          <w:szCs w:val="28"/>
        </w:rPr>
        <w:t>млн. грн. та зріс на 409 млн. грн. або 10,7% у порівнянні з минулим роком, що свідчить про високий рівень довіри клієнтів до Банку. А за період з 2017 по 2021 роки кошти клієнтів збільшилися на 1 232 млн. грн або на 41 %. Обсяг коштів фізичних осіб за 2021 рік збільшився на 291 млн. грн. або 9,5% та на кінець 2021 року склав 3,357 млн. грн. За розміром коштів клієнтів фізичних осіб банк займає</w:t>
      </w:r>
    </w:p>
    <w:p w:rsidR="003209AD" w:rsidRDefault="003209AD" w:rsidP="003209AD">
      <w:pPr>
        <w:spacing w:after="0" w:line="360" w:lineRule="auto"/>
        <w:jc w:val="both"/>
        <w:rPr>
          <w:rFonts w:ascii="Times New Roman" w:hAnsi="Times New Roman"/>
          <w:sz w:val="28"/>
          <w:szCs w:val="28"/>
        </w:rPr>
      </w:pPr>
      <w:r>
        <w:rPr>
          <w:rFonts w:ascii="Times New Roman" w:hAnsi="Times New Roman"/>
          <w:sz w:val="28"/>
          <w:szCs w:val="28"/>
        </w:rPr>
        <w:t xml:space="preserve">20 місце серед банків України. Обсяг коштів юридичних осіб за 2021 рік збільшився на 119 млн. грн. або 15,6% та на кінець 2021 року склав 880 млн. грн. </w:t>
      </w:r>
    </w:p>
    <w:p w:rsidR="00F9266A" w:rsidRDefault="003209AD" w:rsidP="00E75A88">
      <w:pPr>
        <w:spacing w:after="0" w:line="367" w:lineRule="auto"/>
        <w:ind w:firstLine="709"/>
        <w:jc w:val="both"/>
        <w:rPr>
          <w:rFonts w:ascii="Times New Roman" w:hAnsi="Times New Roman"/>
          <w:sz w:val="28"/>
          <w:szCs w:val="28"/>
        </w:rPr>
      </w:pPr>
      <w:r>
        <w:rPr>
          <w:rFonts w:ascii="Times New Roman" w:hAnsi="Times New Roman"/>
          <w:sz w:val="28"/>
          <w:szCs w:val="28"/>
        </w:rPr>
        <w:lastRenderedPageBreak/>
        <w:t>Але на кінець 2020 року обсяг коштів клієнтів Банку склав 3 829 млн. грн., зменшився на 362 млн. грн. або 8,6 % у порівнянні з минулим роком. Основне зменшення коштів клієнтів відбулося за рахунок зменшення коштів фізичних осіб, які є більш чутливими до впливу негативних зовнішніх чинників, що були спричинені COVID-19. Кошти фізичних о</w:t>
      </w:r>
      <w:r w:rsidR="00841E6A">
        <w:rPr>
          <w:rFonts w:ascii="Times New Roman" w:hAnsi="Times New Roman"/>
          <w:sz w:val="28"/>
          <w:szCs w:val="28"/>
        </w:rPr>
        <w:t xml:space="preserve">сіб станом на кінець 2021 року </w:t>
      </w:r>
      <w:r>
        <w:rPr>
          <w:rFonts w:ascii="Times New Roman" w:hAnsi="Times New Roman"/>
          <w:sz w:val="28"/>
          <w:szCs w:val="28"/>
        </w:rPr>
        <w:t xml:space="preserve">складають близько 79% в загальних коштах клієнтів. За строками користування переважають строкові кошти. </w:t>
      </w:r>
      <w:r w:rsidR="00841E6A">
        <w:rPr>
          <w:rFonts w:ascii="Times New Roman" w:hAnsi="Times New Roman"/>
          <w:sz w:val="28"/>
          <w:szCs w:val="28"/>
        </w:rPr>
        <w:t>За досліджуваний період к</w:t>
      </w:r>
      <w:r>
        <w:rPr>
          <w:rFonts w:ascii="Times New Roman" w:hAnsi="Times New Roman"/>
          <w:sz w:val="28"/>
          <w:szCs w:val="28"/>
        </w:rPr>
        <w:t xml:space="preserve">ошти на поточних рахунках складають близько </w:t>
      </w:r>
      <w:r w:rsidR="00841E6A">
        <w:rPr>
          <w:rFonts w:ascii="Times New Roman" w:hAnsi="Times New Roman"/>
          <w:sz w:val="28"/>
          <w:szCs w:val="28"/>
        </w:rPr>
        <w:t>30</w:t>
      </w:r>
      <w:r>
        <w:rPr>
          <w:rFonts w:ascii="Times New Roman" w:hAnsi="Times New Roman"/>
          <w:sz w:val="28"/>
          <w:szCs w:val="28"/>
        </w:rPr>
        <w:t xml:space="preserve">% клієнтського портфеля. Більше </w:t>
      </w:r>
      <w:r w:rsidR="00841E6A">
        <w:rPr>
          <w:rFonts w:ascii="Times New Roman" w:hAnsi="Times New Roman"/>
          <w:sz w:val="28"/>
          <w:szCs w:val="28"/>
        </w:rPr>
        <w:t>8</w:t>
      </w:r>
      <w:r>
        <w:rPr>
          <w:rFonts w:ascii="Times New Roman" w:hAnsi="Times New Roman"/>
          <w:sz w:val="28"/>
          <w:szCs w:val="28"/>
        </w:rPr>
        <w:t>0% обсягу останнього сформовано коштами у національній валюті, що нівелює чутливість Банку до валютно-курсових коливань.</w:t>
      </w:r>
      <w:r w:rsidRPr="003209AD">
        <w:t xml:space="preserve"> </w:t>
      </w:r>
      <w:r w:rsidRPr="003209AD">
        <w:rPr>
          <w:rFonts w:ascii="Times New Roman" w:hAnsi="Times New Roman"/>
          <w:sz w:val="28"/>
          <w:szCs w:val="28"/>
        </w:rPr>
        <w:t xml:space="preserve">Динаміка </w:t>
      </w:r>
      <w:r>
        <w:rPr>
          <w:rFonts w:ascii="Times New Roman" w:hAnsi="Times New Roman"/>
          <w:sz w:val="28"/>
          <w:szCs w:val="28"/>
        </w:rPr>
        <w:t>коштів клієнтів Банку представлена на рис. 2.5</w:t>
      </w:r>
      <w:r w:rsidRPr="003209AD">
        <w:rPr>
          <w:rFonts w:ascii="Times New Roman" w:hAnsi="Times New Roman"/>
          <w:sz w:val="28"/>
          <w:szCs w:val="28"/>
        </w:rPr>
        <w:t>.</w:t>
      </w:r>
    </w:p>
    <w:p w:rsidR="00E55F6D" w:rsidRDefault="00D91A3D" w:rsidP="002A08FF">
      <w:pPr>
        <w:spacing w:after="0" w:line="360" w:lineRule="auto"/>
        <w:ind w:firstLine="709"/>
        <w:jc w:val="center"/>
        <w:rPr>
          <w:rFonts w:ascii="Times New Roman" w:hAnsi="Times New Roman"/>
          <w:sz w:val="28"/>
          <w:szCs w:val="28"/>
        </w:rPr>
      </w:pPr>
      <w:r>
        <w:rPr>
          <w:noProof/>
          <w:lang w:eastAsia="uk-UA"/>
        </w:rPr>
        <w:drawing>
          <wp:inline distT="0" distB="0" distL="0" distR="0" wp14:anchorId="19B9A64F" wp14:editId="36EFE3CF">
            <wp:extent cx="4671060" cy="2232660"/>
            <wp:effectExtent l="0" t="0" r="15240" b="1524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91A3D" w:rsidRDefault="00D91A3D" w:rsidP="00D91A3D">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 2.5. </w:t>
      </w:r>
      <w:r w:rsidRPr="00D91A3D">
        <w:rPr>
          <w:rFonts w:ascii="Times New Roman" w:hAnsi="Times New Roman"/>
          <w:sz w:val="28"/>
          <w:szCs w:val="28"/>
        </w:rPr>
        <w:t>Динаміка коштів клієнтів Банку</w:t>
      </w:r>
      <w:r w:rsidRPr="00D91A3D">
        <w:t xml:space="preserve"> </w:t>
      </w:r>
      <w:r w:rsidRPr="00D91A3D">
        <w:rPr>
          <w:rFonts w:ascii="Times New Roman" w:hAnsi="Times New Roman"/>
          <w:sz w:val="28"/>
          <w:szCs w:val="28"/>
        </w:rPr>
        <w:t>за період 2017-2021 роки</w:t>
      </w:r>
      <w:r w:rsidR="00FF304B">
        <w:rPr>
          <w:rFonts w:ascii="Times New Roman" w:hAnsi="Times New Roman"/>
          <w:sz w:val="28"/>
          <w:szCs w:val="28"/>
        </w:rPr>
        <w:t xml:space="preserve"> </w:t>
      </w:r>
      <w:r w:rsidR="00FF304B" w:rsidRPr="00FF304B">
        <w:rPr>
          <w:rFonts w:ascii="Times New Roman" w:hAnsi="Times New Roman"/>
          <w:sz w:val="28"/>
          <w:szCs w:val="28"/>
        </w:rPr>
        <w:t>[51]</w:t>
      </w:r>
    </w:p>
    <w:p w:rsidR="00E75A88" w:rsidRDefault="00912476" w:rsidP="00604F9F">
      <w:pPr>
        <w:spacing w:before="240" w:after="0" w:line="367" w:lineRule="auto"/>
        <w:ind w:firstLine="709"/>
        <w:jc w:val="both"/>
        <w:rPr>
          <w:rFonts w:ascii="Times New Roman" w:hAnsi="Times New Roman"/>
          <w:sz w:val="28"/>
          <w:szCs w:val="28"/>
        </w:rPr>
      </w:pPr>
      <w:r w:rsidRPr="00912476">
        <w:rPr>
          <w:rFonts w:ascii="Times New Roman" w:hAnsi="Times New Roman"/>
          <w:sz w:val="28"/>
          <w:szCs w:val="28"/>
        </w:rPr>
        <w:t>Розмір власного капіталу Банку на кінець 2021 року становив 1,463 млн. грн., зріс на 531 млн. грн. або 57 % у порівнянні з минулим роком</w:t>
      </w:r>
      <w:r w:rsidR="00841E6A">
        <w:rPr>
          <w:rFonts w:ascii="Times New Roman" w:hAnsi="Times New Roman"/>
          <w:sz w:val="28"/>
          <w:szCs w:val="28"/>
        </w:rPr>
        <w:t>. З</w:t>
      </w:r>
      <w:r w:rsidRPr="00912476">
        <w:rPr>
          <w:rFonts w:ascii="Times New Roman" w:hAnsi="Times New Roman"/>
          <w:sz w:val="28"/>
          <w:szCs w:val="28"/>
        </w:rPr>
        <w:t xml:space="preserve">а досліджуваний період </w:t>
      </w:r>
      <w:r w:rsidR="00841E6A">
        <w:rPr>
          <w:rFonts w:ascii="Times New Roman" w:hAnsi="Times New Roman"/>
          <w:sz w:val="28"/>
          <w:szCs w:val="28"/>
        </w:rPr>
        <w:t xml:space="preserve">з 2017 по 2021 роки розмір власного </w:t>
      </w:r>
      <w:r w:rsidRPr="00912476">
        <w:rPr>
          <w:rFonts w:ascii="Times New Roman" w:hAnsi="Times New Roman"/>
          <w:sz w:val="28"/>
          <w:szCs w:val="28"/>
        </w:rPr>
        <w:t>зріс на 1 040 млн. грн або 245,9 %. Основним джерелом забезпечення власного капіталу є прибуткова діяльність банку.</w:t>
      </w:r>
      <w:r w:rsidR="00841E6A" w:rsidRPr="00D00DB9">
        <w:rPr>
          <w:rFonts w:ascii="Times New Roman" w:hAnsi="Times New Roman"/>
          <w:sz w:val="28"/>
          <w:szCs w:val="28"/>
        </w:rPr>
        <w:t xml:space="preserve"> </w:t>
      </w:r>
      <w:r w:rsidR="00D00DB9" w:rsidRPr="00D00DB9">
        <w:rPr>
          <w:rFonts w:ascii="Times New Roman" w:hAnsi="Times New Roman"/>
          <w:sz w:val="28"/>
          <w:szCs w:val="28"/>
        </w:rPr>
        <w:t xml:space="preserve">Розмір статутного капіталу протягом періоду з 2017 по 2020 року становив 299 млн. грн і лише у 2021 році був збільшений до 323 млн. грн або на 8 %. </w:t>
      </w:r>
      <w:r w:rsidR="00BD6F06">
        <w:rPr>
          <w:rFonts w:ascii="Times New Roman" w:hAnsi="Times New Roman"/>
          <w:sz w:val="28"/>
          <w:szCs w:val="28"/>
        </w:rPr>
        <w:t xml:space="preserve">Рівень адекватності капіталу на </w:t>
      </w:r>
      <w:r w:rsidR="00BD6F06" w:rsidRPr="00BD6F06">
        <w:rPr>
          <w:rFonts w:ascii="Times New Roman" w:hAnsi="Times New Roman"/>
          <w:sz w:val="28"/>
          <w:szCs w:val="28"/>
        </w:rPr>
        <w:t>кінець 20</w:t>
      </w:r>
      <w:r w:rsidR="00BD6F06">
        <w:rPr>
          <w:rFonts w:ascii="Times New Roman" w:hAnsi="Times New Roman"/>
          <w:sz w:val="28"/>
          <w:szCs w:val="28"/>
        </w:rPr>
        <w:t>21</w:t>
      </w:r>
      <w:r w:rsidR="00BD6F06" w:rsidRPr="00BD6F06">
        <w:rPr>
          <w:rFonts w:ascii="Times New Roman" w:hAnsi="Times New Roman"/>
          <w:sz w:val="28"/>
          <w:szCs w:val="28"/>
        </w:rPr>
        <w:t xml:space="preserve"> року становив </w:t>
      </w:r>
      <w:r w:rsidR="00BD6F06">
        <w:rPr>
          <w:rFonts w:ascii="Times New Roman" w:hAnsi="Times New Roman"/>
          <w:sz w:val="28"/>
          <w:szCs w:val="28"/>
        </w:rPr>
        <w:t xml:space="preserve">14,9% (при </w:t>
      </w:r>
      <w:r w:rsidR="00BD6F06" w:rsidRPr="00BD6F06">
        <w:rPr>
          <w:rFonts w:ascii="Times New Roman" w:hAnsi="Times New Roman"/>
          <w:sz w:val="28"/>
          <w:szCs w:val="28"/>
        </w:rPr>
        <w:t>вс</w:t>
      </w:r>
      <w:r w:rsidR="00BD6F06">
        <w:rPr>
          <w:rFonts w:ascii="Times New Roman" w:hAnsi="Times New Roman"/>
          <w:sz w:val="28"/>
          <w:szCs w:val="28"/>
        </w:rPr>
        <w:t xml:space="preserve">тановленому Національним банком </w:t>
      </w:r>
      <w:r w:rsidR="00BD6F06" w:rsidRPr="00BD6F06">
        <w:rPr>
          <w:rFonts w:ascii="Times New Roman" w:hAnsi="Times New Roman"/>
          <w:sz w:val="28"/>
          <w:szCs w:val="28"/>
        </w:rPr>
        <w:t>України нормативному</w:t>
      </w:r>
      <w:r w:rsidR="00BD6F06">
        <w:rPr>
          <w:rFonts w:ascii="Times New Roman" w:hAnsi="Times New Roman"/>
          <w:sz w:val="28"/>
          <w:szCs w:val="28"/>
        </w:rPr>
        <w:t xml:space="preserve"> значенні 10%), що </w:t>
      </w:r>
      <w:r w:rsidR="00BD6F06" w:rsidRPr="00BD6F06">
        <w:rPr>
          <w:rFonts w:ascii="Times New Roman" w:hAnsi="Times New Roman"/>
          <w:sz w:val="28"/>
          <w:szCs w:val="28"/>
        </w:rPr>
        <w:t>свідчить</w:t>
      </w:r>
      <w:r w:rsidR="00BD6F06">
        <w:rPr>
          <w:rFonts w:ascii="Times New Roman" w:hAnsi="Times New Roman"/>
          <w:sz w:val="28"/>
          <w:szCs w:val="28"/>
        </w:rPr>
        <w:t xml:space="preserve"> про високий ступінь фінансової </w:t>
      </w:r>
      <w:r w:rsidR="00BD6F06" w:rsidRPr="00BD6F06">
        <w:rPr>
          <w:rFonts w:ascii="Times New Roman" w:hAnsi="Times New Roman"/>
          <w:sz w:val="28"/>
          <w:szCs w:val="28"/>
        </w:rPr>
        <w:t xml:space="preserve">стійкості Банку. </w:t>
      </w:r>
      <w:r w:rsidR="00841E6A" w:rsidRPr="00841E6A">
        <w:rPr>
          <w:rFonts w:ascii="Times New Roman" w:hAnsi="Times New Roman"/>
          <w:sz w:val="28"/>
          <w:szCs w:val="28"/>
        </w:rPr>
        <w:t xml:space="preserve">Динаміка </w:t>
      </w:r>
      <w:r w:rsidR="00AC5AE1">
        <w:rPr>
          <w:rFonts w:ascii="Times New Roman" w:hAnsi="Times New Roman"/>
          <w:sz w:val="28"/>
          <w:szCs w:val="28"/>
        </w:rPr>
        <w:t xml:space="preserve">розміру </w:t>
      </w:r>
      <w:r w:rsidR="00D00DB9">
        <w:rPr>
          <w:rFonts w:ascii="Times New Roman" w:hAnsi="Times New Roman"/>
          <w:sz w:val="28"/>
          <w:szCs w:val="28"/>
        </w:rPr>
        <w:t>капіталу</w:t>
      </w:r>
      <w:r w:rsidR="00841E6A" w:rsidRPr="00841E6A">
        <w:rPr>
          <w:rFonts w:ascii="Times New Roman" w:hAnsi="Times New Roman"/>
          <w:sz w:val="28"/>
          <w:szCs w:val="28"/>
        </w:rPr>
        <w:t xml:space="preserve"> Банку представлена н</w:t>
      </w:r>
      <w:r w:rsidR="00BD6F06">
        <w:rPr>
          <w:rFonts w:ascii="Times New Roman" w:hAnsi="Times New Roman"/>
          <w:sz w:val="28"/>
          <w:szCs w:val="28"/>
        </w:rPr>
        <w:t>а рис. 2.6</w:t>
      </w:r>
      <w:r w:rsidR="00841E6A" w:rsidRPr="00841E6A">
        <w:rPr>
          <w:rFonts w:ascii="Times New Roman" w:hAnsi="Times New Roman"/>
          <w:sz w:val="28"/>
          <w:szCs w:val="28"/>
        </w:rPr>
        <w:t>.</w:t>
      </w:r>
    </w:p>
    <w:p w:rsidR="00762E2F" w:rsidRDefault="00E75A88" w:rsidP="001D7F53">
      <w:pPr>
        <w:spacing w:before="120" w:after="0" w:line="367" w:lineRule="auto"/>
        <w:ind w:firstLine="709"/>
        <w:jc w:val="center"/>
        <w:rPr>
          <w:rFonts w:ascii="Times New Roman" w:hAnsi="Times New Roman"/>
          <w:sz w:val="28"/>
          <w:szCs w:val="28"/>
        </w:rPr>
      </w:pPr>
      <w:r>
        <w:rPr>
          <w:noProof/>
          <w:lang w:eastAsia="uk-UA"/>
        </w:rPr>
        <w:lastRenderedPageBreak/>
        <w:drawing>
          <wp:inline distT="0" distB="0" distL="0" distR="0" wp14:anchorId="421ACC11" wp14:editId="1E9A6C2B">
            <wp:extent cx="4572000" cy="2743200"/>
            <wp:effectExtent l="0" t="0" r="0" b="0"/>
            <wp:docPr id="204" name="Диаграмма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75A88" w:rsidRDefault="001D7F53" w:rsidP="001D7F53">
      <w:pPr>
        <w:spacing w:before="120" w:after="0" w:line="367" w:lineRule="auto"/>
        <w:ind w:firstLine="709"/>
        <w:jc w:val="center"/>
        <w:rPr>
          <w:rFonts w:ascii="Times New Roman" w:hAnsi="Times New Roman"/>
          <w:sz w:val="28"/>
          <w:szCs w:val="28"/>
        </w:rPr>
      </w:pPr>
      <w:r>
        <w:rPr>
          <w:rFonts w:ascii="Times New Roman" w:hAnsi="Times New Roman"/>
          <w:sz w:val="28"/>
          <w:szCs w:val="28"/>
        </w:rPr>
        <w:t xml:space="preserve">Рис. 2.6. </w:t>
      </w:r>
      <w:r w:rsidRPr="00841E6A">
        <w:rPr>
          <w:rFonts w:ascii="Times New Roman" w:hAnsi="Times New Roman"/>
          <w:sz w:val="28"/>
          <w:szCs w:val="28"/>
        </w:rPr>
        <w:t xml:space="preserve">Динаміка </w:t>
      </w:r>
      <w:r w:rsidR="00AC5AE1">
        <w:rPr>
          <w:rFonts w:ascii="Times New Roman" w:hAnsi="Times New Roman"/>
          <w:sz w:val="28"/>
          <w:szCs w:val="28"/>
        </w:rPr>
        <w:t xml:space="preserve">розміру </w:t>
      </w:r>
      <w:r>
        <w:rPr>
          <w:rFonts w:ascii="Times New Roman" w:hAnsi="Times New Roman"/>
          <w:sz w:val="28"/>
          <w:szCs w:val="28"/>
        </w:rPr>
        <w:t>капіталу</w:t>
      </w:r>
      <w:r w:rsidRPr="00841E6A">
        <w:rPr>
          <w:rFonts w:ascii="Times New Roman" w:hAnsi="Times New Roman"/>
          <w:sz w:val="28"/>
          <w:szCs w:val="28"/>
        </w:rPr>
        <w:t xml:space="preserve"> Банку</w:t>
      </w:r>
      <w:r w:rsidRPr="001D7F53">
        <w:t xml:space="preserve"> </w:t>
      </w:r>
      <w:r w:rsidRPr="001D7F53">
        <w:rPr>
          <w:rFonts w:ascii="Times New Roman" w:hAnsi="Times New Roman"/>
          <w:sz w:val="28"/>
          <w:szCs w:val="28"/>
        </w:rPr>
        <w:t>за період 2017-2021 роки</w:t>
      </w:r>
      <w:r w:rsidR="00FF304B">
        <w:rPr>
          <w:rFonts w:ascii="Times New Roman" w:hAnsi="Times New Roman"/>
          <w:sz w:val="28"/>
          <w:szCs w:val="28"/>
        </w:rPr>
        <w:t xml:space="preserve"> </w:t>
      </w:r>
      <w:r w:rsidR="00FF304B" w:rsidRPr="00FF304B">
        <w:rPr>
          <w:rFonts w:ascii="Times New Roman" w:hAnsi="Times New Roman"/>
          <w:sz w:val="28"/>
          <w:szCs w:val="28"/>
        </w:rPr>
        <w:t>[51]</w:t>
      </w:r>
    </w:p>
    <w:p w:rsidR="00074F99" w:rsidRDefault="00074F99" w:rsidP="00604F9F">
      <w:pPr>
        <w:spacing w:before="240" w:after="0" w:line="360" w:lineRule="auto"/>
        <w:ind w:firstLine="709"/>
        <w:jc w:val="both"/>
        <w:rPr>
          <w:rFonts w:ascii="Times New Roman" w:hAnsi="Times New Roman"/>
          <w:sz w:val="28"/>
          <w:szCs w:val="28"/>
        </w:rPr>
      </w:pPr>
      <w:r>
        <w:rPr>
          <w:rFonts w:ascii="Times New Roman" w:hAnsi="Times New Roman"/>
          <w:sz w:val="28"/>
          <w:szCs w:val="28"/>
        </w:rPr>
        <w:t>Чистий прибуток Банку після оподаткування за результатами 2021 року склав 581 млн. грн., що на 356 млн. грн. або в 2,6 рази (158,2 %) більше у порівнянні з минулим роком. За досліджуваний період чистий прибуток Банку після оподаткування зріз на 442 млн. грн. або 4,2 рази (318 %). Основне зростання прибутку відбулося переважно за рахунок чистого процентного доходу на 1 274 млн. грн. (на 161,1% у порівнянні з 2017 роком).</w:t>
      </w:r>
      <w:r w:rsidRPr="00074F99">
        <w:t xml:space="preserve"> </w:t>
      </w:r>
      <w:r w:rsidRPr="00074F99">
        <w:rPr>
          <w:rFonts w:ascii="Times New Roman" w:hAnsi="Times New Roman"/>
          <w:sz w:val="28"/>
          <w:szCs w:val="28"/>
        </w:rPr>
        <w:t xml:space="preserve">Динаміка </w:t>
      </w:r>
      <w:r>
        <w:rPr>
          <w:rFonts w:ascii="Times New Roman" w:hAnsi="Times New Roman"/>
          <w:sz w:val="28"/>
          <w:szCs w:val="28"/>
        </w:rPr>
        <w:t>прибутку Банку представлена на рис. 2.7</w:t>
      </w:r>
      <w:r w:rsidRPr="00074F99">
        <w:rPr>
          <w:rFonts w:ascii="Times New Roman" w:hAnsi="Times New Roman"/>
          <w:sz w:val="28"/>
          <w:szCs w:val="28"/>
        </w:rPr>
        <w:t>.</w:t>
      </w:r>
    </w:p>
    <w:p w:rsidR="00074F99" w:rsidRDefault="00074F99" w:rsidP="00074F99">
      <w:pPr>
        <w:spacing w:before="120" w:after="0" w:line="360" w:lineRule="auto"/>
        <w:ind w:firstLine="709"/>
        <w:jc w:val="center"/>
        <w:rPr>
          <w:rFonts w:ascii="Times New Roman" w:hAnsi="Times New Roman"/>
          <w:sz w:val="28"/>
          <w:szCs w:val="28"/>
        </w:rPr>
      </w:pPr>
      <w:r>
        <w:rPr>
          <w:noProof/>
          <w:lang w:eastAsia="uk-UA"/>
        </w:rPr>
        <w:drawing>
          <wp:inline distT="0" distB="0" distL="0" distR="0" wp14:anchorId="6311E99E" wp14:editId="4136FB42">
            <wp:extent cx="4572000" cy="2743200"/>
            <wp:effectExtent l="0" t="0" r="0" b="0"/>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4F99" w:rsidRDefault="00074F99" w:rsidP="00074F99">
      <w:pPr>
        <w:spacing w:before="120" w:after="0" w:line="360" w:lineRule="auto"/>
        <w:ind w:firstLine="709"/>
        <w:jc w:val="center"/>
        <w:rPr>
          <w:rFonts w:ascii="Times New Roman" w:hAnsi="Times New Roman"/>
          <w:sz w:val="28"/>
          <w:szCs w:val="28"/>
        </w:rPr>
      </w:pPr>
      <w:r w:rsidRPr="00074F99">
        <w:rPr>
          <w:rFonts w:ascii="Times New Roman" w:hAnsi="Times New Roman"/>
          <w:sz w:val="28"/>
          <w:szCs w:val="28"/>
        </w:rPr>
        <w:t>Рис. 2.</w:t>
      </w:r>
      <w:r>
        <w:rPr>
          <w:rFonts w:ascii="Times New Roman" w:hAnsi="Times New Roman"/>
          <w:sz w:val="28"/>
          <w:szCs w:val="28"/>
        </w:rPr>
        <w:t>7</w:t>
      </w:r>
      <w:r w:rsidRPr="00074F99">
        <w:rPr>
          <w:rFonts w:ascii="Times New Roman" w:hAnsi="Times New Roman"/>
          <w:sz w:val="28"/>
          <w:szCs w:val="28"/>
        </w:rPr>
        <w:t xml:space="preserve">. Динаміка </w:t>
      </w:r>
      <w:r>
        <w:rPr>
          <w:rFonts w:ascii="Times New Roman" w:hAnsi="Times New Roman"/>
          <w:sz w:val="28"/>
          <w:szCs w:val="28"/>
        </w:rPr>
        <w:t xml:space="preserve">прибутку </w:t>
      </w:r>
      <w:r w:rsidRPr="00074F99">
        <w:rPr>
          <w:rFonts w:ascii="Times New Roman" w:hAnsi="Times New Roman"/>
          <w:sz w:val="28"/>
          <w:szCs w:val="28"/>
        </w:rPr>
        <w:t>Банку за період 2017-2021 роки</w:t>
      </w:r>
      <w:r w:rsidR="00FF304B">
        <w:rPr>
          <w:rFonts w:ascii="Times New Roman" w:hAnsi="Times New Roman"/>
          <w:sz w:val="28"/>
          <w:szCs w:val="28"/>
        </w:rPr>
        <w:t xml:space="preserve"> </w:t>
      </w:r>
      <w:r w:rsidR="00FF304B" w:rsidRPr="00FF304B">
        <w:rPr>
          <w:rFonts w:ascii="Times New Roman" w:hAnsi="Times New Roman"/>
          <w:sz w:val="28"/>
          <w:szCs w:val="28"/>
        </w:rPr>
        <w:t>[51]</w:t>
      </w:r>
    </w:p>
    <w:p w:rsidR="00074F99" w:rsidRDefault="00074F99" w:rsidP="00604F9F">
      <w:pPr>
        <w:spacing w:before="240" w:after="0" w:line="360" w:lineRule="auto"/>
        <w:ind w:firstLine="709"/>
        <w:jc w:val="both"/>
        <w:rPr>
          <w:rFonts w:ascii="Times New Roman" w:hAnsi="Times New Roman"/>
          <w:sz w:val="28"/>
          <w:szCs w:val="28"/>
        </w:rPr>
      </w:pPr>
      <w:r>
        <w:rPr>
          <w:rFonts w:ascii="Times New Roman" w:hAnsi="Times New Roman"/>
          <w:sz w:val="28"/>
          <w:szCs w:val="28"/>
        </w:rPr>
        <w:t xml:space="preserve">Але на протязі періоду, який досліджується, а саме у 2020 році, чистий прибуток Банку після оподаткування склав 225 млн. грн., що на 153 млн. грн. або </w:t>
      </w:r>
      <w:r>
        <w:rPr>
          <w:rFonts w:ascii="Times New Roman" w:hAnsi="Times New Roman"/>
          <w:sz w:val="28"/>
          <w:szCs w:val="28"/>
        </w:rPr>
        <w:lastRenderedPageBreak/>
        <w:t>40,5 %. менше у порівнянні з 2019 роком. Основний вплив на прибуток мали зниження на 38 млн. грн. або 22,1 % у порівнянні з 2019 роком чистого комісійного доходу в результаті зменшення ділової активності клієнтів та збільшення на 124 млн. грн., або 14,8%, суми відрахувань в резерви за кредитним операціями. Загалом зростання чистого процентного доходу обумовлено збільшенням процентних доходів завдяки значному приросту кредитного портфелю в національній валюті та виваженою політикою управління ліквідністю та вартістю залучення коштів.</w:t>
      </w:r>
    </w:p>
    <w:p w:rsidR="00E75A88" w:rsidRDefault="00604F9F" w:rsidP="00604F9F">
      <w:pPr>
        <w:spacing w:after="0" w:line="367" w:lineRule="auto"/>
        <w:ind w:firstLine="709"/>
        <w:jc w:val="both"/>
        <w:rPr>
          <w:rFonts w:ascii="Times New Roman" w:hAnsi="Times New Roman"/>
          <w:sz w:val="28"/>
          <w:szCs w:val="28"/>
        </w:rPr>
      </w:pPr>
      <w:r>
        <w:rPr>
          <w:rFonts w:ascii="Times New Roman" w:hAnsi="Times New Roman"/>
          <w:sz w:val="28"/>
          <w:szCs w:val="28"/>
        </w:rPr>
        <w:t>Проте в</w:t>
      </w:r>
      <w:r w:rsidRPr="00604F9F">
        <w:rPr>
          <w:rFonts w:ascii="Times New Roman" w:hAnsi="Times New Roman"/>
          <w:sz w:val="28"/>
          <w:szCs w:val="28"/>
        </w:rPr>
        <w:t xml:space="preserve">ійськові дії на території України будуть мати невизначений вплив на </w:t>
      </w:r>
      <w:r>
        <w:rPr>
          <w:rFonts w:ascii="Times New Roman" w:hAnsi="Times New Roman"/>
          <w:sz w:val="28"/>
          <w:szCs w:val="28"/>
        </w:rPr>
        <w:t>діяльність</w:t>
      </w:r>
      <w:r w:rsidRPr="00604F9F">
        <w:rPr>
          <w:rFonts w:ascii="Times New Roman" w:hAnsi="Times New Roman"/>
          <w:sz w:val="28"/>
          <w:szCs w:val="28"/>
        </w:rPr>
        <w:t xml:space="preserve"> Банку </w:t>
      </w:r>
      <w:r>
        <w:rPr>
          <w:rFonts w:ascii="Times New Roman" w:hAnsi="Times New Roman"/>
          <w:sz w:val="28"/>
          <w:szCs w:val="28"/>
        </w:rPr>
        <w:t>та його результати діяльності</w:t>
      </w:r>
      <w:r w:rsidRPr="00604F9F">
        <w:rPr>
          <w:rFonts w:ascii="Times New Roman" w:hAnsi="Times New Roman"/>
          <w:sz w:val="28"/>
          <w:szCs w:val="28"/>
        </w:rPr>
        <w:t>. При цьому, забезпечення достатнього рівня фінансової стійкості, забезпечення виконання нормативних вимог регулятора, забезпечення вчасного доступу всіх клієнтів до банківських послуг та сервісів, забезпечення якості обслуговування клієнтів буде залишатися ключовими цілями Банку.</w:t>
      </w:r>
    </w:p>
    <w:p w:rsidR="00D15C63" w:rsidRDefault="00D15C63" w:rsidP="00604F9F">
      <w:pPr>
        <w:spacing w:after="0" w:line="367" w:lineRule="auto"/>
        <w:ind w:firstLine="709"/>
        <w:jc w:val="both"/>
        <w:rPr>
          <w:rFonts w:ascii="Times New Roman" w:hAnsi="Times New Roman"/>
          <w:sz w:val="28"/>
          <w:szCs w:val="28"/>
        </w:rPr>
      </w:pPr>
    </w:p>
    <w:p w:rsidR="00D15C63" w:rsidRDefault="00D15C63" w:rsidP="00604F9F">
      <w:pPr>
        <w:spacing w:after="0" w:line="367" w:lineRule="auto"/>
        <w:ind w:firstLine="709"/>
        <w:jc w:val="both"/>
        <w:rPr>
          <w:rFonts w:ascii="Times New Roman" w:hAnsi="Times New Roman"/>
          <w:sz w:val="28"/>
          <w:szCs w:val="28"/>
        </w:rPr>
      </w:pPr>
    </w:p>
    <w:p w:rsidR="00655EE1" w:rsidRPr="00655EE1" w:rsidRDefault="00655EE1" w:rsidP="00655EE1">
      <w:pPr>
        <w:spacing w:after="0" w:line="360" w:lineRule="auto"/>
        <w:ind w:firstLine="709"/>
        <w:jc w:val="both"/>
        <w:rPr>
          <w:rFonts w:ascii="Times New Roman" w:eastAsia="Times New Roman" w:hAnsi="Times New Roman"/>
          <w:sz w:val="28"/>
          <w:szCs w:val="28"/>
          <w:lang w:eastAsia="ru-RU"/>
        </w:rPr>
      </w:pPr>
      <w:r w:rsidRPr="00655EE1">
        <w:rPr>
          <w:rFonts w:ascii="Times New Roman" w:eastAsia="Times New Roman" w:hAnsi="Times New Roman"/>
          <w:sz w:val="28"/>
          <w:szCs w:val="28"/>
          <w:lang w:eastAsia="ru-RU"/>
        </w:rPr>
        <w:t>2.2. Аналіз дотримання встановлених регулятором показників ліквідності комерційного банку</w:t>
      </w:r>
    </w:p>
    <w:p w:rsidR="005223F0" w:rsidRDefault="005223F0" w:rsidP="005223F0">
      <w:pPr>
        <w:spacing w:after="0" w:line="360" w:lineRule="auto"/>
        <w:ind w:firstLine="709"/>
        <w:jc w:val="both"/>
        <w:rPr>
          <w:rFonts w:ascii="Times New Roman" w:hAnsi="Times New Roman"/>
          <w:sz w:val="28"/>
          <w:szCs w:val="28"/>
        </w:rPr>
      </w:pPr>
    </w:p>
    <w:p w:rsidR="005223F0" w:rsidRDefault="005223F0" w:rsidP="00510670">
      <w:pPr>
        <w:spacing w:after="0" w:line="360" w:lineRule="auto"/>
        <w:ind w:firstLine="709"/>
        <w:jc w:val="both"/>
      </w:pPr>
      <w:r>
        <w:rPr>
          <w:rFonts w:ascii="Times New Roman" w:hAnsi="Times New Roman"/>
          <w:sz w:val="28"/>
          <w:szCs w:val="28"/>
        </w:rPr>
        <w:t>Ліквідність банку - одна з найважливіших характеристик діяльності банку, яка потребує ґрунтовного дослідження, системного аналізу та ефективного управління.</w:t>
      </w:r>
      <w:r>
        <w:t xml:space="preserve"> </w:t>
      </w:r>
    </w:p>
    <w:p w:rsidR="005223F0" w:rsidRDefault="005223F0" w:rsidP="00510670">
      <w:pPr>
        <w:spacing w:after="0" w:line="360" w:lineRule="auto"/>
        <w:ind w:firstLine="709"/>
        <w:jc w:val="both"/>
        <w:rPr>
          <w:rFonts w:ascii="Times New Roman" w:hAnsi="Times New Roman"/>
          <w:sz w:val="28"/>
          <w:szCs w:val="28"/>
        </w:rPr>
      </w:pPr>
      <w:r>
        <w:rPr>
          <w:rFonts w:ascii="Times New Roman" w:hAnsi="Times New Roman"/>
          <w:sz w:val="28"/>
          <w:szCs w:val="28"/>
        </w:rPr>
        <w:t>Державним регулятором банківської діяльності в нашій державі є Національний банк України (далі – НБУ), основним обов’язком якого є нагляд і регулювання банків для сприяння безпеці та фінансовій стабільності</w:t>
      </w:r>
      <w:r w:rsidR="006E2A75">
        <w:rPr>
          <w:rFonts w:ascii="Times New Roman" w:hAnsi="Times New Roman"/>
          <w:sz w:val="28"/>
          <w:szCs w:val="28"/>
        </w:rPr>
        <w:t xml:space="preserve"> банківської системи України [54</w:t>
      </w:r>
      <w:r>
        <w:rPr>
          <w:rFonts w:ascii="Times New Roman" w:hAnsi="Times New Roman"/>
          <w:sz w:val="28"/>
          <w:szCs w:val="28"/>
        </w:rPr>
        <w:t>], в тому числі, і регулювання ліквідністю банків та банківської системи в цілому.</w:t>
      </w:r>
    </w:p>
    <w:p w:rsidR="005223F0" w:rsidRDefault="005223F0" w:rsidP="00510670">
      <w:pPr>
        <w:spacing w:after="0" w:line="360" w:lineRule="auto"/>
        <w:ind w:firstLine="709"/>
        <w:jc w:val="both"/>
        <w:rPr>
          <w:rFonts w:ascii="Times New Roman" w:hAnsi="Times New Roman"/>
          <w:b/>
          <w:sz w:val="28"/>
          <w:szCs w:val="28"/>
        </w:rPr>
      </w:pPr>
      <w:r>
        <w:rPr>
          <w:rFonts w:ascii="Times New Roman" w:hAnsi="Times New Roman"/>
          <w:sz w:val="28"/>
          <w:szCs w:val="28"/>
        </w:rPr>
        <w:t xml:space="preserve">Акцентуємо, що проблеми з управління ліквідністю банківської системи завжди є актуальними, оскільки перед НБУ завжди стоїть завдання її збалансування, подолання дефіциту або ефективне розподілення вільних коштів. Низький рівень ліквідності створює додаткове навантаження на міжбанківський </w:t>
      </w:r>
      <w:r>
        <w:rPr>
          <w:rFonts w:ascii="Times New Roman" w:hAnsi="Times New Roman"/>
          <w:sz w:val="28"/>
          <w:szCs w:val="28"/>
        </w:rPr>
        <w:lastRenderedPageBreak/>
        <w:t>ринок та вимагає додаткових заходів з боку НБУ, натомість ризик надлишкової ліквідності негативно впливає на</w:t>
      </w:r>
      <w:r w:rsidR="005E0BCD">
        <w:rPr>
          <w:rFonts w:ascii="Times New Roman" w:hAnsi="Times New Roman"/>
          <w:sz w:val="28"/>
          <w:szCs w:val="28"/>
        </w:rPr>
        <w:t xml:space="preserve"> рівень прибутковості банків [29</w:t>
      </w:r>
      <w:r>
        <w:rPr>
          <w:rFonts w:ascii="Times New Roman" w:hAnsi="Times New Roman"/>
          <w:sz w:val="28"/>
          <w:szCs w:val="28"/>
        </w:rPr>
        <w:t>, с. 76].</w:t>
      </w:r>
      <w:r>
        <w:rPr>
          <w:rFonts w:ascii="Times New Roman" w:hAnsi="Times New Roman"/>
          <w:b/>
          <w:sz w:val="28"/>
          <w:szCs w:val="28"/>
        </w:rPr>
        <w:t xml:space="preserve"> </w:t>
      </w:r>
    </w:p>
    <w:p w:rsidR="005223F0" w:rsidRDefault="005223F0" w:rsidP="00510670">
      <w:pPr>
        <w:spacing w:after="0" w:line="360" w:lineRule="auto"/>
        <w:ind w:firstLine="709"/>
        <w:jc w:val="both"/>
        <w:rPr>
          <w:rFonts w:ascii="Times New Roman" w:hAnsi="Times New Roman"/>
          <w:sz w:val="28"/>
          <w:szCs w:val="28"/>
        </w:rPr>
      </w:pPr>
      <w:r>
        <w:rPr>
          <w:rFonts w:ascii="Times New Roman" w:hAnsi="Times New Roman"/>
          <w:sz w:val="28"/>
          <w:szCs w:val="28"/>
        </w:rPr>
        <w:t>Протягом останніх років підхід Національного банку щодо регулювання ліквідності окремих банків значно змінився. Так, одним з важливих кроків на шляху до підвищення стандартів ліквідності та наближення їх до європейських норм стало внесення змін до Постанови НБУ «Про регулюва</w:t>
      </w:r>
      <w:r w:rsidR="00F82D79">
        <w:rPr>
          <w:rFonts w:ascii="Times New Roman" w:hAnsi="Times New Roman"/>
          <w:sz w:val="28"/>
          <w:szCs w:val="28"/>
        </w:rPr>
        <w:t>ння діяльності банків» № 368 [15</w:t>
      </w:r>
      <w:r>
        <w:rPr>
          <w:rFonts w:ascii="Times New Roman" w:hAnsi="Times New Roman"/>
          <w:sz w:val="28"/>
          <w:szCs w:val="28"/>
        </w:rPr>
        <w:t>] згідно з вимогами Базельського комітету щодо ратифікації угоди Базель III [</w:t>
      </w:r>
      <w:r w:rsidR="00F82D79">
        <w:rPr>
          <w:rFonts w:ascii="Times New Roman" w:hAnsi="Times New Roman"/>
          <w:sz w:val="28"/>
          <w:szCs w:val="28"/>
        </w:rPr>
        <w:t>38</w:t>
      </w:r>
      <w:r>
        <w:rPr>
          <w:rFonts w:ascii="Times New Roman" w:hAnsi="Times New Roman"/>
          <w:sz w:val="28"/>
          <w:szCs w:val="28"/>
        </w:rPr>
        <w:t xml:space="preserve">, с. 33; </w:t>
      </w:r>
      <w:r w:rsidR="00F82D79">
        <w:rPr>
          <w:rFonts w:ascii="Times New Roman" w:hAnsi="Times New Roman"/>
          <w:sz w:val="28"/>
          <w:szCs w:val="28"/>
        </w:rPr>
        <w:t>43</w:t>
      </w:r>
      <w:r>
        <w:rPr>
          <w:rFonts w:ascii="Times New Roman" w:hAnsi="Times New Roman"/>
          <w:sz w:val="28"/>
          <w:szCs w:val="28"/>
        </w:rPr>
        <w:t>]. Так, одним зі стандартів передбачено введення двох показників для регулювання банківської ліквідності, таких як показник покриття ліквідності (LCR) та показник чистого стабільного фінансування (NSFR). Впровадження цих нормативів спрямоване на забезпечення фінансової стабільності як кожного окремого банку, так і</w:t>
      </w:r>
      <w:r w:rsidR="00F82D79">
        <w:rPr>
          <w:rFonts w:ascii="Times New Roman" w:hAnsi="Times New Roman"/>
          <w:sz w:val="28"/>
          <w:szCs w:val="28"/>
        </w:rPr>
        <w:t xml:space="preserve"> банківської системи загалом [55</w:t>
      </w:r>
      <w:r>
        <w:rPr>
          <w:rFonts w:ascii="Times New Roman" w:hAnsi="Times New Roman"/>
          <w:sz w:val="28"/>
          <w:szCs w:val="28"/>
        </w:rPr>
        <w:t>, с. 188-195].</w:t>
      </w:r>
    </w:p>
    <w:p w:rsidR="002232B1" w:rsidRPr="002232B1" w:rsidRDefault="002232B1" w:rsidP="00510670">
      <w:pPr>
        <w:spacing w:after="0" w:line="360" w:lineRule="auto"/>
        <w:ind w:firstLine="709"/>
        <w:jc w:val="both"/>
        <w:rPr>
          <w:rFonts w:ascii="Times New Roman" w:hAnsi="Times New Roman"/>
          <w:sz w:val="28"/>
          <w:szCs w:val="28"/>
        </w:rPr>
      </w:pPr>
      <w:r w:rsidRPr="002232B1">
        <w:rPr>
          <w:rFonts w:ascii="Times New Roman" w:hAnsi="Times New Roman"/>
          <w:sz w:val="28"/>
          <w:szCs w:val="28"/>
        </w:rPr>
        <w:t>Виокремимо етапи реформування регулювання ліквідності банку, які схематично зображені на рис. 2.</w:t>
      </w:r>
      <w:r w:rsidRPr="006D05AD">
        <w:rPr>
          <w:rFonts w:ascii="Times New Roman" w:hAnsi="Times New Roman"/>
          <w:sz w:val="28"/>
          <w:szCs w:val="28"/>
        </w:rPr>
        <w:t>8</w:t>
      </w:r>
      <w:r w:rsidRPr="002232B1">
        <w:rPr>
          <w:rFonts w:ascii="Times New Roman" w:hAnsi="Times New Roman"/>
          <w:sz w:val="28"/>
          <w:szCs w:val="28"/>
        </w:rPr>
        <w:t>.</w:t>
      </w:r>
    </w:p>
    <w:p w:rsidR="002232B1" w:rsidRPr="002232B1" w:rsidRDefault="002232B1" w:rsidP="002232B1">
      <w:pPr>
        <w:spacing w:after="0" w:line="360" w:lineRule="auto"/>
        <w:jc w:val="both"/>
        <w:rPr>
          <w:rFonts w:ascii="Times New Roman" w:hAnsi="Times New Roman"/>
          <w:sz w:val="28"/>
          <w:szCs w:val="28"/>
        </w:rPr>
      </w:pPr>
      <w:r w:rsidRPr="002232B1">
        <w:rPr>
          <w:noProof/>
          <w:lang w:eastAsia="uk-UA"/>
        </w:rPr>
        <mc:AlternateContent>
          <mc:Choice Requires="wpc">
            <w:drawing>
              <wp:inline distT="0" distB="0" distL="0" distR="0" wp14:anchorId="3FF3B88D" wp14:editId="18ACE5EB">
                <wp:extent cx="6202680" cy="1897380"/>
                <wp:effectExtent l="0" t="0" r="0" b="0"/>
                <wp:docPr id="225" name="Полотно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6" name="Прямоугольник 16"/>
                        <wps:cNvSpPr>
                          <a:spLocks noChangeArrowheads="1"/>
                        </wps:cNvSpPr>
                        <wps:spPr bwMode="auto">
                          <a:xfrm>
                            <a:off x="30400" y="182843"/>
                            <a:ext cx="1044013" cy="33531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2232B1">
                              <w:pPr>
                                <w:jc w:val="center"/>
                                <w:rPr>
                                  <w:rFonts w:ascii="Times New Roman" w:hAnsi="Times New Roman"/>
                                  <w:color w:val="000000" w:themeColor="text1"/>
                                  <w:sz w:val="24"/>
                                  <w:szCs w:val="24"/>
                                </w:rPr>
                              </w:pPr>
                              <w:r>
                                <w:rPr>
                                  <w:rFonts w:ascii="Times New Roman" w:hAnsi="Times New Roman"/>
                                  <w:color w:val="000000" w:themeColor="text1"/>
                                  <w:sz w:val="24"/>
                                  <w:szCs w:val="24"/>
                                </w:rPr>
                                <w:t>1 етап</w:t>
                              </w:r>
                            </w:p>
                          </w:txbxContent>
                        </wps:txbx>
                        <wps:bodyPr rot="0" vert="horz" wrap="square" lIns="91440" tIns="45720" rIns="91440" bIns="45720" anchor="ctr" anchorCtr="0" upright="1">
                          <a:noAutofit/>
                        </wps:bodyPr>
                      </wps:wsp>
                      <wps:wsp>
                        <wps:cNvPr id="207" name="Стрелка вправо 17"/>
                        <wps:cNvSpPr>
                          <a:spLocks noChangeArrowheads="1"/>
                        </wps:cNvSpPr>
                        <wps:spPr bwMode="auto">
                          <a:xfrm>
                            <a:off x="1074414" y="233345"/>
                            <a:ext cx="160002" cy="216208"/>
                          </a:xfrm>
                          <a:prstGeom prst="rightArrow">
                            <a:avLst>
                              <a:gd name="adj1" fmla="val 50000"/>
                              <a:gd name="adj2" fmla="val 50000"/>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08" name="Прямоугольник 18"/>
                        <wps:cNvSpPr>
                          <a:spLocks noChangeArrowheads="1"/>
                        </wps:cNvSpPr>
                        <wps:spPr bwMode="auto">
                          <a:xfrm>
                            <a:off x="1234416" y="187544"/>
                            <a:ext cx="1043913" cy="33531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2232B1">
                              <w:pPr>
                                <w:pStyle w:val="a3"/>
                                <w:spacing w:before="0" w:beforeAutospacing="0" w:after="160" w:afterAutospacing="0" w:line="254" w:lineRule="auto"/>
                                <w:jc w:val="center"/>
                              </w:pPr>
                              <w:r>
                                <w:rPr>
                                  <w:rFonts w:eastAsia="Calibri"/>
                                  <w:color w:val="000000"/>
                                </w:rPr>
                                <w:t>2 етап</w:t>
                              </w:r>
                            </w:p>
                          </w:txbxContent>
                        </wps:txbx>
                        <wps:bodyPr rot="0" vert="horz" wrap="square" lIns="91440" tIns="45720" rIns="91440" bIns="45720" anchor="ctr" anchorCtr="0" upright="1">
                          <a:noAutofit/>
                        </wps:bodyPr>
                      </wps:wsp>
                      <wps:wsp>
                        <wps:cNvPr id="209" name="Стрелка вправо 19"/>
                        <wps:cNvSpPr>
                          <a:spLocks noChangeArrowheads="1"/>
                        </wps:cNvSpPr>
                        <wps:spPr bwMode="auto">
                          <a:xfrm>
                            <a:off x="2278329" y="233345"/>
                            <a:ext cx="236303" cy="216208"/>
                          </a:xfrm>
                          <a:prstGeom prst="rightArrow">
                            <a:avLst>
                              <a:gd name="adj1" fmla="val 50000"/>
                              <a:gd name="adj2" fmla="val 50029"/>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10" name="Прямоугольник 20"/>
                        <wps:cNvSpPr>
                          <a:spLocks noChangeArrowheads="1"/>
                        </wps:cNvSpPr>
                        <wps:spPr bwMode="auto">
                          <a:xfrm>
                            <a:off x="2514632" y="195244"/>
                            <a:ext cx="1043913" cy="33521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2232B1">
                              <w:pPr>
                                <w:pStyle w:val="a3"/>
                                <w:spacing w:before="0" w:beforeAutospacing="0" w:after="160" w:afterAutospacing="0" w:line="252" w:lineRule="auto"/>
                                <w:jc w:val="center"/>
                              </w:pPr>
                              <w:r>
                                <w:rPr>
                                  <w:rFonts w:eastAsia="Calibri"/>
                                  <w:color w:val="000000"/>
                                </w:rPr>
                                <w:t>3 етап</w:t>
                              </w:r>
                            </w:p>
                          </w:txbxContent>
                        </wps:txbx>
                        <wps:bodyPr rot="0" vert="horz" wrap="square" lIns="91440" tIns="45720" rIns="91440" bIns="45720" anchor="ctr" anchorCtr="0" upright="1">
                          <a:noAutofit/>
                        </wps:bodyPr>
                      </wps:wsp>
                      <wps:wsp>
                        <wps:cNvPr id="211" name="Стрелка вправо 21"/>
                        <wps:cNvSpPr>
                          <a:spLocks noChangeArrowheads="1"/>
                        </wps:cNvSpPr>
                        <wps:spPr bwMode="auto">
                          <a:xfrm>
                            <a:off x="3558546" y="233345"/>
                            <a:ext cx="221003" cy="216208"/>
                          </a:xfrm>
                          <a:prstGeom prst="rightArrow">
                            <a:avLst>
                              <a:gd name="adj1" fmla="val 50000"/>
                              <a:gd name="adj2" fmla="val 50012"/>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12" name="Прямоугольник 22"/>
                        <wps:cNvSpPr>
                          <a:spLocks noChangeArrowheads="1"/>
                        </wps:cNvSpPr>
                        <wps:spPr bwMode="auto">
                          <a:xfrm>
                            <a:off x="3779549" y="187544"/>
                            <a:ext cx="1043913" cy="33531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2232B1">
                              <w:pPr>
                                <w:pStyle w:val="a3"/>
                                <w:spacing w:before="0" w:beforeAutospacing="0" w:after="160" w:afterAutospacing="0" w:line="252" w:lineRule="auto"/>
                                <w:jc w:val="center"/>
                              </w:pPr>
                              <w:r>
                                <w:rPr>
                                  <w:rFonts w:eastAsia="Calibri"/>
                                  <w:color w:val="000000"/>
                                </w:rPr>
                                <w:t>4 етап</w:t>
                              </w:r>
                            </w:p>
                          </w:txbxContent>
                        </wps:txbx>
                        <wps:bodyPr rot="0" vert="horz" wrap="square" lIns="91440" tIns="45720" rIns="91440" bIns="45720" anchor="ctr" anchorCtr="0" upright="1">
                          <a:noAutofit/>
                        </wps:bodyPr>
                      </wps:wsp>
                      <wps:wsp>
                        <wps:cNvPr id="213" name="Скругленный прямоугольник 23"/>
                        <wps:cNvSpPr>
                          <a:spLocks noChangeArrowheads="1"/>
                        </wps:cNvSpPr>
                        <wps:spPr bwMode="auto">
                          <a:xfrm>
                            <a:off x="83801" y="749664"/>
                            <a:ext cx="914412" cy="891533"/>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2232B1">
                              <w:pPr>
                                <w:spacing w:after="0" w:line="240" w:lineRule="auto"/>
                                <w:jc w:val="center"/>
                                <w:rPr>
                                  <w:rFonts w:ascii="Times New Roman" w:hAnsi="Times New Roman"/>
                                  <w:color w:val="000000" w:themeColor="text1"/>
                                </w:rPr>
                              </w:pPr>
                              <w:r>
                                <w:rPr>
                                  <w:rFonts w:ascii="Times New Roman" w:hAnsi="Times New Roman"/>
                                  <w:color w:val="000000" w:themeColor="text1"/>
                                </w:rPr>
                                <w:t>Н4, Н5, Н6, LСR</w:t>
                              </w:r>
                            </w:p>
                            <w:p w:rsidR="00F821E3" w:rsidRDefault="00F821E3" w:rsidP="002232B1">
                              <w:pPr>
                                <w:spacing w:after="0" w:line="240" w:lineRule="auto"/>
                                <w:jc w:val="center"/>
                                <w:rPr>
                                  <w:rFonts w:ascii="Times New Roman" w:hAnsi="Times New Roman"/>
                                  <w:color w:val="000000" w:themeColor="text1"/>
                                </w:rPr>
                              </w:pPr>
                              <w:r>
                                <w:rPr>
                                  <w:rFonts w:ascii="Times New Roman" w:hAnsi="Times New Roman"/>
                                  <w:color w:val="000000" w:themeColor="text1"/>
                                </w:rPr>
                                <w:t>з 01.12.2018</w:t>
                              </w:r>
                            </w:p>
                          </w:txbxContent>
                        </wps:txbx>
                        <wps:bodyPr rot="0" vert="horz" wrap="square" lIns="91440" tIns="45720" rIns="91440" bIns="45720" anchor="ctr" anchorCtr="0" upright="1">
                          <a:noAutofit/>
                        </wps:bodyPr>
                      </wps:wsp>
                      <wps:wsp>
                        <wps:cNvPr id="214" name="Прямая соединительная линия 24"/>
                        <wps:cNvCnPr>
                          <a:cxnSpLocks noChangeShapeType="1"/>
                        </wps:cNvCnPr>
                        <wps:spPr bwMode="auto">
                          <a:xfrm flipH="1">
                            <a:off x="541007" y="518156"/>
                            <a:ext cx="11400" cy="231509"/>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15" name="Скругленный прямоугольник 25"/>
                        <wps:cNvSpPr>
                          <a:spLocks noChangeArrowheads="1"/>
                        </wps:cNvSpPr>
                        <wps:spPr bwMode="auto">
                          <a:xfrm>
                            <a:off x="1284917" y="757265"/>
                            <a:ext cx="914412" cy="891533"/>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2232B1">
                              <w:pPr>
                                <w:pStyle w:val="a3"/>
                                <w:spacing w:before="0" w:beforeAutospacing="0" w:after="0" w:afterAutospacing="0" w:line="254" w:lineRule="auto"/>
                                <w:jc w:val="center"/>
                              </w:pPr>
                              <w:r>
                                <w:rPr>
                                  <w:rFonts w:eastAsia="Calibri"/>
                                  <w:color w:val="000000"/>
                                  <w:sz w:val="22"/>
                                  <w:szCs w:val="22"/>
                                </w:rPr>
                                <w:t>Н6, LСR</w:t>
                              </w:r>
                            </w:p>
                            <w:p w:rsidR="00F821E3" w:rsidRDefault="00F821E3" w:rsidP="002232B1">
                              <w:pPr>
                                <w:pStyle w:val="a3"/>
                                <w:spacing w:before="0" w:beforeAutospacing="0" w:after="0" w:afterAutospacing="0" w:line="254" w:lineRule="auto"/>
                                <w:jc w:val="center"/>
                              </w:pPr>
                              <w:r>
                                <w:rPr>
                                  <w:rFonts w:eastAsia="Calibri"/>
                                  <w:color w:val="000000"/>
                                  <w:sz w:val="22"/>
                                  <w:szCs w:val="22"/>
                                </w:rPr>
                                <w:t>з 10.10.2019</w:t>
                              </w:r>
                            </w:p>
                          </w:txbxContent>
                        </wps:txbx>
                        <wps:bodyPr rot="0" vert="horz" wrap="square" lIns="91440" tIns="45720" rIns="91440" bIns="45720" anchor="ctr" anchorCtr="0" upright="1">
                          <a:noAutofit/>
                        </wps:bodyPr>
                      </wps:wsp>
                      <wps:wsp>
                        <wps:cNvPr id="216" name="Прямая соединительная линия 26"/>
                        <wps:cNvCnPr>
                          <a:cxnSpLocks noChangeShapeType="1"/>
                        </wps:cNvCnPr>
                        <wps:spPr bwMode="auto">
                          <a:xfrm>
                            <a:off x="1729722" y="518156"/>
                            <a:ext cx="4700" cy="239109"/>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17" name="Скругленный прямоугольник 27"/>
                        <wps:cNvSpPr>
                          <a:spLocks noChangeArrowheads="1"/>
                        </wps:cNvSpPr>
                        <wps:spPr bwMode="auto">
                          <a:xfrm>
                            <a:off x="2514632" y="749664"/>
                            <a:ext cx="1043913" cy="891533"/>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2232B1">
                              <w:pPr>
                                <w:pStyle w:val="a3"/>
                                <w:spacing w:before="0" w:beforeAutospacing="0" w:after="0" w:afterAutospacing="0" w:line="252" w:lineRule="auto"/>
                                <w:jc w:val="center"/>
                              </w:pPr>
                              <w:r w:rsidRPr="002232B1">
                                <w:rPr>
                                  <w:rFonts w:eastAsia="Calibri"/>
                                  <w:color w:val="000000"/>
                                  <w:sz w:val="22"/>
                                  <w:szCs w:val="22"/>
                                </w:rPr>
                                <w:t>Н6, LСR,</w:t>
                              </w:r>
                              <w:r>
                                <w:rPr>
                                  <w:rFonts w:eastAsia="Calibri"/>
                                  <w:color w:val="000000"/>
                                  <w:sz w:val="22"/>
                                  <w:szCs w:val="22"/>
                                </w:rPr>
                                <w:t xml:space="preserve"> NSFR</w:t>
                              </w:r>
                            </w:p>
                            <w:p w:rsidR="00F821E3" w:rsidRDefault="00F821E3" w:rsidP="002232B1">
                              <w:pPr>
                                <w:pStyle w:val="a3"/>
                                <w:spacing w:before="0" w:beforeAutospacing="0" w:after="0" w:afterAutospacing="0" w:line="252" w:lineRule="auto"/>
                                <w:jc w:val="center"/>
                                <w:rPr>
                                  <w:rFonts w:eastAsia="Calibri"/>
                                  <w:color w:val="000000"/>
                                  <w:sz w:val="22"/>
                                  <w:szCs w:val="22"/>
                                </w:rPr>
                              </w:pPr>
                              <w:r>
                                <w:rPr>
                                  <w:rFonts w:eastAsia="Calibri"/>
                                  <w:color w:val="000000"/>
                                  <w:sz w:val="22"/>
                                  <w:szCs w:val="22"/>
                                </w:rPr>
                                <w:t xml:space="preserve">з </w:t>
                              </w:r>
                            </w:p>
                            <w:p w:rsidR="00F821E3" w:rsidRDefault="00F821E3" w:rsidP="002232B1">
                              <w:pPr>
                                <w:pStyle w:val="a3"/>
                                <w:spacing w:before="0" w:beforeAutospacing="0" w:after="0" w:afterAutospacing="0" w:line="252" w:lineRule="auto"/>
                                <w:jc w:val="center"/>
                                <w:rPr>
                                  <w:rFonts w:eastAsia="Times New Roman"/>
                                </w:rPr>
                              </w:pPr>
                              <w:r>
                                <w:rPr>
                                  <w:rFonts w:eastAsia="Calibri"/>
                                  <w:color w:val="000000"/>
                                  <w:sz w:val="22"/>
                                  <w:szCs w:val="22"/>
                                </w:rPr>
                                <w:t>01.08 2020</w:t>
                              </w:r>
                            </w:p>
                          </w:txbxContent>
                        </wps:txbx>
                        <wps:bodyPr rot="0" vert="horz" wrap="square" lIns="91440" tIns="45720" rIns="91440" bIns="45720" anchor="ctr" anchorCtr="0" upright="1">
                          <a:noAutofit/>
                        </wps:bodyPr>
                      </wps:wsp>
                      <wps:wsp>
                        <wps:cNvPr id="218" name="Прямая соединительная линия 28"/>
                        <wps:cNvCnPr>
                          <a:cxnSpLocks noChangeShapeType="1"/>
                        </wps:cNvCnPr>
                        <wps:spPr bwMode="auto">
                          <a:xfrm>
                            <a:off x="3036539" y="530456"/>
                            <a:ext cx="0" cy="219208"/>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19" name="Скругленный прямоугольник 29"/>
                        <wps:cNvSpPr>
                          <a:spLocks noChangeArrowheads="1"/>
                        </wps:cNvSpPr>
                        <wps:spPr bwMode="auto">
                          <a:xfrm>
                            <a:off x="3817649" y="761965"/>
                            <a:ext cx="1005813" cy="891633"/>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2232B1">
                              <w:pPr>
                                <w:pStyle w:val="a3"/>
                                <w:spacing w:before="0" w:beforeAutospacing="0" w:after="0" w:afterAutospacing="0" w:line="252" w:lineRule="auto"/>
                                <w:jc w:val="center"/>
                              </w:pPr>
                              <w:r>
                                <w:rPr>
                                  <w:rFonts w:eastAsia="Calibri"/>
                                  <w:color w:val="000000"/>
                                  <w:sz w:val="22"/>
                                  <w:szCs w:val="22"/>
                                </w:rPr>
                                <w:t>Н6, LСR, NSFR</w:t>
                              </w:r>
                            </w:p>
                            <w:p w:rsidR="00F821E3" w:rsidRDefault="00F821E3" w:rsidP="002232B1">
                              <w:pPr>
                                <w:pStyle w:val="a3"/>
                                <w:spacing w:before="0" w:beforeAutospacing="0" w:after="0" w:afterAutospacing="0" w:line="252" w:lineRule="auto"/>
                                <w:jc w:val="center"/>
                                <w:rPr>
                                  <w:rFonts w:eastAsia="Calibri"/>
                                  <w:color w:val="000000"/>
                                  <w:sz w:val="22"/>
                                  <w:szCs w:val="22"/>
                                </w:rPr>
                              </w:pPr>
                              <w:r>
                                <w:rPr>
                                  <w:rFonts w:eastAsia="Calibri"/>
                                  <w:color w:val="000000"/>
                                  <w:sz w:val="22"/>
                                  <w:szCs w:val="22"/>
                                </w:rPr>
                                <w:t xml:space="preserve">з </w:t>
                              </w:r>
                            </w:p>
                            <w:p w:rsidR="00F821E3" w:rsidRDefault="00F821E3" w:rsidP="002232B1">
                              <w:pPr>
                                <w:pStyle w:val="a3"/>
                                <w:spacing w:before="0" w:beforeAutospacing="0" w:after="0" w:afterAutospacing="0" w:line="252" w:lineRule="auto"/>
                                <w:jc w:val="center"/>
                                <w:rPr>
                                  <w:rFonts w:eastAsia="Times New Roman"/>
                                </w:rPr>
                              </w:pPr>
                              <w:r>
                                <w:rPr>
                                  <w:rFonts w:eastAsia="Calibri"/>
                                  <w:color w:val="000000"/>
                                  <w:sz w:val="22"/>
                                  <w:szCs w:val="22"/>
                                </w:rPr>
                                <w:t>01.07 2021</w:t>
                              </w:r>
                            </w:p>
                          </w:txbxContent>
                        </wps:txbx>
                        <wps:bodyPr rot="0" vert="horz" wrap="square" lIns="91440" tIns="45720" rIns="91440" bIns="45720" anchor="ctr" anchorCtr="0" upright="1">
                          <a:noAutofit/>
                        </wps:bodyPr>
                      </wps:wsp>
                      <wps:wsp>
                        <wps:cNvPr id="220" name="Прямая соединительная линия 30"/>
                        <wps:cNvCnPr>
                          <a:cxnSpLocks noChangeShapeType="1"/>
                        </wps:cNvCnPr>
                        <wps:spPr bwMode="auto">
                          <a:xfrm>
                            <a:off x="4320556" y="530456"/>
                            <a:ext cx="0" cy="231509"/>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21" name="Стрелка вправо 33"/>
                        <wps:cNvSpPr>
                          <a:spLocks noChangeArrowheads="1"/>
                        </wps:cNvSpPr>
                        <wps:spPr bwMode="auto">
                          <a:xfrm>
                            <a:off x="4823462" y="233645"/>
                            <a:ext cx="221003" cy="215908"/>
                          </a:xfrm>
                          <a:prstGeom prst="rightArrow">
                            <a:avLst>
                              <a:gd name="adj1" fmla="val 50000"/>
                              <a:gd name="adj2" fmla="val 50006"/>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22" name="Прямоугольник 34"/>
                        <wps:cNvSpPr>
                          <a:spLocks noChangeArrowheads="1"/>
                        </wps:cNvSpPr>
                        <wps:spPr bwMode="auto">
                          <a:xfrm>
                            <a:off x="5044465" y="182843"/>
                            <a:ext cx="1043913" cy="33531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2232B1">
                              <w:pPr>
                                <w:pStyle w:val="a3"/>
                                <w:spacing w:before="0" w:beforeAutospacing="0" w:after="160" w:afterAutospacing="0" w:line="252" w:lineRule="auto"/>
                                <w:jc w:val="center"/>
                              </w:pPr>
                              <w:r>
                                <w:rPr>
                                  <w:rFonts w:eastAsia="Calibri"/>
                                  <w:color w:val="000000"/>
                                </w:rPr>
                                <w:t>5 етап</w:t>
                              </w:r>
                            </w:p>
                          </w:txbxContent>
                        </wps:txbx>
                        <wps:bodyPr rot="0" vert="horz" wrap="square" lIns="91440" tIns="45720" rIns="91440" bIns="45720" anchor="ctr" anchorCtr="0" upright="1">
                          <a:noAutofit/>
                        </wps:bodyPr>
                      </wps:wsp>
                      <wps:wsp>
                        <wps:cNvPr id="223" name="Скругленный прямоугольник 35"/>
                        <wps:cNvSpPr>
                          <a:spLocks noChangeArrowheads="1"/>
                        </wps:cNvSpPr>
                        <wps:spPr bwMode="auto">
                          <a:xfrm>
                            <a:off x="5113066" y="757265"/>
                            <a:ext cx="975313" cy="891533"/>
                          </a:xfrm>
                          <a:prstGeom prst="roundRect">
                            <a:avLst>
                              <a:gd name="adj" fmla="val 16667"/>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2232B1">
                              <w:pPr>
                                <w:pStyle w:val="a3"/>
                                <w:spacing w:before="0" w:beforeAutospacing="0" w:after="0" w:afterAutospacing="0" w:line="252" w:lineRule="auto"/>
                                <w:jc w:val="center"/>
                              </w:pPr>
                              <w:r>
                                <w:rPr>
                                  <w:rFonts w:eastAsia="Calibri"/>
                                  <w:color w:val="000000"/>
                                  <w:sz w:val="22"/>
                                  <w:szCs w:val="22"/>
                                </w:rPr>
                                <w:t>LСR,NSFR</w:t>
                              </w:r>
                            </w:p>
                            <w:p w:rsidR="00F821E3" w:rsidRDefault="00F821E3" w:rsidP="002232B1">
                              <w:pPr>
                                <w:pStyle w:val="a3"/>
                                <w:spacing w:before="0" w:beforeAutospacing="0" w:after="0" w:afterAutospacing="0" w:line="252" w:lineRule="auto"/>
                                <w:jc w:val="center"/>
                              </w:pPr>
                              <w:r>
                                <w:rPr>
                                  <w:rFonts w:eastAsia="Calibri"/>
                                  <w:color w:val="000000"/>
                                  <w:sz w:val="22"/>
                                  <w:szCs w:val="22"/>
                                </w:rPr>
                                <w:t>з 23.03.2022</w:t>
                              </w:r>
                            </w:p>
                          </w:txbxContent>
                        </wps:txbx>
                        <wps:bodyPr rot="0" vert="horz" wrap="square" lIns="91440" tIns="45720" rIns="91440" bIns="45720" anchor="ctr" anchorCtr="0" upright="1">
                          <a:noAutofit/>
                        </wps:bodyPr>
                      </wps:wsp>
                      <wps:wsp>
                        <wps:cNvPr id="224" name="Прямая соединительная линия 36"/>
                        <wps:cNvCnPr>
                          <a:cxnSpLocks noChangeShapeType="1"/>
                        </wps:cNvCnPr>
                        <wps:spPr bwMode="auto">
                          <a:xfrm>
                            <a:off x="5600772" y="530456"/>
                            <a:ext cx="0" cy="226808"/>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FF3B88D" id="Полотно 14" o:spid="_x0000_s1255" editas="canvas" style="width:488.4pt;height:149.4pt;mso-position-horizontal-relative:char;mso-position-vertical-relative:line" coordsize="62026,18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">
                <v:shape id="_x0000_s1256" type="#_x0000_t75" style="position:absolute;width:62026;height:18973;visibility:visible;mso-wrap-style:square">
                  <v:fill o:detectmouseclick="t"/>
                  <v:path o:connecttype="none"/>
                </v:shape>
                <v:rect id="Прямоугольник 16" o:spid="_x0000_s1257" style="position:absolute;left:304;top:1828;width:10440;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" strokeweight="1pt">
                  <v:textbox>
                    <w:txbxContent>
                      <w:p w:rsidR="00F821E3" w:rsidRDefault="00F821E3" w:rsidP="002232B1">
                        <w:pPr>
                          <w:jc w:val="center"/>
                          <w:rPr>
                            <w:rFonts w:ascii="Times New Roman" w:hAnsi="Times New Roman"/>
                            <w:color w:val="000000" w:themeColor="text1"/>
                            <w:sz w:val="24"/>
                            <w:szCs w:val="24"/>
                          </w:rPr>
                        </w:pPr>
                        <w:r>
                          <w:rPr>
                            <w:rFonts w:ascii="Times New Roman" w:hAnsi="Times New Roman"/>
                            <w:color w:val="000000" w:themeColor="text1"/>
                            <w:sz w:val="24"/>
                            <w:szCs w:val="24"/>
                          </w:rPr>
                          <w:t>1 етап</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7" o:spid="_x0000_s1258" type="#_x0000_t13" style="position:absolute;left:10744;top:2333;width:1600;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" adj="10800" strokeweight="1pt"/>
                <v:rect id="Прямоугольник 18" o:spid="_x0000_s1259" style="position:absolute;left:12344;top:1875;width:1043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" strokeweight="1pt">
                  <v:textbox>
                    <w:txbxContent>
                      <w:p w:rsidR="00F821E3" w:rsidRDefault="00F821E3" w:rsidP="002232B1">
                        <w:pPr>
                          <w:pStyle w:val="a3"/>
                          <w:spacing w:before="0" w:beforeAutospacing="0" w:after="160" w:afterAutospacing="0" w:line="254" w:lineRule="auto"/>
                          <w:jc w:val="center"/>
                        </w:pPr>
                        <w:r>
                          <w:rPr>
                            <w:rFonts w:eastAsia="Calibri"/>
                            <w:color w:val="000000"/>
                          </w:rPr>
                          <w:t>2 етап</w:t>
                        </w:r>
                      </w:p>
                    </w:txbxContent>
                  </v:textbox>
                </v:rect>
                <v:shape id="Стрелка вправо 19" o:spid="_x0000_s1260" type="#_x0000_t13" style="position:absolute;left:22783;top:2333;width:2363;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" adj="11713" strokeweight="1pt"/>
                <v:rect id="Прямоугольник 20" o:spid="_x0000_s1261" style="position:absolute;left:25146;top:1952;width:10439;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" strokeweight="1pt">
                  <v:textbox>
                    <w:txbxContent>
                      <w:p w:rsidR="00F821E3" w:rsidRDefault="00F821E3" w:rsidP="002232B1">
                        <w:pPr>
                          <w:pStyle w:val="a3"/>
                          <w:spacing w:before="0" w:beforeAutospacing="0" w:after="160" w:afterAutospacing="0" w:line="252" w:lineRule="auto"/>
                          <w:jc w:val="center"/>
                        </w:pPr>
                        <w:r>
                          <w:rPr>
                            <w:rFonts w:eastAsia="Calibri"/>
                            <w:color w:val="000000"/>
                          </w:rPr>
                          <w:t>3 етап</w:t>
                        </w:r>
                      </w:p>
                    </w:txbxContent>
                  </v:textbox>
                </v:rect>
                <v:shape id="Стрелка вправо 21" o:spid="_x0000_s1262" type="#_x0000_t13" style="position:absolute;left:35585;top:2333;width:2210;height: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" adj="11032" strokeweight="1pt"/>
                <v:rect id="Прямоугольник 22" o:spid="_x0000_s1263" style="position:absolute;left:37795;top:1875;width:1043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" strokeweight="1pt">
                  <v:textbox>
                    <w:txbxContent>
                      <w:p w:rsidR="00F821E3" w:rsidRDefault="00F821E3" w:rsidP="002232B1">
                        <w:pPr>
                          <w:pStyle w:val="a3"/>
                          <w:spacing w:before="0" w:beforeAutospacing="0" w:after="160" w:afterAutospacing="0" w:line="252" w:lineRule="auto"/>
                          <w:jc w:val="center"/>
                        </w:pPr>
                        <w:r>
                          <w:rPr>
                            <w:rFonts w:eastAsia="Calibri"/>
                            <w:color w:val="000000"/>
                          </w:rPr>
                          <w:t>4 етап</w:t>
                        </w:r>
                      </w:p>
                    </w:txbxContent>
                  </v:textbox>
                </v:rect>
                <v:roundrect id="Скругленный прямоугольник 23" o:spid="_x0000_s1264" style="position:absolute;left:838;top:7496;width:9144;height:89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" strokeweight="1pt">
                  <v:stroke joinstyle="miter"/>
                  <v:textbox>
                    <w:txbxContent>
                      <w:p w:rsidR="00F821E3" w:rsidRDefault="00F821E3" w:rsidP="002232B1">
                        <w:pPr>
                          <w:spacing w:after="0" w:line="240" w:lineRule="auto"/>
                          <w:jc w:val="center"/>
                          <w:rPr>
                            <w:rFonts w:ascii="Times New Roman" w:hAnsi="Times New Roman"/>
                            <w:color w:val="000000" w:themeColor="text1"/>
                          </w:rPr>
                        </w:pPr>
                        <w:r>
                          <w:rPr>
                            <w:rFonts w:ascii="Times New Roman" w:hAnsi="Times New Roman"/>
                            <w:color w:val="000000" w:themeColor="text1"/>
                          </w:rPr>
                          <w:t>Н4, Н5, Н6, LСR</w:t>
                        </w:r>
                      </w:p>
                      <w:p w:rsidR="00F821E3" w:rsidRDefault="00F821E3" w:rsidP="002232B1">
                        <w:pPr>
                          <w:spacing w:after="0" w:line="240" w:lineRule="auto"/>
                          <w:jc w:val="center"/>
                          <w:rPr>
                            <w:rFonts w:ascii="Times New Roman" w:hAnsi="Times New Roman"/>
                            <w:color w:val="000000" w:themeColor="text1"/>
                          </w:rPr>
                        </w:pPr>
                        <w:r>
                          <w:rPr>
                            <w:rFonts w:ascii="Times New Roman" w:hAnsi="Times New Roman"/>
                            <w:color w:val="000000" w:themeColor="text1"/>
                          </w:rPr>
                          <w:t>з 01.12.2018</w:t>
                        </w:r>
                      </w:p>
                    </w:txbxContent>
                  </v:textbox>
                </v:roundrect>
                <v:line id="Прямая соединительная линия 24" o:spid="_x0000_s1265" style="position:absolute;flip:x;visibility:visible;mso-wrap-style:square" from="5410,5181" to="5524,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" strokeweight=".5pt">
                  <v:stroke joinstyle="miter"/>
                </v:line>
                <v:roundrect id="Скругленный прямоугольник 25" o:spid="_x0000_s1266" style="position:absolute;left:12849;top:7572;width:9144;height:89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" strokeweight="1pt">
                  <v:stroke joinstyle="miter"/>
                  <v:textbox>
                    <w:txbxContent>
                      <w:p w:rsidR="00F821E3" w:rsidRDefault="00F821E3" w:rsidP="002232B1">
                        <w:pPr>
                          <w:pStyle w:val="a3"/>
                          <w:spacing w:before="0" w:beforeAutospacing="0" w:after="0" w:afterAutospacing="0" w:line="254" w:lineRule="auto"/>
                          <w:jc w:val="center"/>
                        </w:pPr>
                        <w:r>
                          <w:rPr>
                            <w:rFonts w:eastAsia="Calibri"/>
                            <w:color w:val="000000"/>
                            <w:sz w:val="22"/>
                            <w:szCs w:val="22"/>
                          </w:rPr>
                          <w:t>Н6, LСR</w:t>
                        </w:r>
                      </w:p>
                      <w:p w:rsidR="00F821E3" w:rsidRDefault="00F821E3" w:rsidP="002232B1">
                        <w:pPr>
                          <w:pStyle w:val="a3"/>
                          <w:spacing w:before="0" w:beforeAutospacing="0" w:after="0" w:afterAutospacing="0" w:line="254" w:lineRule="auto"/>
                          <w:jc w:val="center"/>
                        </w:pPr>
                        <w:r>
                          <w:rPr>
                            <w:rFonts w:eastAsia="Calibri"/>
                            <w:color w:val="000000"/>
                            <w:sz w:val="22"/>
                            <w:szCs w:val="22"/>
                          </w:rPr>
                          <w:t>з 10.10.2019</w:t>
                        </w:r>
                      </w:p>
                    </w:txbxContent>
                  </v:textbox>
                </v:roundrect>
                <v:line id="Прямая соединительная линия 26" o:spid="_x0000_s1267" style="position:absolute;visibility:visible;mso-wrap-style:square" from="17297,5181" to="17344,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" strokeweight=".5pt">
                  <v:stroke joinstyle="miter"/>
                </v:line>
                <v:roundrect id="Скругленный прямоугольник 27" o:spid="_x0000_s1268" style="position:absolute;left:25146;top:7496;width:10439;height:89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" strokeweight="1pt">
                  <v:stroke joinstyle="miter"/>
                  <v:textbox>
                    <w:txbxContent>
                      <w:p w:rsidR="00F821E3" w:rsidRDefault="00F821E3" w:rsidP="002232B1">
                        <w:pPr>
                          <w:pStyle w:val="a3"/>
                          <w:spacing w:before="0" w:beforeAutospacing="0" w:after="0" w:afterAutospacing="0" w:line="252" w:lineRule="auto"/>
                          <w:jc w:val="center"/>
                        </w:pPr>
                        <w:r w:rsidRPr="002232B1">
                          <w:rPr>
                            <w:rFonts w:eastAsia="Calibri"/>
                            <w:color w:val="000000"/>
                            <w:sz w:val="22"/>
                            <w:szCs w:val="22"/>
                          </w:rPr>
                          <w:t>Н6, LСR,</w:t>
                        </w:r>
                        <w:r>
                          <w:rPr>
                            <w:rFonts w:eastAsia="Calibri"/>
                            <w:color w:val="000000"/>
                            <w:sz w:val="22"/>
                            <w:szCs w:val="22"/>
                          </w:rPr>
                          <w:t xml:space="preserve"> NSFR</w:t>
                        </w:r>
                      </w:p>
                      <w:p w:rsidR="00F821E3" w:rsidRDefault="00F821E3" w:rsidP="002232B1">
                        <w:pPr>
                          <w:pStyle w:val="a3"/>
                          <w:spacing w:before="0" w:beforeAutospacing="0" w:after="0" w:afterAutospacing="0" w:line="252" w:lineRule="auto"/>
                          <w:jc w:val="center"/>
                          <w:rPr>
                            <w:rFonts w:eastAsia="Calibri"/>
                            <w:color w:val="000000"/>
                            <w:sz w:val="22"/>
                            <w:szCs w:val="22"/>
                          </w:rPr>
                        </w:pPr>
                        <w:r>
                          <w:rPr>
                            <w:rFonts w:eastAsia="Calibri"/>
                            <w:color w:val="000000"/>
                            <w:sz w:val="22"/>
                            <w:szCs w:val="22"/>
                          </w:rPr>
                          <w:t xml:space="preserve">з </w:t>
                        </w:r>
                      </w:p>
                      <w:p w:rsidR="00F821E3" w:rsidRDefault="00F821E3" w:rsidP="002232B1">
                        <w:pPr>
                          <w:pStyle w:val="a3"/>
                          <w:spacing w:before="0" w:beforeAutospacing="0" w:after="0" w:afterAutospacing="0" w:line="252" w:lineRule="auto"/>
                          <w:jc w:val="center"/>
                          <w:rPr>
                            <w:rFonts w:eastAsia="Times New Roman"/>
                          </w:rPr>
                        </w:pPr>
                        <w:r>
                          <w:rPr>
                            <w:rFonts w:eastAsia="Calibri"/>
                            <w:color w:val="000000"/>
                            <w:sz w:val="22"/>
                            <w:szCs w:val="22"/>
                          </w:rPr>
                          <w:t>01.08 2020</w:t>
                        </w:r>
                      </w:p>
                    </w:txbxContent>
                  </v:textbox>
                </v:roundrect>
                <v:line id="Прямая соединительная линия 28" o:spid="_x0000_s1269" style="position:absolute;visibility:visible;mso-wrap-style:square" from="30365,5304" to="30365,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" strokeweight=".5pt">
                  <v:stroke joinstyle="miter"/>
                </v:line>
                <v:roundrect id="Скругленный прямоугольник 29" o:spid="_x0000_s1270" style="position:absolute;left:38176;top:7619;width:10058;height:8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" strokeweight="1pt">
                  <v:stroke joinstyle="miter"/>
                  <v:textbox>
                    <w:txbxContent>
                      <w:p w:rsidR="00F821E3" w:rsidRDefault="00F821E3" w:rsidP="002232B1">
                        <w:pPr>
                          <w:pStyle w:val="a3"/>
                          <w:spacing w:before="0" w:beforeAutospacing="0" w:after="0" w:afterAutospacing="0" w:line="252" w:lineRule="auto"/>
                          <w:jc w:val="center"/>
                        </w:pPr>
                        <w:r>
                          <w:rPr>
                            <w:rFonts w:eastAsia="Calibri"/>
                            <w:color w:val="000000"/>
                            <w:sz w:val="22"/>
                            <w:szCs w:val="22"/>
                          </w:rPr>
                          <w:t>Н6, LСR, NSFR</w:t>
                        </w:r>
                      </w:p>
                      <w:p w:rsidR="00F821E3" w:rsidRDefault="00F821E3" w:rsidP="002232B1">
                        <w:pPr>
                          <w:pStyle w:val="a3"/>
                          <w:spacing w:before="0" w:beforeAutospacing="0" w:after="0" w:afterAutospacing="0" w:line="252" w:lineRule="auto"/>
                          <w:jc w:val="center"/>
                          <w:rPr>
                            <w:rFonts w:eastAsia="Calibri"/>
                            <w:color w:val="000000"/>
                            <w:sz w:val="22"/>
                            <w:szCs w:val="22"/>
                          </w:rPr>
                        </w:pPr>
                        <w:r>
                          <w:rPr>
                            <w:rFonts w:eastAsia="Calibri"/>
                            <w:color w:val="000000"/>
                            <w:sz w:val="22"/>
                            <w:szCs w:val="22"/>
                          </w:rPr>
                          <w:t xml:space="preserve">з </w:t>
                        </w:r>
                      </w:p>
                      <w:p w:rsidR="00F821E3" w:rsidRDefault="00F821E3" w:rsidP="002232B1">
                        <w:pPr>
                          <w:pStyle w:val="a3"/>
                          <w:spacing w:before="0" w:beforeAutospacing="0" w:after="0" w:afterAutospacing="0" w:line="252" w:lineRule="auto"/>
                          <w:jc w:val="center"/>
                          <w:rPr>
                            <w:rFonts w:eastAsia="Times New Roman"/>
                          </w:rPr>
                        </w:pPr>
                        <w:r>
                          <w:rPr>
                            <w:rFonts w:eastAsia="Calibri"/>
                            <w:color w:val="000000"/>
                            <w:sz w:val="22"/>
                            <w:szCs w:val="22"/>
                          </w:rPr>
                          <w:t>01.07 2021</w:t>
                        </w:r>
                      </w:p>
                    </w:txbxContent>
                  </v:textbox>
                </v:roundrect>
                <v:line id="Прямая соединительная линия 30" o:spid="_x0000_s1271" style="position:absolute;visibility:visible;mso-wrap-style:square" from="43205,5304" to="43205,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" strokeweight=".5pt">
                  <v:stroke joinstyle="miter"/>
                </v:line>
                <v:shape id="Стрелка вправо 33" o:spid="_x0000_s1272" type="#_x0000_t13" style="position:absolute;left:48234;top:2336;width:221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" adj="11048" strokeweight="1pt"/>
                <v:rect id="Прямоугольник 34" o:spid="_x0000_s1273" style="position:absolute;left:50444;top:1828;width:1043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" strokeweight="1pt">
                  <v:textbox>
                    <w:txbxContent>
                      <w:p w:rsidR="00F821E3" w:rsidRDefault="00F821E3" w:rsidP="002232B1">
                        <w:pPr>
                          <w:pStyle w:val="a3"/>
                          <w:spacing w:before="0" w:beforeAutospacing="0" w:after="160" w:afterAutospacing="0" w:line="252" w:lineRule="auto"/>
                          <w:jc w:val="center"/>
                        </w:pPr>
                        <w:r>
                          <w:rPr>
                            <w:rFonts w:eastAsia="Calibri"/>
                            <w:color w:val="000000"/>
                          </w:rPr>
                          <w:t>5 етап</w:t>
                        </w:r>
                      </w:p>
                    </w:txbxContent>
                  </v:textbox>
                </v:rect>
                <v:roundrect id="Скругленный прямоугольник 35" o:spid="_x0000_s1274" style="position:absolute;left:51130;top:7572;width:9753;height:89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" strokeweight="1pt">
                  <v:stroke joinstyle="miter"/>
                  <v:textbox>
                    <w:txbxContent>
                      <w:p w:rsidR="00F821E3" w:rsidRDefault="00F821E3" w:rsidP="002232B1">
                        <w:pPr>
                          <w:pStyle w:val="a3"/>
                          <w:spacing w:before="0" w:beforeAutospacing="0" w:after="0" w:afterAutospacing="0" w:line="252" w:lineRule="auto"/>
                          <w:jc w:val="center"/>
                        </w:pPr>
                        <w:r>
                          <w:rPr>
                            <w:rFonts w:eastAsia="Calibri"/>
                            <w:color w:val="000000"/>
                            <w:sz w:val="22"/>
                            <w:szCs w:val="22"/>
                          </w:rPr>
                          <w:t>LСR,NSFR</w:t>
                        </w:r>
                      </w:p>
                      <w:p w:rsidR="00F821E3" w:rsidRDefault="00F821E3" w:rsidP="002232B1">
                        <w:pPr>
                          <w:pStyle w:val="a3"/>
                          <w:spacing w:before="0" w:beforeAutospacing="0" w:after="0" w:afterAutospacing="0" w:line="252" w:lineRule="auto"/>
                          <w:jc w:val="center"/>
                        </w:pPr>
                        <w:r>
                          <w:rPr>
                            <w:rFonts w:eastAsia="Calibri"/>
                            <w:color w:val="000000"/>
                            <w:sz w:val="22"/>
                            <w:szCs w:val="22"/>
                          </w:rPr>
                          <w:t>з 23.03.2022</w:t>
                        </w:r>
                      </w:p>
                    </w:txbxContent>
                  </v:textbox>
                </v:roundrect>
                <v:line id="Прямая соединительная линия 36" o:spid="_x0000_s1275" style="position:absolute;visibility:visible;mso-wrap-style:square" from="56007,5304" to="56007,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" strokeweight=".5pt">
                  <v:stroke joinstyle="miter"/>
                </v:line>
                <w10:anchorlock/>
              </v:group>
            </w:pict>
          </mc:Fallback>
        </mc:AlternateContent>
      </w:r>
    </w:p>
    <w:p w:rsidR="002232B1" w:rsidRPr="002232B1" w:rsidRDefault="002232B1" w:rsidP="002232B1">
      <w:pPr>
        <w:spacing w:after="0" w:line="360" w:lineRule="auto"/>
        <w:jc w:val="center"/>
        <w:rPr>
          <w:rFonts w:ascii="Times New Roman" w:hAnsi="Times New Roman"/>
          <w:sz w:val="28"/>
          <w:szCs w:val="28"/>
          <w:lang w:val="ru-RU"/>
        </w:rPr>
      </w:pPr>
      <w:r w:rsidRPr="002232B1">
        <w:rPr>
          <w:rFonts w:ascii="Times New Roman" w:hAnsi="Times New Roman"/>
          <w:sz w:val="28"/>
          <w:szCs w:val="28"/>
        </w:rPr>
        <w:t>Рис. 2.</w:t>
      </w:r>
      <w:r w:rsidR="006D05AD">
        <w:rPr>
          <w:rFonts w:ascii="Times New Roman" w:hAnsi="Times New Roman"/>
          <w:sz w:val="28"/>
          <w:szCs w:val="28"/>
        </w:rPr>
        <w:t>8</w:t>
      </w:r>
      <w:r w:rsidRPr="002232B1">
        <w:rPr>
          <w:rFonts w:ascii="Times New Roman" w:hAnsi="Times New Roman"/>
          <w:sz w:val="28"/>
          <w:szCs w:val="28"/>
        </w:rPr>
        <w:t xml:space="preserve">. Етапи реформування регулювання ліквідності банку </w:t>
      </w:r>
      <w:r w:rsidR="006D05AD">
        <w:rPr>
          <w:rFonts w:ascii="Times New Roman" w:hAnsi="Times New Roman"/>
          <w:sz w:val="28"/>
          <w:szCs w:val="28"/>
          <w:lang w:val="ru-RU"/>
        </w:rPr>
        <w:t>[15; 32; 56; 57</w:t>
      </w:r>
      <w:r w:rsidRPr="002232B1">
        <w:rPr>
          <w:rFonts w:ascii="Times New Roman" w:hAnsi="Times New Roman"/>
          <w:sz w:val="28"/>
          <w:szCs w:val="28"/>
          <w:lang w:val="ru-RU"/>
        </w:rPr>
        <w:t>]</w:t>
      </w:r>
    </w:p>
    <w:p w:rsidR="002232B1" w:rsidRPr="002232B1" w:rsidRDefault="002232B1" w:rsidP="00C15AEB">
      <w:pPr>
        <w:spacing w:before="240" w:after="0" w:line="360" w:lineRule="auto"/>
        <w:ind w:firstLine="709"/>
        <w:jc w:val="both"/>
        <w:rPr>
          <w:rFonts w:ascii="Times New Roman" w:hAnsi="Times New Roman"/>
          <w:sz w:val="28"/>
          <w:szCs w:val="28"/>
        </w:rPr>
      </w:pPr>
      <w:r w:rsidRPr="002232B1">
        <w:rPr>
          <w:rFonts w:ascii="Times New Roman" w:hAnsi="Times New Roman"/>
          <w:sz w:val="28"/>
          <w:szCs w:val="28"/>
        </w:rPr>
        <w:t xml:space="preserve">В загалі ліквідність комерційних банків постійно перебуває під жорстким контролем та наглядом НБУ. Так починаючи з 2019 року, в Україні розпочався новий етап управління ризиком ліквідності. Відповідно до Постанови правління НБУ від 01.08.2019 № 102 було виключено нормативи миттєвої ліквідності (Н4) </w:t>
      </w:r>
      <w:r w:rsidR="0095155C">
        <w:rPr>
          <w:rFonts w:ascii="Times New Roman" w:hAnsi="Times New Roman"/>
          <w:sz w:val="28"/>
          <w:szCs w:val="28"/>
        </w:rPr>
        <w:t>та поточної ліквідності (Н5) [58</w:t>
      </w:r>
      <w:r w:rsidRPr="002232B1">
        <w:rPr>
          <w:rFonts w:ascii="Times New Roman" w:hAnsi="Times New Roman"/>
          <w:sz w:val="28"/>
          <w:szCs w:val="28"/>
        </w:rPr>
        <w:t>], а замість них Постановою правління НБУ «Про</w:t>
      </w:r>
    </w:p>
    <w:p w:rsidR="002232B1" w:rsidRPr="002232B1" w:rsidRDefault="002232B1" w:rsidP="00510670">
      <w:pPr>
        <w:spacing w:after="0" w:line="360" w:lineRule="auto"/>
        <w:jc w:val="both"/>
        <w:rPr>
          <w:rFonts w:ascii="Times New Roman" w:hAnsi="Times New Roman"/>
          <w:sz w:val="28"/>
          <w:szCs w:val="28"/>
        </w:rPr>
      </w:pPr>
      <w:r w:rsidRPr="002232B1">
        <w:rPr>
          <w:rFonts w:ascii="Times New Roman" w:hAnsi="Times New Roman"/>
          <w:sz w:val="28"/>
          <w:szCs w:val="28"/>
        </w:rPr>
        <w:t>запровадження коефіцієнта</w:t>
      </w:r>
      <w:r w:rsidR="00D62E39">
        <w:rPr>
          <w:rFonts w:ascii="Times New Roman" w:hAnsi="Times New Roman"/>
          <w:sz w:val="28"/>
          <w:szCs w:val="28"/>
        </w:rPr>
        <w:t xml:space="preserve"> покриття ліквідністю (LCR)» [56</w:t>
      </w:r>
      <w:r w:rsidRPr="002232B1">
        <w:rPr>
          <w:rFonts w:ascii="Times New Roman" w:hAnsi="Times New Roman"/>
          <w:sz w:val="28"/>
          <w:szCs w:val="28"/>
        </w:rPr>
        <w:t>] і Постановою правління НБУ «Про схвалення Методики розрахунку коефіцієнт</w:t>
      </w:r>
      <w:r w:rsidR="00D62E39">
        <w:rPr>
          <w:rFonts w:ascii="Times New Roman" w:hAnsi="Times New Roman"/>
          <w:sz w:val="28"/>
          <w:szCs w:val="28"/>
        </w:rPr>
        <w:t>а покриття ліквідністю (LCR)» [3</w:t>
      </w:r>
      <w:r w:rsidRPr="002232B1">
        <w:rPr>
          <w:rFonts w:ascii="Times New Roman" w:hAnsi="Times New Roman"/>
          <w:sz w:val="28"/>
          <w:szCs w:val="28"/>
        </w:rPr>
        <w:t>3], введено новий норматив ліквідності – LCR.</w:t>
      </w:r>
    </w:p>
    <w:p w:rsidR="00C76B96" w:rsidRDefault="00C76B96" w:rsidP="00510670">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 2020 році Постановою від 24.12.2019 № 158 НБУ вводить другий норматив для регулювання ліквідності банків України – коефіцієнт чистого стабільного фінансування або NSFR, що відображає достатність довгострокової ліквідності у банку [56]. Головною метою нормативу є зниження системного ризику, пов’язаного з короткою строковістю фондування банків та збалансування активів та пасивів банків за строками погашення [29, с. 78]. Отже, банки повинні досягти 100% значення нормативу NSFR поступово. Відповідно до затвердженого постановою НБУ «Про внесення змін до деяких нормативно-правових актів» № 166, від 22.12.2020 [59] графіка запровадження NSFR, показники банків мають відповідати нормативним значенням, які становлять не менше ніж [59]: 80% – з 1 квітня 2021 року; 90% – з 1 жовтня 2021 року; 100% – з 1 квітня 2022 року.</w:t>
      </w:r>
    </w:p>
    <w:p w:rsidR="00443722" w:rsidRDefault="00443722" w:rsidP="00510670">
      <w:pPr>
        <w:spacing w:after="0" w:line="360" w:lineRule="auto"/>
        <w:ind w:firstLine="709"/>
        <w:jc w:val="both"/>
        <w:rPr>
          <w:rFonts w:ascii="Times New Roman" w:hAnsi="Times New Roman"/>
          <w:sz w:val="28"/>
          <w:szCs w:val="28"/>
        </w:rPr>
      </w:pPr>
      <w:r>
        <w:rPr>
          <w:rFonts w:ascii="Times New Roman" w:hAnsi="Times New Roman"/>
          <w:sz w:val="28"/>
          <w:szCs w:val="28"/>
        </w:rPr>
        <w:t>Узагальнюючи наведене акцентуємо, що встановленні НБУ нормативи ліквідності, спрямовані на забезпечення фінансової стабільності банків та банківської системи в цілому.</w:t>
      </w:r>
    </w:p>
    <w:p w:rsidR="00443722" w:rsidRDefault="00443722" w:rsidP="00443722">
      <w:pPr>
        <w:spacing w:after="0" w:line="367" w:lineRule="auto"/>
        <w:ind w:firstLine="709"/>
        <w:jc w:val="both"/>
        <w:rPr>
          <w:rFonts w:ascii="Times New Roman" w:hAnsi="Times New Roman"/>
          <w:sz w:val="28"/>
          <w:szCs w:val="28"/>
        </w:rPr>
      </w:pPr>
      <w:r w:rsidRPr="00443722">
        <w:rPr>
          <w:rFonts w:ascii="Times New Roman" w:hAnsi="Times New Roman"/>
          <w:sz w:val="28"/>
          <w:szCs w:val="28"/>
        </w:rPr>
        <w:t>Виконання нормативів ліквідності АТ «Ідея Банк» за період з 2017 по 2021 років наведено в табл. 2.2.</w:t>
      </w:r>
      <w:r>
        <w:rPr>
          <w:rFonts w:ascii="Times New Roman" w:hAnsi="Times New Roman"/>
          <w:sz w:val="28"/>
          <w:szCs w:val="28"/>
        </w:rPr>
        <w:t xml:space="preserve"> </w:t>
      </w:r>
    </w:p>
    <w:p w:rsidR="008B7883" w:rsidRDefault="00A57E8F" w:rsidP="008B7883">
      <w:pPr>
        <w:spacing w:after="0" w:line="367" w:lineRule="auto"/>
        <w:ind w:firstLine="708"/>
        <w:jc w:val="right"/>
        <w:rPr>
          <w:rFonts w:ascii="Times New Roman" w:hAnsi="Times New Roman"/>
          <w:sz w:val="28"/>
          <w:szCs w:val="28"/>
        </w:rPr>
      </w:pPr>
      <w:r>
        <w:rPr>
          <w:rFonts w:ascii="Times New Roman" w:hAnsi="Times New Roman"/>
          <w:sz w:val="28"/>
          <w:szCs w:val="28"/>
        </w:rPr>
        <w:t>Таблиця 2.2</w:t>
      </w:r>
    </w:p>
    <w:p w:rsidR="00443722" w:rsidRDefault="00443722" w:rsidP="008B7883">
      <w:pPr>
        <w:spacing w:after="0" w:line="367" w:lineRule="auto"/>
        <w:ind w:firstLine="708"/>
        <w:jc w:val="center"/>
        <w:rPr>
          <w:rFonts w:ascii="Times New Roman" w:hAnsi="Times New Roman"/>
          <w:sz w:val="28"/>
          <w:szCs w:val="28"/>
        </w:rPr>
      </w:pPr>
      <w:r>
        <w:rPr>
          <w:rFonts w:ascii="Times New Roman" w:hAnsi="Times New Roman"/>
          <w:sz w:val="28"/>
          <w:szCs w:val="28"/>
        </w:rPr>
        <w:t>Нормативи ліквідності АТ «Ідея Банк</w:t>
      </w:r>
      <w:r w:rsidR="008B7883">
        <w:rPr>
          <w:rFonts w:ascii="Times New Roman" w:hAnsi="Times New Roman"/>
          <w:sz w:val="28"/>
          <w:szCs w:val="28"/>
        </w:rPr>
        <w:t>» за період з 2017 по 2021 роки</w:t>
      </w:r>
    </w:p>
    <w:tbl>
      <w:tblPr>
        <w:tblW w:w="9720" w:type="dxa"/>
        <w:tblLook w:val="04A0" w:firstRow="1" w:lastRow="0" w:firstColumn="1" w:lastColumn="0" w:noHBand="0" w:noVBand="1"/>
      </w:tblPr>
      <w:tblGrid>
        <w:gridCol w:w="1974"/>
        <w:gridCol w:w="1308"/>
        <w:gridCol w:w="2525"/>
        <w:gridCol w:w="793"/>
        <w:gridCol w:w="766"/>
        <w:gridCol w:w="822"/>
        <w:gridCol w:w="766"/>
        <w:gridCol w:w="766"/>
      </w:tblGrid>
      <w:tr w:rsidR="00510670" w:rsidTr="001E35B8">
        <w:trPr>
          <w:trHeight w:val="288"/>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Найменування нормативу</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Позначення</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Нормативне значення</w:t>
            </w:r>
          </w:p>
        </w:tc>
        <w:tc>
          <w:tcPr>
            <w:tcW w:w="3913" w:type="dxa"/>
            <w:gridSpan w:val="5"/>
            <w:tcBorders>
              <w:top w:val="single" w:sz="4" w:space="0" w:color="auto"/>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Виконання нормативів, %</w:t>
            </w:r>
          </w:p>
        </w:tc>
      </w:tr>
      <w:tr w:rsidR="00510670" w:rsidTr="001E35B8">
        <w:trPr>
          <w:trHeight w:val="288"/>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510670" w:rsidRDefault="00510670">
            <w:pPr>
              <w:spacing w:after="0"/>
              <w:rPr>
                <w:rFonts w:ascii="Times New Roman" w:eastAsia="Times New Roman" w:hAnsi="Times New Roman"/>
                <w:b/>
                <w:bCs/>
                <w:color w:val="000000"/>
                <w:sz w:val="20"/>
                <w:szCs w:val="20"/>
                <w:lang w:eastAsia="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10670" w:rsidRDefault="00510670">
            <w:pPr>
              <w:spacing w:after="0"/>
              <w:rPr>
                <w:rFonts w:ascii="Times New Roman" w:eastAsia="Times New Roman" w:hAnsi="Times New Roman"/>
                <w:b/>
                <w:bCs/>
                <w:color w:val="000000"/>
                <w:sz w:val="20"/>
                <w:szCs w:val="20"/>
                <w:lang w:eastAsia="uk-UA"/>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10670" w:rsidRDefault="00510670">
            <w:pPr>
              <w:spacing w:after="0"/>
              <w:rPr>
                <w:rFonts w:ascii="Times New Roman" w:eastAsia="Times New Roman" w:hAnsi="Times New Roman"/>
                <w:b/>
                <w:bCs/>
                <w:color w:val="000000"/>
                <w:lang w:eastAsia="uk-UA"/>
              </w:rPr>
            </w:pPr>
          </w:p>
        </w:tc>
        <w:tc>
          <w:tcPr>
            <w:tcW w:w="793"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2017</w:t>
            </w:r>
          </w:p>
        </w:tc>
        <w:tc>
          <w:tcPr>
            <w:tcW w:w="766"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2018</w:t>
            </w:r>
          </w:p>
        </w:tc>
        <w:tc>
          <w:tcPr>
            <w:tcW w:w="822"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2019</w:t>
            </w:r>
          </w:p>
        </w:tc>
        <w:tc>
          <w:tcPr>
            <w:tcW w:w="766"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2020</w:t>
            </w:r>
          </w:p>
        </w:tc>
        <w:tc>
          <w:tcPr>
            <w:tcW w:w="766"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2021</w:t>
            </w:r>
          </w:p>
        </w:tc>
      </w:tr>
      <w:tr w:rsidR="00510670" w:rsidTr="001E35B8">
        <w:trPr>
          <w:trHeight w:val="552"/>
        </w:trPr>
        <w:tc>
          <w:tcPr>
            <w:tcW w:w="1980" w:type="dxa"/>
            <w:tcBorders>
              <w:top w:val="nil"/>
              <w:left w:val="single" w:sz="4" w:space="0" w:color="auto"/>
              <w:bottom w:val="single" w:sz="4" w:space="0" w:color="auto"/>
              <w:right w:val="single" w:sz="4" w:space="0" w:color="auto"/>
            </w:tcBorders>
            <w:vAlign w:val="center"/>
            <w:hideMark/>
          </w:tcPr>
          <w:p w:rsidR="00510670" w:rsidRDefault="00510670">
            <w:pPr>
              <w:spacing w:after="0" w:line="240" w:lineRule="auto"/>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Норматив миттєвої ліквідності</w:t>
            </w:r>
          </w:p>
        </w:tc>
        <w:tc>
          <w:tcPr>
            <w:tcW w:w="1276"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color w:val="000000"/>
                <w:lang w:eastAsia="uk-UA"/>
              </w:rPr>
            </w:pPr>
            <w:r>
              <w:rPr>
                <w:rFonts w:ascii="Times New Roman" w:eastAsia="Times New Roman" w:hAnsi="Times New Roman"/>
                <w:color w:val="000000"/>
                <w:lang w:eastAsia="uk-UA"/>
              </w:rPr>
              <w:t>Н4</w:t>
            </w:r>
          </w:p>
        </w:tc>
        <w:tc>
          <w:tcPr>
            <w:tcW w:w="2551"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Не менше 20%</w:t>
            </w:r>
          </w:p>
        </w:tc>
        <w:tc>
          <w:tcPr>
            <w:tcW w:w="793"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108,77</w:t>
            </w:r>
          </w:p>
        </w:tc>
        <w:tc>
          <w:tcPr>
            <w:tcW w:w="766"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91,47</w:t>
            </w:r>
          </w:p>
        </w:tc>
        <w:tc>
          <w:tcPr>
            <w:tcW w:w="822"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66"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66"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r>
      <w:tr w:rsidR="00510670" w:rsidTr="001E35B8">
        <w:trPr>
          <w:trHeight w:val="564"/>
        </w:trPr>
        <w:tc>
          <w:tcPr>
            <w:tcW w:w="1980" w:type="dxa"/>
            <w:tcBorders>
              <w:top w:val="nil"/>
              <w:left w:val="single" w:sz="4" w:space="0" w:color="auto"/>
              <w:bottom w:val="single" w:sz="4" w:space="0" w:color="auto"/>
              <w:right w:val="single" w:sz="4" w:space="0" w:color="auto"/>
            </w:tcBorders>
            <w:vAlign w:val="bottom"/>
            <w:hideMark/>
          </w:tcPr>
          <w:p w:rsidR="00510670" w:rsidRDefault="00510670">
            <w:pPr>
              <w:spacing w:after="0" w:line="240" w:lineRule="auto"/>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Норматив поточної ліквідності</w:t>
            </w:r>
          </w:p>
        </w:tc>
        <w:tc>
          <w:tcPr>
            <w:tcW w:w="127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lang w:eastAsia="uk-UA"/>
              </w:rPr>
            </w:pPr>
            <w:r>
              <w:rPr>
                <w:rFonts w:ascii="Times New Roman" w:eastAsia="Times New Roman" w:hAnsi="Times New Roman"/>
                <w:color w:val="000000"/>
                <w:lang w:eastAsia="uk-UA"/>
              </w:rPr>
              <w:t>Н5</w:t>
            </w:r>
          </w:p>
        </w:tc>
        <w:tc>
          <w:tcPr>
            <w:tcW w:w="2551"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Не менше 40%</w:t>
            </w:r>
          </w:p>
        </w:tc>
        <w:tc>
          <w:tcPr>
            <w:tcW w:w="793"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120,35</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84,44</w:t>
            </w:r>
          </w:p>
        </w:tc>
        <w:tc>
          <w:tcPr>
            <w:tcW w:w="822"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r>
      <w:tr w:rsidR="00510670" w:rsidTr="001E35B8">
        <w:trPr>
          <w:trHeight w:val="700"/>
        </w:trPr>
        <w:tc>
          <w:tcPr>
            <w:tcW w:w="1980" w:type="dxa"/>
            <w:tcBorders>
              <w:top w:val="nil"/>
              <w:left w:val="single" w:sz="4" w:space="0" w:color="auto"/>
              <w:bottom w:val="single" w:sz="4" w:space="0" w:color="auto"/>
              <w:right w:val="single" w:sz="4" w:space="0" w:color="auto"/>
            </w:tcBorders>
            <w:vAlign w:val="bottom"/>
            <w:hideMark/>
          </w:tcPr>
          <w:p w:rsidR="00510670" w:rsidRDefault="00510670">
            <w:pPr>
              <w:spacing w:after="0" w:line="240" w:lineRule="auto"/>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Норматив короткострокової ліквідності</w:t>
            </w:r>
          </w:p>
        </w:tc>
        <w:tc>
          <w:tcPr>
            <w:tcW w:w="127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lang w:eastAsia="uk-UA"/>
              </w:rPr>
            </w:pPr>
            <w:r>
              <w:rPr>
                <w:rFonts w:ascii="Times New Roman" w:eastAsia="Times New Roman" w:hAnsi="Times New Roman"/>
                <w:color w:val="000000"/>
                <w:lang w:eastAsia="uk-UA"/>
              </w:rPr>
              <w:t>Н6</w:t>
            </w:r>
          </w:p>
        </w:tc>
        <w:tc>
          <w:tcPr>
            <w:tcW w:w="2551"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Не менше 60%</w:t>
            </w:r>
          </w:p>
        </w:tc>
        <w:tc>
          <w:tcPr>
            <w:tcW w:w="793"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166,92</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212,58</w:t>
            </w:r>
          </w:p>
        </w:tc>
        <w:tc>
          <w:tcPr>
            <w:tcW w:w="822"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189,54</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100,25</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114,55</w:t>
            </w:r>
          </w:p>
        </w:tc>
      </w:tr>
      <w:tr w:rsidR="00510670" w:rsidTr="001E35B8">
        <w:trPr>
          <w:trHeight w:val="828"/>
        </w:trPr>
        <w:tc>
          <w:tcPr>
            <w:tcW w:w="1980" w:type="dxa"/>
            <w:tcBorders>
              <w:top w:val="nil"/>
              <w:left w:val="single" w:sz="4" w:space="0" w:color="auto"/>
              <w:bottom w:val="single" w:sz="4" w:space="0" w:color="auto"/>
              <w:right w:val="single" w:sz="4" w:space="0" w:color="auto"/>
            </w:tcBorders>
            <w:vAlign w:val="center"/>
            <w:hideMark/>
          </w:tcPr>
          <w:p w:rsidR="00510670" w:rsidRDefault="00510670">
            <w:pPr>
              <w:spacing w:after="0" w:line="240" w:lineRule="auto"/>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Коефіцієнт покриття ліквідності за всіма валютами</w:t>
            </w:r>
          </w:p>
        </w:tc>
        <w:tc>
          <w:tcPr>
            <w:tcW w:w="127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lang w:eastAsia="uk-UA"/>
              </w:rPr>
            </w:pPr>
            <w:proofErr w:type="spellStart"/>
            <w:r>
              <w:rPr>
                <w:rFonts w:ascii="Times New Roman" w:eastAsia="Times New Roman" w:hAnsi="Times New Roman"/>
                <w:color w:val="000000"/>
                <w:lang w:eastAsia="uk-UA"/>
              </w:rPr>
              <w:t>LСRвв</w:t>
            </w:r>
            <w:proofErr w:type="spellEnd"/>
          </w:p>
        </w:tc>
        <w:tc>
          <w:tcPr>
            <w:tcW w:w="2551"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 xml:space="preserve">Не менше 80% - з 01.12.2018; не менше 90% – з 01.06.2019; </w:t>
            </w:r>
          </w:p>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не менше 100% – з 01.12.2019</w:t>
            </w:r>
          </w:p>
        </w:tc>
        <w:tc>
          <w:tcPr>
            <w:tcW w:w="793"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22"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482,45</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447,3</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304,7</w:t>
            </w:r>
          </w:p>
        </w:tc>
      </w:tr>
      <w:tr w:rsidR="00510670" w:rsidTr="001E35B8">
        <w:trPr>
          <w:trHeight w:val="888"/>
        </w:trPr>
        <w:tc>
          <w:tcPr>
            <w:tcW w:w="1980" w:type="dxa"/>
            <w:tcBorders>
              <w:top w:val="nil"/>
              <w:left w:val="single" w:sz="4" w:space="0" w:color="auto"/>
              <w:bottom w:val="single" w:sz="4" w:space="0" w:color="auto"/>
              <w:right w:val="single" w:sz="4" w:space="0" w:color="auto"/>
            </w:tcBorders>
            <w:vAlign w:val="center"/>
            <w:hideMark/>
          </w:tcPr>
          <w:p w:rsidR="00510670" w:rsidRDefault="00510670">
            <w:pPr>
              <w:spacing w:after="0" w:line="240" w:lineRule="auto"/>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Коефіцієнт покриття ліквідності в іноземній валюті</w:t>
            </w:r>
          </w:p>
        </w:tc>
        <w:tc>
          <w:tcPr>
            <w:tcW w:w="127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lang w:eastAsia="uk-UA"/>
              </w:rPr>
            </w:pPr>
            <w:proofErr w:type="spellStart"/>
            <w:r>
              <w:rPr>
                <w:rFonts w:ascii="Times New Roman" w:eastAsia="Times New Roman" w:hAnsi="Times New Roman"/>
                <w:color w:val="000000"/>
                <w:lang w:eastAsia="uk-UA"/>
              </w:rPr>
              <w:t>LСRів</w:t>
            </w:r>
            <w:proofErr w:type="spellEnd"/>
          </w:p>
        </w:tc>
        <w:tc>
          <w:tcPr>
            <w:tcW w:w="2551" w:type="dxa"/>
            <w:tcBorders>
              <w:top w:val="nil"/>
              <w:left w:val="nil"/>
              <w:bottom w:val="single" w:sz="4" w:space="0" w:color="auto"/>
              <w:right w:val="single" w:sz="4" w:space="0" w:color="auto"/>
            </w:tcBorders>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 xml:space="preserve">Не менше 50% - з 01.12.2018; не менше 90% – з 01.06.2019; </w:t>
            </w:r>
          </w:p>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не менше 100% – з 01.12.2019.</w:t>
            </w:r>
          </w:p>
        </w:tc>
        <w:tc>
          <w:tcPr>
            <w:tcW w:w="793"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22"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279,97</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377,08</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207,07</w:t>
            </w:r>
          </w:p>
        </w:tc>
      </w:tr>
      <w:tr w:rsidR="00510670" w:rsidTr="001E35B8">
        <w:trPr>
          <w:trHeight w:val="416"/>
        </w:trPr>
        <w:tc>
          <w:tcPr>
            <w:tcW w:w="1980" w:type="dxa"/>
            <w:tcBorders>
              <w:top w:val="nil"/>
              <w:left w:val="single" w:sz="4" w:space="0" w:color="auto"/>
              <w:bottom w:val="single" w:sz="4" w:space="0" w:color="auto"/>
              <w:right w:val="single" w:sz="4" w:space="0" w:color="auto"/>
            </w:tcBorders>
            <w:vAlign w:val="center"/>
            <w:hideMark/>
          </w:tcPr>
          <w:p w:rsidR="00510670" w:rsidRDefault="00510670">
            <w:pPr>
              <w:spacing w:after="0" w:line="240" w:lineRule="auto"/>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Коефіцієнт чистого стабільного фінансування</w:t>
            </w:r>
          </w:p>
        </w:tc>
        <w:tc>
          <w:tcPr>
            <w:tcW w:w="127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lang w:eastAsia="uk-UA"/>
              </w:rPr>
            </w:pPr>
            <w:r>
              <w:rPr>
                <w:rFonts w:ascii="Times New Roman" w:eastAsia="Times New Roman" w:hAnsi="Times New Roman"/>
                <w:color w:val="000000"/>
                <w:lang w:eastAsia="uk-UA"/>
              </w:rPr>
              <w:t>NSFR</w:t>
            </w:r>
          </w:p>
        </w:tc>
        <w:tc>
          <w:tcPr>
            <w:tcW w:w="2551" w:type="dxa"/>
            <w:tcBorders>
              <w:top w:val="nil"/>
              <w:left w:val="nil"/>
              <w:bottom w:val="single" w:sz="4" w:space="0" w:color="auto"/>
              <w:right w:val="single" w:sz="4" w:space="0" w:color="auto"/>
            </w:tcBorders>
            <w:vAlign w:val="center"/>
            <w:hideMark/>
          </w:tcPr>
          <w:p w:rsidR="00510670" w:rsidRPr="001E35B8" w:rsidRDefault="00510670">
            <w:pPr>
              <w:spacing w:after="0" w:line="240" w:lineRule="auto"/>
              <w:jc w:val="center"/>
              <w:rPr>
                <w:rFonts w:ascii="Times New Roman" w:eastAsia="Times New Roman" w:hAnsi="Times New Roman"/>
                <w:color w:val="000000"/>
                <w:sz w:val="18"/>
                <w:szCs w:val="18"/>
                <w:lang w:eastAsia="uk-UA"/>
              </w:rPr>
            </w:pPr>
            <w:r w:rsidRPr="001E35B8">
              <w:rPr>
                <w:rFonts w:ascii="Times New Roman" w:eastAsia="Times New Roman" w:hAnsi="Times New Roman"/>
                <w:color w:val="000000"/>
                <w:sz w:val="18"/>
                <w:szCs w:val="18"/>
                <w:lang w:eastAsia="uk-UA"/>
              </w:rPr>
              <w:t>Не менше 80% – з 01.04.2021; не менше 90% – з 01.10.2021;</w:t>
            </w:r>
          </w:p>
          <w:p w:rsidR="00510670" w:rsidRDefault="00510670">
            <w:pPr>
              <w:spacing w:after="0" w:line="240" w:lineRule="auto"/>
              <w:jc w:val="center"/>
              <w:rPr>
                <w:rFonts w:ascii="Times New Roman" w:eastAsia="Times New Roman" w:hAnsi="Times New Roman"/>
                <w:color w:val="000000"/>
                <w:sz w:val="20"/>
                <w:szCs w:val="20"/>
                <w:lang w:eastAsia="uk-UA"/>
              </w:rPr>
            </w:pPr>
            <w:r w:rsidRPr="001E35B8">
              <w:rPr>
                <w:rFonts w:ascii="Times New Roman" w:eastAsia="Times New Roman" w:hAnsi="Times New Roman"/>
                <w:color w:val="000000"/>
                <w:sz w:val="18"/>
                <w:szCs w:val="18"/>
                <w:lang w:eastAsia="uk-UA"/>
              </w:rPr>
              <w:t>не менше 100% – з 01.04.2022</w:t>
            </w:r>
          </w:p>
        </w:tc>
        <w:tc>
          <w:tcPr>
            <w:tcW w:w="793"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822"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w:t>
            </w:r>
          </w:p>
        </w:tc>
        <w:tc>
          <w:tcPr>
            <w:tcW w:w="766" w:type="dxa"/>
            <w:tcBorders>
              <w:top w:val="nil"/>
              <w:left w:val="nil"/>
              <w:bottom w:val="single" w:sz="4" w:space="0" w:color="auto"/>
              <w:right w:val="single" w:sz="4" w:space="0" w:color="auto"/>
            </w:tcBorders>
            <w:noWrap/>
            <w:vAlign w:val="center"/>
            <w:hideMark/>
          </w:tcPr>
          <w:p w:rsidR="00510670" w:rsidRDefault="00510670">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109,97</w:t>
            </w:r>
          </w:p>
        </w:tc>
      </w:tr>
    </w:tbl>
    <w:p w:rsidR="00D15C63" w:rsidRDefault="00D15C63" w:rsidP="00604F9F">
      <w:pPr>
        <w:spacing w:after="0" w:line="367" w:lineRule="auto"/>
        <w:ind w:firstLine="709"/>
        <w:jc w:val="both"/>
        <w:rPr>
          <w:rFonts w:ascii="Times New Roman" w:hAnsi="Times New Roman"/>
          <w:sz w:val="28"/>
          <w:szCs w:val="28"/>
        </w:rPr>
      </w:pPr>
    </w:p>
    <w:p w:rsidR="0033790F" w:rsidRDefault="00A57E8F" w:rsidP="0033790F">
      <w:pPr>
        <w:spacing w:before="120" w:after="0" w:line="360" w:lineRule="auto"/>
        <w:ind w:firstLine="709"/>
        <w:jc w:val="both"/>
        <w:rPr>
          <w:rFonts w:ascii="Times New Roman" w:hAnsi="Times New Roman"/>
          <w:sz w:val="28"/>
          <w:szCs w:val="28"/>
        </w:rPr>
      </w:pPr>
      <w:r>
        <w:rPr>
          <w:rFonts w:ascii="Times New Roman" w:hAnsi="Times New Roman"/>
          <w:sz w:val="28"/>
          <w:szCs w:val="28"/>
        </w:rPr>
        <w:lastRenderedPageBreak/>
        <w:t>З наведених даних у таблиці 2.2</w:t>
      </w:r>
      <w:r w:rsidR="0033790F">
        <w:rPr>
          <w:rFonts w:ascii="Times New Roman" w:hAnsi="Times New Roman"/>
          <w:sz w:val="28"/>
          <w:szCs w:val="28"/>
        </w:rPr>
        <w:t xml:space="preserve"> вбачається, що впродовж 2017 – 2021 років АТ «Ідея Банк» забезпечував профіцит по виконанню нормативів ліквідності. Навіть за тільки уведеними показниками, зокрема норматив коефіцієнта покриття ліквідності за всіма валютами, норматив коефіцієнта покриття ліквідністю в іноземній валюті, фактичне значення перевищує нормативне більш як у 2 рази. </w:t>
      </w:r>
    </w:p>
    <w:p w:rsidR="0033790F" w:rsidRDefault="0033790F" w:rsidP="0033790F">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Аналіз показників ліквідності АТ «Ідея Банк» наведено </w:t>
      </w:r>
      <w:r w:rsidR="00A57E8F">
        <w:rPr>
          <w:rFonts w:ascii="Times New Roman" w:hAnsi="Times New Roman"/>
          <w:sz w:val="28"/>
          <w:szCs w:val="28"/>
        </w:rPr>
        <w:t>в табл. 2.3</w:t>
      </w:r>
      <w:r w:rsidRPr="0033790F">
        <w:rPr>
          <w:rFonts w:ascii="Times New Roman" w:hAnsi="Times New Roman"/>
          <w:sz w:val="28"/>
          <w:szCs w:val="28"/>
        </w:rPr>
        <w:t>,</w:t>
      </w:r>
      <w:r>
        <w:rPr>
          <w:rFonts w:ascii="Times New Roman" w:hAnsi="Times New Roman"/>
          <w:sz w:val="28"/>
          <w:szCs w:val="28"/>
        </w:rPr>
        <w:t xml:space="preserve"> який проведено шляхом порівняння фактичних значень між собою. </w:t>
      </w:r>
    </w:p>
    <w:p w:rsidR="0033790F" w:rsidRDefault="0033790F" w:rsidP="0033790F">
      <w:pPr>
        <w:spacing w:after="0" w:line="360" w:lineRule="auto"/>
        <w:ind w:firstLine="709"/>
        <w:jc w:val="right"/>
        <w:rPr>
          <w:rFonts w:ascii="Times New Roman" w:hAnsi="Times New Roman"/>
          <w:sz w:val="28"/>
          <w:szCs w:val="28"/>
        </w:rPr>
      </w:pPr>
      <w:r w:rsidRPr="0033790F">
        <w:rPr>
          <w:rFonts w:ascii="Times New Roman" w:hAnsi="Times New Roman"/>
          <w:sz w:val="28"/>
          <w:szCs w:val="28"/>
        </w:rPr>
        <w:t>Та</w:t>
      </w:r>
      <w:r w:rsidR="00A57E8F">
        <w:rPr>
          <w:rFonts w:ascii="Times New Roman" w:hAnsi="Times New Roman"/>
          <w:sz w:val="28"/>
          <w:szCs w:val="28"/>
        </w:rPr>
        <w:t>блиця 2.3</w:t>
      </w:r>
      <w:r>
        <w:rPr>
          <w:rFonts w:ascii="Times New Roman" w:hAnsi="Times New Roman"/>
          <w:sz w:val="28"/>
          <w:szCs w:val="28"/>
        </w:rPr>
        <w:t xml:space="preserve"> </w:t>
      </w:r>
    </w:p>
    <w:p w:rsidR="0033790F" w:rsidRDefault="0033790F" w:rsidP="0033790F">
      <w:pPr>
        <w:spacing w:after="0" w:line="360" w:lineRule="auto"/>
        <w:ind w:firstLine="709"/>
        <w:jc w:val="center"/>
        <w:rPr>
          <w:rFonts w:ascii="Times New Roman" w:hAnsi="Times New Roman"/>
          <w:sz w:val="28"/>
          <w:szCs w:val="28"/>
        </w:rPr>
      </w:pPr>
      <w:r>
        <w:rPr>
          <w:rFonts w:ascii="Times New Roman" w:hAnsi="Times New Roman"/>
          <w:sz w:val="28"/>
          <w:szCs w:val="28"/>
        </w:rPr>
        <w:t xml:space="preserve">Аналіз показників ліквідності АТ «Ідея Банк» за період з 2017 по 2021 </w:t>
      </w:r>
      <w:r w:rsidR="00A57E8F">
        <w:rPr>
          <w:rFonts w:ascii="Times New Roman" w:hAnsi="Times New Roman"/>
          <w:sz w:val="28"/>
          <w:szCs w:val="28"/>
        </w:rPr>
        <w:t>роки</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66"/>
        <w:gridCol w:w="766"/>
        <w:gridCol w:w="730"/>
        <w:gridCol w:w="850"/>
        <w:gridCol w:w="851"/>
        <w:gridCol w:w="709"/>
        <w:gridCol w:w="850"/>
        <w:gridCol w:w="709"/>
        <w:gridCol w:w="850"/>
        <w:gridCol w:w="851"/>
        <w:gridCol w:w="843"/>
      </w:tblGrid>
      <w:tr w:rsidR="0013608F" w:rsidTr="00B8060F">
        <w:trPr>
          <w:trHeight w:val="284"/>
          <w:jc w:val="center"/>
        </w:trPr>
        <w:tc>
          <w:tcPr>
            <w:tcW w:w="8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3608F" w:rsidRDefault="0013608F">
            <w:pPr>
              <w:spacing w:after="0" w:line="240" w:lineRule="auto"/>
              <w:ind w:left="113" w:right="113"/>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Норматив</w:t>
            </w:r>
          </w:p>
        </w:tc>
        <w:tc>
          <w:tcPr>
            <w:tcW w:w="3963" w:type="dxa"/>
            <w:gridSpan w:val="5"/>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Виконання нормативів, %</w:t>
            </w:r>
          </w:p>
        </w:tc>
        <w:tc>
          <w:tcPr>
            <w:tcW w:w="4812" w:type="dxa"/>
            <w:gridSpan w:val="6"/>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 xml:space="preserve">Відхилення, </w:t>
            </w:r>
            <w:proofErr w:type="spellStart"/>
            <w:r>
              <w:rPr>
                <w:rFonts w:ascii="Times New Roman" w:eastAsia="Times New Roman" w:hAnsi="Times New Roman"/>
                <w:b/>
                <w:bCs/>
                <w:color w:val="000000"/>
                <w:lang w:eastAsia="uk-UA"/>
              </w:rPr>
              <w:t>в.п</w:t>
            </w:r>
            <w:proofErr w:type="spellEnd"/>
            <w:r>
              <w:rPr>
                <w:rFonts w:ascii="Times New Roman" w:eastAsia="Times New Roman" w:hAnsi="Times New Roman"/>
                <w:b/>
                <w:bCs/>
                <w:color w:val="000000"/>
                <w:lang w:eastAsia="uk-UA"/>
              </w:rPr>
              <w:t>.</w:t>
            </w:r>
          </w:p>
        </w:tc>
      </w:tr>
      <w:tr w:rsidR="0013608F" w:rsidTr="00B8060F">
        <w:trPr>
          <w:trHeight w:val="972"/>
          <w:jc w:val="center"/>
        </w:trPr>
        <w:tc>
          <w:tcPr>
            <w:tcW w:w="852" w:type="dxa"/>
            <w:vMerge/>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rPr>
                <w:rFonts w:ascii="Times New Roman" w:eastAsia="Times New Roman" w:hAnsi="Times New Roman"/>
                <w:b/>
                <w:bCs/>
                <w:color w:val="000000"/>
                <w:lang w:eastAsia="uk-UA"/>
              </w:rPr>
            </w:pPr>
          </w:p>
        </w:tc>
        <w:tc>
          <w:tcPr>
            <w:tcW w:w="766"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2017</w:t>
            </w:r>
          </w:p>
        </w:tc>
        <w:tc>
          <w:tcPr>
            <w:tcW w:w="766"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2018</w:t>
            </w:r>
          </w:p>
        </w:tc>
        <w:tc>
          <w:tcPr>
            <w:tcW w:w="730"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2019</w:t>
            </w:r>
          </w:p>
        </w:tc>
        <w:tc>
          <w:tcPr>
            <w:tcW w:w="850"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2020</w:t>
            </w:r>
          </w:p>
        </w:tc>
        <w:tc>
          <w:tcPr>
            <w:tcW w:w="851"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b/>
                <w:bCs/>
                <w:color w:val="000000"/>
                <w:lang w:eastAsia="uk-UA"/>
              </w:rPr>
            </w:pPr>
            <w:r>
              <w:rPr>
                <w:rFonts w:ascii="Times New Roman" w:eastAsia="Times New Roman" w:hAnsi="Times New Roman"/>
                <w:b/>
                <w:bCs/>
                <w:color w:val="000000"/>
                <w:lang w:eastAsia="uk-UA"/>
              </w:rPr>
              <w:t>2021</w:t>
            </w:r>
          </w:p>
        </w:tc>
        <w:tc>
          <w:tcPr>
            <w:tcW w:w="709"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 xml:space="preserve">2018 </w:t>
            </w:r>
          </w:p>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w:t>
            </w:r>
          </w:p>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2017</w:t>
            </w:r>
          </w:p>
        </w:tc>
        <w:tc>
          <w:tcPr>
            <w:tcW w:w="850"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2019</w:t>
            </w:r>
          </w:p>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w:t>
            </w:r>
          </w:p>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2018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2020</w:t>
            </w:r>
          </w:p>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w:t>
            </w:r>
          </w:p>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2019</w:t>
            </w:r>
          </w:p>
        </w:tc>
        <w:tc>
          <w:tcPr>
            <w:tcW w:w="850"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2021</w:t>
            </w:r>
          </w:p>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w:t>
            </w:r>
          </w:p>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2020</w:t>
            </w:r>
          </w:p>
        </w:tc>
        <w:tc>
          <w:tcPr>
            <w:tcW w:w="851"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2021</w:t>
            </w:r>
          </w:p>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w:t>
            </w:r>
          </w:p>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2017</w:t>
            </w:r>
          </w:p>
        </w:tc>
        <w:tc>
          <w:tcPr>
            <w:tcW w:w="843"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2021</w:t>
            </w:r>
          </w:p>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w:t>
            </w:r>
          </w:p>
          <w:p w:rsidR="0013608F" w:rsidRDefault="0013608F">
            <w:pPr>
              <w:spacing w:after="0" w:line="240" w:lineRule="auto"/>
              <w:jc w:val="center"/>
              <w:rPr>
                <w:rFonts w:ascii="Times New Roman" w:eastAsia="Times New Roman" w:hAnsi="Times New Roman"/>
                <w:b/>
                <w:bCs/>
                <w:color w:val="000000"/>
                <w:sz w:val="20"/>
                <w:szCs w:val="20"/>
                <w:lang w:eastAsia="uk-UA"/>
              </w:rPr>
            </w:pPr>
            <w:r>
              <w:rPr>
                <w:rFonts w:ascii="Times New Roman" w:eastAsia="Times New Roman" w:hAnsi="Times New Roman"/>
                <w:b/>
                <w:bCs/>
                <w:color w:val="000000"/>
                <w:sz w:val="20"/>
                <w:szCs w:val="20"/>
                <w:lang w:eastAsia="uk-UA"/>
              </w:rPr>
              <w:t>2019</w:t>
            </w:r>
          </w:p>
        </w:tc>
      </w:tr>
      <w:tr w:rsidR="0013608F" w:rsidTr="00B8060F">
        <w:trPr>
          <w:cantSplit/>
          <w:trHeight w:val="407"/>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color w:val="000000"/>
                <w:lang w:eastAsia="uk-UA"/>
              </w:rPr>
            </w:pPr>
            <w:r>
              <w:rPr>
                <w:rFonts w:ascii="Times New Roman" w:eastAsia="Times New Roman" w:hAnsi="Times New Roman"/>
                <w:color w:val="000000"/>
                <w:lang w:eastAsia="uk-UA"/>
              </w:rPr>
              <w:t>Н4</w:t>
            </w:r>
          </w:p>
        </w:tc>
        <w:tc>
          <w:tcPr>
            <w:tcW w:w="766"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108,77</w:t>
            </w:r>
          </w:p>
        </w:tc>
        <w:tc>
          <w:tcPr>
            <w:tcW w:w="766"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91,47</w:t>
            </w:r>
          </w:p>
        </w:tc>
        <w:tc>
          <w:tcPr>
            <w:tcW w:w="730"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-17,3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r>
      <w:tr w:rsidR="0013608F" w:rsidTr="00B8060F">
        <w:trPr>
          <w:cantSplit/>
          <w:trHeight w:val="413"/>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color w:val="000000"/>
                <w:lang w:eastAsia="uk-UA"/>
              </w:rPr>
            </w:pPr>
            <w:r>
              <w:rPr>
                <w:rFonts w:ascii="Times New Roman" w:eastAsia="Times New Roman" w:hAnsi="Times New Roman"/>
                <w:color w:val="000000"/>
                <w:lang w:eastAsia="uk-UA"/>
              </w:rPr>
              <w:t>Н5</w:t>
            </w:r>
          </w:p>
        </w:tc>
        <w:tc>
          <w:tcPr>
            <w:tcW w:w="766"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120,35</w:t>
            </w:r>
          </w:p>
        </w:tc>
        <w:tc>
          <w:tcPr>
            <w:tcW w:w="766"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84,44</w:t>
            </w:r>
          </w:p>
        </w:tc>
        <w:tc>
          <w:tcPr>
            <w:tcW w:w="73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-35,91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r>
      <w:tr w:rsidR="0013608F" w:rsidTr="00B8060F">
        <w:trPr>
          <w:cantSplit/>
          <w:trHeight w:val="407"/>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color w:val="000000"/>
                <w:lang w:eastAsia="uk-UA"/>
              </w:rPr>
            </w:pPr>
            <w:r>
              <w:rPr>
                <w:rFonts w:ascii="Times New Roman" w:eastAsia="Times New Roman" w:hAnsi="Times New Roman"/>
                <w:color w:val="000000"/>
                <w:lang w:eastAsia="uk-UA"/>
              </w:rPr>
              <w:t>Н6</w:t>
            </w:r>
          </w:p>
        </w:tc>
        <w:tc>
          <w:tcPr>
            <w:tcW w:w="766"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166,92</w:t>
            </w:r>
          </w:p>
        </w:tc>
        <w:tc>
          <w:tcPr>
            <w:tcW w:w="766"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212,58</w:t>
            </w:r>
          </w:p>
        </w:tc>
        <w:tc>
          <w:tcPr>
            <w:tcW w:w="73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189,54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100,25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114,55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45,66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-23,04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-89,29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14,3</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-52,37</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r>
      <w:tr w:rsidR="0013608F" w:rsidTr="00B8060F">
        <w:trPr>
          <w:cantSplit/>
          <w:trHeight w:val="524"/>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color w:val="000000"/>
                <w:lang w:eastAsia="uk-UA"/>
              </w:rPr>
            </w:pPr>
            <w:proofErr w:type="spellStart"/>
            <w:r>
              <w:rPr>
                <w:rFonts w:ascii="Times New Roman" w:eastAsia="Times New Roman" w:hAnsi="Times New Roman"/>
                <w:color w:val="000000"/>
                <w:lang w:eastAsia="uk-UA"/>
              </w:rPr>
              <w:t>LСRвв</w:t>
            </w:r>
            <w:proofErr w:type="spellEnd"/>
          </w:p>
        </w:tc>
        <w:tc>
          <w:tcPr>
            <w:tcW w:w="766"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766"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73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482,45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447,3</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304,7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-35,15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-142,6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b/>
                <w:bCs/>
                <w:color w:val="000000"/>
                <w:sz w:val="18"/>
                <w:szCs w:val="18"/>
                <w:lang w:eastAsia="uk-UA"/>
              </w:rPr>
            </w:pPr>
            <w:r>
              <w:rPr>
                <w:rFonts w:ascii="Times New Roman" w:eastAsia="Times New Roman" w:hAnsi="Times New Roman"/>
                <w:b/>
                <w:bCs/>
                <w:color w:val="000000"/>
                <w:sz w:val="18"/>
                <w:szCs w:val="18"/>
                <w:lang w:eastAsia="uk-UA"/>
              </w:rPr>
              <w:t>-</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-177,75</w:t>
            </w:r>
          </w:p>
        </w:tc>
      </w:tr>
      <w:tr w:rsidR="0013608F" w:rsidTr="00B8060F">
        <w:trPr>
          <w:cantSplit/>
          <w:trHeight w:val="319"/>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color w:val="000000"/>
                <w:lang w:eastAsia="uk-UA"/>
              </w:rPr>
            </w:pPr>
            <w:proofErr w:type="spellStart"/>
            <w:r>
              <w:rPr>
                <w:rFonts w:ascii="Times New Roman" w:eastAsia="Times New Roman" w:hAnsi="Times New Roman"/>
                <w:color w:val="000000"/>
                <w:lang w:eastAsia="uk-UA"/>
              </w:rPr>
              <w:t>LСRів</w:t>
            </w:r>
            <w:proofErr w:type="spellEnd"/>
          </w:p>
        </w:tc>
        <w:tc>
          <w:tcPr>
            <w:tcW w:w="766"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766"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73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279,97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377,08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207,07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97,11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-170,01</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b/>
                <w:bCs/>
                <w:color w:val="000000"/>
                <w:sz w:val="18"/>
                <w:szCs w:val="18"/>
                <w:lang w:eastAsia="uk-UA"/>
              </w:rPr>
            </w:pPr>
            <w:r>
              <w:rPr>
                <w:rFonts w:ascii="Times New Roman" w:eastAsia="Times New Roman" w:hAnsi="Times New Roman"/>
                <w:b/>
                <w:bCs/>
                <w:color w:val="000000"/>
                <w:sz w:val="18"/>
                <w:szCs w:val="18"/>
                <w:lang w:eastAsia="uk-UA"/>
              </w:rPr>
              <w:t>-</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-72,9</w:t>
            </w:r>
          </w:p>
        </w:tc>
      </w:tr>
      <w:tr w:rsidR="0013608F" w:rsidTr="00B8060F">
        <w:trPr>
          <w:cantSplit/>
          <w:trHeight w:val="367"/>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13608F" w:rsidRDefault="0013608F">
            <w:pPr>
              <w:spacing w:after="0" w:line="240" w:lineRule="auto"/>
              <w:jc w:val="center"/>
              <w:rPr>
                <w:rFonts w:ascii="Times New Roman" w:eastAsia="Times New Roman" w:hAnsi="Times New Roman"/>
                <w:color w:val="000000"/>
                <w:lang w:eastAsia="uk-UA"/>
              </w:rPr>
            </w:pPr>
            <w:r>
              <w:rPr>
                <w:rFonts w:ascii="Times New Roman" w:eastAsia="Times New Roman" w:hAnsi="Times New Roman"/>
                <w:color w:val="000000"/>
                <w:lang w:eastAsia="uk-UA"/>
              </w:rPr>
              <w:t>NSFR</w:t>
            </w:r>
          </w:p>
        </w:tc>
        <w:tc>
          <w:tcPr>
            <w:tcW w:w="766"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766"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73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109,97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c>
          <w:tcPr>
            <w:tcW w:w="843" w:type="dxa"/>
            <w:tcBorders>
              <w:top w:val="single" w:sz="4" w:space="0" w:color="auto"/>
              <w:left w:val="single" w:sz="4" w:space="0" w:color="auto"/>
              <w:bottom w:val="single" w:sz="4" w:space="0" w:color="auto"/>
              <w:right w:val="single" w:sz="4" w:space="0" w:color="auto"/>
            </w:tcBorders>
            <w:noWrap/>
            <w:vAlign w:val="center"/>
            <w:hideMark/>
          </w:tcPr>
          <w:p w:rsidR="0013608F" w:rsidRDefault="0013608F">
            <w:pPr>
              <w:spacing w:after="0" w:line="240" w:lineRule="auto"/>
              <w:jc w:val="center"/>
              <w:rPr>
                <w:rFonts w:ascii="Times New Roman" w:eastAsia="Times New Roman" w:hAnsi="Times New Roman"/>
                <w:color w:val="000000"/>
                <w:sz w:val="18"/>
                <w:szCs w:val="18"/>
                <w:lang w:eastAsia="uk-UA"/>
              </w:rPr>
            </w:pPr>
            <w:r>
              <w:rPr>
                <w:rFonts w:ascii="Times New Roman" w:eastAsia="Times New Roman" w:hAnsi="Times New Roman"/>
                <w:color w:val="000000"/>
                <w:sz w:val="18"/>
                <w:szCs w:val="18"/>
                <w:lang w:eastAsia="uk-UA"/>
              </w:rPr>
              <w:t>-</w:t>
            </w:r>
          </w:p>
        </w:tc>
      </w:tr>
    </w:tbl>
    <w:p w:rsidR="00B8060F" w:rsidRDefault="00B8060F" w:rsidP="00B8060F">
      <w:pPr>
        <w:spacing w:before="240" w:after="0" w:line="360" w:lineRule="auto"/>
        <w:ind w:firstLine="709"/>
        <w:jc w:val="both"/>
        <w:rPr>
          <w:rFonts w:ascii="Times New Roman" w:hAnsi="Times New Roman"/>
          <w:sz w:val="28"/>
          <w:szCs w:val="28"/>
        </w:rPr>
      </w:pPr>
      <w:r>
        <w:rPr>
          <w:rFonts w:ascii="Times New Roman" w:hAnsi="Times New Roman"/>
          <w:sz w:val="28"/>
          <w:szCs w:val="28"/>
        </w:rPr>
        <w:t xml:space="preserve">Так норматив миттєвої ліквідності (Н4) в 2017 році склав 108,77 %, а в 2018 році значення нормативу зменшилося на 17,3 </w:t>
      </w:r>
      <w:proofErr w:type="spellStart"/>
      <w:r>
        <w:rPr>
          <w:rFonts w:ascii="Times New Roman" w:hAnsi="Times New Roman"/>
          <w:sz w:val="28"/>
          <w:szCs w:val="28"/>
        </w:rPr>
        <w:t>в.п</w:t>
      </w:r>
      <w:proofErr w:type="spellEnd"/>
      <w:r>
        <w:rPr>
          <w:rFonts w:ascii="Times New Roman" w:hAnsi="Times New Roman"/>
          <w:sz w:val="28"/>
          <w:szCs w:val="28"/>
        </w:rPr>
        <w:t xml:space="preserve">. та склало 91,47 %. За нормативом поточної ліквідності (Н5) банку, протягом 2017-2018 років, демонструють виконання встановлених вимог НБУ зі значним перевищенням мінімально допустимих меж. Проте норматив зменшився на 35,91 </w:t>
      </w:r>
      <w:proofErr w:type="spellStart"/>
      <w:r>
        <w:rPr>
          <w:rFonts w:ascii="Times New Roman" w:hAnsi="Times New Roman"/>
          <w:sz w:val="28"/>
          <w:szCs w:val="28"/>
        </w:rPr>
        <w:t>в.п</w:t>
      </w:r>
      <w:proofErr w:type="spellEnd"/>
      <w:r>
        <w:rPr>
          <w:rFonts w:ascii="Times New Roman" w:hAnsi="Times New Roman"/>
          <w:sz w:val="28"/>
          <w:szCs w:val="28"/>
        </w:rPr>
        <w:t xml:space="preserve">. в 2018 році, в порівнянні з 2017 роком та склав 84,44 %. </w:t>
      </w:r>
    </w:p>
    <w:p w:rsidR="00B8060F" w:rsidRDefault="00B8060F" w:rsidP="00B8060F">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Норматив короткострокової ліквідності (Н6) протягом 2017-2021 років має тенденцію до зниження з 166,92 % до 114,55 % (див. </w:t>
      </w:r>
      <w:r w:rsidR="00F82C2E">
        <w:rPr>
          <w:rFonts w:ascii="Times New Roman" w:hAnsi="Times New Roman"/>
          <w:sz w:val="28"/>
          <w:szCs w:val="28"/>
        </w:rPr>
        <w:t>рис. 2.9</w:t>
      </w:r>
      <w:r w:rsidRPr="005B0440">
        <w:rPr>
          <w:rFonts w:ascii="Times New Roman" w:hAnsi="Times New Roman"/>
          <w:sz w:val="28"/>
          <w:szCs w:val="28"/>
        </w:rPr>
        <w:t>),</w:t>
      </w:r>
      <w:r>
        <w:rPr>
          <w:rFonts w:ascii="Times New Roman" w:hAnsi="Times New Roman"/>
          <w:sz w:val="28"/>
          <w:szCs w:val="28"/>
        </w:rPr>
        <w:t xml:space="preserve"> але перевищує нормативне значення в середньому на 97 %, що говорить про те, що банк в умовах нестабільності має достатній запас ліквідності для погашення зобов’язань протягом одного року. </w:t>
      </w:r>
    </w:p>
    <w:p w:rsidR="00EE7D58" w:rsidRDefault="00EE7D58">
      <w:pPr>
        <w:spacing w:line="259" w:lineRule="auto"/>
        <w:rPr>
          <w:rFonts w:ascii="Times New Roman" w:hAnsi="Times New Roman"/>
          <w:sz w:val="28"/>
          <w:szCs w:val="28"/>
        </w:rPr>
      </w:pPr>
      <w:r>
        <w:rPr>
          <w:rFonts w:ascii="Times New Roman" w:hAnsi="Times New Roman"/>
          <w:sz w:val="28"/>
          <w:szCs w:val="28"/>
        </w:rPr>
        <w:br w:type="page"/>
      </w:r>
    </w:p>
    <w:p w:rsidR="00D070C3" w:rsidRDefault="005B0440" w:rsidP="005B0440">
      <w:pPr>
        <w:spacing w:after="0" w:line="367" w:lineRule="auto"/>
        <w:ind w:firstLine="709"/>
        <w:jc w:val="center"/>
        <w:rPr>
          <w:rFonts w:ascii="Times New Roman" w:hAnsi="Times New Roman"/>
          <w:sz w:val="28"/>
          <w:szCs w:val="28"/>
        </w:rPr>
      </w:pPr>
      <w:r>
        <w:rPr>
          <w:noProof/>
          <w:lang w:eastAsia="uk-UA"/>
        </w:rPr>
        <w:lastRenderedPageBreak/>
        <w:drawing>
          <wp:inline distT="0" distB="0" distL="0" distR="0" wp14:anchorId="60F3D806" wp14:editId="4A811D93">
            <wp:extent cx="4572000" cy="2026920"/>
            <wp:effectExtent l="0" t="0" r="0" b="1143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0440" w:rsidRDefault="005B0440" w:rsidP="005B0440">
      <w:pPr>
        <w:spacing w:after="0" w:line="360" w:lineRule="auto"/>
        <w:ind w:firstLine="709"/>
        <w:jc w:val="center"/>
        <w:rPr>
          <w:rFonts w:ascii="Times New Roman" w:hAnsi="Times New Roman"/>
          <w:sz w:val="28"/>
          <w:szCs w:val="28"/>
        </w:rPr>
      </w:pPr>
      <w:r w:rsidRPr="005B0440">
        <w:rPr>
          <w:rFonts w:ascii="Times New Roman" w:hAnsi="Times New Roman"/>
          <w:sz w:val="28"/>
          <w:szCs w:val="28"/>
        </w:rPr>
        <w:t>Рис. 2.9. Динаміка</w:t>
      </w:r>
      <w:r>
        <w:rPr>
          <w:rFonts w:ascii="Times New Roman" w:hAnsi="Times New Roman"/>
          <w:sz w:val="28"/>
          <w:szCs w:val="28"/>
        </w:rPr>
        <w:t xml:space="preserve"> нормативу короткострокової ліквідності (Н6) АТ «Ідея Банк» протягом 2017-2021 років</w:t>
      </w:r>
    </w:p>
    <w:p w:rsidR="00C15AEB" w:rsidRDefault="00C15AEB" w:rsidP="00C15AEB">
      <w:pPr>
        <w:spacing w:before="120" w:after="0" w:line="360" w:lineRule="auto"/>
        <w:ind w:firstLine="709"/>
        <w:jc w:val="both"/>
        <w:rPr>
          <w:rFonts w:ascii="Times New Roman" w:hAnsi="Times New Roman"/>
          <w:sz w:val="28"/>
          <w:szCs w:val="28"/>
        </w:rPr>
      </w:pPr>
      <w:r>
        <w:rPr>
          <w:rFonts w:ascii="Times New Roman" w:hAnsi="Times New Roman"/>
          <w:sz w:val="28"/>
          <w:szCs w:val="28"/>
        </w:rPr>
        <w:t>З вересня 2019 року нормативи поточної та миттєвої ліквідності банком не розраховують. Це зумовлено тим, що НБУ запровадив новий показник для розрахунку ліквідності банку – коефіцієнт покриття ліквідністю (LCR). Вважається, що такий коефіцієнт є жорсткішим, аніж нормативи миттєвої та поточної ліквідності. Отже протягом 2019-2021 років, нормативи покриття ліквідності перевищують нормативне значення, встановлене НБУ, більш як у 4 рази, окрім у 2021 році, та мають тенденцію до зниження (</w:t>
      </w:r>
      <w:r w:rsidR="00F82C2E">
        <w:rPr>
          <w:rFonts w:ascii="Times New Roman" w:hAnsi="Times New Roman"/>
          <w:sz w:val="28"/>
          <w:szCs w:val="28"/>
        </w:rPr>
        <w:t>див. рис. 2.10</w:t>
      </w:r>
      <w:r w:rsidRPr="00C15AEB">
        <w:rPr>
          <w:rFonts w:ascii="Times New Roman" w:hAnsi="Times New Roman"/>
          <w:sz w:val="28"/>
          <w:szCs w:val="28"/>
        </w:rPr>
        <w:t>).</w:t>
      </w:r>
      <w:r>
        <w:rPr>
          <w:rFonts w:ascii="Times New Roman" w:hAnsi="Times New Roman"/>
          <w:sz w:val="28"/>
          <w:szCs w:val="28"/>
        </w:rPr>
        <w:t xml:space="preserve"> </w:t>
      </w:r>
    </w:p>
    <w:p w:rsidR="00C15AEB" w:rsidRDefault="00C15AEB" w:rsidP="00C15AEB">
      <w:pPr>
        <w:spacing w:before="120" w:after="0" w:line="360" w:lineRule="auto"/>
        <w:ind w:firstLine="709"/>
        <w:jc w:val="center"/>
        <w:rPr>
          <w:rFonts w:ascii="Times New Roman" w:hAnsi="Times New Roman"/>
          <w:sz w:val="28"/>
          <w:szCs w:val="28"/>
        </w:rPr>
      </w:pPr>
      <w:r>
        <w:rPr>
          <w:noProof/>
          <w:lang w:eastAsia="uk-UA"/>
        </w:rPr>
        <w:drawing>
          <wp:inline distT="0" distB="0" distL="0" distR="0" wp14:anchorId="25D4B067" wp14:editId="4824EA1B">
            <wp:extent cx="4587240" cy="2484120"/>
            <wp:effectExtent l="0" t="0" r="3810" b="11430"/>
            <wp:docPr id="246"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5AEB" w:rsidRDefault="00C15AEB" w:rsidP="00C15AEB">
      <w:pPr>
        <w:spacing w:before="120" w:after="0" w:line="360" w:lineRule="auto"/>
        <w:ind w:firstLine="709"/>
        <w:jc w:val="center"/>
        <w:rPr>
          <w:rFonts w:ascii="Times New Roman" w:hAnsi="Times New Roman"/>
          <w:sz w:val="28"/>
          <w:szCs w:val="28"/>
        </w:rPr>
      </w:pPr>
      <w:r>
        <w:rPr>
          <w:rFonts w:ascii="Times New Roman" w:hAnsi="Times New Roman"/>
          <w:sz w:val="28"/>
          <w:szCs w:val="28"/>
        </w:rPr>
        <w:t>Рис. 2.10. Динаміка коефіцієнту покриття ліквідністю (LCR) АТ «Ідея Банк» протягом 2019-2021 років</w:t>
      </w:r>
    </w:p>
    <w:p w:rsidR="009656A5" w:rsidRDefault="009656A5" w:rsidP="009656A5">
      <w:pPr>
        <w:spacing w:before="120" w:after="0" w:line="360" w:lineRule="auto"/>
        <w:ind w:firstLine="709"/>
        <w:jc w:val="both"/>
        <w:rPr>
          <w:rFonts w:ascii="Times New Roman" w:hAnsi="Times New Roman"/>
          <w:sz w:val="28"/>
          <w:szCs w:val="28"/>
        </w:rPr>
      </w:pPr>
      <w:r>
        <w:rPr>
          <w:rFonts w:ascii="Times New Roman" w:hAnsi="Times New Roman"/>
          <w:sz w:val="28"/>
          <w:szCs w:val="28"/>
        </w:rPr>
        <w:t xml:space="preserve">Так у 2019 році норматив коефіцієнта покриття ліквідності за всіма валютами склав 482,45 %. В 2020 році значення нормативу зменшилося на 35,15 </w:t>
      </w:r>
      <w:proofErr w:type="spellStart"/>
      <w:r>
        <w:rPr>
          <w:rFonts w:ascii="Times New Roman" w:hAnsi="Times New Roman"/>
          <w:sz w:val="28"/>
          <w:szCs w:val="28"/>
        </w:rPr>
        <w:t>в.п</w:t>
      </w:r>
      <w:proofErr w:type="spellEnd"/>
      <w:r>
        <w:rPr>
          <w:rFonts w:ascii="Times New Roman" w:hAnsi="Times New Roman"/>
          <w:sz w:val="28"/>
          <w:szCs w:val="28"/>
        </w:rPr>
        <w:t xml:space="preserve">. та склав 447,3 %, а у 2021 році зменшився на 142,6 </w:t>
      </w:r>
      <w:proofErr w:type="spellStart"/>
      <w:r>
        <w:rPr>
          <w:rFonts w:ascii="Times New Roman" w:hAnsi="Times New Roman"/>
          <w:sz w:val="28"/>
          <w:szCs w:val="28"/>
        </w:rPr>
        <w:t>в.п</w:t>
      </w:r>
      <w:proofErr w:type="spellEnd"/>
      <w:r>
        <w:rPr>
          <w:rFonts w:ascii="Times New Roman" w:hAnsi="Times New Roman"/>
          <w:sz w:val="28"/>
          <w:szCs w:val="28"/>
        </w:rPr>
        <w:t xml:space="preserve">. та склав 304,7 %. Норматив коефіцієнта покриття ліквідністю в іноземній валюті в 2019 році </w:t>
      </w:r>
      <w:r>
        <w:rPr>
          <w:rFonts w:ascii="Times New Roman" w:hAnsi="Times New Roman"/>
          <w:sz w:val="28"/>
          <w:szCs w:val="28"/>
        </w:rPr>
        <w:lastRenderedPageBreak/>
        <w:t xml:space="preserve">становив 279,97 %, в 2020 році – 377,08 %, що на 97,11 </w:t>
      </w:r>
      <w:proofErr w:type="spellStart"/>
      <w:r>
        <w:rPr>
          <w:rFonts w:ascii="Times New Roman" w:hAnsi="Times New Roman"/>
          <w:sz w:val="28"/>
          <w:szCs w:val="28"/>
        </w:rPr>
        <w:t>в.п</w:t>
      </w:r>
      <w:proofErr w:type="spellEnd"/>
      <w:r>
        <w:rPr>
          <w:rFonts w:ascii="Times New Roman" w:hAnsi="Times New Roman"/>
          <w:sz w:val="28"/>
          <w:szCs w:val="28"/>
        </w:rPr>
        <w:t xml:space="preserve">. більше ніж у 2019 році; а у 2021 році 207,07 %, що на 170,01 </w:t>
      </w:r>
      <w:proofErr w:type="spellStart"/>
      <w:r>
        <w:rPr>
          <w:rFonts w:ascii="Times New Roman" w:hAnsi="Times New Roman"/>
          <w:sz w:val="28"/>
          <w:szCs w:val="28"/>
        </w:rPr>
        <w:t>в.п</w:t>
      </w:r>
      <w:proofErr w:type="spellEnd"/>
      <w:r>
        <w:rPr>
          <w:rFonts w:ascii="Times New Roman" w:hAnsi="Times New Roman"/>
          <w:sz w:val="28"/>
          <w:szCs w:val="28"/>
        </w:rPr>
        <w:t>. ніж у попередньому. Загалом норматив коефіцієнта покриття ліквідністю в іноземній валюті за період 2019-2021 роки мав тенденцію до зниження.</w:t>
      </w:r>
    </w:p>
    <w:p w:rsidR="009656A5" w:rsidRDefault="009656A5" w:rsidP="009656A5">
      <w:pPr>
        <w:spacing w:after="0" w:line="360" w:lineRule="auto"/>
        <w:ind w:firstLine="709"/>
        <w:jc w:val="both"/>
        <w:rPr>
          <w:rFonts w:ascii="Times New Roman" w:hAnsi="Times New Roman"/>
          <w:sz w:val="28"/>
          <w:szCs w:val="28"/>
        </w:rPr>
      </w:pPr>
      <w:r>
        <w:rPr>
          <w:rFonts w:ascii="Times New Roman" w:hAnsi="Times New Roman"/>
          <w:sz w:val="28"/>
          <w:szCs w:val="28"/>
        </w:rPr>
        <w:t>Коефіцієнт чистого стабільного фінансування або NSFR, що відображає достатність довгострокової ліквідності у банку у 2021 році становив 109,97 %.</w:t>
      </w:r>
    </w:p>
    <w:p w:rsidR="009656A5" w:rsidRDefault="009656A5" w:rsidP="009656A5">
      <w:pPr>
        <w:spacing w:after="0" w:line="360" w:lineRule="auto"/>
        <w:ind w:firstLine="709"/>
        <w:jc w:val="both"/>
        <w:rPr>
          <w:rFonts w:ascii="Times New Roman" w:hAnsi="Times New Roman"/>
          <w:sz w:val="28"/>
          <w:szCs w:val="28"/>
        </w:rPr>
      </w:pPr>
      <w:r>
        <w:rPr>
          <w:rFonts w:ascii="Times New Roman" w:hAnsi="Times New Roman"/>
          <w:sz w:val="28"/>
          <w:szCs w:val="28"/>
        </w:rPr>
        <w:t>Керівництво АТ «Ідея Банк» постійно здійснює оцінку ризику ліквідності шляхом виявлення і моніторингу змін у фінансуванні, необхідному для підтримання ліквідності на рівні, передбаченому вимогами НБУ. Базуючись на результатах проведеного аналізу, доцільно констатувати, що загалом в 2017-2021 роках, АТ «Ідея Банк» виконував встановлені НБУ нормативи ліквідності зі значним їх перевищенням. Проте майже за всіма нормативами ліквідності простежується чітка тенденція до зменшення.</w:t>
      </w:r>
    </w:p>
    <w:p w:rsidR="00042D5E" w:rsidRDefault="00042D5E" w:rsidP="00042D5E">
      <w:pPr>
        <w:spacing w:after="0" w:line="360" w:lineRule="auto"/>
        <w:ind w:firstLine="709"/>
        <w:jc w:val="both"/>
        <w:rPr>
          <w:rFonts w:ascii="Times New Roman" w:hAnsi="Times New Roman"/>
          <w:sz w:val="28"/>
          <w:szCs w:val="28"/>
        </w:rPr>
      </w:pPr>
      <w:r w:rsidRPr="00042D5E">
        <w:rPr>
          <w:rFonts w:ascii="Times New Roman" w:hAnsi="Times New Roman"/>
          <w:sz w:val="28"/>
          <w:szCs w:val="28"/>
        </w:rPr>
        <w:t>Окрім нормативів, які встановлює НБУ, для оцінки та ефективного управління ліквідністю АТ «Ідея Банк» доцільно застосовувати допоміжні показники. В економічній теорії показники ліквідності</w:t>
      </w:r>
      <w:r>
        <w:rPr>
          <w:rFonts w:ascii="Times New Roman" w:hAnsi="Times New Roman"/>
          <w:sz w:val="28"/>
          <w:szCs w:val="28"/>
        </w:rPr>
        <w:t xml:space="preserve"> банку прийнято розраховувати як відношення різних статей активів балансу до всієї суми чи до визначених статей пасивів, або навпаки, пасивів до активів [40, с. 54].</w:t>
      </w:r>
    </w:p>
    <w:p w:rsidR="00042D5E" w:rsidRDefault="00042D5E" w:rsidP="00042D5E">
      <w:pPr>
        <w:spacing w:after="0" w:line="360" w:lineRule="auto"/>
        <w:ind w:firstLine="709"/>
        <w:jc w:val="both"/>
        <w:rPr>
          <w:rFonts w:ascii="Times New Roman" w:hAnsi="Times New Roman"/>
          <w:sz w:val="28"/>
          <w:szCs w:val="28"/>
        </w:rPr>
      </w:pPr>
      <w:r>
        <w:rPr>
          <w:rFonts w:ascii="Times New Roman" w:hAnsi="Times New Roman"/>
          <w:sz w:val="28"/>
          <w:szCs w:val="28"/>
        </w:rPr>
        <w:t>Розглянемо наступні показники оцінки ліквідності банк</w:t>
      </w:r>
      <w:r w:rsidR="00893A22">
        <w:rPr>
          <w:rFonts w:ascii="Times New Roman" w:hAnsi="Times New Roman"/>
          <w:sz w:val="28"/>
          <w:szCs w:val="28"/>
        </w:rPr>
        <w:t>у, які допоможуть ефективному у</w:t>
      </w:r>
      <w:r>
        <w:rPr>
          <w:rFonts w:ascii="Times New Roman" w:hAnsi="Times New Roman"/>
          <w:sz w:val="28"/>
          <w:szCs w:val="28"/>
        </w:rPr>
        <w:t xml:space="preserve">правлінню ліквідності </w:t>
      </w:r>
      <w:r w:rsidR="00893A22" w:rsidRPr="00893A22">
        <w:rPr>
          <w:rFonts w:ascii="Times New Roman" w:hAnsi="Times New Roman"/>
          <w:sz w:val="28"/>
          <w:szCs w:val="28"/>
        </w:rPr>
        <w:t xml:space="preserve">АТ «Ідея Банк» </w:t>
      </w:r>
      <w:r>
        <w:rPr>
          <w:rFonts w:ascii="Times New Roman" w:hAnsi="Times New Roman"/>
          <w:sz w:val="28"/>
          <w:szCs w:val="28"/>
        </w:rPr>
        <w:t>(</w:t>
      </w:r>
      <w:r w:rsidR="00BD01A7">
        <w:rPr>
          <w:rFonts w:ascii="Times New Roman" w:hAnsi="Times New Roman"/>
          <w:sz w:val="28"/>
          <w:szCs w:val="28"/>
        </w:rPr>
        <w:t>див. табл. 2.4</w:t>
      </w:r>
      <w:r w:rsidRPr="00042D5E">
        <w:rPr>
          <w:rFonts w:ascii="Times New Roman" w:hAnsi="Times New Roman"/>
          <w:sz w:val="28"/>
          <w:szCs w:val="28"/>
        </w:rPr>
        <w:t>).</w:t>
      </w:r>
    </w:p>
    <w:p w:rsidR="00591578" w:rsidRDefault="00472253" w:rsidP="00042D5E">
      <w:pPr>
        <w:spacing w:after="0" w:line="360" w:lineRule="auto"/>
        <w:ind w:firstLine="709"/>
        <w:jc w:val="both"/>
        <w:rPr>
          <w:rFonts w:ascii="Times New Roman" w:hAnsi="Times New Roman"/>
          <w:sz w:val="28"/>
          <w:szCs w:val="28"/>
          <w:highlight w:val="yellow"/>
        </w:rPr>
      </w:pPr>
      <w:r>
        <w:rPr>
          <w:rFonts w:ascii="Times New Roman" w:hAnsi="Times New Roman"/>
          <w:sz w:val="28"/>
          <w:szCs w:val="28"/>
        </w:rPr>
        <w:t>Як вбачається з наведеного аналізу додаткових показників ліквідності Банку за період з 2017 по 2021 роки, розподіл показників та їх нормативних значень дещо відрізняється від виконання нормативів, які встановлені НБУ, та більшість з них не виконуються.</w:t>
      </w:r>
    </w:p>
    <w:p w:rsidR="00591578" w:rsidRPr="00674A36" w:rsidRDefault="00674A36" w:rsidP="00674A36">
      <w:pPr>
        <w:spacing w:after="0" w:line="360" w:lineRule="auto"/>
        <w:ind w:firstLine="709"/>
        <w:jc w:val="both"/>
        <w:rPr>
          <w:rFonts w:ascii="Times New Roman" w:hAnsi="Times New Roman"/>
          <w:sz w:val="28"/>
          <w:szCs w:val="28"/>
        </w:rPr>
      </w:pPr>
      <w:r w:rsidRPr="00674A36">
        <w:rPr>
          <w:rFonts w:ascii="Times New Roman" w:hAnsi="Times New Roman"/>
          <w:sz w:val="28"/>
          <w:szCs w:val="28"/>
        </w:rPr>
        <w:t>Коефіцієнт</w:t>
      </w:r>
      <w:r w:rsidR="00033122" w:rsidRPr="00674A36">
        <w:rPr>
          <w:rFonts w:ascii="Times New Roman" w:hAnsi="Times New Roman"/>
          <w:sz w:val="28"/>
          <w:szCs w:val="28"/>
        </w:rPr>
        <w:t xml:space="preserve"> загальної ліквідності на протязі періоду, який досліджується</w:t>
      </w:r>
      <w:r w:rsidRPr="00674A36">
        <w:rPr>
          <w:rFonts w:ascii="Times New Roman" w:hAnsi="Times New Roman"/>
          <w:sz w:val="28"/>
          <w:szCs w:val="28"/>
        </w:rPr>
        <w:t xml:space="preserve">, має чітку тенденцію до збільшення та </w:t>
      </w:r>
      <w:r w:rsidR="009B4B06" w:rsidRPr="009B4B06">
        <w:rPr>
          <w:rFonts w:ascii="Times New Roman" w:hAnsi="Times New Roman"/>
          <w:sz w:val="28"/>
          <w:szCs w:val="28"/>
        </w:rPr>
        <w:t>знаходяться в межах нормативного значення</w:t>
      </w:r>
      <w:r w:rsidRPr="00674A36">
        <w:rPr>
          <w:rFonts w:ascii="Times New Roman" w:hAnsi="Times New Roman"/>
          <w:sz w:val="28"/>
          <w:szCs w:val="28"/>
        </w:rPr>
        <w:t>, тобто знаходиться на нормальному рівні.</w:t>
      </w:r>
      <w:r w:rsidR="00033122" w:rsidRPr="00674A36">
        <w:rPr>
          <w:rFonts w:ascii="Times New Roman" w:hAnsi="Times New Roman"/>
          <w:sz w:val="28"/>
          <w:szCs w:val="28"/>
        </w:rPr>
        <w:t xml:space="preserve"> </w:t>
      </w:r>
      <w:r>
        <w:rPr>
          <w:rFonts w:ascii="Times New Roman" w:hAnsi="Times New Roman"/>
          <w:sz w:val="28"/>
          <w:szCs w:val="28"/>
        </w:rPr>
        <w:t>Чого не можна стверджувати щодо к</w:t>
      </w:r>
      <w:r w:rsidRPr="00674A36">
        <w:rPr>
          <w:rFonts w:ascii="Times New Roman" w:hAnsi="Times New Roman"/>
          <w:sz w:val="28"/>
          <w:szCs w:val="28"/>
        </w:rPr>
        <w:t>оефіцієнт</w:t>
      </w:r>
      <w:r>
        <w:rPr>
          <w:rFonts w:ascii="Times New Roman" w:hAnsi="Times New Roman"/>
          <w:sz w:val="28"/>
          <w:szCs w:val="28"/>
        </w:rPr>
        <w:t xml:space="preserve">у співвідношення </w:t>
      </w:r>
      <w:r w:rsidRPr="00674A36">
        <w:rPr>
          <w:rFonts w:ascii="Times New Roman" w:hAnsi="Times New Roman"/>
          <w:sz w:val="28"/>
          <w:szCs w:val="28"/>
        </w:rPr>
        <w:t>високоліквідних активів до робочих активів банку</w:t>
      </w:r>
      <w:r>
        <w:rPr>
          <w:rFonts w:ascii="Times New Roman" w:hAnsi="Times New Roman"/>
          <w:sz w:val="28"/>
          <w:szCs w:val="28"/>
        </w:rPr>
        <w:t>, який має не стабільну динаміку та значно нижче встановленого рівня, при цьому зазначена тенденція спостерігається на протязі 2017-2021 років.</w:t>
      </w:r>
    </w:p>
    <w:p w:rsidR="00591578" w:rsidRDefault="00591578" w:rsidP="00042D5E">
      <w:pPr>
        <w:spacing w:after="0" w:line="360" w:lineRule="auto"/>
        <w:ind w:firstLine="709"/>
        <w:jc w:val="both"/>
        <w:rPr>
          <w:rFonts w:ascii="Times New Roman" w:hAnsi="Times New Roman"/>
          <w:sz w:val="28"/>
          <w:szCs w:val="28"/>
          <w:highlight w:val="yellow"/>
        </w:rPr>
      </w:pPr>
    </w:p>
    <w:p w:rsidR="00591578" w:rsidRDefault="00591578" w:rsidP="009370ED">
      <w:pPr>
        <w:spacing w:after="0" w:line="360" w:lineRule="auto"/>
        <w:jc w:val="both"/>
        <w:rPr>
          <w:rFonts w:ascii="Times New Roman" w:hAnsi="Times New Roman"/>
          <w:sz w:val="28"/>
          <w:szCs w:val="28"/>
          <w:highlight w:val="yellow"/>
        </w:rPr>
        <w:sectPr w:rsidR="00591578" w:rsidSect="00D523D4">
          <w:pgSz w:w="11906" w:h="16838"/>
          <w:pgMar w:top="851" w:right="851" w:bottom="851" w:left="1418" w:header="709" w:footer="709" w:gutter="0"/>
          <w:cols w:space="708"/>
          <w:docGrid w:linePitch="360"/>
        </w:sectPr>
      </w:pPr>
    </w:p>
    <w:p w:rsidR="00591578" w:rsidRDefault="00591578" w:rsidP="009370ED">
      <w:pPr>
        <w:spacing w:after="0" w:line="360" w:lineRule="auto"/>
        <w:jc w:val="both"/>
        <w:rPr>
          <w:rFonts w:ascii="Times New Roman" w:hAnsi="Times New Roman"/>
          <w:sz w:val="28"/>
          <w:szCs w:val="28"/>
          <w:highlight w:val="yellow"/>
        </w:rPr>
      </w:pPr>
    </w:p>
    <w:tbl>
      <w:tblPr>
        <w:tblStyle w:val="3"/>
        <w:tblpPr w:leftFromText="180" w:rightFromText="180" w:vertAnchor="text" w:horzAnchor="margin" w:tblpXSpec="center" w:tblpY="1313"/>
        <w:tblW w:w="14029" w:type="dxa"/>
        <w:tblInd w:w="0" w:type="dxa"/>
        <w:tblLook w:val="04A0" w:firstRow="1" w:lastRow="0" w:firstColumn="1" w:lastColumn="0" w:noHBand="0" w:noVBand="1"/>
      </w:tblPr>
      <w:tblGrid>
        <w:gridCol w:w="2686"/>
        <w:gridCol w:w="1417"/>
        <w:gridCol w:w="1846"/>
        <w:gridCol w:w="3110"/>
        <w:gridCol w:w="991"/>
        <w:gridCol w:w="1002"/>
        <w:gridCol w:w="850"/>
        <w:gridCol w:w="993"/>
        <w:gridCol w:w="1134"/>
      </w:tblGrid>
      <w:tr w:rsidR="00591578" w:rsidRPr="00042D5E" w:rsidTr="00D474B9">
        <w:trPr>
          <w:trHeight w:val="847"/>
        </w:trPr>
        <w:tc>
          <w:tcPr>
            <w:tcW w:w="2686"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240" w:lineRule="auto"/>
              <w:jc w:val="center"/>
              <w:rPr>
                <w:rFonts w:ascii="Times New Roman" w:hAnsi="Times New Roman"/>
                <w:b/>
              </w:rPr>
            </w:pPr>
            <w:r w:rsidRPr="00042D5E">
              <w:rPr>
                <w:rFonts w:ascii="Times New Roman" w:hAnsi="Times New Roman"/>
                <w:b/>
              </w:rPr>
              <w:t>Найменування показника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240" w:lineRule="auto"/>
              <w:jc w:val="center"/>
              <w:rPr>
                <w:rFonts w:ascii="Times New Roman" w:hAnsi="Times New Roman"/>
                <w:b/>
              </w:rPr>
            </w:pPr>
            <w:r w:rsidRPr="00042D5E">
              <w:rPr>
                <w:rFonts w:ascii="Times New Roman" w:hAnsi="Times New Roman"/>
                <w:b/>
              </w:rPr>
              <w:t>Позначення</w:t>
            </w:r>
          </w:p>
        </w:tc>
        <w:tc>
          <w:tcPr>
            <w:tcW w:w="1846"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240" w:lineRule="auto"/>
              <w:jc w:val="center"/>
              <w:rPr>
                <w:rFonts w:ascii="Times New Roman" w:hAnsi="Times New Roman"/>
                <w:b/>
              </w:rPr>
            </w:pPr>
            <w:r w:rsidRPr="00042D5E">
              <w:rPr>
                <w:rFonts w:ascii="Times New Roman" w:hAnsi="Times New Roman"/>
                <w:b/>
              </w:rPr>
              <w:t>Нормативне значення</w:t>
            </w:r>
          </w:p>
        </w:tc>
        <w:tc>
          <w:tcPr>
            <w:tcW w:w="3110"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240" w:lineRule="auto"/>
              <w:jc w:val="center"/>
              <w:rPr>
                <w:rFonts w:ascii="Times New Roman" w:hAnsi="Times New Roman"/>
                <w:b/>
              </w:rPr>
            </w:pPr>
            <w:r w:rsidRPr="00042D5E">
              <w:rPr>
                <w:rFonts w:ascii="Times New Roman" w:hAnsi="Times New Roman"/>
                <w:b/>
              </w:rPr>
              <w:t>Алгоритм розрахунку</w:t>
            </w:r>
          </w:p>
        </w:tc>
        <w:tc>
          <w:tcPr>
            <w:tcW w:w="991" w:type="dxa"/>
            <w:vAlign w:val="center"/>
          </w:tcPr>
          <w:p w:rsidR="00591578" w:rsidRDefault="00591578" w:rsidP="00D2531E">
            <w:pPr>
              <w:spacing w:line="240" w:lineRule="auto"/>
              <w:jc w:val="center"/>
              <w:rPr>
                <w:rFonts w:ascii="Times New Roman" w:eastAsia="Times New Roman" w:hAnsi="Times New Roman"/>
                <w:b/>
                <w:bCs/>
                <w:color w:val="000000"/>
                <w:sz w:val="24"/>
                <w:szCs w:val="24"/>
                <w:lang w:eastAsia="uk-UA"/>
              </w:rPr>
            </w:pPr>
            <w:r>
              <w:rPr>
                <w:rFonts w:ascii="Times New Roman" w:eastAsia="Times New Roman" w:hAnsi="Times New Roman"/>
                <w:b/>
                <w:bCs/>
                <w:color w:val="000000"/>
                <w:sz w:val="24"/>
                <w:szCs w:val="24"/>
                <w:lang w:eastAsia="uk-UA"/>
              </w:rPr>
              <w:t>2017</w:t>
            </w:r>
          </w:p>
        </w:tc>
        <w:tc>
          <w:tcPr>
            <w:tcW w:w="1002" w:type="dxa"/>
            <w:vAlign w:val="center"/>
          </w:tcPr>
          <w:p w:rsidR="00591578" w:rsidRDefault="00591578" w:rsidP="00D2531E">
            <w:pPr>
              <w:spacing w:line="240" w:lineRule="auto"/>
              <w:jc w:val="center"/>
              <w:rPr>
                <w:rFonts w:ascii="Times New Roman" w:eastAsia="Times New Roman" w:hAnsi="Times New Roman"/>
                <w:b/>
                <w:bCs/>
                <w:color w:val="000000"/>
                <w:sz w:val="24"/>
                <w:szCs w:val="24"/>
                <w:lang w:eastAsia="uk-UA"/>
              </w:rPr>
            </w:pPr>
            <w:r>
              <w:rPr>
                <w:rFonts w:ascii="Times New Roman" w:eastAsia="Times New Roman" w:hAnsi="Times New Roman"/>
                <w:b/>
                <w:bCs/>
                <w:color w:val="000000"/>
                <w:sz w:val="24"/>
                <w:szCs w:val="24"/>
                <w:lang w:eastAsia="uk-UA"/>
              </w:rPr>
              <w:t>2018</w:t>
            </w:r>
          </w:p>
        </w:tc>
        <w:tc>
          <w:tcPr>
            <w:tcW w:w="850" w:type="dxa"/>
            <w:vAlign w:val="center"/>
          </w:tcPr>
          <w:p w:rsidR="00591578" w:rsidRDefault="00591578" w:rsidP="00D2531E">
            <w:pPr>
              <w:spacing w:line="240" w:lineRule="auto"/>
              <w:jc w:val="center"/>
              <w:rPr>
                <w:rFonts w:ascii="Times New Roman" w:eastAsia="Times New Roman" w:hAnsi="Times New Roman"/>
                <w:b/>
                <w:bCs/>
                <w:color w:val="000000"/>
                <w:sz w:val="24"/>
                <w:szCs w:val="24"/>
                <w:lang w:eastAsia="uk-UA"/>
              </w:rPr>
            </w:pPr>
            <w:r>
              <w:rPr>
                <w:rFonts w:ascii="Times New Roman" w:eastAsia="Times New Roman" w:hAnsi="Times New Roman"/>
                <w:b/>
                <w:bCs/>
                <w:color w:val="000000"/>
                <w:sz w:val="24"/>
                <w:szCs w:val="24"/>
                <w:lang w:eastAsia="uk-UA"/>
              </w:rPr>
              <w:t>2019</w:t>
            </w:r>
          </w:p>
        </w:tc>
        <w:tc>
          <w:tcPr>
            <w:tcW w:w="993" w:type="dxa"/>
            <w:vAlign w:val="center"/>
          </w:tcPr>
          <w:p w:rsidR="00591578" w:rsidRDefault="00591578" w:rsidP="00D2531E">
            <w:pPr>
              <w:spacing w:line="240" w:lineRule="auto"/>
              <w:jc w:val="center"/>
              <w:rPr>
                <w:rFonts w:ascii="Times New Roman" w:eastAsia="Times New Roman" w:hAnsi="Times New Roman"/>
                <w:b/>
                <w:bCs/>
                <w:color w:val="000000"/>
                <w:sz w:val="24"/>
                <w:szCs w:val="24"/>
                <w:lang w:eastAsia="uk-UA"/>
              </w:rPr>
            </w:pPr>
            <w:r>
              <w:rPr>
                <w:rFonts w:ascii="Times New Roman" w:eastAsia="Times New Roman" w:hAnsi="Times New Roman"/>
                <w:b/>
                <w:bCs/>
                <w:color w:val="000000"/>
                <w:sz w:val="24"/>
                <w:szCs w:val="24"/>
                <w:lang w:eastAsia="uk-UA"/>
              </w:rPr>
              <w:t>2020</w:t>
            </w:r>
          </w:p>
        </w:tc>
        <w:tc>
          <w:tcPr>
            <w:tcW w:w="1134" w:type="dxa"/>
            <w:vAlign w:val="center"/>
          </w:tcPr>
          <w:p w:rsidR="00591578" w:rsidRDefault="00591578" w:rsidP="00D2531E">
            <w:pPr>
              <w:spacing w:line="240" w:lineRule="auto"/>
              <w:jc w:val="center"/>
              <w:rPr>
                <w:rFonts w:ascii="Times New Roman" w:eastAsia="Times New Roman" w:hAnsi="Times New Roman"/>
                <w:b/>
                <w:bCs/>
                <w:color w:val="000000"/>
                <w:sz w:val="24"/>
                <w:szCs w:val="24"/>
                <w:lang w:eastAsia="uk-UA"/>
              </w:rPr>
            </w:pPr>
            <w:r>
              <w:rPr>
                <w:rFonts w:ascii="Times New Roman" w:eastAsia="Times New Roman" w:hAnsi="Times New Roman"/>
                <w:b/>
                <w:bCs/>
                <w:color w:val="000000"/>
                <w:sz w:val="24"/>
                <w:szCs w:val="24"/>
                <w:lang w:eastAsia="uk-UA"/>
              </w:rPr>
              <w:t>2021</w:t>
            </w:r>
          </w:p>
        </w:tc>
      </w:tr>
      <w:tr w:rsidR="00591578" w:rsidRPr="00042D5E" w:rsidTr="00D474B9">
        <w:trPr>
          <w:trHeight w:val="1271"/>
        </w:trPr>
        <w:tc>
          <w:tcPr>
            <w:tcW w:w="2686"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240" w:lineRule="auto"/>
              <w:jc w:val="both"/>
              <w:rPr>
                <w:rFonts w:ascii="Times New Roman" w:hAnsi="Times New Roman"/>
              </w:rPr>
            </w:pPr>
            <w:r w:rsidRPr="00042D5E">
              <w:rPr>
                <w:rFonts w:ascii="Times New Roman" w:hAnsi="Times New Roman"/>
              </w:rPr>
              <w:t xml:space="preserve">Коефіцієнт загальної ліквідності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240" w:lineRule="auto"/>
              <w:jc w:val="center"/>
              <w:rPr>
                <w:rFonts w:ascii="Times New Roman" w:hAnsi="Times New Roman"/>
                <w:sz w:val="28"/>
                <w:szCs w:val="28"/>
              </w:rPr>
            </w:pPr>
            <w:proofErr w:type="spellStart"/>
            <w:r w:rsidRPr="00042D5E">
              <w:rPr>
                <w:rFonts w:ascii="Times New Roman" w:hAnsi="Times New Roman"/>
                <w:sz w:val="28"/>
                <w:szCs w:val="28"/>
              </w:rPr>
              <w:t>К</w:t>
            </w:r>
            <w:r w:rsidRPr="00042D5E">
              <w:rPr>
                <w:rFonts w:ascii="Times New Roman" w:hAnsi="Times New Roman"/>
                <w:sz w:val="28"/>
                <w:szCs w:val="28"/>
                <w:vertAlign w:val="subscript"/>
              </w:rPr>
              <w:t>зл</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240" w:lineRule="auto"/>
              <w:jc w:val="center"/>
              <w:rPr>
                <w:rFonts w:ascii="Times New Roman" w:hAnsi="Times New Roman"/>
              </w:rPr>
            </w:pPr>
            <w:proofErr w:type="spellStart"/>
            <w:r w:rsidRPr="00042D5E">
              <w:rPr>
                <w:rFonts w:ascii="Times New Roman" w:hAnsi="Times New Roman"/>
              </w:rPr>
              <w:t>K</w:t>
            </w:r>
            <w:r w:rsidRPr="00042D5E">
              <w:rPr>
                <w:rFonts w:ascii="Times New Roman" w:hAnsi="Times New Roman"/>
                <w:vertAlign w:val="subscript"/>
              </w:rPr>
              <w:t>зл</w:t>
            </w:r>
            <w:proofErr w:type="spellEnd"/>
            <w:r w:rsidRPr="00042D5E">
              <w:rPr>
                <w:rFonts w:ascii="Times New Roman" w:hAnsi="Times New Roman"/>
              </w:rPr>
              <w:t xml:space="preserve"> &gt; 100 %</w:t>
            </w:r>
          </w:p>
        </w:tc>
        <w:tc>
          <w:tcPr>
            <w:tcW w:w="3110"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240" w:lineRule="auto"/>
              <w:jc w:val="both"/>
              <w:rPr>
                <w:rFonts w:ascii="Times New Roman" w:hAnsi="Times New Roman"/>
              </w:rPr>
            </w:pPr>
            <m:oMathPara>
              <m:oMath>
                <m:r>
                  <w:rPr>
                    <w:rFonts w:ascii="Cambria Math" w:hAnsi="Cambria Math" w:cs="Cambria Math"/>
                  </w:rPr>
                  <m:t>Кзл</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А</m:t>
                    </m:r>
                  </m:num>
                  <m:den>
                    <m:r>
                      <m:rPr>
                        <m:sty m:val="p"/>
                      </m:rPr>
                      <w:rPr>
                        <w:rFonts w:ascii="Cambria Math" w:hAnsi="Cambria Math" w:cs="Cambria Math"/>
                      </w:rPr>
                      <m:t>З</m:t>
                    </m:r>
                  </m:den>
                </m:f>
                <m:r>
                  <w:rPr>
                    <w:rFonts w:ascii="Cambria Math" w:hAnsi="Cambria Math"/>
                  </w:rPr>
                  <m:t>×100%</m:t>
                </m:r>
              </m:oMath>
            </m:oMathPara>
          </w:p>
          <w:p w:rsidR="00591578" w:rsidRPr="00042D5E" w:rsidRDefault="00591578" w:rsidP="00D2531E">
            <w:pPr>
              <w:spacing w:line="240" w:lineRule="auto"/>
              <w:jc w:val="both"/>
              <w:rPr>
                <w:rFonts w:ascii="Times New Roman" w:hAnsi="Times New Roman"/>
              </w:rPr>
            </w:pPr>
            <w:r w:rsidRPr="00042D5E">
              <w:rPr>
                <w:rFonts w:ascii="Times New Roman" w:hAnsi="Times New Roman"/>
              </w:rPr>
              <w:t xml:space="preserve">А — активи банку </w:t>
            </w:r>
          </w:p>
          <w:p w:rsidR="00591578" w:rsidRPr="00042D5E" w:rsidRDefault="00591578" w:rsidP="00D2531E">
            <w:pPr>
              <w:spacing w:line="240" w:lineRule="auto"/>
              <w:jc w:val="both"/>
              <w:rPr>
                <w:rFonts w:ascii="Times New Roman" w:hAnsi="Times New Roman"/>
              </w:rPr>
            </w:pPr>
            <w:r w:rsidRPr="00042D5E">
              <w:rPr>
                <w:rFonts w:ascii="Times New Roman" w:hAnsi="Times New Roman"/>
              </w:rPr>
              <w:t>З — зобов’язання банку</w:t>
            </w:r>
          </w:p>
        </w:tc>
        <w:tc>
          <w:tcPr>
            <w:tcW w:w="991"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113,4</w:t>
            </w:r>
          </w:p>
        </w:tc>
        <w:tc>
          <w:tcPr>
            <w:tcW w:w="1002"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120,59</w:t>
            </w:r>
          </w:p>
        </w:tc>
        <w:tc>
          <w:tcPr>
            <w:tcW w:w="850"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120,7</w:t>
            </w:r>
          </w:p>
        </w:tc>
        <w:tc>
          <w:tcPr>
            <w:tcW w:w="993" w:type="dxa"/>
            <w:vAlign w:val="center"/>
          </w:tcPr>
          <w:p w:rsidR="00591578" w:rsidRDefault="00591578" w:rsidP="00D2531E">
            <w:pPr>
              <w:spacing w:line="240" w:lineRule="auto"/>
              <w:ind w:left="-40" w:firstLine="40"/>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122,46</w:t>
            </w:r>
          </w:p>
        </w:tc>
        <w:tc>
          <w:tcPr>
            <w:tcW w:w="1134"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131,74</w:t>
            </w:r>
          </w:p>
        </w:tc>
      </w:tr>
      <w:tr w:rsidR="00591578" w:rsidRPr="00042D5E" w:rsidTr="00D474B9">
        <w:trPr>
          <w:trHeight w:val="1686"/>
        </w:trPr>
        <w:tc>
          <w:tcPr>
            <w:tcW w:w="2686"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240" w:lineRule="auto"/>
              <w:jc w:val="both"/>
              <w:rPr>
                <w:rFonts w:ascii="Times New Roman" w:hAnsi="Times New Roman"/>
              </w:rPr>
            </w:pPr>
            <w:r w:rsidRPr="00042D5E">
              <w:rPr>
                <w:rFonts w:ascii="Times New Roman" w:hAnsi="Times New Roman"/>
              </w:rPr>
              <w:t>Коефіцієнт співвідношення</w:t>
            </w:r>
          </w:p>
          <w:p w:rsidR="00591578" w:rsidRPr="00042D5E" w:rsidRDefault="00591578" w:rsidP="00D2531E">
            <w:pPr>
              <w:spacing w:line="240" w:lineRule="auto"/>
              <w:jc w:val="both"/>
              <w:rPr>
                <w:rFonts w:ascii="Times New Roman" w:hAnsi="Times New Roman"/>
              </w:rPr>
            </w:pPr>
            <w:r w:rsidRPr="00042D5E">
              <w:rPr>
                <w:rFonts w:ascii="Times New Roman" w:hAnsi="Times New Roman"/>
              </w:rPr>
              <w:t>високоліквідних активів до робочих активів банку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360" w:lineRule="auto"/>
              <w:jc w:val="center"/>
              <w:rPr>
                <w:rFonts w:ascii="Times New Roman" w:hAnsi="Times New Roman"/>
                <w:sz w:val="28"/>
                <w:szCs w:val="28"/>
              </w:rPr>
            </w:pPr>
            <w:proofErr w:type="spellStart"/>
            <w:r w:rsidRPr="00042D5E">
              <w:rPr>
                <w:rFonts w:ascii="Times New Roman" w:hAnsi="Times New Roman"/>
                <w:sz w:val="28"/>
                <w:szCs w:val="28"/>
              </w:rPr>
              <w:t>К</w:t>
            </w:r>
            <w:r w:rsidRPr="00042D5E">
              <w:rPr>
                <w:rFonts w:ascii="Times New Roman" w:hAnsi="Times New Roman"/>
                <w:sz w:val="28"/>
                <w:szCs w:val="28"/>
                <w:vertAlign w:val="subscript"/>
              </w:rPr>
              <w:t>Ав</w:t>
            </w:r>
            <w:proofErr w:type="spellEnd"/>
            <w:r w:rsidRPr="00042D5E">
              <w:rPr>
                <w:rFonts w:ascii="Times New Roman" w:hAnsi="Times New Roman"/>
                <w:sz w:val="28"/>
                <w:szCs w:val="28"/>
                <w:vertAlign w:val="subscript"/>
              </w:rPr>
              <w:t>/Ар</w:t>
            </w:r>
          </w:p>
        </w:tc>
        <w:tc>
          <w:tcPr>
            <w:tcW w:w="1846"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474B9">
            <w:pPr>
              <w:spacing w:line="360" w:lineRule="auto"/>
              <w:jc w:val="center"/>
              <w:rPr>
                <w:rFonts w:ascii="Times New Roman" w:hAnsi="Times New Roman"/>
              </w:rPr>
            </w:pPr>
            <w:proofErr w:type="spellStart"/>
            <w:r w:rsidRPr="00042D5E">
              <w:rPr>
                <w:rFonts w:ascii="Times New Roman" w:hAnsi="Times New Roman"/>
              </w:rPr>
              <w:t>К</w:t>
            </w:r>
            <w:r w:rsidRPr="00042D5E">
              <w:rPr>
                <w:rFonts w:ascii="Times New Roman" w:hAnsi="Times New Roman"/>
                <w:vertAlign w:val="subscript"/>
              </w:rPr>
              <w:t>Ав</w:t>
            </w:r>
            <w:proofErr w:type="spellEnd"/>
            <w:r w:rsidRPr="00042D5E">
              <w:rPr>
                <w:rFonts w:ascii="Times New Roman" w:hAnsi="Times New Roman"/>
                <w:vertAlign w:val="subscript"/>
              </w:rPr>
              <w:t>/Ар</w:t>
            </w:r>
            <w:r w:rsidR="00D474B9">
              <w:rPr>
                <w:rFonts w:ascii="Times New Roman" w:hAnsi="Times New Roman"/>
              </w:rPr>
              <w:t xml:space="preserve"> </w:t>
            </w:r>
            <w:r w:rsidR="00D474B9" w:rsidRPr="00042D5E">
              <w:rPr>
                <w:rFonts w:ascii="Times New Roman" w:hAnsi="Times New Roman"/>
              </w:rPr>
              <w:t>≤</w:t>
            </w:r>
            <w:r w:rsidRPr="00042D5E">
              <w:rPr>
                <w:rFonts w:ascii="Times New Roman" w:hAnsi="Times New Roman"/>
              </w:rPr>
              <w:t xml:space="preserve"> </w:t>
            </w:r>
            <w:r w:rsidR="00D474B9">
              <w:rPr>
                <w:rFonts w:ascii="Times New Roman" w:hAnsi="Times New Roman"/>
              </w:rPr>
              <w:t>70-80</w:t>
            </w:r>
            <w:r w:rsidRPr="00042D5E">
              <w:rPr>
                <w:rFonts w:ascii="Times New Roman" w:hAnsi="Times New Roman"/>
              </w:rPr>
              <w:t>%</w:t>
            </w:r>
          </w:p>
        </w:tc>
        <w:tc>
          <w:tcPr>
            <w:tcW w:w="3110"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8377E3" w:rsidP="00D2531E">
            <w:pPr>
              <w:spacing w:line="360" w:lineRule="auto"/>
              <w:jc w:val="both"/>
              <w:rPr>
                <w:rFonts w:ascii="Cambria Math" w:hAnsi="Cambria Math"/>
                <w:sz w:val="28"/>
                <w:szCs w:val="28"/>
                <w:oMath/>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Ав/Ар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Ав</m:t>
                    </m:r>
                  </m:num>
                  <m:den>
                    <m:r>
                      <w:rPr>
                        <w:rFonts w:ascii="Cambria Math" w:hAnsi="Cambria Math"/>
                        <w:sz w:val="28"/>
                        <w:szCs w:val="28"/>
                      </w:rPr>
                      <m:t>Ар</m:t>
                    </m:r>
                  </m:den>
                </m:f>
                <m:r>
                  <w:rPr>
                    <w:rFonts w:ascii="Cambria Math" w:hAnsi="Cambria Math"/>
                    <w:sz w:val="28"/>
                    <w:szCs w:val="28"/>
                  </w:rPr>
                  <m:t>×100%</m:t>
                </m:r>
              </m:oMath>
            </m:oMathPara>
          </w:p>
          <w:p w:rsidR="00591578" w:rsidRPr="00042D5E" w:rsidRDefault="00591578" w:rsidP="00D2531E">
            <w:pPr>
              <w:spacing w:line="240" w:lineRule="auto"/>
              <w:jc w:val="both"/>
              <w:rPr>
                <w:rFonts w:ascii="Times New Roman" w:hAnsi="Times New Roman"/>
              </w:rPr>
            </w:pPr>
            <w:r w:rsidRPr="00042D5E">
              <w:rPr>
                <w:rFonts w:ascii="Times New Roman" w:hAnsi="Times New Roman"/>
              </w:rPr>
              <w:t>А</w:t>
            </w:r>
            <w:r w:rsidRPr="00042D5E">
              <w:rPr>
                <w:rFonts w:ascii="Times New Roman" w:hAnsi="Times New Roman"/>
                <w:vertAlign w:val="subscript"/>
              </w:rPr>
              <w:t>в</w:t>
            </w:r>
            <w:r w:rsidRPr="00042D5E">
              <w:rPr>
                <w:rFonts w:ascii="Times New Roman" w:hAnsi="Times New Roman"/>
              </w:rPr>
              <w:t xml:space="preserve"> — високоліквідні активи</w:t>
            </w:r>
          </w:p>
          <w:p w:rsidR="00591578" w:rsidRPr="00042D5E" w:rsidRDefault="00591578" w:rsidP="00D2531E">
            <w:pPr>
              <w:spacing w:line="240" w:lineRule="auto"/>
              <w:jc w:val="both"/>
              <w:rPr>
                <w:rFonts w:ascii="Times New Roman" w:hAnsi="Times New Roman"/>
                <w:sz w:val="28"/>
                <w:szCs w:val="28"/>
              </w:rPr>
            </w:pPr>
            <w:r w:rsidRPr="00042D5E">
              <w:rPr>
                <w:rFonts w:ascii="Times New Roman" w:hAnsi="Times New Roman"/>
              </w:rPr>
              <w:t>А</w:t>
            </w:r>
            <w:r w:rsidRPr="00042D5E">
              <w:rPr>
                <w:rFonts w:ascii="Times New Roman" w:hAnsi="Times New Roman"/>
                <w:vertAlign w:val="subscript"/>
              </w:rPr>
              <w:t>р</w:t>
            </w:r>
            <w:r w:rsidRPr="00042D5E">
              <w:rPr>
                <w:rFonts w:ascii="Times New Roman" w:hAnsi="Times New Roman"/>
              </w:rPr>
              <w:t xml:space="preserve"> — робочі активи</w:t>
            </w:r>
          </w:p>
        </w:tc>
        <w:tc>
          <w:tcPr>
            <w:tcW w:w="991"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9,08</w:t>
            </w:r>
          </w:p>
        </w:tc>
        <w:tc>
          <w:tcPr>
            <w:tcW w:w="1002"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12,71</w:t>
            </w:r>
          </w:p>
        </w:tc>
        <w:tc>
          <w:tcPr>
            <w:tcW w:w="850"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16,87</w:t>
            </w:r>
          </w:p>
        </w:tc>
        <w:tc>
          <w:tcPr>
            <w:tcW w:w="993"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17,6</w:t>
            </w:r>
          </w:p>
        </w:tc>
        <w:tc>
          <w:tcPr>
            <w:tcW w:w="1134"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12,76</w:t>
            </w:r>
          </w:p>
        </w:tc>
      </w:tr>
      <w:tr w:rsidR="00591578" w:rsidRPr="00042D5E" w:rsidTr="00D474B9">
        <w:tc>
          <w:tcPr>
            <w:tcW w:w="2686" w:type="dxa"/>
            <w:tcBorders>
              <w:top w:val="single" w:sz="4" w:space="0" w:color="auto"/>
              <w:left w:val="single" w:sz="4" w:space="0" w:color="auto"/>
              <w:bottom w:val="single" w:sz="4" w:space="0" w:color="auto"/>
              <w:right w:val="single" w:sz="4" w:space="0" w:color="auto"/>
            </w:tcBorders>
            <w:hideMark/>
          </w:tcPr>
          <w:p w:rsidR="00591578" w:rsidRPr="00042D5E" w:rsidRDefault="00591578" w:rsidP="00D2531E">
            <w:pPr>
              <w:spacing w:line="240" w:lineRule="auto"/>
              <w:jc w:val="both"/>
              <w:rPr>
                <w:rFonts w:ascii="Times New Roman" w:hAnsi="Times New Roman"/>
              </w:rPr>
            </w:pPr>
            <w:r w:rsidRPr="00042D5E">
              <w:rPr>
                <w:rFonts w:ascii="Times New Roman" w:hAnsi="Times New Roman"/>
              </w:rPr>
              <w:t>Коефіцієнт ліквідного співвідношення</w:t>
            </w:r>
          </w:p>
          <w:p w:rsidR="00591578" w:rsidRPr="00042D5E" w:rsidRDefault="00591578" w:rsidP="00D2531E">
            <w:pPr>
              <w:spacing w:line="240" w:lineRule="auto"/>
              <w:jc w:val="both"/>
              <w:rPr>
                <w:rFonts w:ascii="Times New Roman" w:hAnsi="Times New Roman"/>
              </w:rPr>
            </w:pPr>
            <w:r w:rsidRPr="00042D5E">
              <w:rPr>
                <w:rFonts w:ascii="Times New Roman" w:hAnsi="Times New Roman"/>
              </w:rPr>
              <w:t>виданих кредитів і залучених депозитів</w:t>
            </w:r>
          </w:p>
          <w:p w:rsidR="00591578" w:rsidRPr="00042D5E" w:rsidRDefault="00591578" w:rsidP="00D2531E">
            <w:pPr>
              <w:spacing w:line="240" w:lineRule="auto"/>
              <w:jc w:val="both"/>
              <w:rPr>
                <w:rFonts w:ascii="Times New Roman" w:hAnsi="Times New Roman"/>
              </w:rPr>
            </w:pPr>
            <w:r w:rsidRPr="00042D5E">
              <w:rPr>
                <w:rFonts w:ascii="Times New Roman" w:hAnsi="Times New Roman"/>
              </w:rPr>
              <w:t>(для визначення незбалансованої</w:t>
            </w:r>
          </w:p>
          <w:p w:rsidR="00591578" w:rsidRPr="00042D5E" w:rsidRDefault="00591578" w:rsidP="00D2531E">
            <w:pPr>
              <w:spacing w:line="240" w:lineRule="auto"/>
              <w:jc w:val="both"/>
              <w:rPr>
                <w:rFonts w:ascii="Times New Roman" w:hAnsi="Times New Roman"/>
              </w:rPr>
            </w:pPr>
            <w:r w:rsidRPr="00042D5E">
              <w:rPr>
                <w:rFonts w:ascii="Times New Roman" w:hAnsi="Times New Roman"/>
              </w:rPr>
              <w:t>ліквідності)</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360" w:lineRule="auto"/>
              <w:jc w:val="center"/>
              <w:rPr>
                <w:rFonts w:ascii="Times New Roman" w:hAnsi="Times New Roman"/>
                <w:sz w:val="28"/>
                <w:szCs w:val="28"/>
              </w:rPr>
            </w:pPr>
            <w:proofErr w:type="spellStart"/>
            <w:r w:rsidRPr="00042D5E">
              <w:rPr>
                <w:rFonts w:ascii="Times New Roman" w:hAnsi="Times New Roman"/>
                <w:sz w:val="28"/>
                <w:szCs w:val="28"/>
              </w:rPr>
              <w:t>К</w:t>
            </w:r>
            <w:r w:rsidRPr="00042D5E">
              <w:rPr>
                <w:rFonts w:ascii="Times New Roman" w:hAnsi="Times New Roman"/>
                <w:sz w:val="28"/>
                <w:szCs w:val="28"/>
                <w:vertAlign w:val="subscript"/>
              </w:rPr>
              <w:t>к</w:t>
            </w:r>
            <w:proofErr w:type="spellEnd"/>
            <w:r w:rsidRPr="00042D5E">
              <w:rPr>
                <w:rFonts w:ascii="Times New Roman" w:hAnsi="Times New Roman"/>
                <w:sz w:val="28"/>
                <w:szCs w:val="28"/>
                <w:vertAlign w:val="subscript"/>
              </w:rPr>
              <w:t>/д</w:t>
            </w:r>
          </w:p>
        </w:tc>
        <w:tc>
          <w:tcPr>
            <w:tcW w:w="1846"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360" w:lineRule="auto"/>
              <w:jc w:val="center"/>
              <w:rPr>
                <w:rFonts w:ascii="Times New Roman" w:hAnsi="Times New Roman"/>
              </w:rPr>
            </w:pPr>
            <w:proofErr w:type="spellStart"/>
            <w:r w:rsidRPr="00042D5E">
              <w:rPr>
                <w:rFonts w:ascii="Times New Roman" w:hAnsi="Times New Roman"/>
              </w:rPr>
              <w:t>K</w:t>
            </w:r>
            <w:r w:rsidRPr="00042D5E">
              <w:rPr>
                <w:rFonts w:ascii="Times New Roman" w:hAnsi="Times New Roman"/>
                <w:vertAlign w:val="subscript"/>
              </w:rPr>
              <w:t>к</w:t>
            </w:r>
            <w:proofErr w:type="spellEnd"/>
            <w:r w:rsidRPr="00042D5E">
              <w:rPr>
                <w:rFonts w:ascii="Times New Roman" w:hAnsi="Times New Roman"/>
                <w:vertAlign w:val="subscript"/>
              </w:rPr>
              <w:t xml:space="preserve">/д </w:t>
            </w:r>
            <w:r w:rsidRPr="00042D5E">
              <w:rPr>
                <w:rFonts w:ascii="Times New Roman" w:hAnsi="Times New Roman"/>
              </w:rPr>
              <w:t>≤ 100 %</w:t>
            </w:r>
          </w:p>
        </w:tc>
        <w:tc>
          <w:tcPr>
            <w:tcW w:w="3110"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8377E3" w:rsidP="00D2531E">
            <w:pPr>
              <w:spacing w:line="360" w:lineRule="auto"/>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к/д</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К</m:t>
                    </m:r>
                  </m:num>
                  <m:den>
                    <m:r>
                      <w:rPr>
                        <w:rFonts w:ascii="Cambria Math" w:hAnsi="Cambria Math"/>
                        <w:sz w:val="28"/>
                        <w:szCs w:val="28"/>
                      </w:rPr>
                      <m:t>Д</m:t>
                    </m:r>
                  </m:den>
                </m:f>
                <m:r>
                  <w:rPr>
                    <w:rFonts w:ascii="Cambria Math" w:hAnsi="Cambria Math"/>
                    <w:sz w:val="28"/>
                    <w:szCs w:val="28"/>
                  </w:rPr>
                  <m:t>×100%</m:t>
                </m:r>
              </m:oMath>
            </m:oMathPara>
          </w:p>
          <w:p w:rsidR="00591578" w:rsidRPr="00042D5E" w:rsidRDefault="00591578" w:rsidP="00D2531E">
            <w:pPr>
              <w:spacing w:line="240" w:lineRule="auto"/>
              <w:jc w:val="both"/>
              <w:rPr>
                <w:rFonts w:ascii="Times New Roman" w:hAnsi="Times New Roman"/>
              </w:rPr>
            </w:pPr>
            <w:r w:rsidRPr="00042D5E">
              <w:rPr>
                <w:rFonts w:ascii="Times New Roman" w:hAnsi="Times New Roman"/>
              </w:rPr>
              <w:t>К – видані кредити</w:t>
            </w:r>
          </w:p>
          <w:p w:rsidR="00591578" w:rsidRPr="00042D5E" w:rsidRDefault="00591578" w:rsidP="00D2531E">
            <w:pPr>
              <w:spacing w:line="240" w:lineRule="auto"/>
              <w:jc w:val="both"/>
              <w:rPr>
                <w:rFonts w:ascii="Times New Roman" w:hAnsi="Times New Roman"/>
                <w:sz w:val="28"/>
                <w:szCs w:val="28"/>
              </w:rPr>
            </w:pPr>
            <w:r w:rsidRPr="00042D5E">
              <w:rPr>
                <w:rFonts w:ascii="Times New Roman" w:hAnsi="Times New Roman"/>
              </w:rPr>
              <w:t>Д – залучені депозити</w:t>
            </w:r>
          </w:p>
        </w:tc>
        <w:tc>
          <w:tcPr>
            <w:tcW w:w="991"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87,08</w:t>
            </w:r>
          </w:p>
        </w:tc>
        <w:tc>
          <w:tcPr>
            <w:tcW w:w="1002"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100,65</w:t>
            </w:r>
          </w:p>
        </w:tc>
        <w:tc>
          <w:tcPr>
            <w:tcW w:w="850"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98,75</w:t>
            </w:r>
          </w:p>
        </w:tc>
        <w:tc>
          <w:tcPr>
            <w:tcW w:w="993"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99,01</w:t>
            </w:r>
          </w:p>
        </w:tc>
        <w:tc>
          <w:tcPr>
            <w:tcW w:w="1134"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113,38</w:t>
            </w:r>
          </w:p>
        </w:tc>
      </w:tr>
      <w:tr w:rsidR="00591578" w:rsidRPr="00042D5E" w:rsidTr="00D474B9">
        <w:trPr>
          <w:trHeight w:val="1455"/>
        </w:trPr>
        <w:tc>
          <w:tcPr>
            <w:tcW w:w="2686"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240" w:lineRule="auto"/>
              <w:jc w:val="both"/>
              <w:rPr>
                <w:rFonts w:ascii="Times New Roman" w:hAnsi="Times New Roman"/>
              </w:rPr>
            </w:pPr>
            <w:r w:rsidRPr="00042D5E">
              <w:rPr>
                <w:rFonts w:ascii="Times New Roman" w:hAnsi="Times New Roman"/>
              </w:rPr>
              <w:t>Коефіцієнт генеральної ліквідності зобов’язань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360" w:lineRule="auto"/>
              <w:jc w:val="center"/>
              <w:rPr>
                <w:rFonts w:ascii="Times New Roman" w:hAnsi="Times New Roman"/>
                <w:vertAlign w:val="subscript"/>
              </w:rPr>
            </w:pPr>
            <w:proofErr w:type="spellStart"/>
            <w:r w:rsidRPr="00042D5E">
              <w:rPr>
                <w:rFonts w:ascii="Times New Roman" w:hAnsi="Times New Roman"/>
              </w:rPr>
              <w:t>К</w:t>
            </w:r>
            <w:r w:rsidRPr="00042D5E">
              <w:rPr>
                <w:rFonts w:ascii="Times New Roman" w:hAnsi="Times New Roman"/>
                <w:vertAlign w:val="subscript"/>
              </w:rPr>
              <w:t>глз</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CE2069">
            <w:pPr>
              <w:spacing w:line="360" w:lineRule="auto"/>
              <w:jc w:val="center"/>
              <w:rPr>
                <w:rFonts w:ascii="Times New Roman" w:hAnsi="Times New Roman"/>
              </w:rPr>
            </w:pPr>
            <w:proofErr w:type="spellStart"/>
            <w:r w:rsidRPr="00042D5E">
              <w:rPr>
                <w:rFonts w:ascii="Times New Roman" w:hAnsi="Times New Roman"/>
              </w:rPr>
              <w:t>K</w:t>
            </w:r>
            <w:r w:rsidRPr="00042D5E">
              <w:rPr>
                <w:rFonts w:ascii="Times New Roman" w:hAnsi="Times New Roman"/>
                <w:vertAlign w:val="subscript"/>
              </w:rPr>
              <w:t>глз</w:t>
            </w:r>
            <w:proofErr w:type="spellEnd"/>
            <w:r w:rsidRPr="00042D5E">
              <w:rPr>
                <w:rFonts w:ascii="Times New Roman" w:hAnsi="Times New Roman"/>
              </w:rPr>
              <w:t>=</w:t>
            </w:r>
            <w:r w:rsidR="00CE2069">
              <w:rPr>
                <w:rFonts w:ascii="Times New Roman" w:hAnsi="Times New Roman"/>
              </w:rPr>
              <w:t>100</w:t>
            </w:r>
            <w:r w:rsidRPr="00042D5E">
              <w:rPr>
                <w:rFonts w:ascii="Times New Roman" w:hAnsi="Times New Roman"/>
              </w:rPr>
              <w:t>%</w:t>
            </w:r>
          </w:p>
        </w:tc>
        <w:tc>
          <w:tcPr>
            <w:tcW w:w="3110" w:type="dxa"/>
            <w:tcBorders>
              <w:top w:val="single" w:sz="4" w:space="0" w:color="auto"/>
              <w:left w:val="single" w:sz="4" w:space="0" w:color="auto"/>
              <w:bottom w:val="single" w:sz="4" w:space="0" w:color="auto"/>
              <w:right w:val="single" w:sz="4" w:space="0" w:color="auto"/>
            </w:tcBorders>
            <w:vAlign w:val="center"/>
            <w:hideMark/>
          </w:tcPr>
          <w:p w:rsidR="00591578" w:rsidRPr="00042D5E" w:rsidRDefault="00591578" w:rsidP="00D2531E">
            <w:pPr>
              <w:spacing w:line="360" w:lineRule="auto"/>
              <w:jc w:val="center"/>
              <w:rPr>
                <w:rFonts w:ascii="Times New Roman" w:hAnsi="Times New Roman"/>
              </w:rPr>
            </w:pPr>
            <m:oMathPara>
              <m:oMath>
                <m:r>
                  <w:rPr>
                    <w:rFonts w:ascii="Cambria Math" w:hAnsi="Cambria Math"/>
                  </w:rPr>
                  <m:t xml:space="preserve">Кгзл= </m:t>
                </m:r>
                <m:f>
                  <m:fPr>
                    <m:ctrlPr>
                      <w:rPr>
                        <w:rFonts w:ascii="Cambria Math" w:hAnsi="Cambria Math"/>
                        <w:i/>
                      </w:rPr>
                    </m:ctrlPr>
                  </m:fPr>
                  <m:num>
                    <m:r>
                      <w:rPr>
                        <w:rFonts w:ascii="Cambria Math" w:hAnsi="Cambria Math"/>
                      </w:rPr>
                      <m:t>Ав+Ам</m:t>
                    </m:r>
                  </m:num>
                  <m:den>
                    <m:r>
                      <w:rPr>
                        <w:rFonts w:ascii="Cambria Math" w:hAnsi="Cambria Math"/>
                      </w:rPr>
                      <m:t>З</m:t>
                    </m:r>
                  </m:den>
                </m:f>
                <m:r>
                  <w:rPr>
                    <w:rFonts w:ascii="Cambria Math" w:hAnsi="Cambria Math"/>
                  </w:rPr>
                  <m:t>×100%</m:t>
                </m:r>
              </m:oMath>
            </m:oMathPara>
          </w:p>
          <w:p w:rsidR="00591578" w:rsidRPr="00042D5E" w:rsidRDefault="00591578" w:rsidP="00D2531E">
            <w:pPr>
              <w:spacing w:line="240" w:lineRule="auto"/>
              <w:jc w:val="both"/>
              <w:rPr>
                <w:rFonts w:ascii="Times New Roman" w:hAnsi="Times New Roman"/>
              </w:rPr>
            </w:pPr>
            <w:proofErr w:type="spellStart"/>
            <w:r w:rsidRPr="00042D5E">
              <w:rPr>
                <w:rFonts w:ascii="Times New Roman" w:hAnsi="Times New Roman"/>
              </w:rPr>
              <w:t>Ав</w:t>
            </w:r>
            <w:proofErr w:type="spellEnd"/>
            <w:r w:rsidRPr="00042D5E">
              <w:rPr>
                <w:rFonts w:ascii="Times New Roman" w:hAnsi="Times New Roman"/>
              </w:rPr>
              <w:t xml:space="preserve"> – високоліквідні активи</w:t>
            </w:r>
          </w:p>
          <w:p w:rsidR="00591578" w:rsidRPr="00042D5E" w:rsidRDefault="00591578" w:rsidP="00D2531E">
            <w:pPr>
              <w:spacing w:line="240" w:lineRule="auto"/>
              <w:jc w:val="both"/>
              <w:rPr>
                <w:rFonts w:ascii="Times New Roman" w:hAnsi="Times New Roman"/>
              </w:rPr>
            </w:pPr>
            <w:proofErr w:type="spellStart"/>
            <w:r w:rsidRPr="00042D5E">
              <w:rPr>
                <w:rFonts w:ascii="Times New Roman" w:hAnsi="Times New Roman"/>
              </w:rPr>
              <w:t>Ам</w:t>
            </w:r>
            <w:proofErr w:type="spellEnd"/>
            <w:r w:rsidRPr="00042D5E">
              <w:rPr>
                <w:rFonts w:ascii="Times New Roman" w:hAnsi="Times New Roman"/>
              </w:rPr>
              <w:t xml:space="preserve"> – майно</w:t>
            </w:r>
          </w:p>
          <w:p w:rsidR="00591578" w:rsidRPr="00042D5E" w:rsidRDefault="00591578" w:rsidP="00D2531E">
            <w:pPr>
              <w:spacing w:line="240" w:lineRule="auto"/>
              <w:jc w:val="both"/>
              <w:rPr>
                <w:rFonts w:ascii="Times New Roman" w:hAnsi="Times New Roman"/>
              </w:rPr>
            </w:pPr>
            <w:r w:rsidRPr="00042D5E">
              <w:rPr>
                <w:rFonts w:ascii="Times New Roman" w:hAnsi="Times New Roman"/>
              </w:rPr>
              <w:t>З - зобов’язання</w:t>
            </w:r>
          </w:p>
        </w:tc>
        <w:tc>
          <w:tcPr>
            <w:tcW w:w="991"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13,39</w:t>
            </w:r>
          </w:p>
        </w:tc>
        <w:tc>
          <w:tcPr>
            <w:tcW w:w="1002"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17,23</w:t>
            </w:r>
          </w:p>
        </w:tc>
        <w:tc>
          <w:tcPr>
            <w:tcW w:w="850"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21,42</w:t>
            </w:r>
          </w:p>
        </w:tc>
        <w:tc>
          <w:tcPr>
            <w:tcW w:w="993"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22,88</w:t>
            </w:r>
          </w:p>
        </w:tc>
        <w:tc>
          <w:tcPr>
            <w:tcW w:w="1134" w:type="dxa"/>
            <w:vAlign w:val="center"/>
          </w:tcPr>
          <w:p w:rsidR="00591578" w:rsidRDefault="00591578" w:rsidP="00D2531E">
            <w:pPr>
              <w:spacing w:line="240" w:lineRule="auto"/>
              <w:jc w:val="center"/>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19,86</w:t>
            </w:r>
          </w:p>
        </w:tc>
      </w:tr>
    </w:tbl>
    <w:p w:rsidR="00591578" w:rsidRDefault="00591578" w:rsidP="00591578">
      <w:pPr>
        <w:spacing w:after="0" w:line="360" w:lineRule="auto"/>
        <w:ind w:firstLine="709"/>
        <w:jc w:val="right"/>
        <w:rPr>
          <w:rFonts w:ascii="Times New Roman" w:hAnsi="Times New Roman"/>
          <w:sz w:val="28"/>
          <w:szCs w:val="28"/>
        </w:rPr>
      </w:pPr>
      <w:r w:rsidRPr="00591578">
        <w:rPr>
          <w:rFonts w:ascii="Times New Roman" w:hAnsi="Times New Roman"/>
          <w:sz w:val="28"/>
          <w:szCs w:val="28"/>
        </w:rPr>
        <w:t>Таблиця 2.4</w:t>
      </w:r>
      <w:r w:rsidR="00042D5E" w:rsidRPr="00042D5E">
        <w:rPr>
          <w:rFonts w:ascii="Times New Roman" w:hAnsi="Times New Roman"/>
          <w:sz w:val="28"/>
          <w:szCs w:val="28"/>
        </w:rPr>
        <w:t xml:space="preserve"> </w:t>
      </w:r>
    </w:p>
    <w:p w:rsidR="00CD2BC2" w:rsidRPr="00CD2BC2" w:rsidRDefault="00042D5E" w:rsidP="009370ED">
      <w:pPr>
        <w:spacing w:after="0" w:line="360" w:lineRule="auto"/>
        <w:ind w:firstLine="709"/>
        <w:jc w:val="center"/>
        <w:rPr>
          <w:rFonts w:ascii="Times New Roman" w:hAnsi="Times New Roman"/>
          <w:sz w:val="28"/>
          <w:szCs w:val="28"/>
        </w:rPr>
      </w:pPr>
      <w:r w:rsidRPr="00042D5E">
        <w:rPr>
          <w:rFonts w:ascii="Times New Roman" w:hAnsi="Times New Roman"/>
          <w:sz w:val="28"/>
          <w:szCs w:val="28"/>
        </w:rPr>
        <w:t xml:space="preserve">Економічний зміст </w:t>
      </w:r>
      <w:r w:rsidR="00C46270">
        <w:rPr>
          <w:rFonts w:ascii="Times New Roman" w:hAnsi="Times New Roman"/>
          <w:sz w:val="28"/>
          <w:szCs w:val="28"/>
        </w:rPr>
        <w:t xml:space="preserve">додаткових </w:t>
      </w:r>
      <w:r w:rsidRPr="00042D5E">
        <w:rPr>
          <w:rFonts w:ascii="Times New Roman" w:hAnsi="Times New Roman"/>
          <w:sz w:val="28"/>
          <w:szCs w:val="28"/>
        </w:rPr>
        <w:t xml:space="preserve">показників ліквідність балансу </w:t>
      </w:r>
      <w:r w:rsidR="009370ED">
        <w:rPr>
          <w:rFonts w:ascii="Times New Roman" w:hAnsi="Times New Roman"/>
          <w:sz w:val="28"/>
          <w:szCs w:val="28"/>
        </w:rPr>
        <w:t>банку та алгоритм їх розрахунку</w:t>
      </w:r>
    </w:p>
    <w:p w:rsidR="00CD2BC2" w:rsidRPr="00CD2BC2" w:rsidRDefault="00CD2BC2" w:rsidP="00CD2BC2">
      <w:pPr>
        <w:rPr>
          <w:rFonts w:ascii="Times New Roman" w:hAnsi="Times New Roman"/>
          <w:sz w:val="28"/>
          <w:szCs w:val="28"/>
        </w:rPr>
      </w:pPr>
    </w:p>
    <w:p w:rsidR="00CD2BC2" w:rsidRPr="00CD2BC2" w:rsidRDefault="00CD2BC2" w:rsidP="00CD2BC2">
      <w:pPr>
        <w:rPr>
          <w:rFonts w:ascii="Times New Roman" w:hAnsi="Times New Roman"/>
          <w:sz w:val="28"/>
          <w:szCs w:val="28"/>
        </w:rPr>
      </w:pPr>
    </w:p>
    <w:p w:rsidR="00CD2BC2" w:rsidRPr="00CD2BC2" w:rsidRDefault="00CD2BC2" w:rsidP="00CD2BC2">
      <w:pPr>
        <w:rPr>
          <w:rFonts w:ascii="Times New Roman" w:hAnsi="Times New Roman"/>
          <w:sz w:val="28"/>
          <w:szCs w:val="28"/>
        </w:rPr>
      </w:pPr>
    </w:p>
    <w:p w:rsidR="00CD2BC2" w:rsidRPr="00CD2BC2" w:rsidRDefault="00CD2BC2" w:rsidP="00CD2BC2">
      <w:pPr>
        <w:rPr>
          <w:rFonts w:ascii="Times New Roman" w:hAnsi="Times New Roman"/>
          <w:sz w:val="28"/>
          <w:szCs w:val="28"/>
        </w:rPr>
      </w:pPr>
    </w:p>
    <w:p w:rsidR="00CD2BC2" w:rsidRPr="00CD2BC2" w:rsidRDefault="00CD2BC2" w:rsidP="00CD2BC2">
      <w:pPr>
        <w:rPr>
          <w:rFonts w:ascii="Times New Roman" w:hAnsi="Times New Roman"/>
          <w:sz w:val="28"/>
          <w:szCs w:val="28"/>
        </w:rPr>
      </w:pPr>
    </w:p>
    <w:p w:rsidR="00CD2BC2" w:rsidRPr="00CD2BC2" w:rsidRDefault="00CD2BC2" w:rsidP="00CD2BC2">
      <w:pPr>
        <w:rPr>
          <w:rFonts w:ascii="Times New Roman" w:hAnsi="Times New Roman"/>
          <w:sz w:val="28"/>
          <w:szCs w:val="28"/>
        </w:rPr>
      </w:pPr>
    </w:p>
    <w:p w:rsidR="00CD2BC2" w:rsidRPr="00CD2BC2" w:rsidRDefault="00CD2BC2" w:rsidP="00CD2BC2">
      <w:pPr>
        <w:rPr>
          <w:rFonts w:ascii="Times New Roman" w:hAnsi="Times New Roman"/>
          <w:sz w:val="28"/>
          <w:szCs w:val="28"/>
        </w:rPr>
      </w:pPr>
    </w:p>
    <w:p w:rsidR="00CD2BC2" w:rsidRPr="00CD2BC2" w:rsidRDefault="00CD2BC2" w:rsidP="00CD2BC2">
      <w:pPr>
        <w:rPr>
          <w:rFonts w:ascii="Times New Roman" w:hAnsi="Times New Roman"/>
          <w:sz w:val="28"/>
          <w:szCs w:val="28"/>
        </w:rPr>
      </w:pPr>
    </w:p>
    <w:p w:rsidR="00CD2BC2" w:rsidRDefault="00CD2BC2" w:rsidP="00CD2BC2">
      <w:pPr>
        <w:rPr>
          <w:rFonts w:ascii="Times New Roman" w:hAnsi="Times New Roman"/>
          <w:sz w:val="28"/>
          <w:szCs w:val="28"/>
        </w:rPr>
      </w:pPr>
    </w:p>
    <w:p w:rsidR="00CD2BC2" w:rsidRDefault="00CD2BC2" w:rsidP="00CD2BC2">
      <w:pPr>
        <w:rPr>
          <w:rFonts w:ascii="Times New Roman" w:hAnsi="Times New Roman"/>
          <w:sz w:val="28"/>
          <w:szCs w:val="28"/>
        </w:rPr>
      </w:pPr>
    </w:p>
    <w:p w:rsidR="00CD2BC2" w:rsidRDefault="00CD2BC2" w:rsidP="00CD2BC2">
      <w:pPr>
        <w:rPr>
          <w:rFonts w:ascii="Times New Roman" w:hAnsi="Times New Roman"/>
          <w:sz w:val="28"/>
          <w:szCs w:val="28"/>
        </w:rPr>
      </w:pPr>
    </w:p>
    <w:p w:rsidR="00F44B9F" w:rsidRDefault="00F44B9F" w:rsidP="00CD2BC2">
      <w:pPr>
        <w:rPr>
          <w:rFonts w:ascii="Times New Roman" w:hAnsi="Times New Roman"/>
          <w:sz w:val="28"/>
          <w:szCs w:val="28"/>
        </w:rPr>
        <w:sectPr w:rsidR="00F44B9F" w:rsidSect="00591578">
          <w:pgSz w:w="16838" w:h="11906" w:orient="landscape"/>
          <w:pgMar w:top="851" w:right="851" w:bottom="1418" w:left="851" w:header="709" w:footer="709" w:gutter="0"/>
          <w:cols w:space="708"/>
          <w:docGrid w:linePitch="360"/>
        </w:sectPr>
      </w:pPr>
    </w:p>
    <w:p w:rsidR="009B4B06" w:rsidRDefault="009B4B06" w:rsidP="0084744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Зазначений коефіцієнт дає змогу оцінити частку високоліквідної частини активів, та коефіцієнт генеральної ліквідності зобов’язань значно нижче ніж рекомендовані нормативи, і це означає, що Банк вимушений знижувати прибутковість для підтримування ліквідності. Недотримання встановленого нормативу може свідчить про втрату Банком майбутніх доходів. Це пов’язано з тим, що різницю між робочими й високоліквідними активами та основними засобами становлять </w:t>
      </w:r>
      <w:proofErr w:type="spellStart"/>
      <w:r>
        <w:rPr>
          <w:rFonts w:ascii="Times New Roman" w:hAnsi="Times New Roman"/>
          <w:sz w:val="28"/>
          <w:szCs w:val="28"/>
        </w:rPr>
        <w:t>підпроцентні</w:t>
      </w:r>
      <w:proofErr w:type="spellEnd"/>
      <w:r>
        <w:rPr>
          <w:rFonts w:ascii="Times New Roman" w:hAnsi="Times New Roman"/>
          <w:sz w:val="28"/>
          <w:szCs w:val="28"/>
        </w:rPr>
        <w:t xml:space="preserve"> активи (наприклад, депозити та міжбанківські кредити). Тому зростання частки високоліквідних активів супроводжується зниженням частки доходних активів (кредитів). Тому в управлінні ліквідністю Банку необхідно намагатися підтримувати цей показник близько до рекомендованого.</w:t>
      </w:r>
    </w:p>
    <w:p w:rsidR="00CD2BC2" w:rsidRDefault="00373B2A" w:rsidP="009B4B06">
      <w:pPr>
        <w:spacing w:before="120" w:after="0" w:line="360" w:lineRule="auto"/>
        <w:ind w:firstLine="709"/>
        <w:jc w:val="both"/>
        <w:rPr>
          <w:rFonts w:ascii="Times New Roman" w:hAnsi="Times New Roman"/>
          <w:sz w:val="28"/>
          <w:szCs w:val="28"/>
        </w:rPr>
      </w:pPr>
      <w:r w:rsidRPr="00373B2A">
        <w:rPr>
          <w:rFonts w:ascii="Times New Roman" w:hAnsi="Times New Roman"/>
          <w:sz w:val="28"/>
          <w:szCs w:val="28"/>
        </w:rPr>
        <w:t>Коефі</w:t>
      </w:r>
      <w:r>
        <w:rPr>
          <w:rFonts w:ascii="Times New Roman" w:hAnsi="Times New Roman"/>
          <w:sz w:val="28"/>
          <w:szCs w:val="28"/>
        </w:rPr>
        <w:t xml:space="preserve">цієнт ліквідного співвідношення </w:t>
      </w:r>
      <w:r w:rsidRPr="00373B2A">
        <w:rPr>
          <w:rFonts w:ascii="Times New Roman" w:hAnsi="Times New Roman"/>
          <w:sz w:val="28"/>
          <w:szCs w:val="28"/>
        </w:rPr>
        <w:t>виданих кредитів і залучених депозитів</w:t>
      </w:r>
      <w:r>
        <w:rPr>
          <w:rFonts w:ascii="Times New Roman" w:hAnsi="Times New Roman"/>
          <w:sz w:val="28"/>
          <w:szCs w:val="28"/>
        </w:rPr>
        <w:t xml:space="preserve"> (для визначення незбалансованої </w:t>
      </w:r>
      <w:r w:rsidRPr="00373B2A">
        <w:rPr>
          <w:rFonts w:ascii="Times New Roman" w:hAnsi="Times New Roman"/>
          <w:sz w:val="28"/>
          <w:szCs w:val="28"/>
        </w:rPr>
        <w:t>ліквідності)</w:t>
      </w:r>
      <w:r w:rsidR="00847442">
        <w:rPr>
          <w:rFonts w:ascii="Times New Roman" w:hAnsi="Times New Roman"/>
          <w:sz w:val="28"/>
          <w:szCs w:val="28"/>
        </w:rPr>
        <w:t>, який розкриває, наскільки видані кредити забезпечені всіма залученими депозитами,</w:t>
      </w:r>
      <w:r>
        <w:rPr>
          <w:rFonts w:ascii="Times New Roman" w:hAnsi="Times New Roman"/>
          <w:sz w:val="28"/>
          <w:szCs w:val="28"/>
        </w:rPr>
        <w:t xml:space="preserve"> АТ «Ідея Банк» тримав в межах встановленого нормативного значення у 2017, 2019, 2020 роках. Проте у 2018 та 2021 роках зазначений норматив перевищував встановлене нормативне значення</w:t>
      </w:r>
      <w:r w:rsidR="009B4B06">
        <w:rPr>
          <w:rFonts w:ascii="Times New Roman" w:hAnsi="Times New Roman"/>
          <w:sz w:val="28"/>
          <w:szCs w:val="28"/>
        </w:rPr>
        <w:t>, тобто здебільшого спостерігається незбалансована ліквідність.</w:t>
      </w:r>
    </w:p>
    <w:p w:rsidR="00725F5C" w:rsidRDefault="00167A9C" w:rsidP="00167A9C">
      <w:pPr>
        <w:spacing w:after="0" w:line="360" w:lineRule="auto"/>
        <w:ind w:firstLine="709"/>
        <w:jc w:val="both"/>
        <w:rPr>
          <w:rFonts w:ascii="Times New Roman" w:hAnsi="Times New Roman"/>
          <w:sz w:val="28"/>
          <w:szCs w:val="28"/>
        </w:rPr>
      </w:pPr>
      <w:r>
        <w:rPr>
          <w:rFonts w:ascii="Times New Roman" w:hAnsi="Times New Roman"/>
          <w:sz w:val="28"/>
          <w:szCs w:val="28"/>
        </w:rPr>
        <w:t>Щодо к</w:t>
      </w:r>
      <w:r w:rsidR="00725F5C" w:rsidRPr="00725F5C">
        <w:rPr>
          <w:rFonts w:ascii="Times New Roman" w:hAnsi="Times New Roman"/>
          <w:sz w:val="28"/>
          <w:szCs w:val="28"/>
        </w:rPr>
        <w:t>оефіцієнт</w:t>
      </w:r>
      <w:r>
        <w:rPr>
          <w:rFonts w:ascii="Times New Roman" w:hAnsi="Times New Roman"/>
          <w:sz w:val="28"/>
          <w:szCs w:val="28"/>
        </w:rPr>
        <w:t>у</w:t>
      </w:r>
      <w:r w:rsidR="00725F5C" w:rsidRPr="00725F5C">
        <w:rPr>
          <w:rFonts w:ascii="Times New Roman" w:hAnsi="Times New Roman"/>
          <w:sz w:val="28"/>
          <w:szCs w:val="28"/>
        </w:rPr>
        <w:t xml:space="preserve"> генеральної ліквідності зобов’язань, який р</w:t>
      </w:r>
      <w:r w:rsidR="00725F5C">
        <w:rPr>
          <w:rFonts w:ascii="Times New Roman" w:hAnsi="Times New Roman"/>
          <w:sz w:val="28"/>
          <w:szCs w:val="28"/>
        </w:rPr>
        <w:t>озкриває здатність банку погашати зобов’язання високоліквідними активами та через продаж майна,</w:t>
      </w:r>
      <w:r>
        <w:rPr>
          <w:rFonts w:ascii="Times New Roman" w:hAnsi="Times New Roman"/>
          <w:sz w:val="28"/>
          <w:szCs w:val="28"/>
        </w:rPr>
        <w:t xml:space="preserve"> то</w:t>
      </w:r>
      <w:r w:rsidR="00725F5C">
        <w:rPr>
          <w:rFonts w:ascii="Times New Roman" w:hAnsi="Times New Roman"/>
          <w:sz w:val="28"/>
          <w:szCs w:val="28"/>
        </w:rPr>
        <w:t xml:space="preserve"> протягом 2017-2021 років </w:t>
      </w:r>
      <w:r w:rsidRPr="00167A9C">
        <w:rPr>
          <w:rFonts w:ascii="Times New Roman" w:hAnsi="Times New Roman"/>
          <w:sz w:val="28"/>
          <w:szCs w:val="28"/>
        </w:rPr>
        <w:t>встановлен</w:t>
      </w:r>
      <w:r>
        <w:rPr>
          <w:rFonts w:ascii="Times New Roman" w:hAnsi="Times New Roman"/>
          <w:sz w:val="28"/>
          <w:szCs w:val="28"/>
        </w:rPr>
        <w:t>е</w:t>
      </w:r>
      <w:r w:rsidRPr="00167A9C">
        <w:rPr>
          <w:rFonts w:ascii="Times New Roman" w:hAnsi="Times New Roman"/>
          <w:sz w:val="28"/>
          <w:szCs w:val="28"/>
        </w:rPr>
        <w:t xml:space="preserve"> нормативн</w:t>
      </w:r>
      <w:r>
        <w:rPr>
          <w:rFonts w:ascii="Times New Roman" w:hAnsi="Times New Roman"/>
          <w:sz w:val="28"/>
          <w:szCs w:val="28"/>
        </w:rPr>
        <w:t xml:space="preserve">е значення </w:t>
      </w:r>
      <w:r w:rsidRPr="00167A9C">
        <w:rPr>
          <w:rFonts w:ascii="Times New Roman" w:hAnsi="Times New Roman"/>
          <w:sz w:val="28"/>
          <w:szCs w:val="28"/>
        </w:rPr>
        <w:t>АТ «Ідея Банк»</w:t>
      </w:r>
      <w:r>
        <w:rPr>
          <w:rFonts w:ascii="Times New Roman" w:hAnsi="Times New Roman"/>
          <w:sz w:val="28"/>
          <w:szCs w:val="28"/>
        </w:rPr>
        <w:t xml:space="preserve"> не виконував. Фактичне значення нормативу нижче за встановлене майже у 2 рази. </w:t>
      </w:r>
    </w:p>
    <w:p w:rsidR="00226A2A" w:rsidRDefault="00226A2A" w:rsidP="00167A9C">
      <w:pPr>
        <w:spacing w:after="0" w:line="360" w:lineRule="auto"/>
        <w:ind w:firstLine="709"/>
        <w:jc w:val="both"/>
        <w:rPr>
          <w:rFonts w:ascii="Times New Roman" w:hAnsi="Times New Roman"/>
          <w:sz w:val="28"/>
          <w:szCs w:val="28"/>
        </w:rPr>
      </w:pPr>
      <w:r w:rsidRPr="00226A2A">
        <w:rPr>
          <w:rFonts w:ascii="Times New Roman" w:hAnsi="Times New Roman"/>
          <w:sz w:val="28"/>
          <w:szCs w:val="28"/>
        </w:rPr>
        <w:t>Динаміка додаткових нормативів л</w:t>
      </w:r>
      <w:r>
        <w:rPr>
          <w:rFonts w:ascii="Times New Roman" w:hAnsi="Times New Roman"/>
          <w:sz w:val="28"/>
          <w:szCs w:val="28"/>
        </w:rPr>
        <w:t>іквідності зображено на рис. 2.11</w:t>
      </w:r>
      <w:r w:rsidRPr="00226A2A">
        <w:rPr>
          <w:rFonts w:ascii="Times New Roman" w:hAnsi="Times New Roman"/>
          <w:sz w:val="28"/>
          <w:szCs w:val="28"/>
        </w:rPr>
        <w:t>.</w:t>
      </w:r>
    </w:p>
    <w:p w:rsidR="00197F9A" w:rsidRDefault="00197F9A" w:rsidP="00197F9A">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Проведений аналіз додаткових показників ліквідності демонструє важливість розрахунків й інших показників ліквідності Банку, окрім тих, що є обов’язковими нормативами та встановлені регулятором. Метою даного аналізу є отримання більш детальної інформації щодо фінансового стану АТ «Ідея Банк». Безумовно, впровадження нормативів ліквідності LCR та NSFR забезпечує наближення національного управління ліквідністю до вимог і стандартів Європейського Союзу та фінансової стабільності банку. </w:t>
      </w:r>
    </w:p>
    <w:p w:rsidR="007242E4" w:rsidRDefault="007242E4" w:rsidP="007242E4">
      <w:pPr>
        <w:spacing w:after="0" w:line="360" w:lineRule="auto"/>
        <w:ind w:firstLine="709"/>
        <w:jc w:val="center"/>
        <w:rPr>
          <w:rFonts w:ascii="Times New Roman" w:hAnsi="Times New Roman"/>
          <w:sz w:val="28"/>
          <w:szCs w:val="28"/>
        </w:rPr>
      </w:pPr>
      <w:r>
        <w:rPr>
          <w:noProof/>
          <w:lang w:eastAsia="uk-UA"/>
        </w:rPr>
        <w:lastRenderedPageBreak/>
        <w:drawing>
          <wp:inline distT="0" distB="0" distL="0" distR="0" wp14:anchorId="67DBE046" wp14:editId="7BC323A2">
            <wp:extent cx="4587240" cy="2964180"/>
            <wp:effectExtent l="0" t="0" r="3810" b="7620"/>
            <wp:docPr id="247"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242E4" w:rsidRDefault="007242E4" w:rsidP="007242E4">
      <w:pPr>
        <w:spacing w:after="0" w:line="360" w:lineRule="auto"/>
        <w:ind w:firstLine="709"/>
        <w:jc w:val="center"/>
        <w:rPr>
          <w:rFonts w:ascii="Times New Roman" w:hAnsi="Times New Roman"/>
          <w:sz w:val="28"/>
          <w:szCs w:val="28"/>
        </w:rPr>
      </w:pPr>
      <w:r w:rsidRPr="007242E4">
        <w:rPr>
          <w:rFonts w:ascii="Times New Roman" w:hAnsi="Times New Roman"/>
          <w:sz w:val="28"/>
          <w:szCs w:val="28"/>
        </w:rPr>
        <w:t>Рис. 2.11. Динаміка додаткових нормативів ліквідності АТ «Ідея Банк» за період з 2017 по 2021 роки</w:t>
      </w:r>
    </w:p>
    <w:p w:rsidR="00197F9A" w:rsidRDefault="00197F9A" w:rsidP="00197F9A">
      <w:pPr>
        <w:spacing w:before="120" w:after="0" w:line="360" w:lineRule="auto"/>
        <w:ind w:firstLine="709"/>
        <w:jc w:val="both"/>
        <w:rPr>
          <w:rFonts w:ascii="Times New Roman" w:hAnsi="Times New Roman"/>
          <w:sz w:val="28"/>
          <w:szCs w:val="28"/>
        </w:rPr>
      </w:pPr>
      <w:r>
        <w:rPr>
          <w:rFonts w:ascii="Times New Roman" w:hAnsi="Times New Roman"/>
          <w:sz w:val="28"/>
          <w:szCs w:val="28"/>
        </w:rPr>
        <w:t>Проте, розглянувши на прикладі АТ «Ідея Банк» інші підходи до оцінки та управління ліквідністю, доходимо висновку, що Банк виконує усі нормативи ліквідності, які встановлені НБУ, але за іншими показники не досягає встановлених (рекомендованих) нормативних значень. А отже існуючий інструментарій управління ліквідністю Банку потребує удосконалення.</w:t>
      </w:r>
    </w:p>
    <w:p w:rsidR="00475D52" w:rsidRDefault="00475D52" w:rsidP="00FE047D">
      <w:pPr>
        <w:spacing w:after="0" w:line="360" w:lineRule="auto"/>
        <w:ind w:firstLine="709"/>
        <w:jc w:val="both"/>
        <w:rPr>
          <w:rFonts w:ascii="Times New Roman" w:hAnsi="Times New Roman"/>
          <w:b/>
          <w:sz w:val="28"/>
          <w:szCs w:val="28"/>
        </w:rPr>
      </w:pPr>
    </w:p>
    <w:p w:rsidR="00475D52" w:rsidRDefault="00475D52" w:rsidP="00FE047D">
      <w:pPr>
        <w:spacing w:after="0" w:line="360" w:lineRule="auto"/>
        <w:ind w:firstLine="709"/>
        <w:jc w:val="both"/>
        <w:rPr>
          <w:rFonts w:ascii="Times New Roman" w:hAnsi="Times New Roman"/>
          <w:b/>
          <w:sz w:val="28"/>
          <w:szCs w:val="28"/>
        </w:rPr>
      </w:pPr>
    </w:p>
    <w:p w:rsidR="00FE047D" w:rsidRDefault="00FE047D" w:rsidP="00FE047D">
      <w:pPr>
        <w:spacing w:after="0" w:line="360" w:lineRule="auto"/>
        <w:ind w:firstLine="709"/>
        <w:jc w:val="both"/>
        <w:rPr>
          <w:rFonts w:ascii="Times New Roman" w:hAnsi="Times New Roman"/>
          <w:sz w:val="28"/>
          <w:szCs w:val="28"/>
        </w:rPr>
      </w:pPr>
      <w:r w:rsidRPr="00475D52">
        <w:rPr>
          <w:rFonts w:ascii="Times New Roman" w:hAnsi="Times New Roman"/>
          <w:sz w:val="28"/>
          <w:szCs w:val="28"/>
        </w:rPr>
        <w:t>2.3. Оцінка ефективності управління ліквідністю комерційного банку на прикладі АТ «Ідея Банк»</w:t>
      </w:r>
    </w:p>
    <w:p w:rsidR="009C37F9" w:rsidRPr="00475D52" w:rsidRDefault="009C37F9" w:rsidP="00FE047D">
      <w:pPr>
        <w:spacing w:after="0" w:line="360" w:lineRule="auto"/>
        <w:ind w:firstLine="709"/>
        <w:jc w:val="both"/>
        <w:rPr>
          <w:rFonts w:ascii="Times New Roman" w:hAnsi="Times New Roman"/>
          <w:sz w:val="28"/>
          <w:szCs w:val="28"/>
        </w:rPr>
      </w:pP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t xml:space="preserve">Банківські інституції на сьогодні - це невід’ємна складова будь-якої сучасної держави, будь це країна з високим рівнем розвитку, з середнім чи низьким. Нині вже складно уявити будь-які фінансові операції на </w:t>
      </w:r>
      <w:proofErr w:type="spellStart"/>
      <w:r w:rsidRPr="00FE047D">
        <w:rPr>
          <w:rFonts w:ascii="Times New Roman" w:hAnsi="Times New Roman"/>
          <w:sz w:val="28"/>
          <w:szCs w:val="28"/>
        </w:rPr>
        <w:t>макро</w:t>
      </w:r>
      <w:proofErr w:type="spellEnd"/>
      <w:r w:rsidRPr="00FE047D">
        <w:rPr>
          <w:rFonts w:ascii="Times New Roman" w:hAnsi="Times New Roman"/>
          <w:sz w:val="28"/>
          <w:szCs w:val="28"/>
        </w:rPr>
        <w:t>- (рівень держави, рівень світового господарства) та на мікрорівні (рівень фізичної та юридичної особи) без функціонування комерційних банківських установ. Важливість комерційних банківських установ для світового господарства, держави, окремих юридичних та фізичних осіб провокує необхідність посиленого контролю д</w:t>
      </w:r>
      <w:r w:rsidR="00F91654">
        <w:rPr>
          <w:rFonts w:ascii="Times New Roman" w:hAnsi="Times New Roman"/>
          <w:sz w:val="28"/>
          <w:szCs w:val="28"/>
        </w:rPr>
        <w:t>іяльності комерційних банків [60</w:t>
      </w:r>
      <w:r w:rsidRPr="00FE047D">
        <w:rPr>
          <w:rFonts w:ascii="Times New Roman" w:hAnsi="Times New Roman"/>
          <w:sz w:val="28"/>
          <w:szCs w:val="28"/>
        </w:rPr>
        <w:t>].</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lastRenderedPageBreak/>
        <w:t>Керівництво АТ «Ідея Банк» постійно здійснює оцінку ризику ліквідності шляхом виявлення і моніторингу змін у фінансуванні, необхідному для підтримання ліквідності на рівні, передбаченому вимогами НБУ. Підхід керівництва до управління ліквідністю полягає у тому, щоб забезпечити, по мірі можливості, постійний достатній рівень ліквідності для погашення зобов’язань у належні строки, як за звичайних, так і за надзвичайних умов, без понесення неприйнятних збитків або ризику для репутації Банку. Політика щодо ліквідності щорічно переглядається та затверджу</w:t>
      </w:r>
      <w:r w:rsidR="00F91654">
        <w:rPr>
          <w:rFonts w:ascii="Times New Roman" w:hAnsi="Times New Roman"/>
          <w:sz w:val="28"/>
          <w:szCs w:val="28"/>
        </w:rPr>
        <w:t>ється Наглядовою радою Банку [51</w:t>
      </w:r>
      <w:r w:rsidRPr="00FE047D">
        <w:rPr>
          <w:rFonts w:ascii="Times New Roman" w:hAnsi="Times New Roman"/>
          <w:sz w:val="28"/>
          <w:szCs w:val="28"/>
        </w:rPr>
        <w:t>].</w:t>
      </w:r>
    </w:p>
    <w:p w:rsidR="00FE047D" w:rsidRPr="00FE047D" w:rsidRDefault="00FE047D" w:rsidP="00FE047D">
      <w:pPr>
        <w:spacing w:after="0" w:line="360" w:lineRule="auto"/>
        <w:jc w:val="both"/>
        <w:rPr>
          <w:rFonts w:ascii="Times New Roman" w:hAnsi="Times New Roman"/>
          <w:sz w:val="28"/>
          <w:szCs w:val="28"/>
          <w:highlight w:val="green"/>
        </w:rPr>
      </w:pPr>
      <w:r w:rsidRPr="00FE047D">
        <w:rPr>
          <w:noProof/>
          <w:lang w:eastAsia="uk-UA"/>
        </w:rPr>
        <mc:AlternateContent>
          <mc:Choice Requires="wpc">
            <w:drawing>
              <wp:inline distT="0" distB="0" distL="0" distR="0" wp14:anchorId="44B07A74" wp14:editId="37B32FCC">
                <wp:extent cx="6080760" cy="5151120"/>
                <wp:effectExtent l="0" t="0" r="0" b="1905"/>
                <wp:docPr id="284" name="Полотно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8" name="Прямоугольник 39"/>
                        <wps:cNvSpPr>
                          <a:spLocks noChangeArrowheads="1"/>
                        </wps:cNvSpPr>
                        <wps:spPr bwMode="auto">
                          <a:xfrm>
                            <a:off x="1394414" y="91400"/>
                            <a:ext cx="3261432" cy="50290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FE047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Методи управління ризиком ліквідності, які застосовує АТ «Ідея Банк»</w:t>
                              </w:r>
                            </w:p>
                          </w:txbxContent>
                        </wps:txbx>
                        <wps:bodyPr rot="0" vert="horz" wrap="square" lIns="91440" tIns="45720" rIns="91440" bIns="45720" anchor="ctr" anchorCtr="0" upright="1">
                          <a:noAutofit/>
                        </wps:bodyPr>
                      </wps:wsp>
                      <wps:wsp>
                        <wps:cNvPr id="249" name="Прямоугольник 44"/>
                        <wps:cNvSpPr>
                          <a:spLocks noChangeArrowheads="1"/>
                        </wps:cNvSpPr>
                        <wps:spPr bwMode="auto">
                          <a:xfrm>
                            <a:off x="480005" y="815303"/>
                            <a:ext cx="2126021" cy="274301"/>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Нормативний</w:t>
                              </w:r>
                            </w:p>
                          </w:txbxContent>
                        </wps:txbx>
                        <wps:bodyPr rot="0" vert="horz" wrap="square" lIns="91440" tIns="45720" rIns="91440" bIns="45720" anchor="ctr" anchorCtr="0" upright="1">
                          <a:noAutofit/>
                        </wps:bodyPr>
                      </wps:wsp>
                      <wps:wsp>
                        <wps:cNvPr id="250" name="Прямоугольник 48"/>
                        <wps:cNvSpPr>
                          <a:spLocks noChangeArrowheads="1"/>
                        </wps:cNvSpPr>
                        <wps:spPr bwMode="auto">
                          <a:xfrm>
                            <a:off x="678107" y="1356305"/>
                            <a:ext cx="1760317" cy="342901"/>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норматив Н6</w:t>
                              </w:r>
                            </w:p>
                          </w:txbxContent>
                        </wps:txbx>
                        <wps:bodyPr rot="0" vert="horz" wrap="square" lIns="91440" tIns="45720" rIns="91440" bIns="45720" anchor="ctr" anchorCtr="0" upright="1">
                          <a:noAutofit/>
                        </wps:bodyPr>
                      </wps:wsp>
                      <wps:wsp>
                        <wps:cNvPr id="251" name="Прямая соединительная линия 49"/>
                        <wps:cNvCnPr>
                          <a:cxnSpLocks noChangeShapeType="1"/>
                        </wps:cNvCnPr>
                        <wps:spPr bwMode="auto">
                          <a:xfrm>
                            <a:off x="312403" y="1524006"/>
                            <a:ext cx="365704" cy="38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52" name="Прямая соединительная линия 50"/>
                        <wps:cNvCnPr>
                          <a:cxnSpLocks noChangeShapeType="1"/>
                        </wps:cNvCnPr>
                        <wps:spPr bwMode="auto">
                          <a:xfrm>
                            <a:off x="312403" y="1527806"/>
                            <a:ext cx="0" cy="560002"/>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53" name="Прямоугольник 52"/>
                        <wps:cNvSpPr>
                          <a:spLocks noChangeArrowheads="1"/>
                        </wps:cNvSpPr>
                        <wps:spPr bwMode="auto">
                          <a:xfrm>
                            <a:off x="678107" y="1833507"/>
                            <a:ext cx="1760317" cy="49060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FE047D">
                              <w:pPr>
                                <w:pStyle w:val="a3"/>
                                <w:spacing w:before="0" w:beforeAutospacing="0" w:after="160" w:afterAutospacing="0" w:line="254" w:lineRule="auto"/>
                                <w:jc w:val="center"/>
                              </w:pPr>
                              <w:r>
                                <w:rPr>
                                  <w:rFonts w:eastAsia="Calibri"/>
                                  <w:color w:val="000000"/>
                                  <w:sz w:val="22"/>
                                  <w:szCs w:val="22"/>
                                </w:rPr>
                                <w:t>коефіцієнта покриття ліквідністю (LCR)</w:t>
                              </w:r>
                            </w:p>
                          </w:txbxContent>
                        </wps:txbx>
                        <wps:bodyPr rot="0" vert="horz" wrap="square" lIns="91440" tIns="45720" rIns="91440" bIns="45720" anchor="ctr" anchorCtr="0" upright="1">
                          <a:noAutofit/>
                        </wps:bodyPr>
                      </wps:wsp>
                      <wps:wsp>
                        <wps:cNvPr id="254" name="Прямая соединительная линия 53"/>
                        <wps:cNvCnPr>
                          <a:cxnSpLocks noChangeShapeType="1"/>
                        </wps:cNvCnPr>
                        <wps:spPr bwMode="auto">
                          <a:xfrm>
                            <a:off x="312403" y="2078808"/>
                            <a:ext cx="365704"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55" name="Прямоугольник 54"/>
                        <wps:cNvSpPr>
                          <a:spLocks noChangeArrowheads="1"/>
                        </wps:cNvSpPr>
                        <wps:spPr bwMode="auto">
                          <a:xfrm>
                            <a:off x="678107" y="2478310"/>
                            <a:ext cx="1760317" cy="58960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FE047D">
                              <w:pPr>
                                <w:pStyle w:val="a3"/>
                                <w:spacing w:before="0" w:beforeAutospacing="0" w:after="160" w:afterAutospacing="0" w:line="252" w:lineRule="auto"/>
                                <w:jc w:val="center"/>
                              </w:pPr>
                              <w:r>
                                <w:rPr>
                                  <w:rFonts w:eastAsia="Calibri"/>
                                  <w:color w:val="000000"/>
                                  <w:sz w:val="22"/>
                                  <w:szCs w:val="22"/>
                                </w:rPr>
                                <w:t>коефіцієнт чистого стабільного фінансування (NSFR)</w:t>
                              </w:r>
                            </w:p>
                          </w:txbxContent>
                        </wps:txbx>
                        <wps:bodyPr rot="0" vert="horz" wrap="square" lIns="91440" tIns="45720" rIns="91440" bIns="45720" anchor="ctr" anchorCtr="0" upright="1">
                          <a:noAutofit/>
                        </wps:bodyPr>
                      </wps:wsp>
                      <wps:wsp>
                        <wps:cNvPr id="256" name="Прямая соединительная линия 55"/>
                        <wps:cNvCnPr>
                          <a:cxnSpLocks noChangeShapeType="1"/>
                        </wps:cNvCnPr>
                        <wps:spPr bwMode="auto">
                          <a:xfrm>
                            <a:off x="312403" y="2078808"/>
                            <a:ext cx="0" cy="679603"/>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57" name="Прямая соединительная линия 56"/>
                        <wps:cNvCnPr>
                          <a:cxnSpLocks noChangeShapeType="1"/>
                        </wps:cNvCnPr>
                        <wps:spPr bwMode="auto">
                          <a:xfrm>
                            <a:off x="312403" y="2758411"/>
                            <a:ext cx="365704"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58" name="Прямая со стрелкой 58"/>
                        <wps:cNvCnPr>
                          <a:cxnSpLocks noChangeShapeType="1"/>
                        </wps:cNvCnPr>
                        <wps:spPr bwMode="auto">
                          <a:xfrm>
                            <a:off x="1504915" y="1089604"/>
                            <a:ext cx="0" cy="266701"/>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59" name="Прямая соединительная линия 61"/>
                        <wps:cNvCnPr>
                          <a:cxnSpLocks noChangeShapeType="1"/>
                        </wps:cNvCnPr>
                        <wps:spPr bwMode="auto">
                          <a:xfrm>
                            <a:off x="4655846" y="346701"/>
                            <a:ext cx="899109"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60" name="Прямая соединительная линия 62"/>
                        <wps:cNvCnPr>
                          <a:cxnSpLocks noChangeShapeType="1"/>
                        </wps:cNvCnPr>
                        <wps:spPr bwMode="auto">
                          <a:xfrm>
                            <a:off x="5547355" y="350501"/>
                            <a:ext cx="7600" cy="602002"/>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61" name="Прямоугольник 63"/>
                        <wps:cNvSpPr>
                          <a:spLocks noChangeArrowheads="1"/>
                        </wps:cNvSpPr>
                        <wps:spPr bwMode="auto">
                          <a:xfrm>
                            <a:off x="3284232" y="815303"/>
                            <a:ext cx="2057420" cy="274301"/>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індикативний метод</w:t>
                              </w:r>
                            </w:p>
                          </w:txbxContent>
                        </wps:txbx>
                        <wps:bodyPr rot="0" vert="horz" wrap="square" lIns="91440" tIns="45720" rIns="91440" bIns="45720" anchor="ctr" anchorCtr="0" upright="1">
                          <a:noAutofit/>
                        </wps:bodyPr>
                      </wps:wsp>
                      <wps:wsp>
                        <wps:cNvPr id="262" name="Прямая соединительная линия 64"/>
                        <wps:cNvCnPr>
                          <a:cxnSpLocks noChangeShapeType="1"/>
                        </wps:cNvCnPr>
                        <wps:spPr bwMode="auto">
                          <a:xfrm flipH="1">
                            <a:off x="5341653" y="952504"/>
                            <a:ext cx="213302"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63" name="Прямоугольник 65"/>
                        <wps:cNvSpPr>
                          <a:spLocks noChangeArrowheads="1"/>
                        </wps:cNvSpPr>
                        <wps:spPr bwMode="auto">
                          <a:xfrm>
                            <a:off x="3284232" y="1237705"/>
                            <a:ext cx="2057420" cy="59580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метод аналізу грошових потоків Банку (</w:t>
                              </w:r>
                              <w:proofErr w:type="spellStart"/>
                              <w:r>
                                <w:rPr>
                                  <w:rFonts w:ascii="Times New Roman" w:hAnsi="Times New Roman"/>
                                  <w:color w:val="000000" w:themeColor="text1"/>
                                </w:rPr>
                                <w:t>cash-flow</w:t>
                              </w:r>
                              <w:proofErr w:type="spellEnd"/>
                              <w:r>
                                <w:rPr>
                                  <w:rFonts w:ascii="Times New Roman" w:hAnsi="Times New Roman"/>
                                  <w:color w:val="000000" w:themeColor="text1"/>
                                </w:rPr>
                                <w:t xml:space="preserve"> аналіз)</w:t>
                              </w:r>
                            </w:p>
                          </w:txbxContent>
                        </wps:txbx>
                        <wps:bodyPr rot="0" vert="horz" wrap="square" lIns="91440" tIns="45720" rIns="91440" bIns="45720" anchor="ctr" anchorCtr="0" upright="1">
                          <a:noAutofit/>
                        </wps:bodyPr>
                      </wps:wsp>
                      <wps:wsp>
                        <wps:cNvPr id="264" name="Прямая соединительная линия 66"/>
                        <wps:cNvCnPr>
                          <a:cxnSpLocks noChangeShapeType="1"/>
                        </wps:cNvCnPr>
                        <wps:spPr bwMode="auto">
                          <a:xfrm>
                            <a:off x="5554955" y="952504"/>
                            <a:ext cx="0" cy="541002"/>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65" name="Прямая соединительная линия 68"/>
                        <wps:cNvCnPr>
                          <a:cxnSpLocks noChangeShapeType="1"/>
                        </wps:cNvCnPr>
                        <wps:spPr bwMode="auto">
                          <a:xfrm flipH="1">
                            <a:off x="5334053" y="1501106"/>
                            <a:ext cx="213302"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66" name="Прямоугольник 69"/>
                        <wps:cNvSpPr>
                          <a:spLocks noChangeArrowheads="1"/>
                        </wps:cNvSpPr>
                        <wps:spPr bwMode="auto">
                          <a:xfrm>
                            <a:off x="3284232" y="1988808"/>
                            <a:ext cx="2057420" cy="59150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метод аналізу геп-розривів в строках погашення вимог і зобов’язань</w:t>
                              </w:r>
                            </w:p>
                          </w:txbxContent>
                        </wps:txbx>
                        <wps:bodyPr rot="0" vert="horz" wrap="square" lIns="91440" tIns="45720" rIns="91440" bIns="45720" anchor="ctr" anchorCtr="0" upright="1">
                          <a:noAutofit/>
                        </wps:bodyPr>
                      </wps:wsp>
                      <wps:wsp>
                        <wps:cNvPr id="267" name="Прямая соединительная линия 70"/>
                        <wps:cNvCnPr>
                          <a:cxnSpLocks noChangeShapeType="1"/>
                        </wps:cNvCnPr>
                        <wps:spPr bwMode="auto">
                          <a:xfrm>
                            <a:off x="5554955" y="1493506"/>
                            <a:ext cx="0" cy="716303"/>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68" name="Прямая соединительная линия 71"/>
                        <wps:cNvCnPr>
                          <a:cxnSpLocks noChangeShapeType="1"/>
                        </wps:cNvCnPr>
                        <wps:spPr bwMode="auto">
                          <a:xfrm flipH="1">
                            <a:off x="5334053" y="2209809"/>
                            <a:ext cx="213302"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69" name="Прямоугольник 72"/>
                        <wps:cNvSpPr>
                          <a:spLocks noChangeArrowheads="1"/>
                        </wps:cNvSpPr>
                        <wps:spPr bwMode="auto">
                          <a:xfrm>
                            <a:off x="3284232" y="2689810"/>
                            <a:ext cx="2057420" cy="449602"/>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метод прогнозування ліквідної позиції Банк</w:t>
                              </w:r>
                            </w:p>
                          </w:txbxContent>
                        </wps:txbx>
                        <wps:bodyPr rot="0" vert="horz" wrap="square" lIns="91440" tIns="45720" rIns="91440" bIns="45720" anchor="ctr" anchorCtr="0" upright="1">
                          <a:noAutofit/>
                        </wps:bodyPr>
                      </wps:wsp>
                      <wps:wsp>
                        <wps:cNvPr id="270" name="Прямая соединительная линия 73"/>
                        <wps:cNvCnPr>
                          <a:cxnSpLocks noChangeShapeType="1"/>
                        </wps:cNvCnPr>
                        <wps:spPr bwMode="auto">
                          <a:xfrm flipH="1">
                            <a:off x="5547355" y="2209809"/>
                            <a:ext cx="7600" cy="704803"/>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71" name="Прямая соединительная линия 74"/>
                        <wps:cNvCnPr>
                          <a:cxnSpLocks noChangeShapeType="1"/>
                        </wps:cNvCnPr>
                        <wps:spPr bwMode="auto">
                          <a:xfrm flipH="1">
                            <a:off x="5341653" y="2910811"/>
                            <a:ext cx="213302" cy="380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72" name="Прямоугольник 76"/>
                        <wps:cNvSpPr>
                          <a:spLocks noChangeArrowheads="1"/>
                        </wps:cNvSpPr>
                        <wps:spPr bwMode="auto">
                          <a:xfrm>
                            <a:off x="3284232" y="3322313"/>
                            <a:ext cx="2057420" cy="289501"/>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метод аналізу депозитної бази</w:t>
                              </w:r>
                            </w:p>
                          </w:txbxContent>
                        </wps:txbx>
                        <wps:bodyPr rot="0" vert="horz" wrap="square" lIns="91440" tIns="45720" rIns="91440" bIns="45720" anchor="ctr" anchorCtr="0" upright="1">
                          <a:noAutofit/>
                        </wps:bodyPr>
                      </wps:wsp>
                      <wps:wsp>
                        <wps:cNvPr id="273" name="Прямая соединительная линия 77"/>
                        <wps:cNvCnPr>
                          <a:cxnSpLocks noChangeShapeType="1"/>
                        </wps:cNvCnPr>
                        <wps:spPr bwMode="auto">
                          <a:xfrm>
                            <a:off x="5547355" y="2910811"/>
                            <a:ext cx="7600" cy="518202"/>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74" name="Прямая соединительная линия 78"/>
                        <wps:cNvCnPr>
                          <a:cxnSpLocks noChangeShapeType="1"/>
                        </wps:cNvCnPr>
                        <wps:spPr bwMode="auto">
                          <a:xfrm flipH="1">
                            <a:off x="5341653" y="3429013"/>
                            <a:ext cx="213302"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75" name="Прямоугольник 80"/>
                        <wps:cNvSpPr>
                          <a:spLocks noChangeArrowheads="1"/>
                        </wps:cNvSpPr>
                        <wps:spPr bwMode="auto">
                          <a:xfrm>
                            <a:off x="3284232" y="3726114"/>
                            <a:ext cx="2057420" cy="64770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метод аналізу залежності Банку від міжбанківського фінансування</w:t>
                              </w:r>
                            </w:p>
                          </w:txbxContent>
                        </wps:txbx>
                        <wps:bodyPr rot="0" vert="horz" wrap="square" lIns="91440" tIns="45720" rIns="91440" bIns="45720" anchor="ctr" anchorCtr="0" upright="1">
                          <a:noAutofit/>
                        </wps:bodyPr>
                      </wps:wsp>
                      <wps:wsp>
                        <wps:cNvPr id="276" name="Прямая соединительная линия 81"/>
                        <wps:cNvCnPr>
                          <a:cxnSpLocks noChangeShapeType="1"/>
                        </wps:cNvCnPr>
                        <wps:spPr bwMode="auto">
                          <a:xfrm>
                            <a:off x="5554955" y="3429013"/>
                            <a:ext cx="0" cy="601902"/>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77" name="Прямая соединительная линия 82"/>
                        <wps:cNvCnPr>
                          <a:cxnSpLocks noChangeShapeType="1"/>
                        </wps:cNvCnPr>
                        <wps:spPr bwMode="auto">
                          <a:xfrm flipH="1">
                            <a:off x="5341653" y="4030916"/>
                            <a:ext cx="213302"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78" name="Прямоугольник 83"/>
                        <wps:cNvSpPr>
                          <a:spLocks noChangeArrowheads="1"/>
                        </wps:cNvSpPr>
                        <wps:spPr bwMode="auto">
                          <a:xfrm>
                            <a:off x="83801" y="4282417"/>
                            <a:ext cx="2750827" cy="68580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F821E3" w:rsidRDefault="00F821E3" w:rsidP="00FE047D">
                              <w:pPr>
                                <w:spacing w:after="0"/>
                                <w:jc w:val="center"/>
                                <w:rPr>
                                  <w:rFonts w:ascii="Times New Roman" w:hAnsi="Times New Roman"/>
                                  <w:color w:val="000000" w:themeColor="text1"/>
                                </w:rPr>
                              </w:pPr>
                              <w:r>
                                <w:rPr>
                                  <w:rFonts w:ascii="Times New Roman" w:hAnsi="Times New Roman"/>
                                  <w:color w:val="000000" w:themeColor="text1"/>
                                </w:rPr>
                                <w:t>аналіз ризику ліквідності в межах операційного дня – методи, які застосовує</w:t>
                              </w:r>
                            </w:p>
                            <w:p w:rsidR="00F821E3" w:rsidRDefault="00F821E3" w:rsidP="00FE047D">
                              <w:pPr>
                                <w:spacing w:after="0"/>
                                <w:jc w:val="center"/>
                                <w:rPr>
                                  <w:rFonts w:ascii="Times New Roman" w:hAnsi="Times New Roman"/>
                                  <w:color w:val="000000" w:themeColor="text1"/>
                                </w:rPr>
                              </w:pPr>
                              <w:r>
                                <w:rPr>
                                  <w:rFonts w:ascii="Times New Roman" w:hAnsi="Times New Roman"/>
                                  <w:color w:val="000000" w:themeColor="text1"/>
                                </w:rPr>
                                <w:t>Департамент Казначейства</w:t>
                              </w:r>
                            </w:p>
                          </w:txbxContent>
                        </wps:txbx>
                        <wps:bodyPr rot="0" vert="horz" wrap="square" lIns="91440" tIns="45720" rIns="91440" bIns="45720" anchor="ctr" anchorCtr="0" upright="1">
                          <a:noAutofit/>
                        </wps:bodyPr>
                      </wps:wsp>
                      <wps:wsp>
                        <wps:cNvPr id="279" name="Прямая соединительная линия 84"/>
                        <wps:cNvCnPr>
                          <a:cxnSpLocks noChangeShapeType="1"/>
                        </wps:cNvCnPr>
                        <wps:spPr bwMode="auto">
                          <a:xfrm>
                            <a:off x="5554955" y="4030916"/>
                            <a:ext cx="0" cy="495302"/>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80" name="Прямая соединительная линия 85"/>
                        <wps:cNvCnPr>
                          <a:cxnSpLocks noChangeShapeType="1"/>
                        </wps:cNvCnPr>
                        <wps:spPr bwMode="auto">
                          <a:xfrm>
                            <a:off x="2834628" y="4526218"/>
                            <a:ext cx="2720327"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81" name="Прямая соединительная линия 87"/>
                        <wps:cNvCnPr>
                          <a:cxnSpLocks noChangeShapeType="1"/>
                        </wps:cNvCnPr>
                        <wps:spPr bwMode="auto">
                          <a:xfrm flipH="1">
                            <a:off x="236202" y="350501"/>
                            <a:ext cx="1158211"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82" name="Прямая соединительная линия 88"/>
                        <wps:cNvCnPr>
                          <a:cxnSpLocks noChangeShapeType="1"/>
                        </wps:cNvCnPr>
                        <wps:spPr bwMode="auto">
                          <a:xfrm>
                            <a:off x="236202" y="350501"/>
                            <a:ext cx="0" cy="602002"/>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83" name="Прямая соединительная линия 89"/>
                        <wps:cNvCnPr>
                          <a:cxnSpLocks noChangeShapeType="1"/>
                        </wps:cNvCnPr>
                        <wps:spPr bwMode="auto">
                          <a:xfrm>
                            <a:off x="236202" y="952504"/>
                            <a:ext cx="243802" cy="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4B07A74" id="Полотно 32" o:spid="_x0000_s1276" editas="canvas" style="width:478.8pt;height:405.6pt;mso-position-horizontal-relative:char;mso-position-vertical-relative:line" coordsize="60807,5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">
                <v:shape id="_x0000_s1277" type="#_x0000_t75" style="position:absolute;width:60807;height:51511;visibility:visible;mso-wrap-style:square">
                  <v:fill o:detectmouseclick="t"/>
                  <v:path o:connecttype="none"/>
                </v:shape>
                <v:rect id="Прямоугольник 39" o:spid="_x0000_s1278" style="position:absolute;left:13944;top:914;width:32614;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" strokeweight="1pt">
                  <v:textbox>
                    <w:txbxContent>
                      <w:p w:rsidR="00F821E3" w:rsidRDefault="00F821E3" w:rsidP="00FE047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Методи управління ризиком ліквідності, які застосовує АТ «Ідея Банк»</w:t>
                        </w:r>
                      </w:p>
                    </w:txbxContent>
                  </v:textbox>
                </v:rect>
                <v:rect id="Прямоугольник 44" o:spid="_x0000_s1279" style="position:absolute;left:4800;top:8153;width:2126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" strokeweight="1pt">
                  <v:textbo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Нормативний</w:t>
                        </w:r>
                      </w:p>
                    </w:txbxContent>
                  </v:textbox>
                </v:rect>
                <v:rect id="Прямоугольник 48" o:spid="_x0000_s1280" style="position:absolute;left:6781;top:13563;width:1760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" strokeweight="1pt">
                  <v:textbo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норматив Н6</w:t>
                        </w:r>
                      </w:p>
                    </w:txbxContent>
                  </v:textbox>
                </v:rect>
                <v:line id="Прямая соединительная линия 49" o:spid="_x0000_s1281" style="position:absolute;visibility:visible;mso-wrap-style:square" from="3124,15240" to="6781,1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" strokeweight=".5pt">
                  <v:stroke joinstyle="miter"/>
                </v:line>
                <v:line id="Прямая соединительная линия 50" o:spid="_x0000_s1282" style="position:absolute;visibility:visible;mso-wrap-style:square" from="3124,15278" to="3124,2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" strokeweight=".5pt">
                  <v:stroke joinstyle="miter"/>
                </v:line>
                <v:rect id="Прямоугольник 52" o:spid="_x0000_s1283" style="position:absolute;left:6781;top:18335;width:17603;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" strokeweight="1pt">
                  <v:textbox>
                    <w:txbxContent>
                      <w:p w:rsidR="00F821E3" w:rsidRDefault="00F821E3" w:rsidP="00FE047D">
                        <w:pPr>
                          <w:pStyle w:val="a3"/>
                          <w:spacing w:before="0" w:beforeAutospacing="0" w:after="160" w:afterAutospacing="0" w:line="254" w:lineRule="auto"/>
                          <w:jc w:val="center"/>
                        </w:pPr>
                        <w:r>
                          <w:rPr>
                            <w:rFonts w:eastAsia="Calibri"/>
                            <w:color w:val="000000"/>
                            <w:sz w:val="22"/>
                            <w:szCs w:val="22"/>
                          </w:rPr>
                          <w:t>коефіцієнта покриття ліквідністю (LCR)</w:t>
                        </w:r>
                      </w:p>
                    </w:txbxContent>
                  </v:textbox>
                </v:rect>
                <v:line id="Прямая соединительная линия 53" o:spid="_x0000_s1284" style="position:absolute;visibility:visible;mso-wrap-style:square" from="3124,20788" to="6781,2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" strokeweight=".5pt">
                  <v:stroke joinstyle="miter"/>
                </v:line>
                <v:rect id="Прямоугольник 54" o:spid="_x0000_s1285" style="position:absolute;left:6781;top:24783;width:17603;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" strokeweight="1pt">
                  <v:textbox>
                    <w:txbxContent>
                      <w:p w:rsidR="00F821E3" w:rsidRDefault="00F821E3" w:rsidP="00FE047D">
                        <w:pPr>
                          <w:pStyle w:val="a3"/>
                          <w:spacing w:before="0" w:beforeAutospacing="0" w:after="160" w:afterAutospacing="0" w:line="252" w:lineRule="auto"/>
                          <w:jc w:val="center"/>
                        </w:pPr>
                        <w:r>
                          <w:rPr>
                            <w:rFonts w:eastAsia="Calibri"/>
                            <w:color w:val="000000"/>
                            <w:sz w:val="22"/>
                            <w:szCs w:val="22"/>
                          </w:rPr>
                          <w:t>коефіцієнт чистого стабільного фінансування (NSFR)</w:t>
                        </w:r>
                      </w:p>
                    </w:txbxContent>
                  </v:textbox>
                </v:rect>
                <v:line id="Прямая соединительная линия 55" o:spid="_x0000_s1286" style="position:absolute;visibility:visible;mso-wrap-style:square" from="3124,20788" to="3124,2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" strokeweight=".5pt">
                  <v:stroke joinstyle="miter"/>
                </v:line>
                <v:line id="Прямая соединительная линия 56" o:spid="_x0000_s1287" style="position:absolute;visibility:visible;mso-wrap-style:square" from="3124,27584" to="6781,2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" strokeweight=".5pt">
                  <v:stroke joinstyle="miter"/>
                </v:line>
                <v:shape id="Прямая со стрелкой 58" o:spid="_x0000_s1288" type="#_x0000_t32" style="position:absolute;left:15049;top:10896;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" strokeweight=".5pt">
                  <v:stroke endarrow="block" joinstyle="miter"/>
                </v:shape>
                <v:line id="Прямая соединительная линия 61" o:spid="_x0000_s1289" style="position:absolute;visibility:visible;mso-wrap-style:square" from="46558,3467" to="55549,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" strokeweight=".5pt">
                  <v:stroke joinstyle="miter"/>
                </v:line>
                <v:line id="Прямая соединительная линия 62" o:spid="_x0000_s1290" style="position:absolute;visibility:visible;mso-wrap-style:square" from="55473,3505" to="5554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" strokeweight=".5pt">
                  <v:stroke joinstyle="miter"/>
                </v:line>
                <v:rect id="Прямоугольник 63" o:spid="_x0000_s1291" style="position:absolute;left:32842;top:8153;width:20574;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" strokeweight="1pt">
                  <v:textbo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індикативний метод</w:t>
                        </w:r>
                      </w:p>
                    </w:txbxContent>
                  </v:textbox>
                </v:rect>
                <v:line id="Прямая соединительная линия 64" o:spid="_x0000_s1292" style="position:absolute;flip:x;visibility:visible;mso-wrap-style:square" from="53416,9525" to="5554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" strokeweight=".5pt">
                  <v:stroke joinstyle="miter"/>
                </v:line>
                <v:rect id="Прямоугольник 65" o:spid="_x0000_s1293" style="position:absolute;left:32842;top:12377;width:20574;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" strokeweight="1pt">
                  <v:textbo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метод аналізу грошових потоків Банку (</w:t>
                        </w:r>
                        <w:proofErr w:type="spellStart"/>
                        <w:r>
                          <w:rPr>
                            <w:rFonts w:ascii="Times New Roman" w:hAnsi="Times New Roman"/>
                            <w:color w:val="000000" w:themeColor="text1"/>
                          </w:rPr>
                          <w:t>cash-flow</w:t>
                        </w:r>
                        <w:proofErr w:type="spellEnd"/>
                        <w:r>
                          <w:rPr>
                            <w:rFonts w:ascii="Times New Roman" w:hAnsi="Times New Roman"/>
                            <w:color w:val="000000" w:themeColor="text1"/>
                          </w:rPr>
                          <w:t xml:space="preserve"> аналіз)</w:t>
                        </w:r>
                      </w:p>
                    </w:txbxContent>
                  </v:textbox>
                </v:rect>
                <v:line id="Прямая соединительная линия 66" o:spid="_x0000_s1294" style="position:absolute;visibility:visible;mso-wrap-style:square" from="55549,9525" to="55549,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" strokeweight=".5pt">
                  <v:stroke joinstyle="miter"/>
                </v:line>
                <v:line id="Прямая соединительная линия 68" o:spid="_x0000_s1295" style="position:absolute;flip:x;visibility:visible;mso-wrap-style:square" from="53340,15011" to="55473,1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" strokeweight=".5pt">
                  <v:stroke joinstyle="miter"/>
                </v:line>
                <v:rect id="Прямоугольник 69" o:spid="_x0000_s1296" style="position:absolute;left:32842;top:19888;width:20574;height: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" strokeweight="1pt">
                  <v:textbo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метод аналізу геп-розривів в строках погашення вимог і зобов’язань</w:t>
                        </w:r>
                      </w:p>
                    </w:txbxContent>
                  </v:textbox>
                </v:rect>
                <v:line id="Прямая соединительная линия 70" o:spid="_x0000_s1297" style="position:absolute;visibility:visible;mso-wrap-style:square" from="55549,14935" to="55549,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" strokeweight=".5pt">
                  <v:stroke joinstyle="miter"/>
                </v:line>
                <v:line id="Прямая соединительная линия 71" o:spid="_x0000_s1298" style="position:absolute;flip:x;visibility:visible;mso-wrap-style:square" from="53340,22098" to="55473,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" strokeweight=".5pt">
                  <v:stroke joinstyle="miter"/>
                </v:line>
                <v:rect id="Прямоугольник 72" o:spid="_x0000_s1299" style="position:absolute;left:32842;top:26898;width:20574;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" strokeweight="1pt">
                  <v:textbo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метод прогнозування ліквідної позиції Банк</w:t>
                        </w:r>
                      </w:p>
                    </w:txbxContent>
                  </v:textbox>
                </v:rect>
                <v:line id="Прямая соединительная линия 73" o:spid="_x0000_s1300" style="position:absolute;flip:x;visibility:visible;mso-wrap-style:square" from="55473,22098" to="55549,2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" strokeweight=".5pt">
                  <v:stroke joinstyle="miter"/>
                </v:line>
                <v:line id="Прямая соединительная линия 74" o:spid="_x0000_s1301" style="position:absolute;flip:x;visibility:visible;mso-wrap-style:square" from="53416,29108" to="55549,2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" strokeweight=".5pt">
                  <v:stroke joinstyle="miter"/>
                </v:line>
                <v:rect id="Прямоугольник 76" o:spid="_x0000_s1302" style="position:absolute;left:32842;top:33223;width:20574;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" strokeweight="1pt">
                  <v:textbo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метод аналізу депозитної бази</w:t>
                        </w:r>
                      </w:p>
                    </w:txbxContent>
                  </v:textbox>
                </v:rect>
                <v:line id="Прямая соединительная линия 77" o:spid="_x0000_s1303" style="position:absolute;visibility:visible;mso-wrap-style:square" from="55473,29108" to="55549,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" strokeweight=".5pt">
                  <v:stroke joinstyle="miter"/>
                </v:line>
                <v:line id="Прямая соединительная линия 78" o:spid="_x0000_s1304" style="position:absolute;flip:x;visibility:visible;mso-wrap-style:square" from="53416,34290" to="55549,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" strokeweight=".5pt">
                  <v:stroke joinstyle="miter"/>
                </v:line>
                <v:rect id="Прямоугольник 80" o:spid="_x0000_s1305" style="position:absolute;left:32842;top:37261;width:2057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" strokeweight="1pt">
                  <v:textbox>
                    <w:txbxContent>
                      <w:p w:rsidR="00F821E3" w:rsidRDefault="00F821E3" w:rsidP="00FE047D">
                        <w:pPr>
                          <w:jc w:val="center"/>
                          <w:rPr>
                            <w:rFonts w:ascii="Times New Roman" w:hAnsi="Times New Roman"/>
                            <w:color w:val="000000" w:themeColor="text1"/>
                          </w:rPr>
                        </w:pPr>
                        <w:r>
                          <w:rPr>
                            <w:rFonts w:ascii="Times New Roman" w:hAnsi="Times New Roman"/>
                            <w:color w:val="000000" w:themeColor="text1"/>
                          </w:rPr>
                          <w:t>метод аналізу залежності Банку від міжбанківського фінансування</w:t>
                        </w:r>
                      </w:p>
                    </w:txbxContent>
                  </v:textbox>
                </v:rect>
                <v:line id="Прямая соединительная линия 81" o:spid="_x0000_s1306" style="position:absolute;visibility:visible;mso-wrap-style:square" from="55549,34290" to="55549,4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" strokeweight=".5pt">
                  <v:stroke joinstyle="miter"/>
                </v:line>
                <v:line id="Прямая соединительная линия 82" o:spid="_x0000_s1307" style="position:absolute;flip:x;visibility:visible;mso-wrap-style:square" from="53416,40309" to="55549,4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" strokeweight=".5pt">
                  <v:stroke joinstyle="miter"/>
                </v:line>
                <v:rect id="Прямоугольник 83" o:spid="_x0000_s1308" style="position:absolute;left:838;top:42824;width:2750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" strokeweight="1pt">
                  <v:textbox>
                    <w:txbxContent>
                      <w:p w:rsidR="00F821E3" w:rsidRDefault="00F821E3" w:rsidP="00FE047D">
                        <w:pPr>
                          <w:spacing w:after="0"/>
                          <w:jc w:val="center"/>
                          <w:rPr>
                            <w:rFonts w:ascii="Times New Roman" w:hAnsi="Times New Roman"/>
                            <w:color w:val="000000" w:themeColor="text1"/>
                          </w:rPr>
                        </w:pPr>
                        <w:r>
                          <w:rPr>
                            <w:rFonts w:ascii="Times New Roman" w:hAnsi="Times New Roman"/>
                            <w:color w:val="000000" w:themeColor="text1"/>
                          </w:rPr>
                          <w:t>аналіз ризику ліквідності в межах операційного дня – методи, які застосовує</w:t>
                        </w:r>
                      </w:p>
                      <w:p w:rsidR="00F821E3" w:rsidRDefault="00F821E3" w:rsidP="00FE047D">
                        <w:pPr>
                          <w:spacing w:after="0"/>
                          <w:jc w:val="center"/>
                          <w:rPr>
                            <w:rFonts w:ascii="Times New Roman" w:hAnsi="Times New Roman"/>
                            <w:color w:val="000000" w:themeColor="text1"/>
                          </w:rPr>
                        </w:pPr>
                        <w:r>
                          <w:rPr>
                            <w:rFonts w:ascii="Times New Roman" w:hAnsi="Times New Roman"/>
                            <w:color w:val="000000" w:themeColor="text1"/>
                          </w:rPr>
                          <w:t>Департамент Казначейства</w:t>
                        </w:r>
                      </w:p>
                    </w:txbxContent>
                  </v:textbox>
                </v:rect>
                <v:line id="Прямая соединительная линия 84" o:spid="_x0000_s1309" style="position:absolute;visibility:visible;mso-wrap-style:square" from="55549,40309" to="55549,4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Прямая соединительная линия 85" o:spid="_x0000_s1310" style="position:absolute;visibility:visible;mso-wrap-style:square" from="28346,45262" to="55549,4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v:line id="Прямая соединительная линия 87" o:spid="_x0000_s1311" style="position:absolute;flip:x;visibility:visible;mso-wrap-style:square" from="2362,3505" to="13944,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" strokeweight=".5pt">
                  <v:stroke joinstyle="miter"/>
                </v:line>
                <v:line id="Прямая соединительная линия 88" o:spid="_x0000_s1312" style="position:absolute;visibility:visible;mso-wrap-style:square" from="2362,3505" to="2362,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" strokeweight=".5pt">
                  <v:stroke joinstyle="miter"/>
                </v:line>
                <v:line id="Прямая соединительная линия 89" o:spid="_x0000_s1313" style="position:absolute;visibility:visible;mso-wrap-style:square" from="2362,9525" to="480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" strokeweight=".5pt">
                  <v:stroke joinstyle="miter"/>
                </v:line>
                <w10:anchorlock/>
              </v:group>
            </w:pict>
          </mc:Fallback>
        </mc:AlternateContent>
      </w:r>
    </w:p>
    <w:p w:rsidR="00FE047D" w:rsidRDefault="00FE047D" w:rsidP="00BD01A7">
      <w:pPr>
        <w:spacing w:after="0" w:line="360" w:lineRule="auto"/>
        <w:ind w:firstLine="709"/>
        <w:jc w:val="center"/>
        <w:rPr>
          <w:rFonts w:ascii="Times New Roman" w:hAnsi="Times New Roman"/>
          <w:sz w:val="28"/>
          <w:szCs w:val="28"/>
        </w:rPr>
      </w:pPr>
      <w:r w:rsidRPr="001D06F2">
        <w:rPr>
          <w:rFonts w:ascii="Times New Roman" w:hAnsi="Times New Roman"/>
          <w:sz w:val="28"/>
          <w:szCs w:val="28"/>
        </w:rPr>
        <w:t>Рис. 2.</w:t>
      </w:r>
      <w:r w:rsidR="001D06F2" w:rsidRPr="001D06F2">
        <w:rPr>
          <w:rFonts w:ascii="Times New Roman" w:hAnsi="Times New Roman"/>
          <w:sz w:val="28"/>
          <w:szCs w:val="28"/>
        </w:rPr>
        <w:t>12</w:t>
      </w:r>
      <w:r w:rsidRPr="001D06F2">
        <w:rPr>
          <w:rFonts w:ascii="Times New Roman" w:hAnsi="Times New Roman"/>
          <w:sz w:val="28"/>
          <w:szCs w:val="28"/>
        </w:rPr>
        <w:t>. Методи</w:t>
      </w:r>
      <w:r w:rsidRPr="00FE047D">
        <w:rPr>
          <w:rFonts w:ascii="Times New Roman" w:hAnsi="Times New Roman"/>
          <w:sz w:val="28"/>
          <w:szCs w:val="28"/>
        </w:rPr>
        <w:t xml:space="preserve"> управління ризиком ліквідності, які застосовує АТ «Ідея Банк»</w:t>
      </w:r>
      <w:r w:rsidRPr="00FE047D">
        <w:t xml:space="preserve"> </w:t>
      </w:r>
      <w:r w:rsidRPr="00FE047D">
        <w:rPr>
          <w:rFonts w:ascii="Times New Roman" w:hAnsi="Times New Roman"/>
          <w:sz w:val="28"/>
          <w:szCs w:val="28"/>
        </w:rPr>
        <w:t>[</w:t>
      </w:r>
      <w:r w:rsidR="001D06F2">
        <w:rPr>
          <w:rFonts w:ascii="Times New Roman" w:hAnsi="Times New Roman"/>
          <w:sz w:val="28"/>
          <w:szCs w:val="28"/>
        </w:rPr>
        <w:t>51</w:t>
      </w:r>
      <w:r w:rsidRPr="00FE047D">
        <w:rPr>
          <w:rFonts w:ascii="Times New Roman" w:hAnsi="Times New Roman"/>
          <w:sz w:val="28"/>
          <w:szCs w:val="28"/>
        </w:rPr>
        <w:t xml:space="preserve">; </w:t>
      </w:r>
      <w:r w:rsidR="001D06F2">
        <w:rPr>
          <w:rFonts w:ascii="Times New Roman" w:hAnsi="Times New Roman"/>
          <w:sz w:val="28"/>
          <w:szCs w:val="28"/>
        </w:rPr>
        <w:t>61; 62</w:t>
      </w:r>
      <w:r w:rsidRPr="00FE047D">
        <w:rPr>
          <w:rFonts w:ascii="Times New Roman" w:hAnsi="Times New Roman"/>
          <w:sz w:val="28"/>
          <w:szCs w:val="28"/>
        </w:rPr>
        <w:t>]</w:t>
      </w:r>
    </w:p>
    <w:p w:rsidR="001D06F2" w:rsidRPr="00FE047D" w:rsidRDefault="001D06F2" w:rsidP="001D06F2">
      <w:pPr>
        <w:spacing w:after="0" w:line="360" w:lineRule="auto"/>
        <w:ind w:firstLine="709"/>
        <w:jc w:val="both"/>
        <w:rPr>
          <w:rFonts w:ascii="Times New Roman" w:hAnsi="Times New Roman"/>
          <w:sz w:val="28"/>
          <w:szCs w:val="28"/>
        </w:rPr>
      </w:pPr>
      <w:r w:rsidRPr="00FE047D">
        <w:rPr>
          <w:rFonts w:ascii="Times New Roman" w:hAnsi="Times New Roman"/>
          <w:sz w:val="28"/>
          <w:szCs w:val="28"/>
        </w:rPr>
        <w:t>Метою управління ризиком ліквідності є забезпечення спроможності АТ «Ідея Банк» своєчасно і в повному обсязі виконувати свої грошові зобов’язання, що випливають з укладених угод.</w:t>
      </w:r>
    </w:p>
    <w:p w:rsidR="001D06F2" w:rsidRPr="00FE047D" w:rsidRDefault="001D06F2" w:rsidP="001D06F2">
      <w:pPr>
        <w:spacing w:after="0" w:line="360" w:lineRule="auto"/>
        <w:ind w:firstLine="709"/>
        <w:jc w:val="both"/>
        <w:rPr>
          <w:rFonts w:ascii="Times New Roman" w:hAnsi="Times New Roman"/>
          <w:sz w:val="28"/>
          <w:szCs w:val="28"/>
        </w:rPr>
      </w:pPr>
      <w:r w:rsidRPr="00FE047D">
        <w:rPr>
          <w:rFonts w:ascii="Times New Roman" w:hAnsi="Times New Roman"/>
          <w:sz w:val="28"/>
          <w:szCs w:val="28"/>
        </w:rPr>
        <w:lastRenderedPageBreak/>
        <w:t>Ціллю управління ризиком ліквідності АТ «Ідея Банк» є підтримання оптимального збалансування активів і пасивів за строками і сумами, утримання достатнього обсягу резерву активів у вигляді грошових коштів та інших активів з прийнятним ступенем первинної та вторинної ліквідності, а також уникнення небезпеки втрати ліквідності Банком в кризових ситуаціях.</w:t>
      </w:r>
    </w:p>
    <w:p w:rsidR="001D06F2" w:rsidRPr="00FE047D" w:rsidRDefault="001D06F2" w:rsidP="001D06F2">
      <w:pPr>
        <w:spacing w:after="0" w:line="360" w:lineRule="auto"/>
        <w:ind w:firstLine="709"/>
        <w:jc w:val="both"/>
        <w:rPr>
          <w:rFonts w:ascii="Times New Roman" w:hAnsi="Times New Roman"/>
          <w:sz w:val="28"/>
          <w:szCs w:val="28"/>
        </w:rPr>
      </w:pPr>
      <w:r w:rsidRPr="00FE047D">
        <w:rPr>
          <w:rFonts w:ascii="Times New Roman" w:hAnsi="Times New Roman"/>
          <w:sz w:val="28"/>
          <w:szCs w:val="28"/>
        </w:rPr>
        <w:t xml:space="preserve">З метою зниження рівня ризику ліквідності АТ «Ідея Банк» застосовує різноманітні методи (інструменти) управління ним </w:t>
      </w:r>
      <w:r w:rsidR="00BD01A7">
        <w:rPr>
          <w:rFonts w:ascii="Times New Roman" w:hAnsi="Times New Roman"/>
          <w:sz w:val="28"/>
          <w:szCs w:val="28"/>
        </w:rPr>
        <w:t>(див. рис. 2.12</w:t>
      </w:r>
      <w:r w:rsidRPr="00B366CC">
        <w:rPr>
          <w:rFonts w:ascii="Times New Roman" w:hAnsi="Times New Roman"/>
          <w:sz w:val="28"/>
          <w:szCs w:val="28"/>
        </w:rPr>
        <w:t>).</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t xml:space="preserve">Характеристика </w:t>
      </w:r>
      <w:r w:rsidRPr="005D5686">
        <w:rPr>
          <w:rFonts w:ascii="Times New Roman" w:hAnsi="Times New Roman"/>
          <w:sz w:val="28"/>
          <w:szCs w:val="28"/>
        </w:rPr>
        <w:t>кожного методу, які засовують для управління ризиком ліквідності АТ «Ідея Банк», наведено у табл</w:t>
      </w:r>
      <w:r w:rsidR="005D5686" w:rsidRPr="005D5686">
        <w:rPr>
          <w:rFonts w:ascii="Times New Roman" w:hAnsi="Times New Roman"/>
          <w:sz w:val="28"/>
          <w:szCs w:val="28"/>
        </w:rPr>
        <w:t>. 2.5</w:t>
      </w:r>
      <w:r w:rsidRPr="005D5686">
        <w:rPr>
          <w:rFonts w:ascii="Times New Roman" w:hAnsi="Times New Roman"/>
          <w:sz w:val="28"/>
          <w:szCs w:val="28"/>
        </w:rPr>
        <w:t>.</w:t>
      </w:r>
    </w:p>
    <w:p w:rsidR="005D5686" w:rsidRDefault="00FE047D" w:rsidP="005D5686">
      <w:pPr>
        <w:spacing w:after="0" w:line="360" w:lineRule="auto"/>
        <w:ind w:firstLine="709"/>
        <w:jc w:val="right"/>
        <w:rPr>
          <w:rFonts w:ascii="Times New Roman" w:hAnsi="Times New Roman"/>
          <w:sz w:val="28"/>
          <w:szCs w:val="28"/>
        </w:rPr>
      </w:pPr>
      <w:r w:rsidRPr="005D5686">
        <w:rPr>
          <w:rFonts w:ascii="Times New Roman" w:hAnsi="Times New Roman"/>
          <w:sz w:val="28"/>
          <w:szCs w:val="28"/>
        </w:rPr>
        <w:t>Таблиця 2.</w:t>
      </w:r>
      <w:r w:rsidR="00BD01A7">
        <w:rPr>
          <w:rFonts w:ascii="Times New Roman" w:hAnsi="Times New Roman"/>
          <w:sz w:val="28"/>
          <w:szCs w:val="28"/>
        </w:rPr>
        <w:t>5</w:t>
      </w:r>
    </w:p>
    <w:p w:rsidR="00FE047D" w:rsidRPr="00FE047D" w:rsidRDefault="00FE047D" w:rsidP="00DA1AA3">
      <w:pPr>
        <w:spacing w:after="0" w:line="360" w:lineRule="auto"/>
        <w:ind w:firstLine="709"/>
        <w:jc w:val="center"/>
        <w:rPr>
          <w:rFonts w:ascii="Times New Roman" w:hAnsi="Times New Roman"/>
          <w:sz w:val="28"/>
          <w:szCs w:val="28"/>
        </w:rPr>
      </w:pPr>
      <w:r w:rsidRPr="00FE047D">
        <w:rPr>
          <w:rFonts w:ascii="Times New Roman" w:hAnsi="Times New Roman"/>
          <w:sz w:val="28"/>
          <w:szCs w:val="28"/>
        </w:rPr>
        <w:t>Характеристика методів управління ризиком ліквідності, які застосовує АТ «Ідея Банк»</w:t>
      </w:r>
      <w:r w:rsidRPr="00FE047D">
        <w:t xml:space="preserve"> </w:t>
      </w:r>
    </w:p>
    <w:tbl>
      <w:tblPr>
        <w:tblStyle w:val="4"/>
        <w:tblW w:w="9631" w:type="dxa"/>
        <w:jc w:val="center"/>
        <w:tblInd w:w="0" w:type="dxa"/>
        <w:tblLook w:val="04A0" w:firstRow="1" w:lastRow="0" w:firstColumn="1" w:lastColumn="0" w:noHBand="0" w:noVBand="1"/>
      </w:tblPr>
      <w:tblGrid>
        <w:gridCol w:w="636"/>
        <w:gridCol w:w="2336"/>
        <w:gridCol w:w="6659"/>
      </w:tblGrid>
      <w:tr w:rsidR="00FE047D" w:rsidRPr="00FE047D" w:rsidTr="00FE047D">
        <w:trPr>
          <w:jc w:val="center"/>
        </w:trPr>
        <w:tc>
          <w:tcPr>
            <w:tcW w:w="2972" w:type="dxa"/>
            <w:gridSpan w:val="2"/>
            <w:tcBorders>
              <w:top w:val="single" w:sz="4" w:space="0" w:color="auto"/>
              <w:left w:val="single" w:sz="4" w:space="0" w:color="auto"/>
              <w:bottom w:val="single" w:sz="4" w:space="0" w:color="auto"/>
              <w:right w:val="single" w:sz="4" w:space="0" w:color="auto"/>
            </w:tcBorders>
            <w:hideMark/>
          </w:tcPr>
          <w:p w:rsidR="00FE047D" w:rsidRPr="00FE047D" w:rsidRDefault="00FE047D" w:rsidP="00FE047D">
            <w:pPr>
              <w:spacing w:line="360" w:lineRule="auto"/>
              <w:jc w:val="center"/>
              <w:rPr>
                <w:rFonts w:ascii="Times New Roman" w:hAnsi="Times New Roman"/>
                <w:b/>
                <w:sz w:val="24"/>
                <w:szCs w:val="24"/>
              </w:rPr>
            </w:pPr>
            <w:r w:rsidRPr="00FE047D">
              <w:rPr>
                <w:rFonts w:ascii="Times New Roman" w:hAnsi="Times New Roman"/>
                <w:b/>
                <w:sz w:val="24"/>
                <w:szCs w:val="24"/>
              </w:rPr>
              <w:t>Найменування методу</w:t>
            </w:r>
          </w:p>
        </w:tc>
        <w:tc>
          <w:tcPr>
            <w:tcW w:w="6659" w:type="dxa"/>
            <w:tcBorders>
              <w:top w:val="single" w:sz="4" w:space="0" w:color="auto"/>
              <w:left w:val="single" w:sz="4" w:space="0" w:color="auto"/>
              <w:bottom w:val="single" w:sz="4" w:space="0" w:color="auto"/>
              <w:right w:val="single" w:sz="4" w:space="0" w:color="auto"/>
            </w:tcBorders>
            <w:hideMark/>
          </w:tcPr>
          <w:p w:rsidR="00FE047D" w:rsidRPr="00FE047D" w:rsidRDefault="00FE047D" w:rsidP="00FE047D">
            <w:pPr>
              <w:spacing w:line="360" w:lineRule="auto"/>
              <w:jc w:val="center"/>
              <w:rPr>
                <w:rFonts w:ascii="Times New Roman" w:hAnsi="Times New Roman"/>
                <w:b/>
                <w:sz w:val="24"/>
                <w:szCs w:val="24"/>
              </w:rPr>
            </w:pPr>
            <w:r w:rsidRPr="00FE047D">
              <w:rPr>
                <w:rFonts w:ascii="Times New Roman" w:hAnsi="Times New Roman"/>
                <w:b/>
                <w:sz w:val="24"/>
                <w:szCs w:val="24"/>
              </w:rPr>
              <w:t>Характеристика</w:t>
            </w:r>
          </w:p>
        </w:tc>
      </w:tr>
      <w:tr w:rsidR="00FE047D" w:rsidRPr="00FE047D" w:rsidTr="00FE047D">
        <w:trPr>
          <w:trHeight w:val="904"/>
          <w:jc w:val="center"/>
        </w:trPr>
        <w:tc>
          <w:tcPr>
            <w:tcW w:w="636" w:type="dxa"/>
            <w:vMerge w:val="restart"/>
            <w:tcBorders>
              <w:top w:val="single" w:sz="4" w:space="0" w:color="auto"/>
              <w:left w:val="single" w:sz="4" w:space="0" w:color="auto"/>
              <w:bottom w:val="single" w:sz="4" w:space="0" w:color="auto"/>
              <w:right w:val="single" w:sz="4" w:space="0" w:color="auto"/>
            </w:tcBorders>
            <w:textDirection w:val="btLr"/>
            <w:hideMark/>
          </w:tcPr>
          <w:p w:rsidR="00FE047D" w:rsidRPr="00FE047D" w:rsidRDefault="00FE047D" w:rsidP="00FE047D">
            <w:pPr>
              <w:spacing w:line="360" w:lineRule="auto"/>
              <w:ind w:left="113" w:right="113"/>
              <w:jc w:val="center"/>
              <w:rPr>
                <w:rFonts w:ascii="Times New Roman" w:hAnsi="Times New Roman"/>
                <w:sz w:val="24"/>
                <w:szCs w:val="24"/>
              </w:rPr>
            </w:pPr>
            <w:r w:rsidRPr="00FE047D">
              <w:rPr>
                <w:rFonts w:ascii="Times New Roman" w:hAnsi="Times New Roman"/>
                <w:sz w:val="24"/>
                <w:szCs w:val="24"/>
              </w:rPr>
              <w:t>Нормативний</w:t>
            </w:r>
          </w:p>
        </w:tc>
        <w:tc>
          <w:tcPr>
            <w:tcW w:w="2336" w:type="dxa"/>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360" w:lineRule="auto"/>
              <w:jc w:val="both"/>
              <w:rPr>
                <w:rFonts w:ascii="Times New Roman" w:hAnsi="Times New Roman"/>
              </w:rPr>
            </w:pPr>
            <w:r w:rsidRPr="00FE047D">
              <w:rPr>
                <w:rFonts w:ascii="Times New Roman" w:hAnsi="Times New Roman"/>
              </w:rPr>
              <w:t>норматив Н6</w:t>
            </w:r>
            <w:r w:rsidRPr="00FE047D">
              <w:t xml:space="preserve"> </w:t>
            </w:r>
          </w:p>
        </w:tc>
        <w:tc>
          <w:tcPr>
            <w:tcW w:w="6659" w:type="dxa"/>
            <w:tcBorders>
              <w:top w:val="single" w:sz="4" w:space="0" w:color="auto"/>
              <w:left w:val="single" w:sz="4" w:space="0" w:color="auto"/>
              <w:bottom w:val="single" w:sz="4" w:space="0" w:color="auto"/>
              <w:right w:val="single" w:sz="4" w:space="0" w:color="auto"/>
            </w:tcBorders>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короткострокової ліквідності (до 1-го року), який розраховується як співвідношення ліквідних активів до зобов’язань зі строком погашення до одного року</w:t>
            </w:r>
          </w:p>
        </w:tc>
      </w:tr>
      <w:tr w:rsidR="00FE047D" w:rsidRPr="00FE047D" w:rsidTr="00FE047D">
        <w:trPr>
          <w:trHeight w:val="8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240" w:lineRule="auto"/>
              <w:rPr>
                <w:rFonts w:ascii="Times New Roman" w:hAnsi="Times New Roman"/>
                <w:sz w:val="24"/>
                <w:szCs w:val="24"/>
              </w:rPr>
            </w:pPr>
          </w:p>
        </w:tc>
        <w:tc>
          <w:tcPr>
            <w:tcW w:w="2336" w:type="dxa"/>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коефіцієнта покриття ліквідністю (LCR)</w:t>
            </w:r>
          </w:p>
        </w:tc>
        <w:tc>
          <w:tcPr>
            <w:tcW w:w="6659" w:type="dxa"/>
            <w:tcBorders>
              <w:top w:val="single" w:sz="4" w:space="0" w:color="auto"/>
              <w:left w:val="single" w:sz="4" w:space="0" w:color="auto"/>
              <w:bottom w:val="single" w:sz="4" w:space="0" w:color="auto"/>
              <w:right w:val="single" w:sz="4" w:space="0" w:color="auto"/>
            </w:tcBorders>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встановлює мінімально необхідний рівень ліквідності для покриття чистого очікуваного відпливу грошових коштів протягом 30 календарних днів з урахуванням стрес-сценарію. Розраховується Банком щодня як співвідношення високоякісних ліквідних активів до чистого очікуваного відпливу грошових коштів. Нормативні значення коефіцієнта покриття ліквідністю (LCR) за всіма валютами (</w:t>
            </w:r>
            <w:proofErr w:type="spellStart"/>
            <w:r w:rsidRPr="00FE047D">
              <w:rPr>
                <w:rFonts w:ascii="Times New Roman" w:hAnsi="Times New Roman"/>
              </w:rPr>
              <w:t>LCRвв</w:t>
            </w:r>
            <w:proofErr w:type="spellEnd"/>
            <w:r w:rsidRPr="00FE047D">
              <w:rPr>
                <w:rFonts w:ascii="Times New Roman" w:hAnsi="Times New Roman"/>
              </w:rPr>
              <w:t>) та в іноземній валюті (</w:t>
            </w:r>
            <w:proofErr w:type="spellStart"/>
            <w:r w:rsidRPr="00FE047D">
              <w:rPr>
                <w:rFonts w:ascii="Times New Roman" w:hAnsi="Times New Roman"/>
              </w:rPr>
              <w:t>LCRів</w:t>
            </w:r>
            <w:proofErr w:type="spellEnd"/>
            <w:r w:rsidRPr="00FE047D">
              <w:rPr>
                <w:rFonts w:ascii="Times New Roman" w:hAnsi="Times New Roman"/>
              </w:rPr>
              <w:t>) – не менше ніж 100%</w:t>
            </w:r>
          </w:p>
        </w:tc>
      </w:tr>
      <w:tr w:rsidR="00FE047D" w:rsidRPr="00FE047D" w:rsidTr="00FE047D">
        <w:trPr>
          <w:trHeight w:val="9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240" w:lineRule="auto"/>
              <w:rPr>
                <w:rFonts w:ascii="Times New Roman" w:hAnsi="Times New Roman"/>
                <w:sz w:val="24"/>
                <w:szCs w:val="24"/>
              </w:rPr>
            </w:pPr>
          </w:p>
        </w:tc>
        <w:tc>
          <w:tcPr>
            <w:tcW w:w="2336" w:type="dxa"/>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коефіцієнт чистого стабільного фінансування (NSFR)</w:t>
            </w:r>
          </w:p>
        </w:tc>
        <w:tc>
          <w:tcPr>
            <w:tcW w:w="6659" w:type="dxa"/>
            <w:tcBorders>
              <w:top w:val="single" w:sz="4" w:space="0" w:color="auto"/>
              <w:left w:val="single" w:sz="4" w:space="0" w:color="auto"/>
              <w:bottom w:val="single" w:sz="4" w:space="0" w:color="auto"/>
              <w:right w:val="single" w:sz="4" w:space="0" w:color="auto"/>
            </w:tcBorders>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 xml:space="preserve">визначає мінімальний необхідний рівень ліквідності банку на горизонті один рік. Він стимулює банки покладатися на стабільніші та </w:t>
            </w:r>
            <w:proofErr w:type="spellStart"/>
            <w:r w:rsidRPr="00FE047D">
              <w:rPr>
                <w:rFonts w:ascii="Times New Roman" w:hAnsi="Times New Roman"/>
              </w:rPr>
              <w:t>довгостроковіші</w:t>
            </w:r>
            <w:proofErr w:type="spellEnd"/>
            <w:r w:rsidRPr="00FE047D">
              <w:rPr>
                <w:rFonts w:ascii="Times New Roman" w:hAnsi="Times New Roman"/>
              </w:rPr>
              <w:t xml:space="preserve"> джерела </w:t>
            </w:r>
            <w:proofErr w:type="spellStart"/>
            <w:r w:rsidRPr="00FE047D">
              <w:rPr>
                <w:rFonts w:ascii="Times New Roman" w:hAnsi="Times New Roman"/>
              </w:rPr>
              <w:t>фондування</w:t>
            </w:r>
            <w:proofErr w:type="spellEnd"/>
            <w:r w:rsidRPr="00FE047D">
              <w:rPr>
                <w:rFonts w:ascii="Times New Roman" w:hAnsi="Times New Roman"/>
              </w:rPr>
              <w:t>, зменшуючи залежність від короткострокового фінансування. Це дає змогу збалансувати їх активи та пасиви за строками погашення і сприяє зниженню одного із системних ризиків для фінансової стабільності, пов’язаного з короткостроковістю фондування банків.</w:t>
            </w:r>
            <w:r w:rsidRPr="00FE047D">
              <w:t xml:space="preserve"> </w:t>
            </w:r>
            <w:r w:rsidRPr="00FE047D">
              <w:rPr>
                <w:rFonts w:ascii="Times New Roman" w:hAnsi="Times New Roman"/>
              </w:rPr>
              <w:t>Відповідно до графіка NSFR показник має відповідати нормативним значенням, які становлять не менше ніж: 80% – з 1 квітня 2021 року;  90% – з 1 жовтня 2021 року; 100% – з 1 квітня 2022 року.</w:t>
            </w:r>
          </w:p>
        </w:tc>
      </w:tr>
      <w:tr w:rsidR="00FE047D" w:rsidRPr="00FE047D" w:rsidTr="00FE047D">
        <w:trPr>
          <w:jc w:val="center"/>
        </w:trPr>
        <w:tc>
          <w:tcPr>
            <w:tcW w:w="2972" w:type="dxa"/>
            <w:gridSpan w:val="2"/>
            <w:tcBorders>
              <w:top w:val="single" w:sz="4" w:space="0" w:color="auto"/>
              <w:left w:val="single" w:sz="4" w:space="0" w:color="auto"/>
              <w:bottom w:val="single" w:sz="4" w:space="0" w:color="auto"/>
              <w:right w:val="single" w:sz="4" w:space="0" w:color="auto"/>
            </w:tcBorders>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індикативний метод</w:t>
            </w:r>
          </w:p>
        </w:tc>
        <w:tc>
          <w:tcPr>
            <w:tcW w:w="6659" w:type="dxa"/>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його суть полягає у створенні комплексу внутрішніх індикаторів</w:t>
            </w:r>
          </w:p>
          <w:p w:rsidR="00FE047D" w:rsidRPr="00FE047D" w:rsidRDefault="00FE047D" w:rsidP="00FE047D">
            <w:pPr>
              <w:spacing w:line="240" w:lineRule="auto"/>
              <w:jc w:val="both"/>
              <w:rPr>
                <w:rFonts w:ascii="Times New Roman" w:hAnsi="Times New Roman"/>
              </w:rPr>
            </w:pPr>
            <w:r w:rsidRPr="00FE047D">
              <w:rPr>
                <w:rFonts w:ascii="Times New Roman" w:hAnsi="Times New Roman"/>
              </w:rPr>
              <w:t>для оцінки ліквідності, моніторингу динаміки значень цих індикаторів, встановленні рекомендованих або граничних значень, «сигналізуванні» про їх досягнення</w:t>
            </w:r>
          </w:p>
        </w:tc>
      </w:tr>
      <w:tr w:rsidR="00FE047D" w:rsidRPr="00FE047D" w:rsidTr="00FE047D">
        <w:trPr>
          <w:jc w:val="center"/>
        </w:trPr>
        <w:tc>
          <w:tcPr>
            <w:tcW w:w="2972" w:type="dxa"/>
            <w:gridSpan w:val="2"/>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метод аналізу грошових потоків Банку (</w:t>
            </w:r>
            <w:proofErr w:type="spellStart"/>
            <w:r w:rsidRPr="00FE047D">
              <w:rPr>
                <w:rFonts w:ascii="Times New Roman" w:hAnsi="Times New Roman"/>
              </w:rPr>
              <w:t>cash-flow</w:t>
            </w:r>
            <w:proofErr w:type="spellEnd"/>
            <w:r w:rsidRPr="00FE047D">
              <w:rPr>
                <w:rFonts w:ascii="Times New Roman" w:hAnsi="Times New Roman"/>
              </w:rPr>
              <w:t xml:space="preserve"> аналіз</w:t>
            </w:r>
          </w:p>
        </w:tc>
        <w:tc>
          <w:tcPr>
            <w:tcW w:w="6659" w:type="dxa"/>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 xml:space="preserve">зведення даних про їх рух в попередніх періодах, розрахунок об’єму </w:t>
            </w:r>
            <w:proofErr w:type="spellStart"/>
            <w:r w:rsidRPr="00FE047D">
              <w:rPr>
                <w:rFonts w:ascii="Times New Roman" w:hAnsi="Times New Roman"/>
              </w:rPr>
              <w:t>надліквідності</w:t>
            </w:r>
            <w:proofErr w:type="spellEnd"/>
            <w:r w:rsidRPr="00FE047D">
              <w:rPr>
                <w:rFonts w:ascii="Times New Roman" w:hAnsi="Times New Roman"/>
              </w:rPr>
              <w:t>/дефіциту ліквідності</w:t>
            </w:r>
          </w:p>
        </w:tc>
      </w:tr>
      <w:tr w:rsidR="00FE047D" w:rsidRPr="00FE047D" w:rsidTr="00FE047D">
        <w:trPr>
          <w:trHeight w:val="806"/>
          <w:jc w:val="center"/>
        </w:trPr>
        <w:tc>
          <w:tcPr>
            <w:tcW w:w="2972" w:type="dxa"/>
            <w:gridSpan w:val="2"/>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метод аналізу геп-розривів в строках погашення вимог і зобов’язань</w:t>
            </w:r>
          </w:p>
        </w:tc>
        <w:tc>
          <w:tcPr>
            <w:tcW w:w="6659" w:type="dxa"/>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 xml:space="preserve">управління </w:t>
            </w:r>
            <w:proofErr w:type="spellStart"/>
            <w:r w:rsidRPr="00FE047D">
              <w:rPr>
                <w:rFonts w:ascii="Times New Roman" w:hAnsi="Times New Roman"/>
              </w:rPr>
              <w:t>дисбалансами</w:t>
            </w:r>
            <w:proofErr w:type="spellEnd"/>
            <w:r w:rsidRPr="00FE047D">
              <w:rPr>
                <w:rFonts w:ascii="Times New Roman" w:hAnsi="Times New Roman"/>
              </w:rPr>
              <w:t xml:space="preserve"> (геп-розривом ліквідності) для утримання ризику в межах затверджених внутрішніх лімітів</w:t>
            </w:r>
          </w:p>
        </w:tc>
      </w:tr>
    </w:tbl>
    <w:p w:rsidR="00FE047D" w:rsidRPr="00FE047D" w:rsidRDefault="00FE047D" w:rsidP="00FE047D">
      <w:pPr>
        <w:rPr>
          <w:rFonts w:ascii="Times New Roman" w:hAnsi="Times New Roman"/>
          <w:sz w:val="28"/>
          <w:szCs w:val="28"/>
        </w:rPr>
      </w:pPr>
      <w:r w:rsidRPr="00FE047D">
        <w:rPr>
          <w:rFonts w:ascii="Times New Roman" w:hAnsi="Times New Roman"/>
          <w:sz w:val="28"/>
          <w:szCs w:val="28"/>
        </w:rPr>
        <w:br w:type="page"/>
      </w:r>
    </w:p>
    <w:p w:rsidR="00FE047D" w:rsidRDefault="00FE047D" w:rsidP="00DA1AA3">
      <w:pPr>
        <w:spacing w:after="0" w:line="360" w:lineRule="auto"/>
        <w:jc w:val="right"/>
        <w:rPr>
          <w:rFonts w:ascii="Times New Roman" w:hAnsi="Times New Roman"/>
          <w:sz w:val="28"/>
          <w:szCs w:val="28"/>
        </w:rPr>
      </w:pPr>
      <w:r w:rsidRPr="00DA1AA3">
        <w:rPr>
          <w:rFonts w:ascii="Times New Roman" w:hAnsi="Times New Roman"/>
          <w:sz w:val="28"/>
          <w:szCs w:val="28"/>
        </w:rPr>
        <w:lastRenderedPageBreak/>
        <w:t>Продовження таблиці 2.</w:t>
      </w:r>
      <w:r w:rsidR="00DA1AA3" w:rsidRPr="00DA1AA3">
        <w:rPr>
          <w:rFonts w:ascii="Times New Roman" w:hAnsi="Times New Roman"/>
          <w:sz w:val="28"/>
          <w:szCs w:val="28"/>
        </w:rPr>
        <w:t>5</w:t>
      </w:r>
    </w:p>
    <w:tbl>
      <w:tblPr>
        <w:tblStyle w:val="4"/>
        <w:tblW w:w="9631" w:type="dxa"/>
        <w:jc w:val="center"/>
        <w:tblInd w:w="0" w:type="dxa"/>
        <w:tblLook w:val="04A0" w:firstRow="1" w:lastRow="0" w:firstColumn="1" w:lastColumn="0" w:noHBand="0" w:noVBand="1"/>
      </w:tblPr>
      <w:tblGrid>
        <w:gridCol w:w="3113"/>
        <w:gridCol w:w="6518"/>
      </w:tblGrid>
      <w:tr w:rsidR="00DA1AA3" w:rsidRPr="00FE047D" w:rsidTr="00DA1AA3">
        <w:trPr>
          <w:jc w:val="center"/>
        </w:trPr>
        <w:tc>
          <w:tcPr>
            <w:tcW w:w="3113" w:type="dxa"/>
            <w:tcBorders>
              <w:top w:val="single" w:sz="4" w:space="0" w:color="auto"/>
              <w:left w:val="single" w:sz="4" w:space="0" w:color="auto"/>
              <w:bottom w:val="single" w:sz="4" w:space="0" w:color="auto"/>
              <w:right w:val="single" w:sz="4" w:space="0" w:color="auto"/>
            </w:tcBorders>
            <w:hideMark/>
          </w:tcPr>
          <w:p w:rsidR="00DA1AA3" w:rsidRPr="00FE047D" w:rsidRDefault="00DA1AA3" w:rsidP="00DA1AA3">
            <w:pPr>
              <w:spacing w:line="240" w:lineRule="auto"/>
              <w:jc w:val="center"/>
              <w:rPr>
                <w:rFonts w:ascii="Times New Roman" w:hAnsi="Times New Roman"/>
                <w:b/>
                <w:sz w:val="24"/>
                <w:szCs w:val="24"/>
              </w:rPr>
            </w:pPr>
            <w:r w:rsidRPr="00FE047D">
              <w:rPr>
                <w:rFonts w:ascii="Times New Roman" w:hAnsi="Times New Roman"/>
                <w:b/>
                <w:sz w:val="24"/>
                <w:szCs w:val="24"/>
              </w:rPr>
              <w:t>Найменування методу</w:t>
            </w:r>
          </w:p>
        </w:tc>
        <w:tc>
          <w:tcPr>
            <w:tcW w:w="6518" w:type="dxa"/>
            <w:tcBorders>
              <w:top w:val="single" w:sz="4" w:space="0" w:color="auto"/>
              <w:left w:val="single" w:sz="4" w:space="0" w:color="auto"/>
              <w:bottom w:val="single" w:sz="4" w:space="0" w:color="auto"/>
              <w:right w:val="single" w:sz="4" w:space="0" w:color="auto"/>
            </w:tcBorders>
            <w:hideMark/>
          </w:tcPr>
          <w:p w:rsidR="00DA1AA3" w:rsidRPr="00FE047D" w:rsidRDefault="00DA1AA3" w:rsidP="00DA1AA3">
            <w:pPr>
              <w:spacing w:line="360" w:lineRule="auto"/>
              <w:jc w:val="center"/>
              <w:rPr>
                <w:rFonts w:ascii="Times New Roman" w:hAnsi="Times New Roman"/>
                <w:b/>
                <w:sz w:val="24"/>
                <w:szCs w:val="24"/>
              </w:rPr>
            </w:pPr>
            <w:r w:rsidRPr="00FE047D">
              <w:rPr>
                <w:rFonts w:ascii="Times New Roman" w:hAnsi="Times New Roman"/>
                <w:b/>
                <w:sz w:val="24"/>
                <w:szCs w:val="24"/>
              </w:rPr>
              <w:t>Характеристика</w:t>
            </w:r>
          </w:p>
        </w:tc>
      </w:tr>
      <w:tr w:rsidR="00DA1AA3" w:rsidRPr="00FE047D" w:rsidTr="00DA1AA3">
        <w:trPr>
          <w:jc w:val="center"/>
        </w:trPr>
        <w:tc>
          <w:tcPr>
            <w:tcW w:w="3113" w:type="dxa"/>
            <w:tcBorders>
              <w:top w:val="single" w:sz="4" w:space="0" w:color="auto"/>
              <w:left w:val="single" w:sz="4" w:space="0" w:color="auto"/>
              <w:bottom w:val="single" w:sz="4" w:space="0" w:color="auto"/>
              <w:right w:val="single" w:sz="4" w:space="0" w:color="auto"/>
            </w:tcBorders>
            <w:vAlign w:val="center"/>
            <w:hideMark/>
          </w:tcPr>
          <w:p w:rsidR="00DA1AA3" w:rsidRPr="00FE047D" w:rsidRDefault="00DA1AA3" w:rsidP="00DA1AA3">
            <w:pPr>
              <w:spacing w:line="240" w:lineRule="auto"/>
              <w:jc w:val="both"/>
              <w:rPr>
                <w:rFonts w:ascii="Times New Roman" w:hAnsi="Times New Roman"/>
              </w:rPr>
            </w:pPr>
            <w:r w:rsidRPr="00FE047D">
              <w:rPr>
                <w:rFonts w:ascii="Times New Roman" w:hAnsi="Times New Roman"/>
              </w:rPr>
              <w:t>метод прогнозування ліквідної позиції Банку (побудова платіжного календаря)</w:t>
            </w:r>
          </w:p>
        </w:tc>
        <w:tc>
          <w:tcPr>
            <w:tcW w:w="6518" w:type="dxa"/>
            <w:tcBorders>
              <w:top w:val="single" w:sz="4" w:space="0" w:color="auto"/>
              <w:left w:val="single" w:sz="4" w:space="0" w:color="auto"/>
              <w:bottom w:val="single" w:sz="4" w:space="0" w:color="auto"/>
              <w:right w:val="single" w:sz="4" w:space="0" w:color="auto"/>
            </w:tcBorders>
            <w:vAlign w:val="center"/>
            <w:hideMark/>
          </w:tcPr>
          <w:p w:rsidR="00DA1AA3" w:rsidRPr="00FE047D" w:rsidRDefault="00DA1AA3" w:rsidP="00DA1AA3">
            <w:pPr>
              <w:spacing w:line="240" w:lineRule="auto"/>
              <w:jc w:val="both"/>
              <w:rPr>
                <w:rFonts w:ascii="Times New Roman" w:hAnsi="Times New Roman"/>
              </w:rPr>
            </w:pPr>
            <w:r w:rsidRPr="00FE047D">
              <w:rPr>
                <w:rFonts w:ascii="Times New Roman" w:hAnsi="Times New Roman"/>
              </w:rPr>
              <w:t>з метою контролю збалансованості грошових потоків у майбутньому. Полягає в розрахунку на аналізовані</w:t>
            </w:r>
          </w:p>
          <w:p w:rsidR="00DA1AA3" w:rsidRPr="00FE047D" w:rsidRDefault="00DA1AA3" w:rsidP="00DA1AA3">
            <w:pPr>
              <w:spacing w:line="240" w:lineRule="auto"/>
              <w:jc w:val="both"/>
              <w:rPr>
                <w:rFonts w:ascii="Times New Roman" w:hAnsi="Times New Roman"/>
              </w:rPr>
            </w:pPr>
            <w:r w:rsidRPr="00FE047D">
              <w:rPr>
                <w:rFonts w:ascii="Times New Roman" w:hAnsi="Times New Roman"/>
              </w:rPr>
              <w:t>дати вхідних і вихідних платіжних потоків, які проводитиме Банк. Платіжний календар (прогноз</w:t>
            </w:r>
          </w:p>
          <w:p w:rsidR="00DA1AA3" w:rsidRPr="00FE047D" w:rsidRDefault="00DA1AA3" w:rsidP="00DA1AA3">
            <w:pPr>
              <w:spacing w:line="240" w:lineRule="auto"/>
              <w:jc w:val="both"/>
              <w:rPr>
                <w:rFonts w:ascii="Times New Roman" w:hAnsi="Times New Roman"/>
              </w:rPr>
            </w:pPr>
            <w:proofErr w:type="spellStart"/>
            <w:r w:rsidRPr="00FE047D">
              <w:rPr>
                <w:rFonts w:ascii="Times New Roman" w:hAnsi="Times New Roman"/>
              </w:rPr>
              <w:t>cash-flow</w:t>
            </w:r>
            <w:proofErr w:type="spellEnd"/>
            <w:r w:rsidRPr="00FE047D">
              <w:rPr>
                <w:rFonts w:ascii="Times New Roman" w:hAnsi="Times New Roman"/>
              </w:rPr>
              <w:t>) являє собою план майбутнього руху грошових коштів Банку в часі</w:t>
            </w:r>
          </w:p>
        </w:tc>
      </w:tr>
      <w:tr w:rsidR="00DA1AA3" w:rsidRPr="00FE047D" w:rsidTr="00DA1AA3">
        <w:trPr>
          <w:trHeight w:val="1623"/>
          <w:jc w:val="center"/>
        </w:trPr>
        <w:tc>
          <w:tcPr>
            <w:tcW w:w="3113" w:type="dxa"/>
            <w:tcBorders>
              <w:top w:val="single" w:sz="4" w:space="0" w:color="auto"/>
              <w:left w:val="single" w:sz="4" w:space="0" w:color="auto"/>
              <w:bottom w:val="single" w:sz="4" w:space="0" w:color="auto"/>
              <w:right w:val="single" w:sz="4" w:space="0" w:color="auto"/>
            </w:tcBorders>
            <w:vAlign w:val="center"/>
            <w:hideMark/>
          </w:tcPr>
          <w:p w:rsidR="00DA1AA3" w:rsidRPr="00FE047D" w:rsidRDefault="00DA1AA3" w:rsidP="00DA1AA3">
            <w:pPr>
              <w:spacing w:line="240" w:lineRule="auto"/>
              <w:jc w:val="both"/>
              <w:rPr>
                <w:rFonts w:ascii="Times New Roman" w:hAnsi="Times New Roman"/>
              </w:rPr>
            </w:pPr>
            <w:r w:rsidRPr="00FE047D">
              <w:rPr>
                <w:rFonts w:ascii="Times New Roman" w:hAnsi="Times New Roman"/>
              </w:rPr>
              <w:t>метод аналізу депозитної бази</w:t>
            </w:r>
          </w:p>
        </w:tc>
        <w:tc>
          <w:tcPr>
            <w:tcW w:w="6518" w:type="dxa"/>
            <w:tcBorders>
              <w:top w:val="single" w:sz="4" w:space="0" w:color="auto"/>
              <w:left w:val="single" w:sz="4" w:space="0" w:color="auto"/>
              <w:bottom w:val="single" w:sz="4" w:space="0" w:color="auto"/>
              <w:right w:val="single" w:sz="4" w:space="0" w:color="auto"/>
            </w:tcBorders>
            <w:vAlign w:val="center"/>
            <w:hideMark/>
          </w:tcPr>
          <w:p w:rsidR="00DA1AA3" w:rsidRPr="00FE047D" w:rsidRDefault="00DA1AA3" w:rsidP="00DA1AA3">
            <w:pPr>
              <w:spacing w:line="240" w:lineRule="auto"/>
              <w:jc w:val="both"/>
              <w:rPr>
                <w:rFonts w:ascii="Times New Roman" w:hAnsi="Times New Roman"/>
              </w:rPr>
            </w:pPr>
            <w:r w:rsidRPr="00FE047D">
              <w:rPr>
                <w:rFonts w:ascii="Times New Roman" w:hAnsi="Times New Roman"/>
              </w:rPr>
              <w:t>аналіз ресурсів Банку, стабільності депозитної бази, аналіз строкової структури активів і пасивів, диверсифікованості структури джерел фінансування (оцінка концентрації залучених ресурсів), встановлення та контроль за дотриманням коефіцієнта</w:t>
            </w:r>
          </w:p>
          <w:p w:rsidR="00DA1AA3" w:rsidRPr="00FE047D" w:rsidRDefault="00DA1AA3" w:rsidP="00DA1AA3">
            <w:pPr>
              <w:spacing w:line="240" w:lineRule="auto"/>
              <w:jc w:val="both"/>
              <w:rPr>
                <w:rFonts w:ascii="Times New Roman" w:hAnsi="Times New Roman"/>
              </w:rPr>
            </w:pPr>
            <w:r w:rsidRPr="00FE047D">
              <w:rPr>
                <w:rFonts w:ascii="Times New Roman" w:hAnsi="Times New Roman"/>
              </w:rPr>
              <w:t>концентрації депозитної бази, що характеризує залежність Банку від руху коштів, залучених від великих корпоративних клієнтів</w:t>
            </w:r>
          </w:p>
        </w:tc>
      </w:tr>
      <w:tr w:rsidR="00FE047D" w:rsidRPr="00FE047D" w:rsidTr="00DA1AA3">
        <w:trPr>
          <w:jc w:val="center"/>
        </w:trPr>
        <w:tc>
          <w:tcPr>
            <w:tcW w:w="3113" w:type="dxa"/>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метод аналізу залежності Банку від міжбанківського фінансування</w:t>
            </w:r>
          </w:p>
        </w:tc>
        <w:tc>
          <w:tcPr>
            <w:tcW w:w="6518" w:type="dxa"/>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формування та постійна підтримка необхідного достатнього рівня запасу ліквідності (</w:t>
            </w:r>
            <w:proofErr w:type="spellStart"/>
            <w:r w:rsidRPr="00FE047D">
              <w:rPr>
                <w:rFonts w:ascii="Times New Roman" w:hAnsi="Times New Roman"/>
              </w:rPr>
              <w:t>liquidity</w:t>
            </w:r>
            <w:proofErr w:type="spellEnd"/>
            <w:r w:rsidRPr="00FE047D">
              <w:rPr>
                <w:rFonts w:ascii="Times New Roman" w:hAnsi="Times New Roman"/>
              </w:rPr>
              <w:t xml:space="preserve"> </w:t>
            </w:r>
            <w:proofErr w:type="spellStart"/>
            <w:r w:rsidRPr="00FE047D">
              <w:rPr>
                <w:rFonts w:ascii="Times New Roman" w:hAnsi="Times New Roman"/>
              </w:rPr>
              <w:t>buffer</w:t>
            </w:r>
            <w:proofErr w:type="spellEnd"/>
            <w:r w:rsidRPr="00FE047D">
              <w:rPr>
                <w:rFonts w:ascii="Times New Roman" w:hAnsi="Times New Roman"/>
              </w:rPr>
              <w:t>), який можна швидко і без втрат реалізувати для покриття негативного розриву між планованими/очікуваними вхідними та вихідними грошовими потоками – використовується як захисний бар’єр платоспроможності у випадках касових розривів. Складається він з високоякісних ліквідних необтяжених активів, які можна використовувати як заставу для залучення коштів у найкоротші</w:t>
            </w:r>
          </w:p>
          <w:p w:rsidR="00FE047D" w:rsidRPr="00FE047D" w:rsidRDefault="00FE047D" w:rsidP="00FE047D">
            <w:pPr>
              <w:spacing w:line="240" w:lineRule="auto"/>
              <w:jc w:val="both"/>
              <w:rPr>
                <w:rFonts w:ascii="Times New Roman" w:hAnsi="Times New Roman"/>
              </w:rPr>
            </w:pPr>
            <w:r w:rsidRPr="00FE047D">
              <w:rPr>
                <w:rFonts w:ascii="Times New Roman" w:hAnsi="Times New Roman"/>
              </w:rPr>
              <w:t>строки без значних втрат і дисконтів за різних умов функціонування Банку (зокрема це облігації внутрішньої державної позики, депозитні сертифікати, емітовані Національним банком)</w:t>
            </w:r>
          </w:p>
        </w:tc>
      </w:tr>
      <w:tr w:rsidR="00FE047D" w:rsidRPr="00FE047D" w:rsidTr="00DA1AA3">
        <w:trPr>
          <w:jc w:val="center"/>
        </w:trPr>
        <w:tc>
          <w:tcPr>
            <w:tcW w:w="3113" w:type="dxa"/>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аналіз ризику ліквідності в межах операційного дня</w:t>
            </w:r>
          </w:p>
        </w:tc>
        <w:tc>
          <w:tcPr>
            <w:tcW w:w="6518" w:type="dxa"/>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line="240" w:lineRule="auto"/>
              <w:jc w:val="both"/>
              <w:rPr>
                <w:rFonts w:ascii="Times New Roman" w:hAnsi="Times New Roman"/>
              </w:rPr>
            </w:pPr>
            <w:r w:rsidRPr="00FE047D">
              <w:rPr>
                <w:rFonts w:ascii="Times New Roman" w:hAnsi="Times New Roman"/>
              </w:rPr>
              <w:t>методи, які застосовує Департамент Казначейства:</w:t>
            </w:r>
          </w:p>
          <w:p w:rsidR="00FE047D" w:rsidRPr="00FE047D" w:rsidRDefault="00FE047D" w:rsidP="00FE047D">
            <w:pPr>
              <w:spacing w:line="240" w:lineRule="auto"/>
              <w:jc w:val="both"/>
              <w:rPr>
                <w:rFonts w:ascii="Times New Roman" w:hAnsi="Times New Roman"/>
              </w:rPr>
            </w:pPr>
            <w:r w:rsidRPr="00FE047D">
              <w:rPr>
                <w:rFonts w:ascii="Times New Roman" w:hAnsi="Times New Roman"/>
              </w:rPr>
              <w:t>- розрахунок максимального використання ліквідності в межах операційного дня (</w:t>
            </w:r>
            <w:proofErr w:type="spellStart"/>
            <w:r w:rsidRPr="00FE047D">
              <w:rPr>
                <w:rFonts w:ascii="Times New Roman" w:hAnsi="Times New Roman"/>
              </w:rPr>
              <w:t>maximum</w:t>
            </w:r>
            <w:proofErr w:type="spellEnd"/>
            <w:r w:rsidRPr="00FE047D">
              <w:rPr>
                <w:rFonts w:ascii="Times New Roman" w:hAnsi="Times New Roman"/>
              </w:rPr>
              <w:t xml:space="preserve"> </w:t>
            </w:r>
            <w:proofErr w:type="spellStart"/>
            <w:r w:rsidRPr="00FE047D">
              <w:rPr>
                <w:rFonts w:ascii="Times New Roman" w:hAnsi="Times New Roman"/>
              </w:rPr>
              <w:t>daily</w:t>
            </w:r>
            <w:proofErr w:type="spellEnd"/>
            <w:r w:rsidRPr="00FE047D">
              <w:rPr>
                <w:rFonts w:ascii="Times New Roman" w:hAnsi="Times New Roman"/>
              </w:rPr>
              <w:t xml:space="preserve"> </w:t>
            </w:r>
            <w:proofErr w:type="spellStart"/>
            <w:r w:rsidRPr="00FE047D">
              <w:rPr>
                <w:rFonts w:ascii="Times New Roman" w:hAnsi="Times New Roman"/>
              </w:rPr>
              <w:t>liquidity</w:t>
            </w:r>
            <w:proofErr w:type="spellEnd"/>
            <w:r w:rsidRPr="00FE047D">
              <w:rPr>
                <w:rFonts w:ascii="Times New Roman" w:hAnsi="Times New Roman"/>
              </w:rPr>
              <w:t xml:space="preserve"> </w:t>
            </w:r>
            <w:proofErr w:type="spellStart"/>
            <w:r w:rsidRPr="00FE047D">
              <w:rPr>
                <w:rFonts w:ascii="Times New Roman" w:hAnsi="Times New Roman"/>
              </w:rPr>
              <w:t>usage</w:t>
            </w:r>
            <w:proofErr w:type="spellEnd"/>
            <w:r w:rsidRPr="00FE047D">
              <w:rPr>
                <w:rFonts w:ascii="Times New Roman" w:hAnsi="Times New Roman"/>
              </w:rPr>
              <w:t>);</w:t>
            </w:r>
          </w:p>
          <w:p w:rsidR="00FE047D" w:rsidRPr="00FE047D" w:rsidRDefault="00FE047D" w:rsidP="00FE047D">
            <w:pPr>
              <w:spacing w:line="240" w:lineRule="auto"/>
              <w:jc w:val="both"/>
              <w:rPr>
                <w:rFonts w:ascii="Times New Roman" w:hAnsi="Times New Roman"/>
              </w:rPr>
            </w:pPr>
            <w:r w:rsidRPr="00FE047D">
              <w:rPr>
                <w:rFonts w:ascii="Times New Roman" w:hAnsi="Times New Roman"/>
              </w:rPr>
              <w:t>- розрахунок доступної миттєвої ліквідності на початок кожного робочого дня (</w:t>
            </w:r>
            <w:proofErr w:type="spellStart"/>
            <w:r w:rsidRPr="00FE047D">
              <w:rPr>
                <w:rFonts w:ascii="Times New Roman" w:hAnsi="Times New Roman"/>
              </w:rPr>
              <w:t>available</w:t>
            </w:r>
            <w:proofErr w:type="spellEnd"/>
            <w:r w:rsidRPr="00FE047D">
              <w:rPr>
                <w:rFonts w:ascii="Times New Roman" w:hAnsi="Times New Roman"/>
              </w:rPr>
              <w:t xml:space="preserve"> </w:t>
            </w:r>
            <w:proofErr w:type="spellStart"/>
            <w:r w:rsidRPr="00FE047D">
              <w:rPr>
                <w:rFonts w:ascii="Times New Roman" w:hAnsi="Times New Roman"/>
              </w:rPr>
              <w:t>intraday</w:t>
            </w:r>
            <w:proofErr w:type="spellEnd"/>
            <w:r w:rsidRPr="00FE047D">
              <w:rPr>
                <w:rFonts w:ascii="Times New Roman" w:hAnsi="Times New Roman"/>
              </w:rPr>
              <w:t xml:space="preserve"> </w:t>
            </w:r>
            <w:proofErr w:type="spellStart"/>
            <w:r w:rsidRPr="00FE047D">
              <w:rPr>
                <w:rFonts w:ascii="Times New Roman" w:hAnsi="Times New Roman"/>
              </w:rPr>
              <w:t>liquidity</w:t>
            </w:r>
            <w:proofErr w:type="spellEnd"/>
            <w:r w:rsidRPr="00FE047D">
              <w:rPr>
                <w:rFonts w:ascii="Times New Roman" w:hAnsi="Times New Roman"/>
              </w:rPr>
              <w:t xml:space="preserve"> </w:t>
            </w:r>
            <w:proofErr w:type="spellStart"/>
            <w:r w:rsidRPr="00FE047D">
              <w:rPr>
                <w:rFonts w:ascii="Times New Roman" w:hAnsi="Times New Roman"/>
              </w:rPr>
              <w:t>at</w:t>
            </w:r>
            <w:proofErr w:type="spellEnd"/>
            <w:r w:rsidRPr="00FE047D">
              <w:rPr>
                <w:rFonts w:ascii="Times New Roman" w:hAnsi="Times New Roman"/>
              </w:rPr>
              <w:t xml:space="preserve"> </w:t>
            </w:r>
            <w:proofErr w:type="spellStart"/>
            <w:r w:rsidRPr="00FE047D">
              <w:rPr>
                <w:rFonts w:ascii="Times New Roman" w:hAnsi="Times New Roman"/>
              </w:rPr>
              <w:t>the</w:t>
            </w:r>
            <w:proofErr w:type="spellEnd"/>
            <w:r w:rsidRPr="00FE047D">
              <w:rPr>
                <w:rFonts w:ascii="Times New Roman" w:hAnsi="Times New Roman"/>
              </w:rPr>
              <w:t xml:space="preserve"> </w:t>
            </w:r>
            <w:proofErr w:type="spellStart"/>
            <w:r w:rsidRPr="00FE047D">
              <w:rPr>
                <w:rFonts w:ascii="Times New Roman" w:hAnsi="Times New Roman"/>
              </w:rPr>
              <w:t>start</w:t>
            </w:r>
            <w:proofErr w:type="spellEnd"/>
            <w:r w:rsidRPr="00FE047D">
              <w:rPr>
                <w:rFonts w:ascii="Times New Roman" w:hAnsi="Times New Roman"/>
              </w:rPr>
              <w:t xml:space="preserve"> </w:t>
            </w:r>
            <w:proofErr w:type="spellStart"/>
            <w:r w:rsidRPr="00FE047D">
              <w:rPr>
                <w:rFonts w:ascii="Times New Roman" w:hAnsi="Times New Roman"/>
              </w:rPr>
              <w:t>of</w:t>
            </w:r>
            <w:proofErr w:type="spellEnd"/>
            <w:r w:rsidRPr="00FE047D">
              <w:rPr>
                <w:rFonts w:ascii="Times New Roman" w:hAnsi="Times New Roman"/>
              </w:rPr>
              <w:t xml:space="preserve"> </w:t>
            </w:r>
            <w:proofErr w:type="spellStart"/>
            <w:r w:rsidRPr="00FE047D">
              <w:rPr>
                <w:rFonts w:ascii="Times New Roman" w:hAnsi="Times New Roman"/>
              </w:rPr>
              <w:t>the</w:t>
            </w:r>
            <w:proofErr w:type="spellEnd"/>
            <w:r w:rsidRPr="00FE047D">
              <w:rPr>
                <w:rFonts w:ascii="Times New Roman" w:hAnsi="Times New Roman"/>
              </w:rPr>
              <w:t xml:space="preserve"> </w:t>
            </w:r>
            <w:proofErr w:type="spellStart"/>
            <w:r w:rsidRPr="00FE047D">
              <w:rPr>
                <w:rFonts w:ascii="Times New Roman" w:hAnsi="Times New Roman"/>
              </w:rPr>
              <w:t>business</w:t>
            </w:r>
            <w:proofErr w:type="spellEnd"/>
            <w:r w:rsidRPr="00FE047D">
              <w:rPr>
                <w:rFonts w:ascii="Times New Roman" w:hAnsi="Times New Roman"/>
              </w:rPr>
              <w:t xml:space="preserve"> </w:t>
            </w:r>
            <w:proofErr w:type="spellStart"/>
            <w:r w:rsidRPr="00FE047D">
              <w:rPr>
                <w:rFonts w:ascii="Times New Roman" w:hAnsi="Times New Roman"/>
              </w:rPr>
              <w:t>day</w:t>
            </w:r>
            <w:proofErr w:type="spellEnd"/>
            <w:r w:rsidRPr="00FE047D">
              <w:rPr>
                <w:rFonts w:ascii="Times New Roman" w:hAnsi="Times New Roman"/>
              </w:rPr>
              <w:t>);</w:t>
            </w:r>
          </w:p>
          <w:p w:rsidR="00FE047D" w:rsidRPr="00FE047D" w:rsidRDefault="00FE047D" w:rsidP="00FE047D">
            <w:pPr>
              <w:spacing w:line="240" w:lineRule="auto"/>
              <w:jc w:val="both"/>
              <w:rPr>
                <w:rFonts w:ascii="Times New Roman" w:hAnsi="Times New Roman"/>
              </w:rPr>
            </w:pPr>
            <w:r w:rsidRPr="00FE047D">
              <w:rPr>
                <w:rFonts w:ascii="Times New Roman" w:hAnsi="Times New Roman"/>
              </w:rPr>
              <w:t>- встановлення лімітів допустимого рівня ризику;</w:t>
            </w:r>
          </w:p>
          <w:p w:rsidR="00FE047D" w:rsidRPr="00FE047D" w:rsidRDefault="00FE047D" w:rsidP="00FE047D">
            <w:pPr>
              <w:spacing w:line="240" w:lineRule="auto"/>
              <w:jc w:val="both"/>
              <w:rPr>
                <w:rFonts w:ascii="Times New Roman" w:hAnsi="Times New Roman"/>
              </w:rPr>
            </w:pPr>
            <w:r w:rsidRPr="00FE047D">
              <w:rPr>
                <w:rFonts w:ascii="Times New Roman" w:hAnsi="Times New Roman"/>
              </w:rPr>
              <w:t>- метод стрес-тестування ризику ліквідності – проводиться згідно різних сценаріїв та визначає загрози ліквідності Банку та достатність резервів ліквідних активів;</w:t>
            </w:r>
          </w:p>
          <w:p w:rsidR="00FE047D" w:rsidRPr="00FE047D" w:rsidRDefault="00FE047D" w:rsidP="00FE047D">
            <w:pPr>
              <w:spacing w:line="240" w:lineRule="auto"/>
              <w:jc w:val="both"/>
              <w:rPr>
                <w:rFonts w:ascii="Times New Roman" w:hAnsi="Times New Roman"/>
              </w:rPr>
            </w:pPr>
            <w:r w:rsidRPr="00FE047D">
              <w:rPr>
                <w:rFonts w:ascii="Times New Roman" w:hAnsi="Times New Roman"/>
              </w:rPr>
              <w:t>- розробка, затвердження та актуалізація Плану фінансування Банку в кризових ситуаціях.</w:t>
            </w:r>
          </w:p>
          <w:p w:rsidR="00FE047D" w:rsidRPr="00FE047D" w:rsidRDefault="00FE047D" w:rsidP="00FE047D">
            <w:pPr>
              <w:spacing w:line="240" w:lineRule="auto"/>
              <w:jc w:val="both"/>
              <w:rPr>
                <w:rFonts w:ascii="Times New Roman" w:hAnsi="Times New Roman"/>
              </w:rPr>
            </w:pPr>
            <w:r w:rsidRPr="00FE047D">
              <w:rPr>
                <w:rFonts w:ascii="Times New Roman" w:hAnsi="Times New Roman"/>
              </w:rPr>
              <w:t>- дотримання принципів диверсифікації активів та джерел фінансування з точки зору їх впливу на ризик ліквідності;</w:t>
            </w:r>
          </w:p>
          <w:p w:rsidR="00FE047D" w:rsidRPr="00FE047D" w:rsidRDefault="00FE047D" w:rsidP="00FE047D">
            <w:pPr>
              <w:spacing w:line="240" w:lineRule="auto"/>
              <w:jc w:val="both"/>
              <w:rPr>
                <w:rFonts w:ascii="Times New Roman" w:hAnsi="Times New Roman"/>
              </w:rPr>
            </w:pPr>
            <w:r w:rsidRPr="00FE047D">
              <w:rPr>
                <w:rFonts w:ascii="Times New Roman" w:hAnsi="Times New Roman"/>
              </w:rPr>
              <w:t>- інші інструменти обмеження ризику</w:t>
            </w:r>
          </w:p>
        </w:tc>
      </w:tr>
    </w:tbl>
    <w:p w:rsidR="00DA1AA3" w:rsidRPr="00DA1AA3" w:rsidRDefault="00DA1AA3" w:rsidP="00DA1AA3">
      <w:pPr>
        <w:spacing w:before="240" w:after="0" w:line="360" w:lineRule="auto"/>
        <w:ind w:firstLine="709"/>
        <w:jc w:val="both"/>
        <w:rPr>
          <w:rFonts w:ascii="Times New Roman" w:hAnsi="Times New Roman"/>
          <w:sz w:val="24"/>
          <w:szCs w:val="24"/>
        </w:rPr>
      </w:pPr>
      <w:r w:rsidRPr="00DA1AA3">
        <w:rPr>
          <w:rFonts w:ascii="Times New Roman" w:hAnsi="Times New Roman"/>
          <w:sz w:val="24"/>
          <w:szCs w:val="24"/>
        </w:rPr>
        <w:t>Джерело: [51; 62]</w:t>
      </w:r>
    </w:p>
    <w:p w:rsidR="00FE047D" w:rsidRPr="00FE047D" w:rsidRDefault="00FE047D" w:rsidP="00DA1AA3">
      <w:pPr>
        <w:spacing w:before="240" w:after="0" w:line="360" w:lineRule="auto"/>
        <w:ind w:firstLine="709"/>
        <w:jc w:val="both"/>
        <w:rPr>
          <w:rFonts w:ascii="Times New Roman" w:hAnsi="Times New Roman"/>
          <w:sz w:val="28"/>
          <w:szCs w:val="28"/>
        </w:rPr>
      </w:pPr>
      <w:r w:rsidRPr="00FE047D">
        <w:rPr>
          <w:rFonts w:ascii="Times New Roman" w:hAnsi="Times New Roman"/>
          <w:sz w:val="28"/>
          <w:szCs w:val="28"/>
        </w:rPr>
        <w:t>Ефективне управління ліквідністю банку передбачає мінімізацію зовнішніх та внутрішніх факторів ризику ліквідності. Банківська установа може впливати тільки на внутрішні фактори ліквідності. До внутрішніх факторів впливу на ризик ліквідності відносять: якість активів; якість пасивів; ступінь незбалансованості активів та пасивів за строками; рівень банківськ</w:t>
      </w:r>
      <w:r w:rsidR="00DA1AA3">
        <w:rPr>
          <w:rFonts w:ascii="Times New Roman" w:hAnsi="Times New Roman"/>
          <w:sz w:val="28"/>
          <w:szCs w:val="28"/>
        </w:rPr>
        <w:t>ого менеджменту; імідж банку [63</w:t>
      </w:r>
      <w:r w:rsidRPr="00FE047D">
        <w:rPr>
          <w:rFonts w:ascii="Times New Roman" w:hAnsi="Times New Roman"/>
          <w:sz w:val="28"/>
          <w:szCs w:val="28"/>
        </w:rPr>
        <w:t>, с. 101].</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lastRenderedPageBreak/>
        <w:t xml:space="preserve">Однією з важливіших частин балансу комерційного банку є його активи, саме вони забезпечують прибутковість банку, а також відіграють важливу роль щодо забезпечення ліквідності. </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t xml:space="preserve">Найважливішим елементом дослідження якості активів є їхня структура. </w:t>
      </w:r>
      <w:r w:rsidRPr="00DA1AA3">
        <w:rPr>
          <w:rFonts w:ascii="Times New Roman" w:hAnsi="Times New Roman"/>
          <w:sz w:val="28"/>
          <w:szCs w:val="28"/>
        </w:rPr>
        <w:t xml:space="preserve">Отже розглянемо структуру активів АТ «Ідея Банк» за період 2017-2020 років, яка представлені у </w:t>
      </w:r>
      <w:r w:rsidR="00DA1AA3" w:rsidRPr="00DA1AA3">
        <w:rPr>
          <w:rFonts w:ascii="Times New Roman" w:hAnsi="Times New Roman"/>
          <w:sz w:val="28"/>
          <w:szCs w:val="28"/>
        </w:rPr>
        <w:t>табл. 2.6</w:t>
      </w:r>
      <w:r w:rsidRPr="00DA1AA3">
        <w:rPr>
          <w:rFonts w:ascii="Times New Roman" w:hAnsi="Times New Roman"/>
          <w:sz w:val="28"/>
          <w:szCs w:val="28"/>
        </w:rPr>
        <w:t>.</w:t>
      </w:r>
    </w:p>
    <w:p w:rsidR="00DA1AA3" w:rsidRDefault="00FE047D" w:rsidP="00DA1AA3">
      <w:pPr>
        <w:spacing w:before="120" w:after="0" w:line="360" w:lineRule="auto"/>
        <w:ind w:firstLine="709"/>
        <w:jc w:val="right"/>
        <w:rPr>
          <w:rFonts w:ascii="Times New Roman" w:hAnsi="Times New Roman"/>
          <w:sz w:val="28"/>
          <w:szCs w:val="28"/>
        </w:rPr>
      </w:pPr>
      <w:r w:rsidRPr="00DA1AA3">
        <w:rPr>
          <w:rFonts w:ascii="Times New Roman" w:hAnsi="Times New Roman"/>
          <w:sz w:val="28"/>
          <w:szCs w:val="28"/>
        </w:rPr>
        <w:t>Таблиця 2.</w:t>
      </w:r>
      <w:r w:rsidR="00DA1AA3" w:rsidRPr="00DA1AA3">
        <w:rPr>
          <w:rFonts w:ascii="Times New Roman" w:hAnsi="Times New Roman"/>
          <w:sz w:val="28"/>
          <w:szCs w:val="28"/>
        </w:rPr>
        <w:t>6</w:t>
      </w:r>
    </w:p>
    <w:p w:rsidR="00FE047D" w:rsidRPr="00FE047D" w:rsidRDefault="00FE047D" w:rsidP="00DA1AA3">
      <w:pPr>
        <w:spacing w:before="120" w:after="0" w:line="360" w:lineRule="auto"/>
        <w:ind w:firstLine="709"/>
        <w:jc w:val="center"/>
        <w:rPr>
          <w:rFonts w:ascii="Times New Roman" w:hAnsi="Times New Roman"/>
          <w:sz w:val="28"/>
          <w:szCs w:val="28"/>
        </w:rPr>
      </w:pPr>
      <w:r w:rsidRPr="00FE047D">
        <w:rPr>
          <w:rFonts w:ascii="Times New Roman" w:hAnsi="Times New Roman"/>
          <w:sz w:val="28"/>
          <w:szCs w:val="28"/>
        </w:rPr>
        <w:t>Структура активів АТ «Ідея Банк» за період 2017-2020 років</w:t>
      </w:r>
    </w:p>
    <w:tbl>
      <w:tblPr>
        <w:tblW w:w="9627" w:type="dxa"/>
        <w:jc w:val="center"/>
        <w:tblLook w:val="04A0" w:firstRow="1" w:lastRow="0" w:firstColumn="1" w:lastColumn="0" w:noHBand="0" w:noVBand="1"/>
      </w:tblPr>
      <w:tblGrid>
        <w:gridCol w:w="1838"/>
        <w:gridCol w:w="992"/>
        <w:gridCol w:w="539"/>
        <w:gridCol w:w="879"/>
        <w:gridCol w:w="709"/>
        <w:gridCol w:w="929"/>
        <w:gridCol w:w="620"/>
        <w:gridCol w:w="860"/>
        <w:gridCol w:w="731"/>
        <w:gridCol w:w="910"/>
        <w:gridCol w:w="620"/>
      </w:tblGrid>
      <w:tr w:rsidR="00FE047D" w:rsidRPr="00FE047D" w:rsidTr="00FE047D">
        <w:trPr>
          <w:trHeight w:val="261"/>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Найменування статті</w:t>
            </w:r>
          </w:p>
        </w:tc>
        <w:tc>
          <w:tcPr>
            <w:tcW w:w="1531" w:type="dxa"/>
            <w:gridSpan w:val="2"/>
            <w:tcBorders>
              <w:top w:val="single" w:sz="4" w:space="0" w:color="auto"/>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2017</w:t>
            </w:r>
          </w:p>
        </w:tc>
        <w:tc>
          <w:tcPr>
            <w:tcW w:w="1588" w:type="dxa"/>
            <w:gridSpan w:val="2"/>
            <w:tcBorders>
              <w:top w:val="single" w:sz="4" w:space="0" w:color="auto"/>
              <w:left w:val="nil"/>
              <w:bottom w:val="single" w:sz="4" w:space="0" w:color="auto"/>
              <w:right w:val="single" w:sz="4" w:space="0" w:color="auto"/>
            </w:tcBorders>
            <w:noWrap/>
            <w:vAlign w:val="bottom"/>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2018</w:t>
            </w:r>
          </w:p>
        </w:tc>
        <w:tc>
          <w:tcPr>
            <w:tcW w:w="1549" w:type="dxa"/>
            <w:gridSpan w:val="2"/>
            <w:tcBorders>
              <w:top w:val="single" w:sz="4" w:space="0" w:color="auto"/>
              <w:left w:val="nil"/>
              <w:bottom w:val="single" w:sz="4" w:space="0" w:color="auto"/>
              <w:right w:val="single" w:sz="4" w:space="0" w:color="auto"/>
            </w:tcBorders>
            <w:noWrap/>
            <w:vAlign w:val="bottom"/>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2019</w:t>
            </w:r>
          </w:p>
        </w:tc>
        <w:tc>
          <w:tcPr>
            <w:tcW w:w="1591" w:type="dxa"/>
            <w:gridSpan w:val="2"/>
            <w:tcBorders>
              <w:top w:val="single" w:sz="4" w:space="0" w:color="auto"/>
              <w:left w:val="nil"/>
              <w:bottom w:val="single" w:sz="4" w:space="0" w:color="auto"/>
              <w:right w:val="single" w:sz="4" w:space="0" w:color="auto"/>
            </w:tcBorders>
            <w:noWrap/>
            <w:vAlign w:val="bottom"/>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2020</w:t>
            </w:r>
          </w:p>
        </w:tc>
        <w:tc>
          <w:tcPr>
            <w:tcW w:w="1530" w:type="dxa"/>
            <w:gridSpan w:val="2"/>
            <w:tcBorders>
              <w:top w:val="single" w:sz="4" w:space="0" w:color="auto"/>
              <w:left w:val="nil"/>
              <w:bottom w:val="single" w:sz="4" w:space="0" w:color="auto"/>
              <w:right w:val="single" w:sz="4" w:space="0" w:color="auto"/>
            </w:tcBorders>
            <w:noWrap/>
            <w:vAlign w:val="bottom"/>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2021</w:t>
            </w:r>
          </w:p>
        </w:tc>
      </w:tr>
      <w:tr w:rsidR="00FE047D" w:rsidRPr="00FE047D" w:rsidTr="00FE047D">
        <w:trPr>
          <w:trHeight w:val="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992"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тис. грн</w:t>
            </w:r>
          </w:p>
        </w:tc>
        <w:tc>
          <w:tcPr>
            <w:tcW w:w="53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w:t>
            </w:r>
          </w:p>
        </w:tc>
        <w:tc>
          <w:tcPr>
            <w:tcW w:w="87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тис. грн</w:t>
            </w:r>
          </w:p>
        </w:tc>
        <w:tc>
          <w:tcPr>
            <w:tcW w:w="70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w:t>
            </w:r>
          </w:p>
        </w:tc>
        <w:tc>
          <w:tcPr>
            <w:tcW w:w="92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тис. грн</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w:t>
            </w:r>
          </w:p>
        </w:tc>
        <w:tc>
          <w:tcPr>
            <w:tcW w:w="86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тис. грн</w:t>
            </w:r>
          </w:p>
        </w:tc>
        <w:tc>
          <w:tcPr>
            <w:tcW w:w="73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w:t>
            </w:r>
          </w:p>
        </w:tc>
        <w:tc>
          <w:tcPr>
            <w:tcW w:w="91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тис. грн</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w:t>
            </w:r>
          </w:p>
        </w:tc>
      </w:tr>
      <w:tr w:rsidR="00FE047D" w:rsidRPr="00FE047D" w:rsidTr="00FE047D">
        <w:trPr>
          <w:trHeight w:val="512"/>
          <w:jc w:val="center"/>
        </w:trPr>
        <w:tc>
          <w:tcPr>
            <w:tcW w:w="1838" w:type="dxa"/>
            <w:tcBorders>
              <w:top w:val="nil"/>
              <w:left w:val="single" w:sz="4" w:space="0" w:color="auto"/>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sz w:val="18"/>
                <w:szCs w:val="18"/>
                <w:lang w:eastAsia="uk-UA"/>
              </w:rPr>
            </w:pPr>
            <w:r w:rsidRPr="00FE047D">
              <w:rPr>
                <w:rFonts w:ascii="Times New Roman" w:eastAsia="Times New Roman" w:hAnsi="Times New Roman"/>
                <w:color w:val="000000"/>
                <w:sz w:val="18"/>
                <w:szCs w:val="18"/>
                <w:lang w:eastAsia="uk-UA"/>
              </w:rPr>
              <w:t>Грошові кошти та їх еквіваленти</w:t>
            </w:r>
          </w:p>
        </w:tc>
        <w:tc>
          <w:tcPr>
            <w:tcW w:w="992"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297 </w:t>
            </w:r>
            <w:r w:rsidR="00FE047D" w:rsidRPr="00FE047D">
              <w:rPr>
                <w:rFonts w:ascii="Times New Roman" w:eastAsia="Times New Roman" w:hAnsi="Times New Roman"/>
                <w:color w:val="000000"/>
                <w:sz w:val="16"/>
                <w:szCs w:val="16"/>
                <w:lang w:eastAsia="uk-UA"/>
              </w:rPr>
              <w:t>847</w:t>
            </w:r>
          </w:p>
        </w:tc>
        <w:tc>
          <w:tcPr>
            <w:tcW w:w="53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8,32</w:t>
            </w:r>
          </w:p>
        </w:tc>
        <w:tc>
          <w:tcPr>
            <w:tcW w:w="87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455 </w:t>
            </w:r>
            <w:r w:rsidR="00FE047D" w:rsidRPr="00FE047D">
              <w:rPr>
                <w:rFonts w:ascii="Times New Roman" w:eastAsia="Times New Roman" w:hAnsi="Times New Roman"/>
                <w:color w:val="000000"/>
                <w:sz w:val="16"/>
                <w:szCs w:val="16"/>
                <w:lang w:eastAsia="uk-UA"/>
              </w:rPr>
              <w:t>286</w:t>
            </w:r>
          </w:p>
        </w:tc>
        <w:tc>
          <w:tcPr>
            <w:tcW w:w="70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10,83</w:t>
            </w:r>
          </w:p>
        </w:tc>
        <w:tc>
          <w:tcPr>
            <w:tcW w:w="92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747 </w:t>
            </w:r>
            <w:r w:rsidR="00FE047D" w:rsidRPr="00FE047D">
              <w:rPr>
                <w:rFonts w:ascii="Times New Roman" w:eastAsia="Times New Roman" w:hAnsi="Times New Roman"/>
                <w:color w:val="000000"/>
                <w:sz w:val="16"/>
                <w:szCs w:val="16"/>
                <w:lang w:eastAsia="uk-UA"/>
              </w:rPr>
              <w:t>181</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13,82</w:t>
            </w:r>
          </w:p>
        </w:tc>
        <w:tc>
          <w:tcPr>
            <w:tcW w:w="86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723 </w:t>
            </w:r>
            <w:r w:rsidR="00FE047D" w:rsidRPr="00FE047D">
              <w:rPr>
                <w:rFonts w:ascii="Times New Roman" w:eastAsia="Times New Roman" w:hAnsi="Times New Roman"/>
                <w:color w:val="000000"/>
                <w:sz w:val="16"/>
                <w:szCs w:val="16"/>
                <w:lang w:eastAsia="uk-UA"/>
              </w:rPr>
              <w:t>995</w:t>
            </w:r>
          </w:p>
        </w:tc>
        <w:tc>
          <w:tcPr>
            <w:tcW w:w="73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14,25</w:t>
            </w:r>
          </w:p>
        </w:tc>
        <w:tc>
          <w:tcPr>
            <w:tcW w:w="91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655 </w:t>
            </w:r>
            <w:r w:rsidR="00FE047D" w:rsidRPr="00FE047D">
              <w:rPr>
                <w:rFonts w:ascii="Times New Roman" w:eastAsia="Times New Roman" w:hAnsi="Times New Roman"/>
                <w:color w:val="000000"/>
                <w:sz w:val="16"/>
                <w:szCs w:val="16"/>
                <w:lang w:eastAsia="uk-UA"/>
              </w:rPr>
              <w:t>091</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10,79</w:t>
            </w:r>
          </w:p>
        </w:tc>
      </w:tr>
      <w:tr w:rsidR="00FE047D" w:rsidRPr="00FE047D" w:rsidTr="00FE047D">
        <w:trPr>
          <w:trHeight w:val="512"/>
          <w:jc w:val="center"/>
        </w:trPr>
        <w:tc>
          <w:tcPr>
            <w:tcW w:w="1838" w:type="dxa"/>
            <w:tcBorders>
              <w:top w:val="nil"/>
              <w:left w:val="single" w:sz="4" w:space="0" w:color="auto"/>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sz w:val="18"/>
                <w:szCs w:val="18"/>
                <w:lang w:eastAsia="uk-UA"/>
              </w:rPr>
            </w:pPr>
            <w:r w:rsidRPr="00FE047D">
              <w:rPr>
                <w:rFonts w:ascii="Times New Roman" w:eastAsia="Times New Roman" w:hAnsi="Times New Roman"/>
                <w:color w:val="000000"/>
                <w:sz w:val="18"/>
                <w:szCs w:val="18"/>
                <w:lang w:eastAsia="uk-UA"/>
              </w:rPr>
              <w:t>Кредити та аванси клієнтам</w:t>
            </w:r>
          </w:p>
        </w:tc>
        <w:tc>
          <w:tcPr>
            <w:tcW w:w="992"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2 698 </w:t>
            </w:r>
            <w:r w:rsidR="00FE047D" w:rsidRPr="00FE047D">
              <w:rPr>
                <w:rFonts w:ascii="Times New Roman" w:eastAsia="Times New Roman" w:hAnsi="Times New Roman"/>
                <w:color w:val="000000"/>
                <w:sz w:val="16"/>
                <w:szCs w:val="16"/>
                <w:lang w:eastAsia="uk-UA"/>
              </w:rPr>
              <w:t>767</w:t>
            </w:r>
          </w:p>
        </w:tc>
        <w:tc>
          <w:tcPr>
            <w:tcW w:w="53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72,4</w:t>
            </w:r>
          </w:p>
        </w:tc>
        <w:tc>
          <w:tcPr>
            <w:tcW w:w="87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3 305 </w:t>
            </w:r>
            <w:r w:rsidR="00FE047D" w:rsidRPr="00FE047D">
              <w:rPr>
                <w:rFonts w:ascii="Times New Roman" w:eastAsia="Times New Roman" w:hAnsi="Times New Roman"/>
                <w:color w:val="000000"/>
                <w:sz w:val="16"/>
                <w:szCs w:val="16"/>
                <w:lang w:eastAsia="uk-UA"/>
              </w:rPr>
              <w:t>699</w:t>
            </w:r>
          </w:p>
        </w:tc>
        <w:tc>
          <w:tcPr>
            <w:tcW w:w="70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78,62</w:t>
            </w:r>
          </w:p>
        </w:tc>
        <w:tc>
          <w:tcPr>
            <w:tcW w:w="92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4 138 </w:t>
            </w:r>
            <w:r w:rsidR="00FE047D" w:rsidRPr="00FE047D">
              <w:rPr>
                <w:rFonts w:ascii="Times New Roman" w:eastAsia="Times New Roman" w:hAnsi="Times New Roman"/>
                <w:color w:val="000000"/>
                <w:sz w:val="16"/>
                <w:szCs w:val="16"/>
                <w:lang w:eastAsia="uk-UA"/>
              </w:rPr>
              <w:t>390</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76,56</w:t>
            </w:r>
          </w:p>
        </w:tc>
        <w:tc>
          <w:tcPr>
            <w:tcW w:w="86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3 790 </w:t>
            </w:r>
            <w:r w:rsidR="00FE047D" w:rsidRPr="00FE047D">
              <w:rPr>
                <w:rFonts w:ascii="Times New Roman" w:eastAsia="Times New Roman" w:hAnsi="Times New Roman"/>
                <w:color w:val="000000"/>
                <w:sz w:val="16"/>
                <w:szCs w:val="16"/>
                <w:lang w:eastAsia="uk-UA"/>
              </w:rPr>
              <w:t>052</w:t>
            </w:r>
          </w:p>
        </w:tc>
        <w:tc>
          <w:tcPr>
            <w:tcW w:w="73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74,58</w:t>
            </w:r>
          </w:p>
        </w:tc>
        <w:tc>
          <w:tcPr>
            <w:tcW w:w="91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4 804 </w:t>
            </w:r>
            <w:r w:rsidR="00FE047D" w:rsidRPr="00FE047D">
              <w:rPr>
                <w:rFonts w:ascii="Times New Roman" w:eastAsia="Times New Roman" w:hAnsi="Times New Roman"/>
                <w:color w:val="000000"/>
                <w:sz w:val="16"/>
                <w:szCs w:val="16"/>
                <w:lang w:eastAsia="uk-UA"/>
              </w:rPr>
              <w:t>462</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79,11</w:t>
            </w:r>
          </w:p>
        </w:tc>
      </w:tr>
      <w:tr w:rsidR="00FE047D" w:rsidRPr="00FE047D" w:rsidTr="00FE047D">
        <w:trPr>
          <w:trHeight w:val="261"/>
          <w:jc w:val="center"/>
        </w:trPr>
        <w:tc>
          <w:tcPr>
            <w:tcW w:w="1838" w:type="dxa"/>
            <w:tcBorders>
              <w:top w:val="nil"/>
              <w:left w:val="single" w:sz="4" w:space="0" w:color="auto"/>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sz w:val="18"/>
                <w:szCs w:val="18"/>
                <w:lang w:eastAsia="uk-UA"/>
              </w:rPr>
            </w:pPr>
            <w:r w:rsidRPr="00FE047D">
              <w:rPr>
                <w:rFonts w:ascii="Times New Roman" w:eastAsia="Times New Roman" w:hAnsi="Times New Roman"/>
                <w:color w:val="000000"/>
                <w:sz w:val="18"/>
                <w:szCs w:val="18"/>
                <w:lang w:eastAsia="uk-UA"/>
              </w:rPr>
              <w:t>Інвестиції в цінні папери</w:t>
            </w:r>
          </w:p>
        </w:tc>
        <w:tc>
          <w:tcPr>
            <w:tcW w:w="992" w:type="dxa"/>
            <w:tcBorders>
              <w:top w:val="nil"/>
              <w:left w:val="nil"/>
              <w:bottom w:val="single" w:sz="4" w:space="0" w:color="auto"/>
              <w:right w:val="single" w:sz="4" w:space="0" w:color="auto"/>
            </w:tcBorders>
            <w:noWrap/>
            <w:vAlign w:val="center"/>
            <w:hideMark/>
          </w:tcPr>
          <w:p w:rsidR="00FE047D" w:rsidRPr="00FE047D" w:rsidRDefault="00FE047D" w:rsidP="00DA1AA3">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475</w:t>
            </w:r>
            <w:r w:rsidR="00DA1AA3">
              <w:rPr>
                <w:rFonts w:ascii="Times New Roman" w:eastAsia="Times New Roman" w:hAnsi="Times New Roman"/>
                <w:color w:val="000000"/>
                <w:sz w:val="16"/>
                <w:szCs w:val="16"/>
                <w:lang w:eastAsia="uk-UA"/>
              </w:rPr>
              <w:t xml:space="preserve"> </w:t>
            </w:r>
            <w:r w:rsidRPr="00FE047D">
              <w:rPr>
                <w:rFonts w:ascii="Times New Roman" w:eastAsia="Times New Roman" w:hAnsi="Times New Roman"/>
                <w:color w:val="000000"/>
                <w:sz w:val="16"/>
                <w:szCs w:val="16"/>
                <w:lang w:eastAsia="uk-UA"/>
              </w:rPr>
              <w:t>517</w:t>
            </w:r>
          </w:p>
        </w:tc>
        <w:tc>
          <w:tcPr>
            <w:tcW w:w="53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8,29</w:t>
            </w:r>
          </w:p>
        </w:tc>
        <w:tc>
          <w:tcPr>
            <w:tcW w:w="87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198 </w:t>
            </w:r>
            <w:r w:rsidR="00FE047D" w:rsidRPr="00FE047D">
              <w:rPr>
                <w:rFonts w:ascii="Times New Roman" w:eastAsia="Times New Roman" w:hAnsi="Times New Roman"/>
                <w:color w:val="000000"/>
                <w:sz w:val="16"/>
                <w:szCs w:val="16"/>
                <w:lang w:eastAsia="uk-UA"/>
              </w:rPr>
              <w:t>204</w:t>
            </w:r>
          </w:p>
        </w:tc>
        <w:tc>
          <w:tcPr>
            <w:tcW w:w="70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4,71</w:t>
            </w:r>
          </w:p>
        </w:tc>
        <w:tc>
          <w:tcPr>
            <w:tcW w:w="92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169 </w:t>
            </w:r>
            <w:r w:rsidR="00FE047D" w:rsidRPr="00FE047D">
              <w:rPr>
                <w:rFonts w:ascii="Times New Roman" w:eastAsia="Times New Roman" w:hAnsi="Times New Roman"/>
                <w:color w:val="000000"/>
                <w:sz w:val="16"/>
                <w:szCs w:val="16"/>
                <w:lang w:eastAsia="uk-UA"/>
              </w:rPr>
              <w:t>299</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3,13</w:t>
            </w:r>
          </w:p>
        </w:tc>
        <w:tc>
          <w:tcPr>
            <w:tcW w:w="86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142 </w:t>
            </w:r>
            <w:r w:rsidR="00FE047D" w:rsidRPr="00FE047D">
              <w:rPr>
                <w:rFonts w:ascii="Times New Roman" w:eastAsia="Times New Roman" w:hAnsi="Times New Roman"/>
                <w:color w:val="000000"/>
                <w:sz w:val="16"/>
                <w:szCs w:val="16"/>
                <w:lang w:eastAsia="uk-UA"/>
              </w:rPr>
              <w:t>503</w:t>
            </w:r>
          </w:p>
        </w:tc>
        <w:tc>
          <w:tcPr>
            <w:tcW w:w="73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2,8</w:t>
            </w:r>
          </w:p>
        </w:tc>
        <w:tc>
          <w:tcPr>
            <w:tcW w:w="91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138 </w:t>
            </w:r>
            <w:r w:rsidR="00FE047D" w:rsidRPr="00FE047D">
              <w:rPr>
                <w:rFonts w:ascii="Times New Roman" w:eastAsia="Times New Roman" w:hAnsi="Times New Roman"/>
                <w:color w:val="000000"/>
                <w:sz w:val="16"/>
                <w:szCs w:val="16"/>
                <w:lang w:eastAsia="uk-UA"/>
              </w:rPr>
              <w:t>515</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2,28</w:t>
            </w:r>
          </w:p>
        </w:tc>
      </w:tr>
      <w:tr w:rsidR="00FE047D" w:rsidRPr="00FE047D" w:rsidTr="00FE047D">
        <w:trPr>
          <w:trHeight w:val="261"/>
          <w:jc w:val="center"/>
        </w:trPr>
        <w:tc>
          <w:tcPr>
            <w:tcW w:w="1838" w:type="dxa"/>
            <w:tcBorders>
              <w:top w:val="nil"/>
              <w:left w:val="single" w:sz="4" w:space="0" w:color="auto"/>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sz w:val="18"/>
                <w:szCs w:val="18"/>
                <w:lang w:eastAsia="uk-UA"/>
              </w:rPr>
            </w:pPr>
            <w:r w:rsidRPr="00FE047D">
              <w:rPr>
                <w:rFonts w:ascii="Times New Roman" w:eastAsia="Times New Roman" w:hAnsi="Times New Roman"/>
                <w:color w:val="000000"/>
                <w:sz w:val="18"/>
                <w:szCs w:val="18"/>
                <w:lang w:eastAsia="uk-UA"/>
              </w:rPr>
              <w:t>Інвестиційна нерухомість</w:t>
            </w:r>
          </w:p>
        </w:tc>
        <w:tc>
          <w:tcPr>
            <w:tcW w:w="992"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7 </w:t>
            </w:r>
            <w:r w:rsidR="00FE047D" w:rsidRPr="00FE047D">
              <w:rPr>
                <w:rFonts w:ascii="Times New Roman" w:eastAsia="Times New Roman" w:hAnsi="Times New Roman"/>
                <w:color w:val="000000"/>
                <w:sz w:val="16"/>
                <w:szCs w:val="16"/>
                <w:lang w:eastAsia="uk-UA"/>
              </w:rPr>
              <w:t>544</w:t>
            </w:r>
          </w:p>
        </w:tc>
        <w:tc>
          <w:tcPr>
            <w:tcW w:w="53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0,21</w:t>
            </w:r>
          </w:p>
        </w:tc>
        <w:tc>
          <w:tcPr>
            <w:tcW w:w="87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7 </w:t>
            </w:r>
            <w:r w:rsidR="00FE047D" w:rsidRPr="00FE047D">
              <w:rPr>
                <w:rFonts w:ascii="Times New Roman" w:eastAsia="Times New Roman" w:hAnsi="Times New Roman"/>
                <w:color w:val="000000"/>
                <w:sz w:val="16"/>
                <w:szCs w:val="16"/>
                <w:lang w:eastAsia="uk-UA"/>
              </w:rPr>
              <w:t>769</w:t>
            </w:r>
          </w:p>
        </w:tc>
        <w:tc>
          <w:tcPr>
            <w:tcW w:w="70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0,18</w:t>
            </w:r>
          </w:p>
        </w:tc>
        <w:tc>
          <w:tcPr>
            <w:tcW w:w="92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7 </w:t>
            </w:r>
            <w:r w:rsidR="00FE047D" w:rsidRPr="00FE047D">
              <w:rPr>
                <w:rFonts w:ascii="Times New Roman" w:eastAsia="Times New Roman" w:hAnsi="Times New Roman"/>
                <w:color w:val="000000"/>
                <w:sz w:val="16"/>
                <w:szCs w:val="16"/>
                <w:lang w:eastAsia="uk-UA"/>
              </w:rPr>
              <w:t>256</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0,13</w:t>
            </w:r>
          </w:p>
        </w:tc>
        <w:tc>
          <w:tcPr>
            <w:tcW w:w="86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7 </w:t>
            </w:r>
            <w:r w:rsidR="00FE047D" w:rsidRPr="00FE047D">
              <w:rPr>
                <w:rFonts w:ascii="Times New Roman" w:eastAsia="Times New Roman" w:hAnsi="Times New Roman"/>
                <w:color w:val="000000"/>
                <w:sz w:val="16"/>
                <w:szCs w:val="16"/>
                <w:lang w:eastAsia="uk-UA"/>
              </w:rPr>
              <w:t>112</w:t>
            </w:r>
          </w:p>
        </w:tc>
        <w:tc>
          <w:tcPr>
            <w:tcW w:w="73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0,14</w:t>
            </w:r>
          </w:p>
        </w:tc>
        <w:tc>
          <w:tcPr>
            <w:tcW w:w="91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6 </w:t>
            </w:r>
            <w:r w:rsidR="00FE047D" w:rsidRPr="00FE047D">
              <w:rPr>
                <w:rFonts w:ascii="Times New Roman" w:eastAsia="Times New Roman" w:hAnsi="Times New Roman"/>
                <w:color w:val="000000"/>
                <w:sz w:val="16"/>
                <w:szCs w:val="16"/>
                <w:lang w:eastAsia="uk-UA"/>
              </w:rPr>
              <w:t>968</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0,11</w:t>
            </w:r>
          </w:p>
        </w:tc>
      </w:tr>
      <w:tr w:rsidR="00FE047D" w:rsidRPr="00FE047D" w:rsidTr="00FE047D">
        <w:trPr>
          <w:trHeight w:val="803"/>
          <w:jc w:val="center"/>
        </w:trPr>
        <w:tc>
          <w:tcPr>
            <w:tcW w:w="1838" w:type="dxa"/>
            <w:tcBorders>
              <w:top w:val="nil"/>
              <w:left w:val="single" w:sz="4" w:space="0" w:color="auto"/>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sz w:val="18"/>
                <w:szCs w:val="18"/>
                <w:lang w:eastAsia="uk-UA"/>
              </w:rPr>
            </w:pPr>
            <w:r w:rsidRPr="00FE047D">
              <w:rPr>
                <w:rFonts w:ascii="Times New Roman" w:eastAsia="Times New Roman" w:hAnsi="Times New Roman"/>
                <w:color w:val="000000"/>
                <w:sz w:val="18"/>
                <w:szCs w:val="18"/>
                <w:lang w:eastAsia="uk-UA"/>
              </w:rPr>
              <w:t>Дебіторська заборгованість щодо</w:t>
            </w:r>
            <w:r w:rsidRPr="00FE047D">
              <w:rPr>
                <w:rFonts w:ascii="Times New Roman" w:eastAsia="Times New Roman" w:hAnsi="Times New Roman"/>
                <w:color w:val="000000"/>
                <w:sz w:val="18"/>
                <w:szCs w:val="18"/>
                <w:lang w:val="ru-RU" w:eastAsia="uk-UA"/>
              </w:rPr>
              <w:t xml:space="preserve"> </w:t>
            </w:r>
            <w:r w:rsidRPr="00FE047D">
              <w:rPr>
                <w:rFonts w:ascii="Times New Roman" w:eastAsia="Times New Roman" w:hAnsi="Times New Roman"/>
                <w:color w:val="000000"/>
                <w:sz w:val="18"/>
                <w:szCs w:val="18"/>
                <w:lang w:eastAsia="uk-UA"/>
              </w:rPr>
              <w:t>поточного податку на прибуток</w:t>
            </w:r>
          </w:p>
        </w:tc>
        <w:tc>
          <w:tcPr>
            <w:tcW w:w="992"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9 </w:t>
            </w:r>
            <w:r w:rsidR="00FE047D" w:rsidRPr="00FE047D">
              <w:rPr>
                <w:rFonts w:ascii="Times New Roman" w:eastAsia="Times New Roman" w:hAnsi="Times New Roman"/>
                <w:color w:val="000000"/>
                <w:sz w:val="16"/>
                <w:szCs w:val="16"/>
                <w:lang w:eastAsia="uk-UA"/>
              </w:rPr>
              <w:t>755</w:t>
            </w:r>
          </w:p>
        </w:tc>
        <w:tc>
          <w:tcPr>
            <w:tcW w:w="53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0,27</w:t>
            </w:r>
          </w:p>
        </w:tc>
        <w:tc>
          <w:tcPr>
            <w:tcW w:w="87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5 </w:t>
            </w:r>
            <w:r w:rsidR="00FE047D" w:rsidRPr="00FE047D">
              <w:rPr>
                <w:rFonts w:ascii="Times New Roman" w:eastAsia="Times New Roman" w:hAnsi="Times New Roman"/>
                <w:color w:val="000000"/>
                <w:sz w:val="16"/>
                <w:szCs w:val="16"/>
                <w:lang w:eastAsia="uk-UA"/>
              </w:rPr>
              <w:t>009</w:t>
            </w:r>
          </w:p>
        </w:tc>
        <w:tc>
          <w:tcPr>
            <w:tcW w:w="70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0,12</w:t>
            </w:r>
          </w:p>
        </w:tc>
        <w:tc>
          <w:tcPr>
            <w:tcW w:w="929" w:type="dxa"/>
            <w:tcBorders>
              <w:top w:val="nil"/>
              <w:left w:val="nil"/>
              <w:bottom w:val="single" w:sz="4" w:space="0" w:color="auto"/>
              <w:right w:val="single" w:sz="4" w:space="0" w:color="auto"/>
            </w:tcBorders>
            <w:noWrap/>
            <w:vAlign w:val="center"/>
            <w:hideMark/>
          </w:tcPr>
          <w:p w:rsidR="00FE047D" w:rsidRPr="00FE047D" w:rsidRDefault="00DA1AA3" w:rsidP="00DA1AA3">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0</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86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9</w:t>
            </w:r>
          </w:p>
        </w:tc>
        <w:tc>
          <w:tcPr>
            <w:tcW w:w="73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0,18</w:t>
            </w:r>
          </w:p>
        </w:tc>
        <w:tc>
          <w:tcPr>
            <w:tcW w:w="91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9 </w:t>
            </w:r>
            <w:r w:rsidR="00FE047D" w:rsidRPr="00FE047D">
              <w:rPr>
                <w:rFonts w:ascii="Times New Roman" w:eastAsia="Times New Roman" w:hAnsi="Times New Roman"/>
                <w:color w:val="000000"/>
                <w:sz w:val="16"/>
                <w:szCs w:val="16"/>
                <w:lang w:eastAsia="uk-UA"/>
              </w:rPr>
              <w:t>000</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0,15</w:t>
            </w:r>
          </w:p>
        </w:tc>
      </w:tr>
      <w:tr w:rsidR="00FE047D" w:rsidRPr="00FE047D" w:rsidTr="00FE047D">
        <w:trPr>
          <w:trHeight w:val="512"/>
          <w:jc w:val="center"/>
        </w:trPr>
        <w:tc>
          <w:tcPr>
            <w:tcW w:w="1838" w:type="dxa"/>
            <w:tcBorders>
              <w:top w:val="nil"/>
              <w:left w:val="single" w:sz="4" w:space="0" w:color="auto"/>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sz w:val="18"/>
                <w:szCs w:val="18"/>
                <w:lang w:eastAsia="uk-UA"/>
              </w:rPr>
            </w:pPr>
            <w:r w:rsidRPr="00FE047D">
              <w:rPr>
                <w:rFonts w:ascii="Times New Roman" w:eastAsia="Times New Roman" w:hAnsi="Times New Roman"/>
                <w:color w:val="000000"/>
                <w:sz w:val="18"/>
                <w:szCs w:val="18"/>
                <w:lang w:eastAsia="uk-UA"/>
              </w:rPr>
              <w:t>Відстрочений податковий актив</w:t>
            </w:r>
          </w:p>
        </w:tc>
        <w:tc>
          <w:tcPr>
            <w:tcW w:w="992"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22 </w:t>
            </w:r>
            <w:r w:rsidR="00FE047D" w:rsidRPr="00FE047D">
              <w:rPr>
                <w:rFonts w:ascii="Times New Roman" w:eastAsia="Times New Roman" w:hAnsi="Times New Roman"/>
                <w:color w:val="000000"/>
                <w:sz w:val="16"/>
                <w:szCs w:val="16"/>
                <w:lang w:eastAsia="uk-UA"/>
              </w:rPr>
              <w:t>829</w:t>
            </w:r>
          </w:p>
        </w:tc>
        <w:tc>
          <w:tcPr>
            <w:tcW w:w="53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0,64</w:t>
            </w:r>
          </w:p>
        </w:tc>
        <w:tc>
          <w:tcPr>
            <w:tcW w:w="87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7 </w:t>
            </w:r>
            <w:r w:rsidR="00FE047D" w:rsidRPr="00FE047D">
              <w:rPr>
                <w:rFonts w:ascii="Times New Roman" w:eastAsia="Times New Roman" w:hAnsi="Times New Roman"/>
                <w:color w:val="000000"/>
                <w:sz w:val="16"/>
                <w:szCs w:val="16"/>
                <w:lang w:eastAsia="uk-UA"/>
              </w:rPr>
              <w:t>850</w:t>
            </w:r>
          </w:p>
        </w:tc>
        <w:tc>
          <w:tcPr>
            <w:tcW w:w="70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0,19</w:t>
            </w:r>
          </w:p>
        </w:tc>
        <w:tc>
          <w:tcPr>
            <w:tcW w:w="92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11 </w:t>
            </w:r>
            <w:r w:rsidR="00FE047D" w:rsidRPr="00FE047D">
              <w:rPr>
                <w:rFonts w:ascii="Times New Roman" w:eastAsia="Times New Roman" w:hAnsi="Times New Roman"/>
                <w:color w:val="000000"/>
                <w:sz w:val="16"/>
                <w:szCs w:val="16"/>
                <w:lang w:eastAsia="uk-UA"/>
              </w:rPr>
              <w:t>160</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0,21</w:t>
            </w:r>
          </w:p>
        </w:tc>
        <w:tc>
          <w:tcPr>
            <w:tcW w:w="86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10 </w:t>
            </w:r>
            <w:r w:rsidR="00FE047D" w:rsidRPr="00FE047D">
              <w:rPr>
                <w:rFonts w:ascii="Times New Roman" w:eastAsia="Times New Roman" w:hAnsi="Times New Roman"/>
                <w:color w:val="000000"/>
                <w:sz w:val="16"/>
                <w:szCs w:val="16"/>
                <w:lang w:eastAsia="uk-UA"/>
              </w:rPr>
              <w:t>913</w:t>
            </w:r>
          </w:p>
        </w:tc>
        <w:tc>
          <w:tcPr>
            <w:tcW w:w="73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0,21</w:t>
            </w:r>
          </w:p>
        </w:tc>
        <w:tc>
          <w:tcPr>
            <w:tcW w:w="91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15 </w:t>
            </w:r>
            <w:r w:rsidR="00FE047D" w:rsidRPr="00FE047D">
              <w:rPr>
                <w:rFonts w:ascii="Times New Roman" w:eastAsia="Times New Roman" w:hAnsi="Times New Roman"/>
                <w:color w:val="000000"/>
                <w:sz w:val="16"/>
                <w:szCs w:val="16"/>
                <w:lang w:eastAsia="uk-UA"/>
              </w:rPr>
              <w:t>243</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0,25</w:t>
            </w:r>
          </w:p>
        </w:tc>
      </w:tr>
      <w:tr w:rsidR="00FE047D" w:rsidRPr="00FE047D" w:rsidTr="00FE047D">
        <w:trPr>
          <w:trHeight w:val="512"/>
          <w:jc w:val="center"/>
        </w:trPr>
        <w:tc>
          <w:tcPr>
            <w:tcW w:w="1838" w:type="dxa"/>
            <w:tcBorders>
              <w:top w:val="nil"/>
              <w:left w:val="single" w:sz="4" w:space="0" w:color="auto"/>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sz w:val="18"/>
                <w:szCs w:val="18"/>
                <w:lang w:eastAsia="uk-UA"/>
              </w:rPr>
            </w:pPr>
            <w:r w:rsidRPr="00FE047D">
              <w:rPr>
                <w:rFonts w:ascii="Times New Roman" w:eastAsia="Times New Roman" w:hAnsi="Times New Roman"/>
                <w:color w:val="000000"/>
                <w:sz w:val="18"/>
                <w:szCs w:val="18"/>
                <w:lang w:eastAsia="uk-UA"/>
              </w:rPr>
              <w:t>Основні засоби та нематеріальні активи</w:t>
            </w:r>
          </w:p>
        </w:tc>
        <w:tc>
          <w:tcPr>
            <w:tcW w:w="992"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124 </w:t>
            </w:r>
            <w:r w:rsidR="00FE047D" w:rsidRPr="00FE047D">
              <w:rPr>
                <w:rFonts w:ascii="Times New Roman" w:eastAsia="Times New Roman" w:hAnsi="Times New Roman"/>
                <w:color w:val="000000"/>
                <w:sz w:val="16"/>
                <w:szCs w:val="16"/>
                <w:lang w:eastAsia="uk-UA"/>
              </w:rPr>
              <w:t>767</w:t>
            </w:r>
          </w:p>
        </w:tc>
        <w:tc>
          <w:tcPr>
            <w:tcW w:w="53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3,49</w:t>
            </w:r>
          </w:p>
        </w:tc>
        <w:tc>
          <w:tcPr>
            <w:tcW w:w="87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145 </w:t>
            </w:r>
            <w:r w:rsidR="00FE047D" w:rsidRPr="00FE047D">
              <w:rPr>
                <w:rFonts w:ascii="Times New Roman" w:eastAsia="Times New Roman" w:hAnsi="Times New Roman"/>
                <w:color w:val="000000"/>
                <w:sz w:val="16"/>
                <w:szCs w:val="16"/>
                <w:lang w:eastAsia="uk-UA"/>
              </w:rPr>
              <w:t>465</w:t>
            </w:r>
          </w:p>
        </w:tc>
        <w:tc>
          <w:tcPr>
            <w:tcW w:w="70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3,46</w:t>
            </w:r>
          </w:p>
        </w:tc>
        <w:tc>
          <w:tcPr>
            <w:tcW w:w="92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212 </w:t>
            </w:r>
            <w:r w:rsidR="00FE047D" w:rsidRPr="00FE047D">
              <w:rPr>
                <w:rFonts w:ascii="Times New Roman" w:eastAsia="Times New Roman" w:hAnsi="Times New Roman"/>
                <w:color w:val="000000"/>
                <w:sz w:val="16"/>
                <w:szCs w:val="16"/>
                <w:lang w:eastAsia="uk-UA"/>
              </w:rPr>
              <w:t>210</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3,93</w:t>
            </w:r>
          </w:p>
        </w:tc>
        <w:tc>
          <w:tcPr>
            <w:tcW w:w="86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22 5</w:t>
            </w:r>
            <w:r w:rsidR="00FE047D" w:rsidRPr="00FE047D">
              <w:rPr>
                <w:rFonts w:ascii="Times New Roman" w:eastAsia="Times New Roman" w:hAnsi="Times New Roman"/>
                <w:color w:val="000000"/>
                <w:sz w:val="16"/>
                <w:szCs w:val="16"/>
                <w:lang w:eastAsia="uk-UA"/>
              </w:rPr>
              <w:t>45</w:t>
            </w:r>
          </w:p>
        </w:tc>
        <w:tc>
          <w:tcPr>
            <w:tcW w:w="73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4,44</w:t>
            </w:r>
          </w:p>
        </w:tc>
        <w:tc>
          <w:tcPr>
            <w:tcW w:w="91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260 </w:t>
            </w:r>
            <w:r w:rsidR="00FE047D" w:rsidRPr="00FE047D">
              <w:rPr>
                <w:rFonts w:ascii="Times New Roman" w:eastAsia="Times New Roman" w:hAnsi="Times New Roman"/>
                <w:color w:val="000000"/>
                <w:sz w:val="16"/>
                <w:szCs w:val="16"/>
                <w:lang w:eastAsia="uk-UA"/>
              </w:rPr>
              <w:t>487</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4,29</w:t>
            </w:r>
          </w:p>
        </w:tc>
      </w:tr>
      <w:tr w:rsidR="00FE047D" w:rsidRPr="00FE047D" w:rsidTr="00FE047D">
        <w:trPr>
          <w:trHeight w:val="261"/>
          <w:jc w:val="center"/>
        </w:trPr>
        <w:tc>
          <w:tcPr>
            <w:tcW w:w="1838" w:type="dxa"/>
            <w:tcBorders>
              <w:top w:val="nil"/>
              <w:left w:val="single" w:sz="4" w:space="0" w:color="auto"/>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sz w:val="18"/>
                <w:szCs w:val="18"/>
                <w:lang w:eastAsia="uk-UA"/>
              </w:rPr>
            </w:pPr>
            <w:r w:rsidRPr="00FE047D">
              <w:rPr>
                <w:rFonts w:ascii="Times New Roman" w:eastAsia="Times New Roman" w:hAnsi="Times New Roman"/>
                <w:color w:val="000000"/>
                <w:sz w:val="18"/>
                <w:szCs w:val="18"/>
                <w:lang w:eastAsia="uk-UA"/>
              </w:rPr>
              <w:t>Інші фінансові активи</w:t>
            </w:r>
          </w:p>
        </w:tc>
        <w:tc>
          <w:tcPr>
            <w:tcW w:w="992"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90 </w:t>
            </w:r>
            <w:r w:rsidR="00FE047D" w:rsidRPr="00FE047D">
              <w:rPr>
                <w:rFonts w:ascii="Times New Roman" w:eastAsia="Times New Roman" w:hAnsi="Times New Roman"/>
                <w:color w:val="000000"/>
                <w:sz w:val="16"/>
                <w:szCs w:val="16"/>
                <w:lang w:eastAsia="uk-UA"/>
              </w:rPr>
              <w:t>215</w:t>
            </w:r>
          </w:p>
        </w:tc>
        <w:tc>
          <w:tcPr>
            <w:tcW w:w="53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2,52</w:t>
            </w:r>
          </w:p>
        </w:tc>
        <w:tc>
          <w:tcPr>
            <w:tcW w:w="87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65 </w:t>
            </w:r>
            <w:r w:rsidR="00FE047D" w:rsidRPr="00FE047D">
              <w:rPr>
                <w:rFonts w:ascii="Times New Roman" w:eastAsia="Times New Roman" w:hAnsi="Times New Roman"/>
                <w:color w:val="000000"/>
                <w:sz w:val="16"/>
                <w:szCs w:val="16"/>
                <w:lang w:eastAsia="uk-UA"/>
              </w:rPr>
              <w:t>244</w:t>
            </w:r>
          </w:p>
        </w:tc>
        <w:tc>
          <w:tcPr>
            <w:tcW w:w="70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1,55</w:t>
            </w:r>
          </w:p>
        </w:tc>
        <w:tc>
          <w:tcPr>
            <w:tcW w:w="92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103 </w:t>
            </w:r>
            <w:r w:rsidR="00FE047D" w:rsidRPr="00FE047D">
              <w:rPr>
                <w:rFonts w:ascii="Times New Roman" w:eastAsia="Times New Roman" w:hAnsi="Times New Roman"/>
                <w:color w:val="000000"/>
                <w:sz w:val="16"/>
                <w:szCs w:val="16"/>
                <w:lang w:eastAsia="uk-UA"/>
              </w:rPr>
              <w:t>000</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1,91</w:t>
            </w:r>
          </w:p>
        </w:tc>
        <w:tc>
          <w:tcPr>
            <w:tcW w:w="86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15 3</w:t>
            </w:r>
            <w:r w:rsidR="00FE047D" w:rsidRPr="00FE047D">
              <w:rPr>
                <w:rFonts w:ascii="Times New Roman" w:eastAsia="Times New Roman" w:hAnsi="Times New Roman"/>
                <w:color w:val="000000"/>
                <w:sz w:val="16"/>
                <w:szCs w:val="16"/>
                <w:lang w:eastAsia="uk-UA"/>
              </w:rPr>
              <w:t>25</w:t>
            </w:r>
          </w:p>
        </w:tc>
        <w:tc>
          <w:tcPr>
            <w:tcW w:w="73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3,02</w:t>
            </w:r>
          </w:p>
        </w:tc>
        <w:tc>
          <w:tcPr>
            <w:tcW w:w="91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171 </w:t>
            </w:r>
            <w:r w:rsidR="00FE047D" w:rsidRPr="00FE047D">
              <w:rPr>
                <w:rFonts w:ascii="Times New Roman" w:eastAsia="Times New Roman" w:hAnsi="Times New Roman"/>
                <w:color w:val="000000"/>
                <w:sz w:val="16"/>
                <w:szCs w:val="16"/>
                <w:lang w:eastAsia="uk-UA"/>
              </w:rPr>
              <w:t>773</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2,83</w:t>
            </w:r>
          </w:p>
        </w:tc>
      </w:tr>
      <w:tr w:rsidR="00FE047D" w:rsidRPr="00FE047D" w:rsidTr="00FE047D">
        <w:trPr>
          <w:trHeight w:val="261"/>
          <w:jc w:val="center"/>
        </w:trPr>
        <w:tc>
          <w:tcPr>
            <w:tcW w:w="1838" w:type="dxa"/>
            <w:tcBorders>
              <w:top w:val="nil"/>
              <w:left w:val="single" w:sz="4" w:space="0" w:color="auto"/>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sz w:val="18"/>
                <w:szCs w:val="18"/>
                <w:lang w:eastAsia="uk-UA"/>
              </w:rPr>
            </w:pPr>
            <w:r w:rsidRPr="00FE047D">
              <w:rPr>
                <w:rFonts w:ascii="Times New Roman" w:eastAsia="Times New Roman" w:hAnsi="Times New Roman"/>
                <w:color w:val="000000"/>
                <w:sz w:val="18"/>
                <w:szCs w:val="18"/>
                <w:lang w:eastAsia="uk-UA"/>
              </w:rPr>
              <w:t>Інші нефінансові активи</w:t>
            </w:r>
          </w:p>
        </w:tc>
        <w:tc>
          <w:tcPr>
            <w:tcW w:w="992"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15 </w:t>
            </w:r>
            <w:r w:rsidR="00FE047D" w:rsidRPr="00FE047D">
              <w:rPr>
                <w:rFonts w:ascii="Times New Roman" w:eastAsia="Times New Roman" w:hAnsi="Times New Roman"/>
                <w:color w:val="000000"/>
                <w:sz w:val="16"/>
                <w:szCs w:val="16"/>
                <w:lang w:eastAsia="uk-UA"/>
              </w:rPr>
              <w:t>533</w:t>
            </w:r>
          </w:p>
        </w:tc>
        <w:tc>
          <w:tcPr>
            <w:tcW w:w="53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0,43</w:t>
            </w:r>
          </w:p>
        </w:tc>
        <w:tc>
          <w:tcPr>
            <w:tcW w:w="87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14 </w:t>
            </w:r>
            <w:r w:rsidR="00FE047D" w:rsidRPr="00FE047D">
              <w:rPr>
                <w:rFonts w:ascii="Times New Roman" w:eastAsia="Times New Roman" w:hAnsi="Times New Roman"/>
                <w:color w:val="000000"/>
                <w:sz w:val="16"/>
                <w:szCs w:val="16"/>
                <w:lang w:eastAsia="uk-UA"/>
              </w:rPr>
              <w:t>169</w:t>
            </w:r>
          </w:p>
        </w:tc>
        <w:tc>
          <w:tcPr>
            <w:tcW w:w="70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0,34</w:t>
            </w:r>
          </w:p>
        </w:tc>
        <w:tc>
          <w:tcPr>
            <w:tcW w:w="92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17 </w:t>
            </w:r>
            <w:r w:rsidR="00FE047D" w:rsidRPr="00FE047D">
              <w:rPr>
                <w:rFonts w:ascii="Times New Roman" w:eastAsia="Times New Roman" w:hAnsi="Times New Roman"/>
                <w:color w:val="000000"/>
                <w:sz w:val="16"/>
                <w:szCs w:val="16"/>
                <w:lang w:eastAsia="uk-UA"/>
              </w:rPr>
              <w:t>114</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0,32</w:t>
            </w:r>
          </w:p>
        </w:tc>
        <w:tc>
          <w:tcPr>
            <w:tcW w:w="86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28 </w:t>
            </w:r>
            <w:r w:rsidR="00FE047D" w:rsidRPr="00FE047D">
              <w:rPr>
                <w:rFonts w:ascii="Times New Roman" w:eastAsia="Times New Roman" w:hAnsi="Times New Roman"/>
                <w:color w:val="000000"/>
                <w:sz w:val="16"/>
                <w:szCs w:val="16"/>
                <w:lang w:eastAsia="uk-UA"/>
              </w:rPr>
              <w:t>712</w:t>
            </w:r>
          </w:p>
        </w:tc>
        <w:tc>
          <w:tcPr>
            <w:tcW w:w="73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0,56</w:t>
            </w:r>
          </w:p>
        </w:tc>
        <w:tc>
          <w:tcPr>
            <w:tcW w:w="91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20 </w:t>
            </w:r>
            <w:r w:rsidR="00FE047D" w:rsidRPr="00FE047D">
              <w:rPr>
                <w:rFonts w:ascii="Times New Roman" w:eastAsia="Times New Roman" w:hAnsi="Times New Roman"/>
                <w:color w:val="000000"/>
                <w:sz w:val="16"/>
                <w:szCs w:val="16"/>
                <w:lang w:eastAsia="uk-UA"/>
              </w:rPr>
              <w:t>758</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0,34</w:t>
            </w:r>
          </w:p>
        </w:tc>
      </w:tr>
      <w:tr w:rsidR="00FE047D" w:rsidRPr="00FE047D" w:rsidTr="00FE047D">
        <w:trPr>
          <w:trHeight w:val="512"/>
          <w:jc w:val="center"/>
        </w:trPr>
        <w:tc>
          <w:tcPr>
            <w:tcW w:w="1838" w:type="dxa"/>
            <w:tcBorders>
              <w:top w:val="nil"/>
              <w:left w:val="single" w:sz="4" w:space="0" w:color="auto"/>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sz w:val="18"/>
                <w:szCs w:val="18"/>
                <w:lang w:eastAsia="uk-UA"/>
              </w:rPr>
            </w:pPr>
            <w:r w:rsidRPr="00FE047D">
              <w:rPr>
                <w:rFonts w:ascii="Times New Roman" w:eastAsia="Times New Roman" w:hAnsi="Times New Roman"/>
                <w:color w:val="000000"/>
                <w:sz w:val="18"/>
                <w:szCs w:val="18"/>
                <w:lang w:eastAsia="uk-UA"/>
              </w:rPr>
              <w:t>Необоротні активи, утримувані для продажу</w:t>
            </w:r>
          </w:p>
        </w:tc>
        <w:tc>
          <w:tcPr>
            <w:tcW w:w="992"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109 </w:t>
            </w:r>
            <w:r w:rsidR="00FE047D" w:rsidRPr="00FE047D">
              <w:rPr>
                <w:rFonts w:ascii="Times New Roman" w:eastAsia="Times New Roman" w:hAnsi="Times New Roman"/>
                <w:color w:val="000000"/>
                <w:sz w:val="16"/>
                <w:szCs w:val="16"/>
                <w:lang w:eastAsia="uk-UA"/>
              </w:rPr>
              <w:t>000</w:t>
            </w:r>
          </w:p>
        </w:tc>
        <w:tc>
          <w:tcPr>
            <w:tcW w:w="53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3,05</w:t>
            </w:r>
          </w:p>
        </w:tc>
        <w:tc>
          <w:tcPr>
            <w:tcW w:w="879" w:type="dxa"/>
            <w:tcBorders>
              <w:top w:val="nil"/>
              <w:left w:val="nil"/>
              <w:bottom w:val="single" w:sz="4" w:space="0" w:color="auto"/>
              <w:right w:val="single" w:sz="4" w:space="0" w:color="auto"/>
            </w:tcBorders>
            <w:noWrap/>
            <w:vAlign w:val="center"/>
            <w:hideMark/>
          </w:tcPr>
          <w:p w:rsidR="00FE047D" w:rsidRPr="00FE047D" w:rsidRDefault="00FE047D" w:rsidP="00DA1AA3">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20</w:t>
            </w:r>
            <w:r w:rsidR="00DA1AA3">
              <w:rPr>
                <w:rFonts w:ascii="Times New Roman" w:eastAsia="Times New Roman" w:hAnsi="Times New Roman"/>
                <w:color w:val="000000"/>
                <w:sz w:val="16"/>
                <w:szCs w:val="16"/>
                <w:lang w:eastAsia="uk-UA"/>
              </w:rPr>
              <w:t xml:space="preserve"> </w:t>
            </w:r>
            <w:r w:rsidRPr="00FE047D">
              <w:rPr>
                <w:rFonts w:ascii="Times New Roman" w:eastAsia="Times New Roman" w:hAnsi="Times New Roman"/>
                <w:color w:val="000000"/>
                <w:sz w:val="16"/>
                <w:szCs w:val="16"/>
                <w:lang w:eastAsia="uk-UA"/>
              </w:rPr>
              <w:t>000</w:t>
            </w:r>
          </w:p>
        </w:tc>
        <w:tc>
          <w:tcPr>
            <w:tcW w:w="70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0,48</w:t>
            </w:r>
          </w:p>
        </w:tc>
        <w:tc>
          <w:tcPr>
            <w:tcW w:w="92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20 </w:t>
            </w:r>
            <w:r w:rsidR="00FE047D" w:rsidRPr="00FE047D">
              <w:rPr>
                <w:rFonts w:ascii="Times New Roman" w:eastAsia="Times New Roman" w:hAnsi="Times New Roman"/>
                <w:color w:val="000000"/>
                <w:sz w:val="16"/>
                <w:szCs w:val="16"/>
                <w:lang w:eastAsia="uk-UA"/>
              </w:rPr>
              <w:t>000</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0,37</w:t>
            </w:r>
          </w:p>
        </w:tc>
        <w:tc>
          <w:tcPr>
            <w:tcW w:w="86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20</w:t>
            </w:r>
          </w:p>
        </w:tc>
        <w:tc>
          <w:tcPr>
            <w:tcW w:w="73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0,39</w:t>
            </w:r>
          </w:p>
        </w:tc>
        <w:tc>
          <w:tcPr>
            <w:tcW w:w="91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color w:val="000000"/>
                <w:sz w:val="16"/>
                <w:szCs w:val="16"/>
                <w:lang w:eastAsia="uk-UA"/>
              </w:rPr>
            </w:pPr>
            <w:r>
              <w:rPr>
                <w:rFonts w:ascii="Times New Roman" w:eastAsia="Times New Roman" w:hAnsi="Times New Roman"/>
                <w:color w:val="000000"/>
                <w:sz w:val="16"/>
                <w:szCs w:val="16"/>
                <w:lang w:eastAsia="uk-UA"/>
              </w:rPr>
              <w:t xml:space="preserve">20 </w:t>
            </w:r>
            <w:r w:rsidR="00FE047D" w:rsidRPr="00FE047D">
              <w:rPr>
                <w:rFonts w:ascii="Times New Roman" w:eastAsia="Times New Roman" w:hAnsi="Times New Roman"/>
                <w:color w:val="000000"/>
                <w:sz w:val="16"/>
                <w:szCs w:val="16"/>
                <w:lang w:eastAsia="uk-UA"/>
              </w:rPr>
              <w:t>000</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0,33</w:t>
            </w:r>
          </w:p>
        </w:tc>
      </w:tr>
      <w:tr w:rsidR="00FE047D" w:rsidRPr="00FE047D" w:rsidTr="00FE047D">
        <w:trPr>
          <w:trHeight w:val="261"/>
          <w:jc w:val="center"/>
        </w:trPr>
        <w:tc>
          <w:tcPr>
            <w:tcW w:w="1838" w:type="dxa"/>
            <w:tcBorders>
              <w:top w:val="nil"/>
              <w:left w:val="single" w:sz="4" w:space="0" w:color="auto"/>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ВСЬОГО</w:t>
            </w:r>
          </w:p>
        </w:tc>
        <w:tc>
          <w:tcPr>
            <w:tcW w:w="992"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b/>
                <w:bCs/>
                <w:color w:val="000000"/>
                <w:sz w:val="16"/>
                <w:szCs w:val="16"/>
                <w:lang w:eastAsia="uk-UA"/>
              </w:rPr>
            </w:pPr>
            <w:r>
              <w:rPr>
                <w:rFonts w:ascii="Times New Roman" w:eastAsia="Times New Roman" w:hAnsi="Times New Roman"/>
                <w:b/>
                <w:bCs/>
                <w:color w:val="000000"/>
                <w:sz w:val="16"/>
                <w:szCs w:val="16"/>
                <w:lang w:eastAsia="uk-UA"/>
              </w:rPr>
              <w:t xml:space="preserve">3 579 </w:t>
            </w:r>
            <w:r w:rsidR="00FE047D" w:rsidRPr="00FE047D">
              <w:rPr>
                <w:rFonts w:ascii="Times New Roman" w:eastAsia="Times New Roman" w:hAnsi="Times New Roman"/>
                <w:b/>
                <w:bCs/>
                <w:color w:val="000000"/>
                <w:sz w:val="16"/>
                <w:szCs w:val="16"/>
                <w:lang w:eastAsia="uk-UA"/>
              </w:rPr>
              <w:t>047</w:t>
            </w:r>
          </w:p>
        </w:tc>
        <w:tc>
          <w:tcPr>
            <w:tcW w:w="53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100</w:t>
            </w:r>
          </w:p>
        </w:tc>
        <w:tc>
          <w:tcPr>
            <w:tcW w:w="87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b/>
                <w:bCs/>
                <w:color w:val="000000"/>
                <w:sz w:val="16"/>
                <w:szCs w:val="16"/>
                <w:lang w:eastAsia="uk-UA"/>
              </w:rPr>
            </w:pPr>
            <w:r>
              <w:rPr>
                <w:rFonts w:ascii="Times New Roman" w:eastAsia="Times New Roman" w:hAnsi="Times New Roman"/>
                <w:b/>
                <w:bCs/>
                <w:color w:val="000000"/>
                <w:sz w:val="16"/>
                <w:szCs w:val="16"/>
                <w:lang w:eastAsia="uk-UA"/>
              </w:rPr>
              <w:t xml:space="preserve">4 204 </w:t>
            </w:r>
            <w:r w:rsidR="00FE047D" w:rsidRPr="00FE047D">
              <w:rPr>
                <w:rFonts w:ascii="Times New Roman" w:eastAsia="Times New Roman" w:hAnsi="Times New Roman"/>
                <w:b/>
                <w:bCs/>
                <w:color w:val="000000"/>
                <w:sz w:val="16"/>
                <w:szCs w:val="16"/>
                <w:lang w:eastAsia="uk-UA"/>
              </w:rPr>
              <w:t>715</w:t>
            </w:r>
          </w:p>
        </w:tc>
        <w:tc>
          <w:tcPr>
            <w:tcW w:w="709"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100</w:t>
            </w:r>
          </w:p>
        </w:tc>
        <w:tc>
          <w:tcPr>
            <w:tcW w:w="929"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b/>
                <w:bCs/>
                <w:color w:val="000000"/>
                <w:sz w:val="16"/>
                <w:szCs w:val="16"/>
                <w:lang w:eastAsia="uk-UA"/>
              </w:rPr>
            </w:pPr>
            <w:r>
              <w:rPr>
                <w:rFonts w:ascii="Times New Roman" w:eastAsia="Times New Roman" w:hAnsi="Times New Roman"/>
                <w:b/>
                <w:bCs/>
                <w:color w:val="000000"/>
                <w:sz w:val="16"/>
                <w:szCs w:val="16"/>
                <w:lang w:eastAsia="uk-UA"/>
              </w:rPr>
              <w:t xml:space="preserve">5 405 </w:t>
            </w:r>
            <w:r w:rsidR="00FE047D" w:rsidRPr="00FE047D">
              <w:rPr>
                <w:rFonts w:ascii="Times New Roman" w:eastAsia="Times New Roman" w:hAnsi="Times New Roman"/>
                <w:b/>
                <w:bCs/>
                <w:color w:val="000000"/>
                <w:sz w:val="16"/>
                <w:szCs w:val="16"/>
                <w:lang w:eastAsia="uk-UA"/>
              </w:rPr>
              <w:t>655</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100</w:t>
            </w:r>
          </w:p>
        </w:tc>
        <w:tc>
          <w:tcPr>
            <w:tcW w:w="86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5</w:t>
            </w:r>
            <w:r w:rsidR="00DA1AA3">
              <w:rPr>
                <w:rFonts w:ascii="Times New Roman" w:eastAsia="Times New Roman" w:hAnsi="Times New Roman"/>
                <w:b/>
                <w:bCs/>
                <w:color w:val="000000"/>
                <w:sz w:val="16"/>
                <w:szCs w:val="16"/>
                <w:lang w:val="en-US" w:eastAsia="uk-UA"/>
              </w:rPr>
              <w:t> </w:t>
            </w:r>
            <w:r w:rsidR="00DA1AA3">
              <w:rPr>
                <w:rFonts w:ascii="Times New Roman" w:eastAsia="Times New Roman" w:hAnsi="Times New Roman"/>
                <w:b/>
                <w:bCs/>
                <w:color w:val="000000"/>
                <w:sz w:val="16"/>
                <w:szCs w:val="16"/>
                <w:lang w:eastAsia="uk-UA"/>
              </w:rPr>
              <w:t xml:space="preserve">082 </w:t>
            </w:r>
            <w:r w:rsidRPr="00FE047D">
              <w:rPr>
                <w:rFonts w:ascii="Times New Roman" w:eastAsia="Times New Roman" w:hAnsi="Times New Roman"/>
                <w:b/>
                <w:bCs/>
                <w:color w:val="000000"/>
                <w:sz w:val="16"/>
                <w:szCs w:val="16"/>
                <w:lang w:eastAsia="uk-UA"/>
              </w:rPr>
              <w:t>016</w:t>
            </w:r>
          </w:p>
        </w:tc>
        <w:tc>
          <w:tcPr>
            <w:tcW w:w="73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100</w:t>
            </w:r>
          </w:p>
        </w:tc>
        <w:tc>
          <w:tcPr>
            <w:tcW w:w="910" w:type="dxa"/>
            <w:tcBorders>
              <w:top w:val="nil"/>
              <w:left w:val="nil"/>
              <w:bottom w:val="single" w:sz="4" w:space="0" w:color="auto"/>
              <w:right w:val="single" w:sz="4" w:space="0" w:color="auto"/>
            </w:tcBorders>
            <w:noWrap/>
            <w:vAlign w:val="center"/>
            <w:hideMark/>
          </w:tcPr>
          <w:p w:rsidR="00FE047D" w:rsidRPr="00FE047D" w:rsidRDefault="00DA1AA3" w:rsidP="00FE047D">
            <w:pPr>
              <w:spacing w:after="0" w:line="240" w:lineRule="auto"/>
              <w:jc w:val="center"/>
              <w:rPr>
                <w:rFonts w:ascii="Times New Roman" w:eastAsia="Times New Roman" w:hAnsi="Times New Roman"/>
                <w:b/>
                <w:bCs/>
                <w:color w:val="000000"/>
                <w:sz w:val="16"/>
                <w:szCs w:val="16"/>
                <w:lang w:eastAsia="uk-UA"/>
              </w:rPr>
            </w:pPr>
            <w:r>
              <w:rPr>
                <w:rFonts w:ascii="Times New Roman" w:eastAsia="Times New Roman" w:hAnsi="Times New Roman"/>
                <w:b/>
                <w:bCs/>
                <w:color w:val="000000"/>
                <w:sz w:val="16"/>
                <w:szCs w:val="16"/>
                <w:lang w:eastAsia="uk-UA"/>
              </w:rPr>
              <w:t xml:space="preserve">6 073 </w:t>
            </w:r>
            <w:r w:rsidR="00FE047D" w:rsidRPr="00FE047D">
              <w:rPr>
                <w:rFonts w:ascii="Times New Roman" w:eastAsia="Times New Roman" w:hAnsi="Times New Roman"/>
                <w:b/>
                <w:bCs/>
                <w:color w:val="000000"/>
                <w:sz w:val="16"/>
                <w:szCs w:val="16"/>
                <w:lang w:eastAsia="uk-UA"/>
              </w:rPr>
              <w:t>326</w:t>
            </w:r>
          </w:p>
        </w:tc>
        <w:tc>
          <w:tcPr>
            <w:tcW w:w="62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100</w:t>
            </w:r>
          </w:p>
        </w:tc>
      </w:tr>
    </w:tbl>
    <w:p w:rsidR="00FE047D" w:rsidRPr="00FE047D" w:rsidRDefault="00FE047D" w:rsidP="00B544A3">
      <w:pPr>
        <w:spacing w:before="240" w:after="0" w:line="360" w:lineRule="auto"/>
        <w:ind w:firstLine="709"/>
        <w:jc w:val="both"/>
        <w:rPr>
          <w:rFonts w:ascii="Times New Roman" w:hAnsi="Times New Roman"/>
          <w:sz w:val="28"/>
          <w:szCs w:val="28"/>
        </w:rPr>
      </w:pPr>
      <w:r w:rsidRPr="00FE047D">
        <w:rPr>
          <w:rFonts w:ascii="Times New Roman" w:hAnsi="Times New Roman"/>
          <w:sz w:val="28"/>
          <w:szCs w:val="28"/>
        </w:rPr>
        <w:t xml:space="preserve">З аналізу структуру активів АТ «Ідея Банк» протягом 2017- 2021 років вбачається, що найбільшу частку у даній структурі займають кредити та аванси клієнтам. Найбільша частка кредитів була у 2021 році, яка становила 79,11% загальних активів банку, а найменший рівень кредитів був у 2017 році – 72,4%. Другим за значимістю активом балансу є грошові кошти та їх еквіваленти. Високий рівень даного активу спричинений підтримання банком високого рівня ліквідності, а також дотриманням нормативів ліквідності НБУ. Найвищий рівень грошових коштів та їх еквівалентів становив 14,25% у 2020 році, а найнижчий – </w:t>
      </w:r>
      <w:r w:rsidRPr="00FE047D">
        <w:rPr>
          <w:rFonts w:ascii="Times New Roman" w:hAnsi="Times New Roman"/>
          <w:sz w:val="28"/>
          <w:szCs w:val="28"/>
        </w:rPr>
        <w:lastRenderedPageBreak/>
        <w:t xml:space="preserve">8,32% у 2017 році. Констатуємо, найбільша частка в активах Банка є кредитні операції, які є одним з головних джерел прибутку Банку. </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t>Наступним напрямком ефективного управління ліквідністю на рівні комерційного банку є створення якісних пасивів. Як вже відомо, пасиви банку складаються із власних коштів та залучених і запозичених коштів. Саме залучені та запозичені ресурси банку складають основну частку пасивів, і являються його зобов’язаннями. Залучені та запозичені ресурси є основним джерелом для проведення активних операцій. Дані ресурси мають прямопропорційну залежність з ліквідністю банку, тобто при збільшені обсягу залучених та запозичених ресурсів у банку збільшується обсяг ліквідних коштів, а при зменшені даних ресурсів обсяг ліквідних коштів зменшується [</w:t>
      </w:r>
      <w:r w:rsidR="00B544A3">
        <w:rPr>
          <w:rFonts w:ascii="Times New Roman" w:hAnsi="Times New Roman"/>
          <w:sz w:val="28"/>
          <w:szCs w:val="28"/>
        </w:rPr>
        <w:t>63</w:t>
      </w:r>
      <w:r w:rsidRPr="00FE047D">
        <w:rPr>
          <w:rFonts w:ascii="Times New Roman" w:hAnsi="Times New Roman"/>
          <w:sz w:val="28"/>
          <w:szCs w:val="28"/>
        </w:rPr>
        <w:t>, с. 103].</w:t>
      </w:r>
    </w:p>
    <w:p w:rsidR="00FE047D" w:rsidRPr="00FE047D" w:rsidRDefault="00FE047D" w:rsidP="00B544A3">
      <w:pPr>
        <w:spacing w:after="0" w:line="360" w:lineRule="auto"/>
        <w:ind w:firstLine="709"/>
        <w:jc w:val="both"/>
        <w:rPr>
          <w:rFonts w:ascii="Times New Roman" w:hAnsi="Times New Roman"/>
          <w:sz w:val="28"/>
          <w:szCs w:val="28"/>
        </w:rPr>
      </w:pPr>
      <w:r w:rsidRPr="00FE047D">
        <w:rPr>
          <w:rFonts w:ascii="Times New Roman" w:hAnsi="Times New Roman"/>
          <w:sz w:val="28"/>
          <w:szCs w:val="28"/>
        </w:rPr>
        <w:t xml:space="preserve">Структура залучених та запозичених коштів має визначальну роль для банку, адже від неї залежить сталість та витрати за зобов’язаннями. Розглянемо </w:t>
      </w:r>
      <w:r w:rsidRPr="00B544A3">
        <w:rPr>
          <w:rFonts w:ascii="Times New Roman" w:hAnsi="Times New Roman"/>
          <w:sz w:val="28"/>
          <w:szCs w:val="28"/>
        </w:rPr>
        <w:t>структуру зобов’язань АТ «Ідея Банк» протягом 2017-2021 років, яка приведена у табл</w:t>
      </w:r>
      <w:r w:rsidR="00B544A3" w:rsidRPr="00B544A3">
        <w:rPr>
          <w:rFonts w:ascii="Times New Roman" w:hAnsi="Times New Roman"/>
          <w:sz w:val="28"/>
          <w:szCs w:val="28"/>
        </w:rPr>
        <w:t>. 2.7</w:t>
      </w:r>
      <w:r w:rsidRPr="00B544A3">
        <w:rPr>
          <w:rFonts w:ascii="Times New Roman" w:hAnsi="Times New Roman"/>
          <w:sz w:val="28"/>
          <w:szCs w:val="28"/>
        </w:rPr>
        <w:t>.</w:t>
      </w:r>
    </w:p>
    <w:p w:rsidR="00B544A3" w:rsidRDefault="00FE047D" w:rsidP="00B544A3">
      <w:pPr>
        <w:spacing w:after="0" w:line="240" w:lineRule="auto"/>
        <w:ind w:firstLine="709"/>
        <w:jc w:val="right"/>
        <w:rPr>
          <w:rFonts w:ascii="Times New Roman" w:hAnsi="Times New Roman"/>
          <w:sz w:val="28"/>
          <w:szCs w:val="28"/>
        </w:rPr>
      </w:pPr>
      <w:r w:rsidRPr="00B544A3">
        <w:rPr>
          <w:rFonts w:ascii="Times New Roman" w:hAnsi="Times New Roman"/>
          <w:sz w:val="28"/>
          <w:szCs w:val="28"/>
        </w:rPr>
        <w:t>Таблиця 2.</w:t>
      </w:r>
      <w:r w:rsidR="00B544A3" w:rsidRPr="00B544A3">
        <w:rPr>
          <w:rFonts w:ascii="Times New Roman" w:hAnsi="Times New Roman"/>
          <w:sz w:val="28"/>
          <w:szCs w:val="28"/>
        </w:rPr>
        <w:t>7</w:t>
      </w:r>
    </w:p>
    <w:p w:rsidR="00FE047D" w:rsidRPr="00FE047D" w:rsidRDefault="00FE047D" w:rsidP="00FE047D">
      <w:pPr>
        <w:spacing w:before="120" w:after="0" w:line="360" w:lineRule="auto"/>
        <w:ind w:firstLine="709"/>
        <w:jc w:val="both"/>
        <w:rPr>
          <w:rFonts w:ascii="Times New Roman" w:hAnsi="Times New Roman"/>
          <w:sz w:val="28"/>
          <w:szCs w:val="28"/>
        </w:rPr>
      </w:pPr>
      <w:r w:rsidRPr="00FE047D">
        <w:rPr>
          <w:rFonts w:ascii="Times New Roman" w:hAnsi="Times New Roman"/>
          <w:sz w:val="28"/>
          <w:szCs w:val="28"/>
        </w:rPr>
        <w:t xml:space="preserve">Структура зобов’язань АТ «Ідея Банк» протягом 2017-2021 років </w:t>
      </w:r>
    </w:p>
    <w:tbl>
      <w:tblPr>
        <w:tblW w:w="9395" w:type="dxa"/>
        <w:tblLook w:val="04A0" w:firstRow="1" w:lastRow="0" w:firstColumn="1" w:lastColumn="0" w:noHBand="0" w:noVBand="1"/>
      </w:tblPr>
      <w:tblGrid>
        <w:gridCol w:w="1920"/>
        <w:gridCol w:w="876"/>
        <w:gridCol w:w="576"/>
        <w:gridCol w:w="914"/>
        <w:gridCol w:w="576"/>
        <w:gridCol w:w="990"/>
        <w:gridCol w:w="496"/>
        <w:gridCol w:w="981"/>
        <w:gridCol w:w="576"/>
        <w:gridCol w:w="914"/>
        <w:gridCol w:w="576"/>
      </w:tblGrid>
      <w:tr w:rsidR="00FE047D" w:rsidRPr="00FE047D" w:rsidTr="00FE047D">
        <w:trPr>
          <w:trHeight w:val="252"/>
        </w:trPr>
        <w:tc>
          <w:tcPr>
            <w:tcW w:w="1920" w:type="dxa"/>
            <w:vMerge w:val="restart"/>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Найменування статті</w:t>
            </w:r>
          </w:p>
        </w:tc>
        <w:tc>
          <w:tcPr>
            <w:tcW w:w="1452" w:type="dxa"/>
            <w:gridSpan w:val="2"/>
            <w:tcBorders>
              <w:top w:val="single" w:sz="4" w:space="0" w:color="auto"/>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2017</w:t>
            </w:r>
          </w:p>
        </w:tc>
        <w:tc>
          <w:tcPr>
            <w:tcW w:w="1490" w:type="dxa"/>
            <w:gridSpan w:val="2"/>
            <w:tcBorders>
              <w:top w:val="single" w:sz="4" w:space="0" w:color="auto"/>
              <w:left w:val="nil"/>
              <w:bottom w:val="single" w:sz="4" w:space="0" w:color="auto"/>
              <w:right w:val="single" w:sz="4" w:space="0" w:color="auto"/>
            </w:tcBorders>
            <w:noWrap/>
            <w:vAlign w:val="bottom"/>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2018</w:t>
            </w:r>
          </w:p>
        </w:tc>
        <w:tc>
          <w:tcPr>
            <w:tcW w:w="1486" w:type="dxa"/>
            <w:gridSpan w:val="2"/>
            <w:tcBorders>
              <w:top w:val="single" w:sz="4" w:space="0" w:color="auto"/>
              <w:left w:val="nil"/>
              <w:bottom w:val="single" w:sz="4" w:space="0" w:color="auto"/>
              <w:right w:val="single" w:sz="4" w:space="0" w:color="auto"/>
            </w:tcBorders>
            <w:noWrap/>
            <w:vAlign w:val="bottom"/>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2019</w:t>
            </w:r>
          </w:p>
        </w:tc>
        <w:tc>
          <w:tcPr>
            <w:tcW w:w="1557" w:type="dxa"/>
            <w:gridSpan w:val="2"/>
            <w:tcBorders>
              <w:top w:val="single" w:sz="4" w:space="0" w:color="auto"/>
              <w:left w:val="nil"/>
              <w:bottom w:val="single" w:sz="4" w:space="0" w:color="auto"/>
              <w:right w:val="single" w:sz="4" w:space="0" w:color="auto"/>
            </w:tcBorders>
            <w:noWrap/>
            <w:vAlign w:val="bottom"/>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2020</w:t>
            </w:r>
          </w:p>
        </w:tc>
        <w:tc>
          <w:tcPr>
            <w:tcW w:w="1490" w:type="dxa"/>
            <w:gridSpan w:val="2"/>
            <w:tcBorders>
              <w:top w:val="single" w:sz="4" w:space="0" w:color="auto"/>
              <w:left w:val="nil"/>
              <w:bottom w:val="single" w:sz="4" w:space="0" w:color="auto"/>
              <w:right w:val="single" w:sz="4" w:space="0" w:color="auto"/>
            </w:tcBorders>
            <w:noWrap/>
            <w:vAlign w:val="bottom"/>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2021</w:t>
            </w:r>
          </w:p>
        </w:tc>
      </w:tr>
      <w:tr w:rsidR="00FE047D" w:rsidRPr="00FE047D" w:rsidTr="00FE047D">
        <w:trPr>
          <w:trHeight w:val="2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8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тис. грн</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тис. грн</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w:t>
            </w:r>
          </w:p>
        </w:tc>
        <w:tc>
          <w:tcPr>
            <w:tcW w:w="99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тис. грн</w:t>
            </w:r>
          </w:p>
        </w:tc>
        <w:tc>
          <w:tcPr>
            <w:tcW w:w="49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w:t>
            </w:r>
          </w:p>
        </w:tc>
        <w:tc>
          <w:tcPr>
            <w:tcW w:w="98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тис. грн</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тис. грн</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w:t>
            </w:r>
          </w:p>
        </w:tc>
      </w:tr>
      <w:tr w:rsidR="00FE047D" w:rsidRPr="00FE047D" w:rsidTr="00FE047D">
        <w:trPr>
          <w:trHeight w:val="252"/>
        </w:trPr>
        <w:tc>
          <w:tcPr>
            <w:tcW w:w="1920" w:type="dxa"/>
            <w:tcBorders>
              <w:top w:val="nil"/>
              <w:left w:val="single" w:sz="4" w:space="0" w:color="auto"/>
              <w:bottom w:val="single" w:sz="4" w:space="0" w:color="auto"/>
              <w:right w:val="single" w:sz="4" w:space="0" w:color="auto"/>
            </w:tcBorders>
            <w:vAlign w:val="bottom"/>
            <w:hideMark/>
          </w:tcPr>
          <w:p w:rsidR="00FE047D" w:rsidRPr="00FE047D" w:rsidRDefault="00FE047D" w:rsidP="00FE047D">
            <w:pPr>
              <w:spacing w:after="0" w:line="240" w:lineRule="auto"/>
              <w:rPr>
                <w:rFonts w:ascii="Times New Roman" w:eastAsia="Times New Roman" w:hAnsi="Times New Roman"/>
                <w:color w:val="000000"/>
                <w:sz w:val="20"/>
                <w:szCs w:val="20"/>
                <w:lang w:eastAsia="uk-UA"/>
              </w:rPr>
            </w:pPr>
            <w:r w:rsidRPr="00FE047D">
              <w:rPr>
                <w:rFonts w:ascii="Times New Roman" w:eastAsia="Times New Roman" w:hAnsi="Times New Roman"/>
                <w:color w:val="000000"/>
                <w:sz w:val="20"/>
                <w:szCs w:val="20"/>
                <w:lang w:eastAsia="uk-UA"/>
              </w:rPr>
              <w:t>Кошти банків</w:t>
            </w:r>
          </w:p>
        </w:tc>
        <w:tc>
          <w:tcPr>
            <w:tcW w:w="8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0,000</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581 000</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14,24</w:t>
            </w:r>
          </w:p>
        </w:tc>
        <w:tc>
          <w:tcPr>
            <w:tcW w:w="99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4 410</w:t>
            </w:r>
          </w:p>
        </w:tc>
        <w:tc>
          <w:tcPr>
            <w:tcW w:w="49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0,09</w:t>
            </w:r>
          </w:p>
        </w:tc>
        <w:tc>
          <w:tcPr>
            <w:tcW w:w="98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4 ,956</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0,1</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4 956</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0,11</w:t>
            </w:r>
          </w:p>
        </w:tc>
      </w:tr>
      <w:tr w:rsidR="00FE047D" w:rsidRPr="00FE047D" w:rsidTr="00FE047D">
        <w:trPr>
          <w:trHeight w:val="252"/>
        </w:trPr>
        <w:tc>
          <w:tcPr>
            <w:tcW w:w="1920" w:type="dxa"/>
            <w:tcBorders>
              <w:top w:val="nil"/>
              <w:left w:val="single" w:sz="4" w:space="0" w:color="auto"/>
              <w:bottom w:val="single" w:sz="4" w:space="0" w:color="auto"/>
              <w:right w:val="single" w:sz="4" w:space="0" w:color="auto"/>
            </w:tcBorders>
            <w:vAlign w:val="bottom"/>
            <w:hideMark/>
          </w:tcPr>
          <w:p w:rsidR="00FE047D" w:rsidRPr="00FE047D" w:rsidRDefault="00FE047D" w:rsidP="00FE047D">
            <w:pPr>
              <w:spacing w:after="0" w:line="240" w:lineRule="auto"/>
              <w:rPr>
                <w:rFonts w:ascii="Times New Roman" w:eastAsia="Times New Roman" w:hAnsi="Times New Roman"/>
                <w:color w:val="000000"/>
                <w:sz w:val="20"/>
                <w:szCs w:val="20"/>
                <w:lang w:eastAsia="uk-UA"/>
              </w:rPr>
            </w:pPr>
            <w:r w:rsidRPr="00FE047D">
              <w:rPr>
                <w:rFonts w:ascii="Times New Roman" w:eastAsia="Times New Roman" w:hAnsi="Times New Roman"/>
                <w:color w:val="000000"/>
                <w:sz w:val="20"/>
                <w:szCs w:val="20"/>
                <w:lang w:eastAsia="uk-UA"/>
              </w:rPr>
              <w:t>Кошти клієнтів</w:t>
            </w:r>
          </w:p>
        </w:tc>
        <w:tc>
          <w:tcPr>
            <w:tcW w:w="8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2 991 244</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91,64</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3 284 349</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80,51</w:t>
            </w:r>
          </w:p>
        </w:tc>
        <w:tc>
          <w:tcPr>
            <w:tcW w:w="99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4 190 612</w:t>
            </w:r>
          </w:p>
        </w:tc>
        <w:tc>
          <w:tcPr>
            <w:tcW w:w="49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81,4</w:t>
            </w:r>
          </w:p>
        </w:tc>
        <w:tc>
          <w:tcPr>
            <w:tcW w:w="98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3 827 894</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79,78</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4 237 530</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91,92</w:t>
            </w:r>
          </w:p>
        </w:tc>
      </w:tr>
      <w:tr w:rsidR="00FE047D" w:rsidRPr="00FE047D" w:rsidTr="00FE047D">
        <w:trPr>
          <w:trHeight w:val="495"/>
        </w:trPr>
        <w:tc>
          <w:tcPr>
            <w:tcW w:w="1920" w:type="dxa"/>
            <w:tcBorders>
              <w:top w:val="nil"/>
              <w:left w:val="single" w:sz="4" w:space="0" w:color="auto"/>
              <w:bottom w:val="single" w:sz="4" w:space="0" w:color="auto"/>
              <w:right w:val="single" w:sz="4" w:space="0" w:color="auto"/>
            </w:tcBorders>
            <w:vAlign w:val="bottom"/>
            <w:hideMark/>
          </w:tcPr>
          <w:p w:rsidR="00FE047D" w:rsidRPr="00FE047D" w:rsidRDefault="00FE047D" w:rsidP="00FE047D">
            <w:pPr>
              <w:spacing w:after="0" w:line="240" w:lineRule="auto"/>
              <w:rPr>
                <w:rFonts w:ascii="Times New Roman" w:eastAsia="Times New Roman" w:hAnsi="Times New Roman"/>
                <w:color w:val="000000"/>
                <w:sz w:val="20"/>
                <w:szCs w:val="20"/>
                <w:lang w:eastAsia="uk-UA"/>
              </w:rPr>
            </w:pPr>
            <w:r w:rsidRPr="00FE047D">
              <w:rPr>
                <w:rFonts w:ascii="Times New Roman" w:eastAsia="Times New Roman" w:hAnsi="Times New Roman"/>
                <w:color w:val="000000"/>
                <w:sz w:val="20"/>
                <w:szCs w:val="20"/>
                <w:lang w:eastAsia="uk-UA"/>
              </w:rPr>
              <w:t>Боргові цінні папери, емітовані банком</w:t>
            </w:r>
          </w:p>
        </w:tc>
        <w:tc>
          <w:tcPr>
            <w:tcW w:w="8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14 454</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0,44</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1 768</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0,04</w:t>
            </w:r>
          </w:p>
        </w:tc>
        <w:tc>
          <w:tcPr>
            <w:tcW w:w="99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669 000</w:t>
            </w:r>
          </w:p>
        </w:tc>
        <w:tc>
          <w:tcPr>
            <w:tcW w:w="49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13</w:t>
            </w:r>
          </w:p>
        </w:tc>
        <w:tc>
          <w:tcPr>
            <w:tcW w:w="98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649 000</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13,53</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r>
      <w:tr w:rsidR="00FE047D" w:rsidRPr="00FE047D" w:rsidTr="00FE047D">
        <w:trPr>
          <w:trHeight w:val="737"/>
        </w:trPr>
        <w:tc>
          <w:tcPr>
            <w:tcW w:w="1920" w:type="dxa"/>
            <w:tcBorders>
              <w:top w:val="nil"/>
              <w:left w:val="single" w:sz="4" w:space="0" w:color="auto"/>
              <w:bottom w:val="single" w:sz="4" w:space="0" w:color="auto"/>
              <w:right w:val="single" w:sz="4" w:space="0" w:color="auto"/>
            </w:tcBorders>
            <w:vAlign w:val="bottom"/>
            <w:hideMark/>
          </w:tcPr>
          <w:p w:rsidR="00FE047D" w:rsidRPr="00FE047D" w:rsidRDefault="00FE047D" w:rsidP="00FE047D">
            <w:pPr>
              <w:spacing w:after="0" w:line="240" w:lineRule="auto"/>
              <w:rPr>
                <w:rFonts w:ascii="Times New Roman" w:eastAsia="Times New Roman" w:hAnsi="Times New Roman"/>
                <w:color w:val="000000"/>
                <w:sz w:val="20"/>
                <w:szCs w:val="20"/>
                <w:lang w:eastAsia="uk-UA"/>
              </w:rPr>
            </w:pPr>
            <w:r w:rsidRPr="00FE047D">
              <w:rPr>
                <w:rFonts w:ascii="Times New Roman" w:eastAsia="Times New Roman" w:hAnsi="Times New Roman"/>
                <w:color w:val="000000"/>
                <w:sz w:val="20"/>
                <w:szCs w:val="20"/>
                <w:lang w:eastAsia="uk-UA"/>
              </w:rPr>
              <w:t>Кредиторська заборгованість з податку на прибуток</w:t>
            </w:r>
          </w:p>
        </w:tc>
        <w:tc>
          <w:tcPr>
            <w:tcW w:w="8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16 275</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0,4</w:t>
            </w:r>
          </w:p>
        </w:tc>
        <w:tc>
          <w:tcPr>
            <w:tcW w:w="99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24 514</w:t>
            </w:r>
          </w:p>
        </w:tc>
        <w:tc>
          <w:tcPr>
            <w:tcW w:w="49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0,48</w:t>
            </w:r>
          </w:p>
        </w:tc>
        <w:tc>
          <w:tcPr>
            <w:tcW w:w="98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r>
      <w:tr w:rsidR="00FE047D" w:rsidRPr="00FE047D" w:rsidTr="00FE047D">
        <w:trPr>
          <w:trHeight w:val="242"/>
        </w:trPr>
        <w:tc>
          <w:tcPr>
            <w:tcW w:w="1920" w:type="dxa"/>
            <w:tcBorders>
              <w:top w:val="nil"/>
              <w:left w:val="single" w:sz="4" w:space="0" w:color="auto"/>
              <w:bottom w:val="single" w:sz="4" w:space="0" w:color="auto"/>
              <w:right w:val="single" w:sz="4" w:space="0" w:color="auto"/>
            </w:tcBorders>
            <w:vAlign w:val="bottom"/>
            <w:hideMark/>
          </w:tcPr>
          <w:p w:rsidR="00FE047D" w:rsidRPr="00FE047D" w:rsidRDefault="00FE047D" w:rsidP="00FE047D">
            <w:pPr>
              <w:spacing w:after="0" w:line="240" w:lineRule="auto"/>
              <w:rPr>
                <w:rFonts w:ascii="Times New Roman" w:eastAsia="Times New Roman" w:hAnsi="Times New Roman"/>
                <w:color w:val="000000"/>
                <w:sz w:val="20"/>
                <w:szCs w:val="20"/>
                <w:lang w:eastAsia="uk-UA"/>
              </w:rPr>
            </w:pPr>
            <w:r w:rsidRPr="00FE047D">
              <w:rPr>
                <w:rFonts w:ascii="Times New Roman" w:eastAsia="Times New Roman" w:hAnsi="Times New Roman"/>
                <w:color w:val="000000"/>
                <w:sz w:val="20"/>
                <w:szCs w:val="20"/>
                <w:lang w:eastAsia="uk-UA"/>
              </w:rPr>
              <w:t>Загальна сума забезпечень</w:t>
            </w:r>
          </w:p>
        </w:tc>
        <w:tc>
          <w:tcPr>
            <w:tcW w:w="8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99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49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98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73 711</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1,54</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108 346</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2,35</w:t>
            </w:r>
          </w:p>
        </w:tc>
      </w:tr>
      <w:tr w:rsidR="00FE047D" w:rsidRPr="00FE047D" w:rsidTr="00FE047D">
        <w:trPr>
          <w:trHeight w:val="242"/>
        </w:trPr>
        <w:tc>
          <w:tcPr>
            <w:tcW w:w="1920" w:type="dxa"/>
            <w:tcBorders>
              <w:top w:val="nil"/>
              <w:left w:val="single" w:sz="4" w:space="0" w:color="auto"/>
              <w:bottom w:val="single" w:sz="4" w:space="0" w:color="auto"/>
              <w:right w:val="single" w:sz="4" w:space="0" w:color="auto"/>
            </w:tcBorders>
            <w:vAlign w:val="bottom"/>
            <w:hideMark/>
          </w:tcPr>
          <w:p w:rsidR="00FE047D" w:rsidRPr="00FE047D" w:rsidRDefault="00FE047D" w:rsidP="00FE047D">
            <w:pPr>
              <w:spacing w:after="0" w:line="240" w:lineRule="auto"/>
              <w:rPr>
                <w:rFonts w:ascii="Times New Roman" w:eastAsia="Times New Roman" w:hAnsi="Times New Roman"/>
                <w:color w:val="000000"/>
                <w:sz w:val="20"/>
                <w:szCs w:val="20"/>
                <w:lang w:eastAsia="uk-UA"/>
              </w:rPr>
            </w:pPr>
            <w:r w:rsidRPr="00FE047D">
              <w:rPr>
                <w:rFonts w:ascii="Times New Roman" w:eastAsia="Times New Roman" w:hAnsi="Times New Roman"/>
                <w:color w:val="000000"/>
                <w:sz w:val="20"/>
                <w:szCs w:val="20"/>
                <w:lang w:eastAsia="uk-UA"/>
              </w:rPr>
              <w:t>Резерви за зобов'язаннями</w:t>
            </w:r>
          </w:p>
        </w:tc>
        <w:tc>
          <w:tcPr>
            <w:tcW w:w="8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108 000</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3,31</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9 000</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0,22</w:t>
            </w:r>
          </w:p>
        </w:tc>
        <w:tc>
          <w:tcPr>
            <w:tcW w:w="99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1 000</w:t>
            </w:r>
          </w:p>
        </w:tc>
        <w:tc>
          <w:tcPr>
            <w:tcW w:w="49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0,02</w:t>
            </w:r>
          </w:p>
        </w:tc>
        <w:tc>
          <w:tcPr>
            <w:tcW w:w="98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r>
      <w:tr w:rsidR="00FE047D" w:rsidRPr="00FE047D" w:rsidTr="00FE047D">
        <w:trPr>
          <w:trHeight w:val="273"/>
        </w:trPr>
        <w:tc>
          <w:tcPr>
            <w:tcW w:w="1920" w:type="dxa"/>
            <w:tcBorders>
              <w:top w:val="nil"/>
              <w:left w:val="single" w:sz="4" w:space="0" w:color="auto"/>
              <w:bottom w:val="single" w:sz="4" w:space="0" w:color="auto"/>
              <w:right w:val="single" w:sz="4" w:space="0" w:color="auto"/>
            </w:tcBorders>
            <w:vAlign w:val="bottom"/>
            <w:hideMark/>
          </w:tcPr>
          <w:p w:rsidR="00FE047D" w:rsidRPr="00FE047D" w:rsidRDefault="00FE047D" w:rsidP="00FE047D">
            <w:pPr>
              <w:spacing w:after="0" w:line="240" w:lineRule="auto"/>
              <w:rPr>
                <w:rFonts w:ascii="Times New Roman" w:eastAsia="Times New Roman" w:hAnsi="Times New Roman"/>
                <w:color w:val="000000"/>
                <w:sz w:val="20"/>
                <w:szCs w:val="20"/>
                <w:lang w:eastAsia="uk-UA"/>
              </w:rPr>
            </w:pPr>
            <w:r w:rsidRPr="00FE047D">
              <w:rPr>
                <w:rFonts w:ascii="Times New Roman" w:eastAsia="Times New Roman" w:hAnsi="Times New Roman"/>
                <w:color w:val="000000"/>
                <w:sz w:val="20"/>
                <w:szCs w:val="20"/>
                <w:lang w:eastAsia="uk-UA"/>
              </w:rPr>
              <w:t>Інші фінансові зобов’язання</w:t>
            </w:r>
          </w:p>
        </w:tc>
        <w:tc>
          <w:tcPr>
            <w:tcW w:w="8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27 100</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0,83</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56 326</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1,38</w:t>
            </w:r>
          </w:p>
        </w:tc>
        <w:tc>
          <w:tcPr>
            <w:tcW w:w="99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50 781</w:t>
            </w:r>
          </w:p>
        </w:tc>
        <w:tc>
          <w:tcPr>
            <w:tcW w:w="49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0,99</w:t>
            </w:r>
          </w:p>
        </w:tc>
        <w:tc>
          <w:tcPr>
            <w:tcW w:w="98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113 468</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2,36</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126 975</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2,75</w:t>
            </w:r>
          </w:p>
        </w:tc>
      </w:tr>
      <w:tr w:rsidR="00FE047D" w:rsidRPr="00FE047D" w:rsidTr="00FE047D">
        <w:trPr>
          <w:trHeight w:val="495"/>
        </w:trPr>
        <w:tc>
          <w:tcPr>
            <w:tcW w:w="1920" w:type="dxa"/>
            <w:tcBorders>
              <w:top w:val="nil"/>
              <w:left w:val="single" w:sz="4" w:space="0" w:color="auto"/>
              <w:bottom w:val="single" w:sz="4" w:space="0" w:color="auto"/>
              <w:right w:val="single" w:sz="4" w:space="0" w:color="auto"/>
            </w:tcBorders>
            <w:vAlign w:val="bottom"/>
            <w:hideMark/>
          </w:tcPr>
          <w:p w:rsidR="00FE047D" w:rsidRPr="00FE047D" w:rsidRDefault="00FE047D" w:rsidP="00FE047D">
            <w:pPr>
              <w:spacing w:after="0" w:line="240" w:lineRule="auto"/>
              <w:rPr>
                <w:rFonts w:ascii="Times New Roman" w:eastAsia="Times New Roman" w:hAnsi="Times New Roman"/>
                <w:color w:val="000000"/>
                <w:sz w:val="20"/>
                <w:szCs w:val="20"/>
                <w:lang w:eastAsia="uk-UA"/>
              </w:rPr>
            </w:pPr>
            <w:r w:rsidRPr="00FE047D">
              <w:rPr>
                <w:rFonts w:ascii="Times New Roman" w:eastAsia="Times New Roman" w:hAnsi="Times New Roman"/>
                <w:color w:val="000000"/>
                <w:sz w:val="20"/>
                <w:szCs w:val="20"/>
                <w:lang w:eastAsia="uk-UA"/>
              </w:rPr>
              <w:t>Кредиторська заборгованість з лізингу</w:t>
            </w:r>
          </w:p>
        </w:tc>
        <w:tc>
          <w:tcPr>
            <w:tcW w:w="8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99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54 719</w:t>
            </w:r>
          </w:p>
        </w:tc>
        <w:tc>
          <w:tcPr>
            <w:tcW w:w="49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1,06</w:t>
            </w:r>
          </w:p>
        </w:tc>
        <w:tc>
          <w:tcPr>
            <w:tcW w:w="98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r>
      <w:tr w:rsidR="00FE047D" w:rsidRPr="00FE047D" w:rsidTr="00FE047D">
        <w:trPr>
          <w:trHeight w:val="495"/>
        </w:trPr>
        <w:tc>
          <w:tcPr>
            <w:tcW w:w="1920" w:type="dxa"/>
            <w:tcBorders>
              <w:top w:val="nil"/>
              <w:left w:val="single" w:sz="4" w:space="0" w:color="auto"/>
              <w:bottom w:val="single" w:sz="4" w:space="0" w:color="auto"/>
              <w:right w:val="single" w:sz="4" w:space="0" w:color="auto"/>
            </w:tcBorders>
            <w:vAlign w:val="bottom"/>
            <w:hideMark/>
          </w:tcPr>
          <w:p w:rsidR="00FE047D" w:rsidRPr="00FE047D" w:rsidRDefault="00FE047D" w:rsidP="00FE047D">
            <w:pPr>
              <w:spacing w:after="0" w:line="240" w:lineRule="auto"/>
              <w:rPr>
                <w:rFonts w:ascii="Times New Roman" w:eastAsia="Times New Roman" w:hAnsi="Times New Roman"/>
                <w:color w:val="000000"/>
                <w:sz w:val="20"/>
                <w:szCs w:val="20"/>
                <w:lang w:eastAsia="uk-UA"/>
              </w:rPr>
            </w:pPr>
            <w:r w:rsidRPr="00FE047D">
              <w:rPr>
                <w:rFonts w:ascii="Times New Roman" w:eastAsia="Times New Roman" w:hAnsi="Times New Roman"/>
                <w:color w:val="000000"/>
                <w:sz w:val="20"/>
                <w:szCs w:val="20"/>
                <w:lang w:eastAsia="uk-UA"/>
              </w:rPr>
              <w:t>Інші нефінансові зобов'язання</w:t>
            </w:r>
          </w:p>
        </w:tc>
        <w:tc>
          <w:tcPr>
            <w:tcW w:w="8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41 676</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1,28</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50 470</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1,24</w:t>
            </w:r>
          </w:p>
        </w:tc>
        <w:tc>
          <w:tcPr>
            <w:tcW w:w="99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84 154</w:t>
            </w:r>
          </w:p>
        </w:tc>
        <w:tc>
          <w:tcPr>
            <w:tcW w:w="49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1,63</w:t>
            </w:r>
          </w:p>
        </w:tc>
        <w:tc>
          <w:tcPr>
            <w:tcW w:w="98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10 219</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0,21</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10 887</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0,24</w:t>
            </w:r>
          </w:p>
        </w:tc>
      </w:tr>
      <w:tr w:rsidR="00FE047D" w:rsidRPr="00FE047D" w:rsidTr="00FE047D">
        <w:trPr>
          <w:trHeight w:val="495"/>
        </w:trPr>
        <w:tc>
          <w:tcPr>
            <w:tcW w:w="1920" w:type="dxa"/>
            <w:tcBorders>
              <w:top w:val="nil"/>
              <w:left w:val="single" w:sz="4" w:space="0" w:color="auto"/>
              <w:bottom w:val="single" w:sz="4" w:space="0" w:color="auto"/>
              <w:right w:val="single" w:sz="4" w:space="0" w:color="auto"/>
            </w:tcBorders>
            <w:vAlign w:val="bottom"/>
            <w:hideMark/>
          </w:tcPr>
          <w:p w:rsidR="00FE047D" w:rsidRPr="00FE047D" w:rsidRDefault="00FE047D" w:rsidP="00FE047D">
            <w:pPr>
              <w:spacing w:after="0" w:line="240" w:lineRule="auto"/>
              <w:rPr>
                <w:rFonts w:ascii="Times New Roman" w:eastAsia="Times New Roman" w:hAnsi="Times New Roman"/>
                <w:color w:val="000000"/>
                <w:sz w:val="20"/>
                <w:szCs w:val="20"/>
                <w:lang w:eastAsia="uk-UA"/>
              </w:rPr>
            </w:pPr>
            <w:r w:rsidRPr="00FE047D">
              <w:rPr>
                <w:rFonts w:ascii="Times New Roman" w:eastAsia="Times New Roman" w:hAnsi="Times New Roman"/>
                <w:color w:val="000000"/>
                <w:sz w:val="20"/>
                <w:szCs w:val="20"/>
                <w:lang w:eastAsia="uk-UA"/>
              </w:rPr>
              <w:t>Поточні податкові зобов'язання</w:t>
            </w:r>
          </w:p>
        </w:tc>
        <w:tc>
          <w:tcPr>
            <w:tcW w:w="8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99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 </w:t>
            </w:r>
          </w:p>
        </w:tc>
        <w:tc>
          <w:tcPr>
            <w:tcW w:w="49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w:t>
            </w:r>
          </w:p>
        </w:tc>
        <w:tc>
          <w:tcPr>
            <w:tcW w:w="98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36 953</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0,77</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41 532</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0,9</w:t>
            </w:r>
          </w:p>
        </w:tc>
      </w:tr>
      <w:tr w:rsidR="00FE047D" w:rsidRPr="00FE047D" w:rsidTr="00FE047D">
        <w:trPr>
          <w:trHeight w:val="252"/>
        </w:trPr>
        <w:tc>
          <w:tcPr>
            <w:tcW w:w="1920" w:type="dxa"/>
            <w:tcBorders>
              <w:top w:val="nil"/>
              <w:left w:val="single" w:sz="4" w:space="0" w:color="auto"/>
              <w:bottom w:val="single" w:sz="4" w:space="0" w:color="auto"/>
              <w:right w:val="single" w:sz="4" w:space="0" w:color="auto"/>
            </w:tcBorders>
            <w:vAlign w:val="bottom"/>
            <w:hideMark/>
          </w:tcPr>
          <w:p w:rsidR="00FE047D" w:rsidRPr="00FE047D" w:rsidRDefault="00FE047D" w:rsidP="00FE047D">
            <w:pPr>
              <w:spacing w:after="0" w:line="240" w:lineRule="auto"/>
              <w:rPr>
                <w:rFonts w:ascii="Times New Roman" w:eastAsia="Times New Roman" w:hAnsi="Times New Roman"/>
                <w:color w:val="000000"/>
                <w:sz w:val="20"/>
                <w:szCs w:val="20"/>
                <w:lang w:eastAsia="uk-UA"/>
              </w:rPr>
            </w:pPr>
            <w:r w:rsidRPr="00FE047D">
              <w:rPr>
                <w:rFonts w:ascii="Times New Roman" w:eastAsia="Times New Roman" w:hAnsi="Times New Roman"/>
                <w:color w:val="000000"/>
                <w:sz w:val="20"/>
                <w:szCs w:val="20"/>
                <w:lang w:eastAsia="uk-UA"/>
              </w:rPr>
              <w:t>Субординований борг</w:t>
            </w:r>
          </w:p>
        </w:tc>
        <w:tc>
          <w:tcPr>
            <w:tcW w:w="8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81 620</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2,5</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80 488</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1,97</w:t>
            </w:r>
          </w:p>
        </w:tc>
        <w:tc>
          <w:tcPr>
            <w:tcW w:w="99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68 826</w:t>
            </w:r>
          </w:p>
        </w:tc>
        <w:tc>
          <w:tcPr>
            <w:tcW w:w="49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1,34</w:t>
            </w:r>
          </w:p>
        </w:tc>
        <w:tc>
          <w:tcPr>
            <w:tcW w:w="98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82 124</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1,71</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79 985</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color w:val="000000"/>
                <w:sz w:val="16"/>
                <w:szCs w:val="16"/>
                <w:lang w:eastAsia="uk-UA"/>
              </w:rPr>
            </w:pPr>
            <w:r w:rsidRPr="00FE047D">
              <w:rPr>
                <w:rFonts w:ascii="Times New Roman" w:eastAsia="Times New Roman" w:hAnsi="Times New Roman"/>
                <w:color w:val="000000"/>
                <w:sz w:val="16"/>
                <w:szCs w:val="16"/>
                <w:lang w:eastAsia="uk-UA"/>
              </w:rPr>
              <w:t>1,73</w:t>
            </w:r>
          </w:p>
        </w:tc>
      </w:tr>
      <w:tr w:rsidR="00FE047D" w:rsidRPr="00FE047D" w:rsidTr="00FE047D">
        <w:trPr>
          <w:trHeight w:val="252"/>
        </w:trPr>
        <w:tc>
          <w:tcPr>
            <w:tcW w:w="1920" w:type="dxa"/>
            <w:tcBorders>
              <w:top w:val="nil"/>
              <w:left w:val="single" w:sz="4" w:space="0" w:color="auto"/>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20"/>
                <w:szCs w:val="20"/>
                <w:lang w:eastAsia="uk-UA"/>
              </w:rPr>
            </w:pPr>
            <w:r w:rsidRPr="00FE047D">
              <w:rPr>
                <w:rFonts w:ascii="Times New Roman" w:eastAsia="Times New Roman" w:hAnsi="Times New Roman"/>
                <w:b/>
                <w:bCs/>
                <w:color w:val="000000"/>
                <w:sz w:val="20"/>
                <w:szCs w:val="20"/>
                <w:lang w:eastAsia="uk-UA"/>
              </w:rPr>
              <w:t>ВСЬОГО</w:t>
            </w:r>
          </w:p>
        </w:tc>
        <w:tc>
          <w:tcPr>
            <w:tcW w:w="8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3 156 202</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100</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3 486 266</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100</w:t>
            </w:r>
          </w:p>
        </w:tc>
        <w:tc>
          <w:tcPr>
            <w:tcW w:w="990"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4 478 686</w:t>
            </w:r>
          </w:p>
        </w:tc>
        <w:tc>
          <w:tcPr>
            <w:tcW w:w="49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100</w:t>
            </w:r>
          </w:p>
        </w:tc>
        <w:tc>
          <w:tcPr>
            <w:tcW w:w="981"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4 149 974</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100</w:t>
            </w:r>
          </w:p>
        </w:tc>
        <w:tc>
          <w:tcPr>
            <w:tcW w:w="914"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4 610 211</w:t>
            </w:r>
          </w:p>
        </w:tc>
        <w:tc>
          <w:tcPr>
            <w:tcW w:w="576" w:type="dxa"/>
            <w:tcBorders>
              <w:top w:val="nil"/>
              <w:left w:val="nil"/>
              <w:bottom w:val="single" w:sz="4" w:space="0" w:color="auto"/>
              <w:right w:val="single" w:sz="4" w:space="0" w:color="auto"/>
            </w:tcBorders>
            <w:noWrap/>
            <w:vAlign w:val="center"/>
            <w:hideMark/>
          </w:tcPr>
          <w:p w:rsidR="00FE047D" w:rsidRPr="00FE047D" w:rsidRDefault="00FE047D" w:rsidP="00FE047D">
            <w:pPr>
              <w:spacing w:after="0" w:line="240" w:lineRule="auto"/>
              <w:jc w:val="center"/>
              <w:rPr>
                <w:rFonts w:ascii="Times New Roman" w:eastAsia="Times New Roman" w:hAnsi="Times New Roman"/>
                <w:b/>
                <w:bCs/>
                <w:color w:val="000000"/>
                <w:sz w:val="16"/>
                <w:szCs w:val="16"/>
                <w:lang w:eastAsia="uk-UA"/>
              </w:rPr>
            </w:pPr>
            <w:r w:rsidRPr="00FE047D">
              <w:rPr>
                <w:rFonts w:ascii="Times New Roman" w:eastAsia="Times New Roman" w:hAnsi="Times New Roman"/>
                <w:b/>
                <w:bCs/>
                <w:color w:val="000000"/>
                <w:sz w:val="16"/>
                <w:szCs w:val="16"/>
                <w:lang w:eastAsia="uk-UA"/>
              </w:rPr>
              <w:t>100</w:t>
            </w:r>
          </w:p>
        </w:tc>
      </w:tr>
    </w:tbl>
    <w:p w:rsidR="00FE047D" w:rsidRPr="00FE047D" w:rsidRDefault="00FE047D" w:rsidP="00FE047D">
      <w:pPr>
        <w:spacing w:before="120" w:after="0" w:line="360" w:lineRule="auto"/>
        <w:ind w:firstLine="709"/>
        <w:jc w:val="both"/>
        <w:rPr>
          <w:rFonts w:ascii="Times New Roman" w:hAnsi="Times New Roman"/>
          <w:sz w:val="28"/>
          <w:szCs w:val="28"/>
        </w:rPr>
      </w:pPr>
      <w:r w:rsidRPr="00FE047D">
        <w:rPr>
          <w:rFonts w:ascii="Times New Roman" w:hAnsi="Times New Roman"/>
          <w:sz w:val="28"/>
          <w:szCs w:val="28"/>
        </w:rPr>
        <w:lastRenderedPageBreak/>
        <w:t xml:space="preserve">Для ефективного управління ліквідністю АТ «Ідея Банк» здійснює аналіз рівня необхідних ліквідних активів для забезпечення зобов'язань банку за строками їх використання, здійснює контролю за відповідністю дотримання нормативів ліквідності банку законодавчим вимогам. У поданій нижче </w:t>
      </w:r>
      <w:r w:rsidRPr="00B544A3">
        <w:rPr>
          <w:rFonts w:ascii="Times New Roman" w:hAnsi="Times New Roman"/>
          <w:sz w:val="28"/>
          <w:szCs w:val="28"/>
        </w:rPr>
        <w:t>табл</w:t>
      </w:r>
      <w:r w:rsidR="00B544A3" w:rsidRPr="00B544A3">
        <w:rPr>
          <w:rFonts w:ascii="Times New Roman" w:hAnsi="Times New Roman"/>
          <w:sz w:val="28"/>
          <w:szCs w:val="28"/>
        </w:rPr>
        <w:t xml:space="preserve">. </w:t>
      </w:r>
      <w:r w:rsidRPr="00B544A3">
        <w:rPr>
          <w:rFonts w:ascii="Times New Roman" w:hAnsi="Times New Roman"/>
          <w:sz w:val="28"/>
          <w:szCs w:val="28"/>
        </w:rPr>
        <w:t>2.</w:t>
      </w:r>
      <w:r w:rsidR="00B544A3" w:rsidRPr="00B544A3">
        <w:rPr>
          <w:rFonts w:ascii="Times New Roman" w:hAnsi="Times New Roman"/>
          <w:sz w:val="28"/>
          <w:szCs w:val="28"/>
        </w:rPr>
        <w:t>8</w:t>
      </w:r>
      <w:r w:rsidRPr="00B544A3">
        <w:rPr>
          <w:rFonts w:ascii="Times New Roman" w:hAnsi="Times New Roman"/>
          <w:sz w:val="28"/>
          <w:szCs w:val="28"/>
        </w:rPr>
        <w:t>.</w:t>
      </w:r>
      <w:r w:rsidRPr="00FE047D">
        <w:rPr>
          <w:rFonts w:ascii="Times New Roman" w:hAnsi="Times New Roman"/>
          <w:sz w:val="28"/>
          <w:szCs w:val="28"/>
        </w:rPr>
        <w:t xml:space="preserve"> показані зобов’язання Банку за визначеними в угодах строками погашення, що залишились.</w:t>
      </w:r>
      <w:r w:rsidRPr="00FE047D">
        <w:t xml:space="preserve"> </w:t>
      </w:r>
      <w:r w:rsidRPr="00FE047D">
        <w:rPr>
          <w:rFonts w:ascii="Times New Roman" w:hAnsi="Times New Roman"/>
          <w:sz w:val="28"/>
          <w:szCs w:val="28"/>
        </w:rPr>
        <w:t>Банк контролює очікувані строки погашення</w:t>
      </w:r>
      <w:r w:rsidR="00B544A3">
        <w:rPr>
          <w:rFonts w:ascii="Times New Roman" w:hAnsi="Times New Roman"/>
          <w:sz w:val="28"/>
          <w:szCs w:val="28"/>
        </w:rPr>
        <w:t>.</w:t>
      </w:r>
    </w:p>
    <w:p w:rsidR="00B544A3" w:rsidRDefault="00B544A3" w:rsidP="00B544A3">
      <w:pPr>
        <w:spacing w:before="120" w:after="0" w:line="360" w:lineRule="auto"/>
        <w:ind w:firstLine="709"/>
        <w:jc w:val="right"/>
        <w:rPr>
          <w:rFonts w:ascii="Times New Roman" w:hAnsi="Times New Roman"/>
          <w:sz w:val="28"/>
          <w:szCs w:val="28"/>
        </w:rPr>
      </w:pPr>
      <w:r w:rsidRPr="00B544A3">
        <w:rPr>
          <w:rFonts w:ascii="Times New Roman" w:hAnsi="Times New Roman"/>
          <w:sz w:val="28"/>
          <w:szCs w:val="28"/>
        </w:rPr>
        <w:t>Таблиця 2.8</w:t>
      </w:r>
    </w:p>
    <w:p w:rsidR="00FE047D" w:rsidRPr="00FE047D" w:rsidRDefault="00FE047D" w:rsidP="00B544A3">
      <w:pPr>
        <w:spacing w:before="120" w:after="0" w:line="360" w:lineRule="auto"/>
        <w:ind w:firstLine="709"/>
        <w:jc w:val="center"/>
        <w:rPr>
          <w:rFonts w:ascii="Times New Roman" w:hAnsi="Times New Roman"/>
          <w:sz w:val="28"/>
          <w:szCs w:val="28"/>
        </w:rPr>
      </w:pPr>
      <w:r w:rsidRPr="00FE047D">
        <w:rPr>
          <w:rFonts w:ascii="Times New Roman" w:hAnsi="Times New Roman"/>
          <w:sz w:val="28"/>
          <w:szCs w:val="28"/>
        </w:rPr>
        <w:t>Аналіз активів та зобов'язань за строками погашення на основі контрактних строк</w:t>
      </w:r>
      <w:r w:rsidR="00B544A3">
        <w:rPr>
          <w:rFonts w:ascii="Times New Roman" w:hAnsi="Times New Roman"/>
          <w:sz w:val="28"/>
          <w:szCs w:val="28"/>
        </w:rPr>
        <w:t xml:space="preserve">ів погашення </w:t>
      </w:r>
    </w:p>
    <w:tbl>
      <w:tblPr>
        <w:tblW w:w="10010" w:type="dxa"/>
        <w:tblLook w:val="04A0" w:firstRow="1" w:lastRow="0" w:firstColumn="1" w:lastColumn="0" w:noHBand="0" w:noVBand="1"/>
      </w:tblPr>
      <w:tblGrid>
        <w:gridCol w:w="1175"/>
        <w:gridCol w:w="2497"/>
        <w:gridCol w:w="1395"/>
        <w:gridCol w:w="1199"/>
        <w:gridCol w:w="1346"/>
        <w:gridCol w:w="1199"/>
        <w:gridCol w:w="1199"/>
      </w:tblGrid>
      <w:tr w:rsidR="00FE047D" w:rsidRPr="00FE047D" w:rsidTr="00FE047D">
        <w:trPr>
          <w:trHeight w:val="952"/>
        </w:trPr>
        <w:tc>
          <w:tcPr>
            <w:tcW w:w="1175" w:type="dxa"/>
            <w:tcBorders>
              <w:top w:val="single" w:sz="8" w:space="0" w:color="auto"/>
              <w:left w:val="single" w:sz="8" w:space="0" w:color="auto"/>
              <w:bottom w:val="single" w:sz="8"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Рік</w:t>
            </w:r>
          </w:p>
        </w:tc>
        <w:tc>
          <w:tcPr>
            <w:tcW w:w="2497" w:type="dxa"/>
            <w:tcBorders>
              <w:top w:val="single" w:sz="8" w:space="0" w:color="auto"/>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Найменування статті</w:t>
            </w:r>
          </w:p>
        </w:tc>
        <w:tc>
          <w:tcPr>
            <w:tcW w:w="1395" w:type="dxa"/>
            <w:tcBorders>
              <w:top w:val="single" w:sz="8" w:space="0" w:color="auto"/>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На вимогу та менше 1 міс.</w:t>
            </w:r>
          </w:p>
        </w:tc>
        <w:tc>
          <w:tcPr>
            <w:tcW w:w="1199" w:type="dxa"/>
            <w:tcBorders>
              <w:top w:val="single" w:sz="8" w:space="0" w:color="auto"/>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Від 1 до 12 міс.</w:t>
            </w:r>
          </w:p>
        </w:tc>
        <w:tc>
          <w:tcPr>
            <w:tcW w:w="1346" w:type="dxa"/>
            <w:tcBorders>
              <w:top w:val="single" w:sz="8" w:space="0" w:color="auto"/>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Від 12 міс. до 5 років</w:t>
            </w:r>
          </w:p>
        </w:tc>
        <w:tc>
          <w:tcPr>
            <w:tcW w:w="1199" w:type="dxa"/>
            <w:tcBorders>
              <w:top w:val="single" w:sz="8" w:space="0" w:color="auto"/>
              <w:left w:val="nil"/>
              <w:bottom w:val="single" w:sz="8"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Понад 5 років</w:t>
            </w:r>
          </w:p>
        </w:tc>
        <w:tc>
          <w:tcPr>
            <w:tcW w:w="1199" w:type="dxa"/>
            <w:tcBorders>
              <w:top w:val="single" w:sz="8" w:space="0" w:color="auto"/>
              <w:left w:val="single" w:sz="8" w:space="0" w:color="auto"/>
              <w:bottom w:val="single" w:sz="8"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Усього</w:t>
            </w:r>
          </w:p>
        </w:tc>
      </w:tr>
      <w:tr w:rsidR="00FE047D" w:rsidRPr="00FE047D" w:rsidTr="00FE047D">
        <w:trPr>
          <w:trHeight w:val="290"/>
        </w:trPr>
        <w:tc>
          <w:tcPr>
            <w:tcW w:w="1175" w:type="dxa"/>
            <w:vMerge w:val="restart"/>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2017</w:t>
            </w: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Активи</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640,433</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1 364,394</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1 443,758</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130,462</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3 579,047</w:t>
            </w:r>
          </w:p>
        </w:tc>
      </w:tr>
      <w:tr w:rsidR="00FE047D" w:rsidRPr="00FE047D" w:rsidTr="00FE047D">
        <w:trPr>
          <w:trHeight w:val="290"/>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Зобов'язання</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828,327</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561,206</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1 766,494</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175,000</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3 156,202</w:t>
            </w:r>
          </w:p>
        </w:tc>
      </w:tr>
      <w:tr w:rsidR="00FE047D" w:rsidRPr="00FE047D" w:rsidTr="00FE047D">
        <w:trPr>
          <w:trHeight w:val="557"/>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Чистий надлишок (розрив) ліквідності</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-187,894</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803,188</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-322,736</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-44,538</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422,845</w:t>
            </w:r>
          </w:p>
        </w:tc>
      </w:tr>
      <w:tr w:rsidR="00FE047D" w:rsidRPr="00FE047D" w:rsidTr="00FE047D">
        <w:trPr>
          <w:trHeight w:val="532"/>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Сукупний надлишок ліквідності</w:t>
            </w:r>
          </w:p>
        </w:tc>
        <w:tc>
          <w:tcPr>
            <w:tcW w:w="1395"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-187,894</w:t>
            </w:r>
          </w:p>
        </w:tc>
        <w:tc>
          <w:tcPr>
            <w:tcW w:w="1199"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615,294</w:t>
            </w:r>
          </w:p>
        </w:tc>
        <w:tc>
          <w:tcPr>
            <w:tcW w:w="1346"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292,558</w:t>
            </w:r>
          </w:p>
        </w:tc>
        <w:tc>
          <w:tcPr>
            <w:tcW w:w="1199" w:type="dxa"/>
            <w:tcBorders>
              <w:top w:val="nil"/>
              <w:left w:val="nil"/>
              <w:bottom w:val="single" w:sz="8"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422,845</w:t>
            </w:r>
          </w:p>
        </w:tc>
        <w:tc>
          <w:tcPr>
            <w:tcW w:w="1199" w:type="dxa"/>
            <w:tcBorders>
              <w:top w:val="nil"/>
              <w:left w:val="single" w:sz="8" w:space="0" w:color="auto"/>
              <w:bottom w:val="single" w:sz="8"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 </w:t>
            </w:r>
          </w:p>
        </w:tc>
      </w:tr>
      <w:tr w:rsidR="00FE047D" w:rsidRPr="00FE047D" w:rsidTr="00FE047D">
        <w:trPr>
          <w:trHeight w:val="290"/>
        </w:trPr>
        <w:tc>
          <w:tcPr>
            <w:tcW w:w="1175" w:type="dxa"/>
            <w:vMerge w:val="restart"/>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2018</w:t>
            </w: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Активи</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709,725</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1 569,815</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1 773,300</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151,362</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4 204,202</w:t>
            </w:r>
          </w:p>
        </w:tc>
      </w:tr>
      <w:tr w:rsidR="00FE047D" w:rsidRPr="00FE047D" w:rsidTr="00FE047D">
        <w:trPr>
          <w:trHeight w:val="290"/>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Зобов'язання</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1 078,688</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261,576</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2 145,826</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176,000</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3 486,266</w:t>
            </w:r>
          </w:p>
        </w:tc>
      </w:tr>
      <w:tr w:rsidR="00FE047D" w:rsidRPr="00FE047D" w:rsidTr="00FE047D">
        <w:trPr>
          <w:trHeight w:val="557"/>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Чистий надлишок (розрив) ліквідності</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-368,963</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1 308,239</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-372,013</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151,186</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718,449</w:t>
            </w:r>
          </w:p>
        </w:tc>
      </w:tr>
      <w:tr w:rsidR="00FE047D" w:rsidRPr="00FE047D" w:rsidTr="00FE047D">
        <w:trPr>
          <w:trHeight w:val="545"/>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Сукупний надлишок ліквідності</w:t>
            </w:r>
          </w:p>
        </w:tc>
        <w:tc>
          <w:tcPr>
            <w:tcW w:w="1395"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-368,963</w:t>
            </w:r>
          </w:p>
        </w:tc>
        <w:tc>
          <w:tcPr>
            <w:tcW w:w="1199"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939,276</w:t>
            </w:r>
          </w:p>
        </w:tc>
        <w:tc>
          <w:tcPr>
            <w:tcW w:w="1346"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567,263</w:t>
            </w:r>
          </w:p>
        </w:tc>
        <w:tc>
          <w:tcPr>
            <w:tcW w:w="1199" w:type="dxa"/>
            <w:tcBorders>
              <w:top w:val="nil"/>
              <w:left w:val="nil"/>
              <w:bottom w:val="single" w:sz="8"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718,449</w:t>
            </w:r>
          </w:p>
        </w:tc>
        <w:tc>
          <w:tcPr>
            <w:tcW w:w="1199" w:type="dxa"/>
            <w:tcBorders>
              <w:top w:val="nil"/>
              <w:left w:val="single" w:sz="8" w:space="0" w:color="auto"/>
              <w:bottom w:val="single" w:sz="8"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 </w:t>
            </w:r>
          </w:p>
        </w:tc>
      </w:tr>
      <w:tr w:rsidR="00FE047D" w:rsidRPr="00FE047D" w:rsidTr="00FE047D">
        <w:trPr>
          <w:trHeight w:val="290"/>
        </w:trPr>
        <w:tc>
          <w:tcPr>
            <w:tcW w:w="1175" w:type="dxa"/>
            <w:vMerge w:val="restart"/>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2019</w:t>
            </w: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Активи</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1 122,489</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2 143,124</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1 905,690</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234,352</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5 405,655</w:t>
            </w:r>
          </w:p>
        </w:tc>
      </w:tr>
      <w:tr w:rsidR="00FE047D" w:rsidRPr="00FE047D" w:rsidTr="00FE047D">
        <w:trPr>
          <w:trHeight w:val="290"/>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Зобов'язання</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932,270</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1 049,663</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2 489,610</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143,000</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4 478,686</w:t>
            </w:r>
          </w:p>
        </w:tc>
      </w:tr>
      <w:tr w:rsidR="00FE047D" w:rsidRPr="00FE047D" w:rsidTr="00FE047D">
        <w:trPr>
          <w:trHeight w:val="557"/>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Чистий надлишок (розрив) ліквідності</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183,219</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1 093,461</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-583,920</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234,209</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926,969</w:t>
            </w:r>
          </w:p>
        </w:tc>
      </w:tr>
      <w:tr w:rsidR="00FE047D" w:rsidRPr="00FE047D" w:rsidTr="00FE047D">
        <w:trPr>
          <w:trHeight w:val="557"/>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Сукупний надлишок ліквідності</w:t>
            </w:r>
          </w:p>
        </w:tc>
        <w:tc>
          <w:tcPr>
            <w:tcW w:w="1395"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183,219</w:t>
            </w:r>
          </w:p>
        </w:tc>
        <w:tc>
          <w:tcPr>
            <w:tcW w:w="1199"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1 276,680</w:t>
            </w:r>
          </w:p>
        </w:tc>
        <w:tc>
          <w:tcPr>
            <w:tcW w:w="1346"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692,760</w:t>
            </w:r>
          </w:p>
        </w:tc>
        <w:tc>
          <w:tcPr>
            <w:tcW w:w="1199" w:type="dxa"/>
            <w:tcBorders>
              <w:top w:val="nil"/>
              <w:left w:val="nil"/>
              <w:bottom w:val="single" w:sz="8"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926,969</w:t>
            </w:r>
          </w:p>
        </w:tc>
        <w:tc>
          <w:tcPr>
            <w:tcW w:w="1199" w:type="dxa"/>
            <w:tcBorders>
              <w:top w:val="nil"/>
              <w:left w:val="single" w:sz="8" w:space="0" w:color="auto"/>
              <w:bottom w:val="single" w:sz="8"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 </w:t>
            </w:r>
          </w:p>
        </w:tc>
      </w:tr>
      <w:tr w:rsidR="00FE047D" w:rsidRPr="00FE047D" w:rsidTr="00FE047D">
        <w:trPr>
          <w:trHeight w:val="290"/>
        </w:trPr>
        <w:tc>
          <w:tcPr>
            <w:tcW w:w="1175" w:type="dxa"/>
            <w:vMerge w:val="restart"/>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2020</w:t>
            </w: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Активи</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1 112,104</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2 083,303</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1 622,372</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264,237</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5 082,016</w:t>
            </w:r>
          </w:p>
        </w:tc>
      </w:tr>
      <w:tr w:rsidR="00FE047D" w:rsidRPr="00FE047D" w:rsidTr="00FE047D">
        <w:trPr>
          <w:trHeight w:val="290"/>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Зобов'язання</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1 294,992</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2 048,523</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806,387</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72,000</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4 149,974</w:t>
            </w:r>
          </w:p>
        </w:tc>
      </w:tr>
      <w:tr w:rsidR="00FE047D" w:rsidRPr="00FE047D" w:rsidTr="00FE047D">
        <w:trPr>
          <w:trHeight w:val="557"/>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Чистий надлишок (розрив) ліквідності</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-182,888</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34,780</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815,985</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264,165</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932,042</w:t>
            </w:r>
          </w:p>
        </w:tc>
      </w:tr>
      <w:tr w:rsidR="00FE047D" w:rsidRPr="00FE047D" w:rsidTr="00FE047D">
        <w:trPr>
          <w:trHeight w:val="629"/>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Сукупний надлишок ліквідності</w:t>
            </w:r>
          </w:p>
        </w:tc>
        <w:tc>
          <w:tcPr>
            <w:tcW w:w="1395"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-182,888</w:t>
            </w:r>
          </w:p>
        </w:tc>
        <w:tc>
          <w:tcPr>
            <w:tcW w:w="1199"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-148,108</w:t>
            </w:r>
          </w:p>
        </w:tc>
        <w:tc>
          <w:tcPr>
            <w:tcW w:w="1346"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667,877</w:t>
            </w:r>
          </w:p>
        </w:tc>
        <w:tc>
          <w:tcPr>
            <w:tcW w:w="1199" w:type="dxa"/>
            <w:tcBorders>
              <w:top w:val="nil"/>
              <w:left w:val="nil"/>
              <w:bottom w:val="single" w:sz="8"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932,042</w:t>
            </w:r>
          </w:p>
        </w:tc>
        <w:tc>
          <w:tcPr>
            <w:tcW w:w="1199" w:type="dxa"/>
            <w:tcBorders>
              <w:top w:val="nil"/>
              <w:left w:val="single" w:sz="8" w:space="0" w:color="auto"/>
              <w:bottom w:val="single" w:sz="8"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 </w:t>
            </w:r>
          </w:p>
        </w:tc>
      </w:tr>
      <w:tr w:rsidR="00FE047D" w:rsidRPr="00FE047D" w:rsidTr="00FE047D">
        <w:trPr>
          <w:trHeight w:val="290"/>
        </w:trPr>
        <w:tc>
          <w:tcPr>
            <w:tcW w:w="1175" w:type="dxa"/>
            <w:vMerge w:val="restart"/>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2021</w:t>
            </w: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Активи</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1 134,391</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2 473,015</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2 183,752</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282,168</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6 073,326</w:t>
            </w:r>
          </w:p>
        </w:tc>
      </w:tr>
      <w:tr w:rsidR="00FE047D" w:rsidRPr="00FE047D" w:rsidTr="00FE047D">
        <w:trPr>
          <w:trHeight w:val="290"/>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Зобов'язання</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1 737,047</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1 674,844</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1 198,262</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58,000</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4 610,211</w:t>
            </w:r>
          </w:p>
        </w:tc>
      </w:tr>
      <w:tr w:rsidR="00FE047D" w:rsidRPr="00FE047D" w:rsidTr="00FE047D">
        <w:trPr>
          <w:trHeight w:val="557"/>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Чистий надлишок (розрив) ліквідності</w:t>
            </w:r>
          </w:p>
        </w:tc>
        <w:tc>
          <w:tcPr>
            <w:tcW w:w="1395"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-602,656</w:t>
            </w:r>
          </w:p>
        </w:tc>
        <w:tc>
          <w:tcPr>
            <w:tcW w:w="1199"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798,171</w:t>
            </w:r>
          </w:p>
        </w:tc>
        <w:tc>
          <w:tcPr>
            <w:tcW w:w="1346" w:type="dxa"/>
            <w:tcBorders>
              <w:top w:val="nil"/>
              <w:left w:val="nil"/>
              <w:bottom w:val="single" w:sz="4"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985,490</w:t>
            </w:r>
          </w:p>
        </w:tc>
        <w:tc>
          <w:tcPr>
            <w:tcW w:w="1199" w:type="dxa"/>
            <w:tcBorders>
              <w:top w:val="nil"/>
              <w:left w:val="nil"/>
              <w:bottom w:val="single" w:sz="4"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282,110</w:t>
            </w:r>
          </w:p>
        </w:tc>
        <w:tc>
          <w:tcPr>
            <w:tcW w:w="1199" w:type="dxa"/>
            <w:tcBorders>
              <w:top w:val="nil"/>
              <w:left w:val="single" w:sz="8" w:space="0" w:color="auto"/>
              <w:bottom w:val="single" w:sz="4"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1 463,115</w:t>
            </w:r>
          </w:p>
        </w:tc>
      </w:tr>
      <w:tr w:rsidR="00FE047D" w:rsidRPr="00FE047D" w:rsidTr="00FE047D">
        <w:trPr>
          <w:trHeight w:val="629"/>
        </w:trPr>
        <w:tc>
          <w:tcPr>
            <w:tcW w:w="0" w:type="auto"/>
            <w:vMerge/>
            <w:tcBorders>
              <w:top w:val="nil"/>
              <w:left w:val="single" w:sz="8" w:space="0" w:color="auto"/>
              <w:bottom w:val="single" w:sz="8" w:space="0" w:color="000000"/>
              <w:right w:val="single" w:sz="8" w:space="0" w:color="auto"/>
            </w:tcBorders>
            <w:vAlign w:val="center"/>
            <w:hideMark/>
          </w:tcPr>
          <w:p w:rsidR="00FE047D" w:rsidRPr="00FE047D" w:rsidRDefault="00FE047D" w:rsidP="00FE047D">
            <w:pPr>
              <w:spacing w:after="0"/>
              <w:rPr>
                <w:rFonts w:ascii="Times New Roman" w:eastAsia="Times New Roman" w:hAnsi="Times New Roman"/>
                <w:b/>
                <w:bCs/>
                <w:color w:val="000000"/>
                <w:lang w:eastAsia="uk-UA"/>
              </w:rPr>
            </w:pPr>
          </w:p>
        </w:tc>
        <w:tc>
          <w:tcPr>
            <w:tcW w:w="2497"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rPr>
                <w:rFonts w:ascii="Times New Roman" w:eastAsia="Times New Roman" w:hAnsi="Times New Roman"/>
                <w:color w:val="000000"/>
                <w:lang w:eastAsia="uk-UA"/>
              </w:rPr>
            </w:pPr>
            <w:r w:rsidRPr="00FE047D">
              <w:rPr>
                <w:rFonts w:ascii="Times New Roman" w:eastAsia="Times New Roman" w:hAnsi="Times New Roman"/>
                <w:color w:val="000000"/>
                <w:lang w:eastAsia="uk-UA"/>
              </w:rPr>
              <w:t>Сукупний надлишок ліквідності</w:t>
            </w:r>
          </w:p>
        </w:tc>
        <w:tc>
          <w:tcPr>
            <w:tcW w:w="1395"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-602,656</w:t>
            </w:r>
          </w:p>
        </w:tc>
        <w:tc>
          <w:tcPr>
            <w:tcW w:w="1199"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195,515</w:t>
            </w:r>
          </w:p>
        </w:tc>
        <w:tc>
          <w:tcPr>
            <w:tcW w:w="1346" w:type="dxa"/>
            <w:tcBorders>
              <w:top w:val="nil"/>
              <w:left w:val="nil"/>
              <w:bottom w:val="single" w:sz="8" w:space="0" w:color="auto"/>
              <w:right w:val="single" w:sz="4"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1 181,005</w:t>
            </w:r>
          </w:p>
        </w:tc>
        <w:tc>
          <w:tcPr>
            <w:tcW w:w="1199" w:type="dxa"/>
            <w:tcBorders>
              <w:top w:val="nil"/>
              <w:left w:val="nil"/>
              <w:bottom w:val="single" w:sz="8" w:space="0" w:color="auto"/>
              <w:right w:val="nil"/>
            </w:tcBorders>
            <w:vAlign w:val="center"/>
            <w:hideMark/>
          </w:tcPr>
          <w:p w:rsidR="00FE047D" w:rsidRPr="00FE047D" w:rsidRDefault="00FE047D" w:rsidP="00FE047D">
            <w:pPr>
              <w:spacing w:after="0" w:line="240" w:lineRule="auto"/>
              <w:jc w:val="center"/>
              <w:rPr>
                <w:rFonts w:ascii="Times New Roman" w:eastAsia="Times New Roman" w:hAnsi="Times New Roman"/>
                <w:color w:val="000000"/>
                <w:lang w:eastAsia="uk-UA"/>
              </w:rPr>
            </w:pPr>
            <w:r w:rsidRPr="00FE047D">
              <w:rPr>
                <w:rFonts w:ascii="Times New Roman" w:eastAsia="Times New Roman" w:hAnsi="Times New Roman"/>
                <w:color w:val="000000"/>
                <w:lang w:eastAsia="uk-UA"/>
              </w:rPr>
              <w:t>1 463,115</w:t>
            </w:r>
          </w:p>
        </w:tc>
        <w:tc>
          <w:tcPr>
            <w:tcW w:w="1199" w:type="dxa"/>
            <w:tcBorders>
              <w:top w:val="nil"/>
              <w:left w:val="single" w:sz="8" w:space="0" w:color="auto"/>
              <w:bottom w:val="single" w:sz="8" w:space="0" w:color="auto"/>
              <w:right w:val="single" w:sz="8" w:space="0" w:color="auto"/>
            </w:tcBorders>
            <w:vAlign w:val="center"/>
            <w:hideMark/>
          </w:tcPr>
          <w:p w:rsidR="00FE047D" w:rsidRPr="00FE047D" w:rsidRDefault="00FE047D" w:rsidP="00FE047D">
            <w:pPr>
              <w:spacing w:after="0" w:line="240" w:lineRule="auto"/>
              <w:jc w:val="center"/>
              <w:rPr>
                <w:rFonts w:ascii="Times New Roman" w:eastAsia="Times New Roman" w:hAnsi="Times New Roman"/>
                <w:b/>
                <w:bCs/>
                <w:color w:val="000000"/>
                <w:lang w:eastAsia="uk-UA"/>
              </w:rPr>
            </w:pPr>
            <w:r w:rsidRPr="00FE047D">
              <w:rPr>
                <w:rFonts w:ascii="Times New Roman" w:eastAsia="Times New Roman" w:hAnsi="Times New Roman"/>
                <w:b/>
                <w:bCs/>
                <w:color w:val="000000"/>
                <w:lang w:eastAsia="uk-UA"/>
              </w:rPr>
              <w:t> </w:t>
            </w:r>
          </w:p>
        </w:tc>
      </w:tr>
    </w:tbl>
    <w:p w:rsidR="00FE047D" w:rsidRPr="00FE047D" w:rsidRDefault="00FE047D" w:rsidP="00FE047D">
      <w:pPr>
        <w:spacing w:before="120" w:after="0" w:line="360" w:lineRule="auto"/>
        <w:ind w:firstLine="709"/>
        <w:jc w:val="both"/>
        <w:rPr>
          <w:rFonts w:ascii="Times New Roman" w:hAnsi="Times New Roman"/>
          <w:sz w:val="28"/>
          <w:szCs w:val="28"/>
        </w:rPr>
      </w:pPr>
      <w:r w:rsidRPr="00FE047D">
        <w:rPr>
          <w:rFonts w:ascii="Times New Roman" w:hAnsi="Times New Roman"/>
          <w:sz w:val="28"/>
          <w:szCs w:val="28"/>
        </w:rPr>
        <w:lastRenderedPageBreak/>
        <w:t>Відповідність або невідповідність строків погашення активів та зобов’язань має фундаментальне значення для керівництва. Строки активів та зобов’язань і спроможність заміни процентних зобов’язань після настання строку їх погашення є важливими чинниками оцінки ліквідності Банку і, відповідно, реакції на зміни процентної ставки та курсу обміну валюти. Отже аналіз активів та зобов'язань за строками погашення на основі контрактних строків погашення показує, що АТ «Ідея Банк» в основній масі займає гроші на тривалий термін, а кредити надає на короткий термін. Варто зазначити, надлишок ліквідності означає, що ліквідні кошти за обсягом перевищують їх використання та має додатній розрив ліквідності.</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t>АТ «Ідея Банк» класифікує фінансові активи та фінансові зобов’язання зі строками до погашення за вимогою та менше 1 місяця, від 1 до 12 місяців, як поточні фінансові активи та зобов'язання, а зі строками до погашення від 12 місяців до 5 років та понад 5 років – як непоточні фінансові активи та зобов'язання. Віднесення кожної зі статей активу до певної групи за строком погашення дозволяє АТ «Ідея Банк» оцінити наявні ліквідні кошти та виявити резерви ліквідних активів, які за потреби можуть бути трансформовані в грошові кошти. Такий аналіз дає змогу Банку вчасно реагувати на зниження рівня ліквідності банку та підвищувати ліквідність до мінімального рівня.</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t xml:space="preserve">Активи та зобов’язання Банку за вимогою та менше 1 місяця в 2019 році були збалансованими та розрив ліквідності склав 183,219 тис. грн, тобто АТ «Ідея Банк» має достатній розрив ліквідності та свідчить про надлишок ліквідних коштів. В 2017, 2018, 2020, 2021 роках чистий розрив ліквідності АТ «Ідея Банк» за вимогою та менше 1 місяця мав від’ємне значення, тобто потреба Банку в ліквідних коштах перевищувала їх наявність. А отже перед керівництвом Банку постає завдання в пошуку найдешевших і найдоступніших джерел поповнення ліквідних коштів за вимогою та менше 1 місяця. За активами та зобов’язаннями Банку з терміном погашення від 1 до 12 місяців за період, який досліджується, простежується наступна ситуація. Так у 2017-2021 роках чистий надлишок (розрив) ліквідності мав додатне значення, тобто це є позитивним управлінням активними та пасивними операціями Банку. За активами та зобов’язаннями АТ </w:t>
      </w:r>
      <w:r w:rsidRPr="00FE047D">
        <w:rPr>
          <w:rFonts w:ascii="Times New Roman" w:hAnsi="Times New Roman"/>
          <w:sz w:val="28"/>
          <w:szCs w:val="28"/>
        </w:rPr>
        <w:lastRenderedPageBreak/>
        <w:t xml:space="preserve">«Ідея Банк» з терміном погашення від 3 до 12 місяців в 2017-2019 роках існує нестача, тобто Банк мав від’ємне значення чистого розриву ліквідності, а зобов’язання перевищували наявні активи Банку. Але у 2020 та 2021 роках ситуація покращилася та стабілізувалася. За довготерміновими зобов’язаннями банку, з терміном погашення від 12 місяців і до 5 років та понад 5 років, протягом 2018-2021 років, ліквідні кошти банку за обсягами перевищують їх використання, тобто АТ «Ідея Банк» має додатний розрив ліквідності та може надлишок ліквідних коштів інвестувати в дохідні активи до виникнення потреби в таких грошових коштах. </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t xml:space="preserve">Задля кращої оцінки ефективності управління ліквідністю АТ «Ідея Банк» зобразимо активи і зобов’язання банку за строками погашення. Дані активів та зобов’язань Банку у 2021 році за строками погашення </w:t>
      </w:r>
      <w:r w:rsidRPr="00B544A3">
        <w:rPr>
          <w:rFonts w:ascii="Times New Roman" w:hAnsi="Times New Roman"/>
          <w:sz w:val="28"/>
          <w:szCs w:val="28"/>
        </w:rPr>
        <w:t>зображено на рис</w:t>
      </w:r>
      <w:r w:rsidR="00B544A3" w:rsidRPr="00B544A3">
        <w:rPr>
          <w:rFonts w:ascii="Times New Roman" w:hAnsi="Times New Roman"/>
          <w:sz w:val="28"/>
          <w:szCs w:val="28"/>
        </w:rPr>
        <w:t>.</w:t>
      </w:r>
      <w:r w:rsidRPr="00B544A3">
        <w:rPr>
          <w:rFonts w:ascii="Times New Roman" w:hAnsi="Times New Roman"/>
          <w:sz w:val="28"/>
          <w:szCs w:val="28"/>
        </w:rPr>
        <w:t xml:space="preserve"> 2.</w:t>
      </w:r>
      <w:r w:rsidR="00B544A3" w:rsidRPr="00B544A3">
        <w:rPr>
          <w:rFonts w:ascii="Times New Roman" w:hAnsi="Times New Roman"/>
          <w:sz w:val="28"/>
          <w:szCs w:val="28"/>
        </w:rPr>
        <w:t>13</w:t>
      </w:r>
      <w:r w:rsidRPr="00B544A3">
        <w:rPr>
          <w:rFonts w:ascii="Times New Roman" w:hAnsi="Times New Roman"/>
          <w:sz w:val="28"/>
          <w:szCs w:val="28"/>
        </w:rPr>
        <w:t>.</w:t>
      </w:r>
    </w:p>
    <w:p w:rsidR="00FE047D" w:rsidRPr="00FE047D" w:rsidRDefault="00FE047D" w:rsidP="00FE047D">
      <w:pPr>
        <w:spacing w:after="0" w:line="360" w:lineRule="auto"/>
        <w:ind w:firstLine="709"/>
        <w:jc w:val="both"/>
        <w:rPr>
          <w:rFonts w:ascii="Times New Roman" w:hAnsi="Times New Roman"/>
          <w:sz w:val="28"/>
          <w:szCs w:val="28"/>
        </w:rPr>
      </w:pPr>
    </w:p>
    <w:p w:rsidR="00FE047D" w:rsidRPr="00FE047D" w:rsidRDefault="00FE047D" w:rsidP="00FE047D">
      <w:pPr>
        <w:spacing w:after="0" w:line="360" w:lineRule="auto"/>
        <w:ind w:firstLine="709"/>
        <w:jc w:val="center"/>
        <w:rPr>
          <w:rFonts w:ascii="Times New Roman" w:hAnsi="Times New Roman"/>
          <w:sz w:val="28"/>
          <w:szCs w:val="28"/>
        </w:rPr>
      </w:pPr>
      <w:r w:rsidRPr="00FE047D">
        <w:rPr>
          <w:noProof/>
          <w:lang w:eastAsia="uk-UA"/>
        </w:rPr>
        <w:drawing>
          <wp:inline distT="0" distB="0" distL="0" distR="0" wp14:anchorId="30DC647F" wp14:editId="1AB21135">
            <wp:extent cx="4587240" cy="2758440"/>
            <wp:effectExtent l="0" t="0" r="3810" b="3810"/>
            <wp:docPr id="285"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E047D" w:rsidRPr="00FE047D" w:rsidRDefault="00FE047D" w:rsidP="00FE047D">
      <w:pPr>
        <w:spacing w:after="0" w:line="360" w:lineRule="auto"/>
        <w:ind w:firstLine="709"/>
        <w:jc w:val="center"/>
        <w:rPr>
          <w:rFonts w:ascii="Times New Roman" w:hAnsi="Times New Roman"/>
          <w:sz w:val="28"/>
          <w:szCs w:val="28"/>
        </w:rPr>
      </w:pPr>
      <w:r w:rsidRPr="00B544A3">
        <w:rPr>
          <w:rFonts w:ascii="Times New Roman" w:hAnsi="Times New Roman"/>
          <w:sz w:val="28"/>
          <w:szCs w:val="28"/>
        </w:rPr>
        <w:t>Рис. 2.</w:t>
      </w:r>
      <w:r w:rsidR="00B544A3" w:rsidRPr="00B544A3">
        <w:rPr>
          <w:rFonts w:ascii="Times New Roman" w:hAnsi="Times New Roman"/>
          <w:sz w:val="28"/>
          <w:szCs w:val="28"/>
        </w:rPr>
        <w:t>13</w:t>
      </w:r>
      <w:r w:rsidRPr="00B544A3">
        <w:rPr>
          <w:rFonts w:ascii="Times New Roman" w:hAnsi="Times New Roman"/>
          <w:sz w:val="28"/>
          <w:szCs w:val="28"/>
        </w:rPr>
        <w:t xml:space="preserve">. </w:t>
      </w:r>
      <w:r w:rsidR="00A62541">
        <w:rPr>
          <w:rFonts w:ascii="Times New Roman" w:hAnsi="Times New Roman"/>
          <w:sz w:val="28"/>
          <w:szCs w:val="28"/>
        </w:rPr>
        <w:t>Динаміка а</w:t>
      </w:r>
      <w:r w:rsidRPr="00B544A3">
        <w:rPr>
          <w:rFonts w:ascii="Times New Roman" w:hAnsi="Times New Roman"/>
          <w:sz w:val="28"/>
          <w:szCs w:val="28"/>
        </w:rPr>
        <w:t>ктивів та зобов’язань АТ «Ідея Банк» у 2021 році за строками погашення</w:t>
      </w:r>
    </w:p>
    <w:p w:rsidR="00FE047D" w:rsidRPr="00FE047D" w:rsidRDefault="00FE047D" w:rsidP="00FE047D">
      <w:pPr>
        <w:spacing w:after="0" w:line="360" w:lineRule="auto"/>
        <w:ind w:firstLine="709"/>
        <w:jc w:val="both"/>
        <w:rPr>
          <w:rFonts w:ascii="Times New Roman" w:hAnsi="Times New Roman"/>
          <w:sz w:val="28"/>
          <w:szCs w:val="28"/>
        </w:rPr>
      </w:pPr>
      <w:r w:rsidRPr="00B544A3">
        <w:rPr>
          <w:rFonts w:ascii="Times New Roman" w:hAnsi="Times New Roman"/>
          <w:sz w:val="28"/>
          <w:szCs w:val="28"/>
        </w:rPr>
        <w:t>За даними рис. 2.</w:t>
      </w:r>
      <w:r w:rsidR="00B544A3" w:rsidRPr="00B544A3">
        <w:rPr>
          <w:rFonts w:ascii="Times New Roman" w:hAnsi="Times New Roman"/>
          <w:sz w:val="28"/>
          <w:szCs w:val="28"/>
        </w:rPr>
        <w:t>13.</w:t>
      </w:r>
      <w:r w:rsidRPr="00FE047D">
        <w:rPr>
          <w:rFonts w:ascii="Times New Roman" w:hAnsi="Times New Roman"/>
          <w:sz w:val="28"/>
          <w:szCs w:val="28"/>
        </w:rPr>
        <w:t xml:space="preserve"> можемо констатувати, що у 2021 році, загалом Банк дотримувався співвідношення активів до зобов’язань за строками погашення. Відхилення спостерігається у співвідношенні активів до зобов’язань зі строком до 1 місяця погашення. Зазначене відхилення є нормальним та спостерігається у більшості прибуткових банків, тому, що у них вклади до запитання клієнтів завжди перевищують високоліквідні активи, зокрема готівкові та кошти на кореспондентських рахунках в банках.</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lastRenderedPageBreak/>
        <w:t>Найбільш складним роком з точки зору управління ліквідністю за період, який досліджується, буд 2020 рік. Поширення COVID-19, введення карантинних обмежень, падіння ділової активності, посилення соціального дистанціювання, зупинка діяльності багатьох підприємств, а відповідно страх втрати доходів, збільшило невизначеність серед клієнтів АТ «Ідея Банк» та мало свій вплив на ризик ліквідності, який проявився у:</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t>- негативному тренді динаміки пасивів фізичних осіб: падінні рівня переоформлення депозитів фізичних осіб у національній валюті, скороченні середньоденного продажу депозитів фізичних осіб у гривні;</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t>- падінні приростів вкладів суб’єктів господарювання у зв’язку зі сповільненням господарської діяльності;</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t>- збільшенні обсягу входу у прострочку та міграції у дальні діапазони прострочення боргу кредитного портфеля [</w:t>
      </w:r>
      <w:r w:rsidR="00287D42">
        <w:rPr>
          <w:rFonts w:ascii="Times New Roman" w:hAnsi="Times New Roman"/>
          <w:sz w:val="28"/>
          <w:szCs w:val="28"/>
        </w:rPr>
        <w:t>51</w:t>
      </w:r>
      <w:r w:rsidRPr="00FE047D">
        <w:rPr>
          <w:rFonts w:ascii="Times New Roman" w:hAnsi="Times New Roman"/>
          <w:sz w:val="28"/>
          <w:szCs w:val="28"/>
        </w:rPr>
        <w:t>].</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t xml:space="preserve">Однак, незважаючи на негативні наслідки, АТ «Ідея Банк» успішно пройшов негативні наслідки COVID-19 у 2020 році, оскільки увійшов у період пандемії без значних </w:t>
      </w:r>
      <w:proofErr w:type="spellStart"/>
      <w:r w:rsidRPr="00FE047D">
        <w:rPr>
          <w:rFonts w:ascii="Times New Roman" w:hAnsi="Times New Roman"/>
          <w:sz w:val="28"/>
          <w:szCs w:val="28"/>
        </w:rPr>
        <w:t>дисбалансів</w:t>
      </w:r>
      <w:proofErr w:type="spellEnd"/>
      <w:r w:rsidRPr="00FE047D">
        <w:rPr>
          <w:rFonts w:ascii="Times New Roman" w:hAnsi="Times New Roman"/>
          <w:sz w:val="28"/>
          <w:szCs w:val="28"/>
        </w:rPr>
        <w:t>, достатньо капіталізованим та високоліквідним. За даними річного звіту АТ «Ідея Банк», з метою стабілізації ситуації Банк вжив ряд заходів по роботі із депозитним та кредитним портфелями з метою уникнення негативного впливу кризових умов діяльності на його ліквідність, зокрема:</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t>- робота з депозитним портфелем фізичних осіб – головним каналом фінансування діяльності Банку, а саме – утримання фактичного депозитного портфеля та залучення нових вкладів;</w:t>
      </w:r>
    </w:p>
    <w:p w:rsidR="00FE047D" w:rsidRPr="00FE047D" w:rsidRDefault="00FE047D" w:rsidP="00FE047D">
      <w:pPr>
        <w:spacing w:after="0" w:line="360" w:lineRule="auto"/>
        <w:ind w:firstLine="709"/>
        <w:jc w:val="both"/>
        <w:rPr>
          <w:rFonts w:ascii="Times New Roman" w:hAnsi="Times New Roman"/>
          <w:sz w:val="28"/>
          <w:szCs w:val="28"/>
        </w:rPr>
      </w:pPr>
      <w:r w:rsidRPr="00FE047D">
        <w:rPr>
          <w:rFonts w:ascii="Times New Roman" w:hAnsi="Times New Roman"/>
          <w:sz w:val="28"/>
          <w:szCs w:val="28"/>
        </w:rPr>
        <w:t>- робота з кредитним портфелем - оформлення «кредитних канікул», реструктуризацію боргу, передачу проблемних портфелів у роботу колекторським компаніям, розширення можливостей погашення заборгованості за кредитами у режимі онлайн.</w:t>
      </w:r>
    </w:p>
    <w:p w:rsidR="00FE4D4E" w:rsidRPr="00FE4D4E" w:rsidRDefault="00FE4D4E" w:rsidP="00FE4D4E">
      <w:pPr>
        <w:spacing w:after="0" w:line="360" w:lineRule="auto"/>
        <w:ind w:firstLine="709"/>
        <w:jc w:val="both"/>
        <w:rPr>
          <w:rFonts w:ascii="Times New Roman" w:hAnsi="Times New Roman"/>
          <w:sz w:val="28"/>
          <w:szCs w:val="28"/>
        </w:rPr>
      </w:pPr>
      <w:r w:rsidRPr="00FE4D4E">
        <w:rPr>
          <w:rFonts w:ascii="Times New Roman" w:hAnsi="Times New Roman"/>
          <w:sz w:val="28"/>
          <w:szCs w:val="28"/>
        </w:rPr>
        <w:t xml:space="preserve">Отже, базуючись на результатах аналізу активів та пасивів АТ «Ідея Банк», узагальнимо, що Банк в цілому проводить достатньо ефективне управління ліквідністю. Це досягається за рахунок дотримання збалансованого рівня активів та зобов’язань за строками їх погашення. Проте Банку бажано різноманітити </w:t>
      </w:r>
      <w:r w:rsidRPr="00FE4D4E">
        <w:rPr>
          <w:rFonts w:ascii="Times New Roman" w:hAnsi="Times New Roman"/>
          <w:sz w:val="28"/>
          <w:szCs w:val="28"/>
        </w:rPr>
        <w:lastRenderedPageBreak/>
        <w:t xml:space="preserve">активи та зобов’язання, що дозволить значно зменшить кредитний ризик та ризик ліквідності. </w:t>
      </w:r>
    </w:p>
    <w:p w:rsidR="009841A9" w:rsidRPr="009841A9" w:rsidRDefault="009841A9" w:rsidP="009841A9">
      <w:pPr>
        <w:spacing w:after="0" w:line="360" w:lineRule="auto"/>
        <w:ind w:firstLine="709"/>
        <w:jc w:val="both"/>
        <w:rPr>
          <w:rFonts w:ascii="Times New Roman" w:eastAsiaTheme="minorHAnsi" w:hAnsi="Times New Roman"/>
          <w:sz w:val="28"/>
          <w:szCs w:val="28"/>
        </w:rPr>
      </w:pPr>
      <w:r w:rsidRPr="009841A9">
        <w:rPr>
          <w:rFonts w:ascii="Times New Roman" w:eastAsiaTheme="minorHAnsi" w:hAnsi="Times New Roman"/>
          <w:sz w:val="28"/>
          <w:szCs w:val="28"/>
        </w:rPr>
        <w:t xml:space="preserve">Поняття ліквідності комерційного банку та його банкрутства тісно пов’язані між собою, оскільки банкрутство – це процес, під час якого банк не в змозі розрахуватися з клієнтами та кредиторами, а значить питання банкрутства комерційного банку та його оцінка і діагностика є доволі важливими. </w:t>
      </w:r>
    </w:p>
    <w:p w:rsidR="009841A9" w:rsidRPr="009841A9" w:rsidRDefault="009841A9" w:rsidP="009841A9">
      <w:pPr>
        <w:spacing w:after="0" w:line="360" w:lineRule="auto"/>
        <w:ind w:firstLine="709"/>
        <w:jc w:val="both"/>
        <w:rPr>
          <w:rFonts w:ascii="Times New Roman" w:eastAsiaTheme="minorHAnsi" w:hAnsi="Times New Roman"/>
          <w:sz w:val="28"/>
          <w:szCs w:val="28"/>
        </w:rPr>
      </w:pPr>
      <w:r w:rsidRPr="009841A9">
        <w:rPr>
          <w:rFonts w:ascii="Times New Roman" w:eastAsiaTheme="minorHAnsi" w:hAnsi="Times New Roman"/>
          <w:sz w:val="28"/>
          <w:szCs w:val="28"/>
        </w:rPr>
        <w:t>З огляду на складний стан в якому перебуває зараз українська економіка, вважаємо за доцільне застосувати комплексний інтегральний показник -</w:t>
      </w:r>
      <w:r w:rsidRPr="009841A9">
        <w:rPr>
          <w:rFonts w:asciiTheme="minorHAnsi" w:eastAsiaTheme="minorHAnsi" w:hAnsiTheme="minorHAnsi" w:cstheme="minorBidi"/>
        </w:rPr>
        <w:t xml:space="preserve"> </w:t>
      </w:r>
      <w:r w:rsidRPr="009841A9">
        <w:rPr>
          <w:rFonts w:ascii="Times New Roman" w:eastAsiaTheme="minorHAnsi" w:hAnsi="Times New Roman"/>
          <w:sz w:val="28"/>
          <w:szCs w:val="28"/>
        </w:rPr>
        <w:t>найбільш відомим і широко вживаним є метод професора Е. Альтмана. Модель Е. Альтмана побудована з використанням апарату мультиплікативного дискримінантного аналізу. За результатами підрахунку за моделлю Е. Альтмана для конкретного банку визначається певний висновок про можливу ймовірність банкрутства [6</w:t>
      </w:r>
      <w:r>
        <w:rPr>
          <w:rFonts w:ascii="Times New Roman" w:eastAsiaTheme="minorHAnsi" w:hAnsi="Times New Roman"/>
          <w:sz w:val="28"/>
          <w:szCs w:val="28"/>
        </w:rPr>
        <w:t>4</w:t>
      </w:r>
      <w:r w:rsidRPr="009841A9">
        <w:rPr>
          <w:rFonts w:ascii="Times New Roman" w:eastAsiaTheme="minorHAnsi" w:hAnsi="Times New Roman"/>
          <w:sz w:val="28"/>
          <w:szCs w:val="28"/>
        </w:rPr>
        <w:t>].</w:t>
      </w:r>
    </w:p>
    <w:p w:rsidR="009841A9" w:rsidRPr="009841A9" w:rsidRDefault="009841A9" w:rsidP="009841A9">
      <w:pPr>
        <w:spacing w:after="0" w:line="360" w:lineRule="auto"/>
        <w:ind w:firstLine="709"/>
        <w:jc w:val="both"/>
        <w:rPr>
          <w:rFonts w:ascii="Times New Roman" w:eastAsiaTheme="minorHAnsi" w:hAnsi="Times New Roman"/>
          <w:sz w:val="28"/>
          <w:szCs w:val="28"/>
        </w:rPr>
      </w:pPr>
      <w:r w:rsidRPr="009841A9">
        <w:rPr>
          <w:rFonts w:ascii="Times New Roman" w:eastAsiaTheme="minorHAnsi" w:hAnsi="Times New Roman"/>
          <w:sz w:val="28"/>
          <w:szCs w:val="28"/>
        </w:rPr>
        <w:t xml:space="preserve">Рам Д. </w:t>
      </w:r>
      <w:proofErr w:type="spellStart"/>
      <w:r w:rsidRPr="009841A9">
        <w:rPr>
          <w:rFonts w:ascii="Times New Roman" w:eastAsiaTheme="minorHAnsi" w:hAnsi="Times New Roman"/>
          <w:sz w:val="28"/>
          <w:szCs w:val="28"/>
        </w:rPr>
        <w:t>Прадхан</w:t>
      </w:r>
      <w:proofErr w:type="spellEnd"/>
      <w:r w:rsidRPr="009841A9">
        <w:rPr>
          <w:rFonts w:ascii="Times New Roman" w:eastAsiaTheme="minorHAnsi" w:hAnsi="Times New Roman"/>
          <w:sz w:val="28"/>
          <w:szCs w:val="28"/>
        </w:rPr>
        <w:t xml:space="preserve"> довів ефективність вказаної моделі, провівши дослідження для індійських банків, результати якого показали можливість з вірогідністю у 94% спрогнозувати банкрутство за рік до його настання [6</w:t>
      </w:r>
      <w:r w:rsidR="00065673">
        <w:rPr>
          <w:rFonts w:ascii="Times New Roman" w:eastAsiaTheme="minorHAnsi" w:hAnsi="Times New Roman"/>
          <w:sz w:val="28"/>
          <w:szCs w:val="28"/>
        </w:rPr>
        <w:t>5</w:t>
      </w:r>
      <w:r w:rsidRPr="009841A9">
        <w:rPr>
          <w:rFonts w:ascii="Times New Roman" w:eastAsiaTheme="minorHAnsi" w:hAnsi="Times New Roman"/>
          <w:sz w:val="28"/>
          <w:szCs w:val="28"/>
        </w:rPr>
        <w:t>, с.160].</w:t>
      </w:r>
    </w:p>
    <w:tbl>
      <w:tblPr>
        <w:tblStyle w:val="a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4"/>
        <w:gridCol w:w="753"/>
      </w:tblGrid>
      <w:tr w:rsidR="009841A9" w:rsidRPr="009841A9" w:rsidTr="00AE5035">
        <w:trPr>
          <w:trHeight w:val="725"/>
          <w:jc w:val="center"/>
        </w:trPr>
        <w:tc>
          <w:tcPr>
            <w:tcW w:w="9067" w:type="dxa"/>
            <w:vAlign w:val="center"/>
          </w:tcPr>
          <w:p w:rsidR="009841A9" w:rsidRPr="009841A9" w:rsidRDefault="009841A9" w:rsidP="009841A9">
            <w:pPr>
              <w:spacing w:line="360" w:lineRule="auto"/>
              <w:jc w:val="center"/>
              <w:rPr>
                <w:rFonts w:ascii="Times New Roman" w:eastAsiaTheme="minorHAnsi" w:hAnsi="Times New Roman"/>
                <w:sz w:val="28"/>
                <w:szCs w:val="28"/>
              </w:rPr>
            </w:pPr>
            <w:r w:rsidRPr="009841A9">
              <w:rPr>
                <w:rFonts w:ascii="Times New Roman" w:eastAsiaTheme="minorHAnsi" w:hAnsi="Times New Roman"/>
                <w:sz w:val="28"/>
                <w:szCs w:val="28"/>
              </w:rPr>
              <w:t>Z-</w:t>
            </w:r>
            <w:proofErr w:type="spellStart"/>
            <w:r w:rsidRPr="009841A9">
              <w:rPr>
                <w:rFonts w:ascii="Times New Roman" w:eastAsiaTheme="minorHAnsi" w:hAnsi="Times New Roman"/>
                <w:sz w:val="28"/>
                <w:szCs w:val="28"/>
              </w:rPr>
              <w:t>score</w:t>
            </w:r>
            <w:proofErr w:type="spellEnd"/>
            <w:r w:rsidRPr="009841A9">
              <w:rPr>
                <w:rFonts w:ascii="Times New Roman" w:eastAsiaTheme="minorHAnsi" w:hAnsi="Times New Roman"/>
                <w:sz w:val="28"/>
                <w:szCs w:val="28"/>
              </w:rPr>
              <w:t xml:space="preserve"> = 6,56K</w:t>
            </w:r>
            <w:r w:rsidRPr="009841A9">
              <w:rPr>
                <w:rFonts w:ascii="Times New Roman" w:eastAsiaTheme="minorHAnsi" w:hAnsi="Times New Roman"/>
                <w:sz w:val="28"/>
                <w:szCs w:val="28"/>
                <w:vertAlign w:val="subscript"/>
              </w:rPr>
              <w:t>1</w:t>
            </w:r>
            <w:r w:rsidRPr="009841A9">
              <w:rPr>
                <w:rFonts w:ascii="Times New Roman" w:eastAsiaTheme="minorHAnsi" w:hAnsi="Times New Roman"/>
                <w:sz w:val="28"/>
                <w:szCs w:val="28"/>
              </w:rPr>
              <w:t xml:space="preserve"> + 3,26K</w:t>
            </w:r>
            <w:r w:rsidRPr="009841A9">
              <w:rPr>
                <w:rFonts w:ascii="Times New Roman" w:eastAsiaTheme="minorHAnsi" w:hAnsi="Times New Roman"/>
                <w:sz w:val="28"/>
                <w:szCs w:val="28"/>
                <w:vertAlign w:val="subscript"/>
              </w:rPr>
              <w:t>2</w:t>
            </w:r>
            <w:r w:rsidRPr="009841A9">
              <w:rPr>
                <w:rFonts w:ascii="Times New Roman" w:eastAsiaTheme="minorHAnsi" w:hAnsi="Times New Roman"/>
                <w:sz w:val="28"/>
                <w:szCs w:val="28"/>
              </w:rPr>
              <w:t xml:space="preserve"> + 6,72K</w:t>
            </w:r>
            <w:r w:rsidRPr="009841A9">
              <w:rPr>
                <w:rFonts w:ascii="Times New Roman" w:eastAsiaTheme="minorHAnsi" w:hAnsi="Times New Roman"/>
                <w:sz w:val="28"/>
                <w:szCs w:val="28"/>
                <w:vertAlign w:val="subscript"/>
              </w:rPr>
              <w:t>3</w:t>
            </w:r>
            <w:r w:rsidRPr="009841A9">
              <w:rPr>
                <w:rFonts w:ascii="Times New Roman" w:eastAsiaTheme="minorHAnsi" w:hAnsi="Times New Roman"/>
                <w:sz w:val="28"/>
                <w:szCs w:val="28"/>
              </w:rPr>
              <w:t xml:space="preserve"> + 1,05K</w:t>
            </w:r>
            <w:r w:rsidRPr="009841A9">
              <w:rPr>
                <w:rFonts w:ascii="Times New Roman" w:eastAsiaTheme="minorHAnsi" w:hAnsi="Times New Roman"/>
                <w:sz w:val="28"/>
                <w:szCs w:val="28"/>
                <w:vertAlign w:val="subscript"/>
              </w:rPr>
              <w:t>4</w:t>
            </w:r>
            <w:r w:rsidRPr="009841A9">
              <w:rPr>
                <w:rFonts w:ascii="Times New Roman" w:eastAsiaTheme="minorHAnsi" w:hAnsi="Times New Roman"/>
                <w:sz w:val="28"/>
                <w:szCs w:val="28"/>
              </w:rPr>
              <w:t>,</w:t>
            </w:r>
          </w:p>
        </w:tc>
        <w:tc>
          <w:tcPr>
            <w:tcW w:w="562" w:type="dxa"/>
            <w:vAlign w:val="center"/>
          </w:tcPr>
          <w:p w:rsidR="009841A9" w:rsidRPr="009841A9" w:rsidRDefault="009841A9" w:rsidP="008E50B6">
            <w:pPr>
              <w:spacing w:line="360" w:lineRule="auto"/>
              <w:jc w:val="both"/>
              <w:rPr>
                <w:rFonts w:ascii="Times New Roman" w:eastAsiaTheme="minorHAnsi" w:hAnsi="Times New Roman"/>
                <w:sz w:val="28"/>
                <w:szCs w:val="28"/>
              </w:rPr>
            </w:pPr>
            <w:r w:rsidRPr="009841A9">
              <w:rPr>
                <w:rFonts w:ascii="Times New Roman" w:eastAsiaTheme="minorHAnsi" w:hAnsi="Times New Roman"/>
                <w:sz w:val="28"/>
                <w:szCs w:val="28"/>
              </w:rPr>
              <w:t>(</w:t>
            </w:r>
            <w:r w:rsidR="008E50B6">
              <w:rPr>
                <w:rFonts w:ascii="Times New Roman" w:eastAsiaTheme="minorHAnsi" w:hAnsi="Times New Roman"/>
                <w:sz w:val="28"/>
                <w:szCs w:val="28"/>
              </w:rPr>
              <w:t>2</w:t>
            </w:r>
            <w:r w:rsidRPr="009841A9">
              <w:rPr>
                <w:rFonts w:ascii="Times New Roman" w:eastAsiaTheme="minorHAnsi" w:hAnsi="Times New Roman"/>
                <w:sz w:val="28"/>
                <w:szCs w:val="28"/>
              </w:rPr>
              <w:t>.1)</w:t>
            </w:r>
          </w:p>
        </w:tc>
      </w:tr>
    </w:tbl>
    <w:p w:rsidR="009841A9" w:rsidRPr="009841A9" w:rsidRDefault="009841A9" w:rsidP="009841A9">
      <w:pPr>
        <w:spacing w:after="0" w:line="360" w:lineRule="auto"/>
        <w:jc w:val="both"/>
        <w:rPr>
          <w:rFonts w:ascii="Times New Roman" w:eastAsiaTheme="minorHAnsi" w:hAnsi="Times New Roman"/>
          <w:sz w:val="28"/>
          <w:szCs w:val="28"/>
        </w:rPr>
      </w:pPr>
      <w:r w:rsidRPr="009841A9">
        <w:rPr>
          <w:rFonts w:ascii="Times New Roman" w:eastAsiaTheme="minorHAnsi" w:hAnsi="Times New Roman"/>
          <w:sz w:val="28"/>
          <w:szCs w:val="28"/>
        </w:rPr>
        <w:t>де Z-</w:t>
      </w:r>
      <w:proofErr w:type="spellStart"/>
      <w:r w:rsidRPr="009841A9">
        <w:rPr>
          <w:rFonts w:ascii="Times New Roman" w:eastAsiaTheme="minorHAnsi" w:hAnsi="Times New Roman"/>
          <w:sz w:val="28"/>
          <w:szCs w:val="28"/>
        </w:rPr>
        <w:t>score</w:t>
      </w:r>
      <w:proofErr w:type="spellEnd"/>
      <w:r w:rsidRPr="009841A9">
        <w:rPr>
          <w:rFonts w:ascii="Times New Roman" w:eastAsiaTheme="minorHAnsi" w:hAnsi="Times New Roman"/>
          <w:sz w:val="28"/>
          <w:szCs w:val="28"/>
        </w:rPr>
        <w:t xml:space="preserve"> – значення результативного показника вірогідності банкрутства моделі Альтмана; </w:t>
      </w:r>
    </w:p>
    <w:p w:rsidR="009841A9" w:rsidRPr="009841A9" w:rsidRDefault="009841A9" w:rsidP="009841A9">
      <w:pPr>
        <w:spacing w:after="0" w:line="360" w:lineRule="auto"/>
        <w:jc w:val="both"/>
        <w:rPr>
          <w:rFonts w:ascii="Times New Roman" w:eastAsiaTheme="minorHAnsi" w:hAnsi="Times New Roman"/>
          <w:sz w:val="28"/>
          <w:szCs w:val="28"/>
        </w:rPr>
      </w:pPr>
      <w:r w:rsidRPr="009841A9">
        <w:rPr>
          <w:rFonts w:ascii="Times New Roman" w:eastAsiaTheme="minorHAnsi" w:hAnsi="Times New Roman"/>
          <w:sz w:val="28"/>
          <w:szCs w:val="28"/>
        </w:rPr>
        <w:t xml:space="preserve">      К</w:t>
      </w:r>
      <w:r w:rsidRPr="009841A9">
        <w:rPr>
          <w:rFonts w:ascii="Times New Roman" w:eastAsiaTheme="minorHAnsi" w:hAnsi="Times New Roman"/>
          <w:sz w:val="28"/>
          <w:szCs w:val="28"/>
          <w:vertAlign w:val="subscript"/>
        </w:rPr>
        <w:t>1</w:t>
      </w:r>
      <w:r w:rsidRPr="009841A9">
        <w:rPr>
          <w:rFonts w:ascii="Times New Roman" w:eastAsiaTheme="minorHAnsi" w:hAnsi="Times New Roman"/>
          <w:sz w:val="28"/>
          <w:szCs w:val="28"/>
        </w:rPr>
        <w:t xml:space="preserve"> – коефіцієнт, що характеризує співвідношення розміру власного оборотного капіталу (різниця між оборотними / поточними активами і поточними зобов’язаннями) і загального обсягу активів; </w:t>
      </w:r>
    </w:p>
    <w:p w:rsidR="009841A9" w:rsidRPr="009841A9" w:rsidRDefault="009841A9" w:rsidP="009841A9">
      <w:pPr>
        <w:spacing w:after="0" w:line="360" w:lineRule="auto"/>
        <w:jc w:val="both"/>
        <w:rPr>
          <w:rFonts w:ascii="Times New Roman" w:eastAsiaTheme="minorHAnsi" w:hAnsi="Times New Roman"/>
          <w:sz w:val="28"/>
          <w:szCs w:val="28"/>
        </w:rPr>
      </w:pPr>
      <w:r w:rsidRPr="009841A9">
        <w:rPr>
          <w:rFonts w:ascii="Times New Roman" w:eastAsiaTheme="minorHAnsi" w:hAnsi="Times New Roman"/>
          <w:sz w:val="28"/>
          <w:szCs w:val="28"/>
        </w:rPr>
        <w:t xml:space="preserve">      К</w:t>
      </w:r>
      <w:r w:rsidRPr="009841A9">
        <w:rPr>
          <w:rFonts w:ascii="Times New Roman" w:eastAsiaTheme="minorHAnsi" w:hAnsi="Times New Roman"/>
          <w:sz w:val="28"/>
          <w:szCs w:val="28"/>
          <w:vertAlign w:val="subscript"/>
        </w:rPr>
        <w:t>2</w:t>
      </w:r>
      <w:r w:rsidRPr="009841A9">
        <w:rPr>
          <w:rFonts w:ascii="Times New Roman" w:eastAsiaTheme="minorHAnsi" w:hAnsi="Times New Roman"/>
          <w:sz w:val="28"/>
          <w:szCs w:val="28"/>
        </w:rPr>
        <w:t xml:space="preserve"> – коефіцієнт, що характеризує співвідношення обсягу нерозподіленого прибутку та загального обсягу активів; </w:t>
      </w:r>
    </w:p>
    <w:p w:rsidR="009841A9" w:rsidRPr="009841A9" w:rsidRDefault="009841A9" w:rsidP="009841A9">
      <w:pPr>
        <w:spacing w:after="0" w:line="360" w:lineRule="auto"/>
        <w:jc w:val="both"/>
        <w:rPr>
          <w:rFonts w:ascii="Times New Roman" w:eastAsiaTheme="minorHAnsi" w:hAnsi="Times New Roman"/>
          <w:sz w:val="28"/>
          <w:szCs w:val="28"/>
        </w:rPr>
      </w:pPr>
      <w:r w:rsidRPr="009841A9">
        <w:rPr>
          <w:rFonts w:ascii="Times New Roman" w:eastAsiaTheme="minorHAnsi" w:hAnsi="Times New Roman"/>
          <w:sz w:val="28"/>
          <w:szCs w:val="28"/>
        </w:rPr>
        <w:t xml:space="preserve">      К</w:t>
      </w:r>
      <w:r w:rsidRPr="009841A9">
        <w:rPr>
          <w:rFonts w:ascii="Times New Roman" w:eastAsiaTheme="minorHAnsi" w:hAnsi="Times New Roman"/>
          <w:sz w:val="28"/>
          <w:szCs w:val="28"/>
          <w:vertAlign w:val="subscript"/>
        </w:rPr>
        <w:t>3</w:t>
      </w:r>
      <w:r w:rsidRPr="009841A9">
        <w:rPr>
          <w:rFonts w:ascii="Times New Roman" w:eastAsiaTheme="minorHAnsi" w:hAnsi="Times New Roman"/>
          <w:sz w:val="28"/>
          <w:szCs w:val="28"/>
        </w:rPr>
        <w:t xml:space="preserve"> – коефіцієнт, що характеризує відношення обсягу прибутку до сплати процентів та податків до загального обсягу активів; </w:t>
      </w:r>
    </w:p>
    <w:p w:rsidR="009841A9" w:rsidRPr="009841A9" w:rsidRDefault="009841A9" w:rsidP="009841A9">
      <w:pPr>
        <w:spacing w:after="0" w:line="360" w:lineRule="auto"/>
        <w:jc w:val="both"/>
        <w:rPr>
          <w:rFonts w:ascii="Times New Roman" w:eastAsiaTheme="minorHAnsi" w:hAnsi="Times New Roman"/>
          <w:sz w:val="28"/>
          <w:szCs w:val="28"/>
        </w:rPr>
      </w:pPr>
      <w:r w:rsidRPr="009841A9">
        <w:rPr>
          <w:rFonts w:ascii="Times New Roman" w:eastAsiaTheme="minorHAnsi" w:hAnsi="Times New Roman"/>
          <w:sz w:val="28"/>
          <w:szCs w:val="28"/>
        </w:rPr>
        <w:t xml:space="preserve">      К</w:t>
      </w:r>
      <w:r w:rsidRPr="009841A9">
        <w:rPr>
          <w:rFonts w:ascii="Times New Roman" w:eastAsiaTheme="minorHAnsi" w:hAnsi="Times New Roman"/>
          <w:sz w:val="28"/>
          <w:szCs w:val="28"/>
          <w:vertAlign w:val="subscript"/>
        </w:rPr>
        <w:t>4</w:t>
      </w:r>
      <w:r w:rsidRPr="009841A9">
        <w:rPr>
          <w:rFonts w:ascii="Times New Roman" w:eastAsiaTheme="minorHAnsi" w:hAnsi="Times New Roman"/>
          <w:sz w:val="28"/>
          <w:szCs w:val="28"/>
        </w:rPr>
        <w:t xml:space="preserve"> – коефіцієнт, що характеризує відношення розміру власного капіталу до загального обсягу пасивів (зобов’язань).</w:t>
      </w:r>
    </w:p>
    <w:p w:rsidR="009841A9" w:rsidRPr="009841A9" w:rsidRDefault="009841A9" w:rsidP="009841A9">
      <w:pPr>
        <w:spacing w:after="0" w:line="360" w:lineRule="auto"/>
        <w:ind w:firstLine="708"/>
        <w:jc w:val="both"/>
        <w:rPr>
          <w:rFonts w:ascii="Times New Roman" w:eastAsiaTheme="minorHAnsi" w:hAnsi="Times New Roman"/>
          <w:sz w:val="28"/>
          <w:szCs w:val="28"/>
        </w:rPr>
      </w:pPr>
      <w:r w:rsidRPr="009841A9">
        <w:rPr>
          <w:rFonts w:ascii="Times New Roman" w:eastAsiaTheme="minorHAnsi" w:hAnsi="Times New Roman"/>
          <w:sz w:val="28"/>
          <w:szCs w:val="28"/>
        </w:rPr>
        <w:t xml:space="preserve">А отже, якщо значення Z: </w:t>
      </w:r>
    </w:p>
    <w:p w:rsidR="009841A9" w:rsidRPr="009841A9" w:rsidRDefault="009841A9" w:rsidP="009841A9">
      <w:pPr>
        <w:spacing w:after="0" w:line="360" w:lineRule="auto"/>
        <w:jc w:val="both"/>
        <w:rPr>
          <w:rFonts w:ascii="Times New Roman" w:eastAsiaTheme="minorHAnsi" w:hAnsi="Times New Roman"/>
          <w:sz w:val="28"/>
          <w:szCs w:val="28"/>
        </w:rPr>
      </w:pPr>
      <w:r w:rsidRPr="009841A9">
        <w:rPr>
          <w:rFonts w:ascii="Times New Roman" w:eastAsiaTheme="minorHAnsi" w:hAnsi="Times New Roman"/>
          <w:sz w:val="28"/>
          <w:szCs w:val="28"/>
        </w:rPr>
        <w:t>– ≤ 1,1, то ситуація критична, організація з високою ймовірністю банкротства;</w:t>
      </w:r>
    </w:p>
    <w:p w:rsidR="009841A9" w:rsidRPr="009841A9" w:rsidRDefault="009841A9" w:rsidP="009841A9">
      <w:pPr>
        <w:spacing w:after="0" w:line="360" w:lineRule="auto"/>
        <w:jc w:val="both"/>
        <w:rPr>
          <w:rFonts w:ascii="Times New Roman" w:eastAsiaTheme="minorHAnsi" w:hAnsi="Times New Roman"/>
          <w:sz w:val="28"/>
          <w:szCs w:val="28"/>
        </w:rPr>
      </w:pPr>
      <w:r w:rsidRPr="009841A9">
        <w:rPr>
          <w:rFonts w:ascii="Times New Roman" w:eastAsiaTheme="minorHAnsi" w:hAnsi="Times New Roman"/>
          <w:sz w:val="28"/>
          <w:szCs w:val="28"/>
        </w:rPr>
        <w:lastRenderedPageBreak/>
        <w:t>– ≥ 2,6, то нестабільна ситуація, вірогідність настання банкротства невелика, але і не виключена;</w:t>
      </w:r>
    </w:p>
    <w:p w:rsidR="009841A9" w:rsidRPr="009841A9" w:rsidRDefault="009841A9" w:rsidP="009841A9">
      <w:pPr>
        <w:spacing w:after="0" w:line="360" w:lineRule="auto"/>
        <w:jc w:val="both"/>
        <w:rPr>
          <w:rFonts w:ascii="Times New Roman" w:eastAsiaTheme="minorHAnsi" w:hAnsi="Times New Roman"/>
          <w:sz w:val="28"/>
          <w:szCs w:val="28"/>
        </w:rPr>
      </w:pPr>
      <w:r w:rsidRPr="009841A9">
        <w:rPr>
          <w:rFonts w:ascii="Times New Roman" w:eastAsiaTheme="minorHAnsi" w:hAnsi="Times New Roman"/>
          <w:sz w:val="28"/>
          <w:szCs w:val="28"/>
        </w:rPr>
        <w:t xml:space="preserve">– знаходиться в межах діапазону від 1,1 до 2,6, то низька вірогідність банкротства. </w:t>
      </w:r>
    </w:p>
    <w:p w:rsidR="009841A9" w:rsidRPr="009841A9" w:rsidRDefault="009841A9" w:rsidP="009841A9">
      <w:pPr>
        <w:spacing w:after="0" w:line="360" w:lineRule="auto"/>
        <w:jc w:val="both"/>
        <w:rPr>
          <w:rFonts w:ascii="Times New Roman" w:eastAsiaTheme="minorHAnsi" w:hAnsi="Times New Roman"/>
          <w:sz w:val="28"/>
          <w:szCs w:val="28"/>
        </w:rPr>
      </w:pPr>
      <w:r w:rsidRPr="009841A9">
        <w:rPr>
          <w:rFonts w:ascii="Times New Roman" w:eastAsiaTheme="minorHAnsi" w:hAnsi="Times New Roman"/>
          <w:sz w:val="28"/>
          <w:szCs w:val="28"/>
        </w:rPr>
        <w:t>Відповідно, дефолтним може вважатися банк, для якого значення Z-</w:t>
      </w:r>
      <w:proofErr w:type="spellStart"/>
      <w:r w:rsidRPr="009841A9">
        <w:rPr>
          <w:rFonts w:ascii="Times New Roman" w:eastAsiaTheme="minorHAnsi" w:hAnsi="Times New Roman"/>
          <w:sz w:val="28"/>
          <w:szCs w:val="28"/>
        </w:rPr>
        <w:t>score</w:t>
      </w:r>
      <w:proofErr w:type="spellEnd"/>
      <w:r w:rsidRPr="009841A9">
        <w:rPr>
          <w:rFonts w:ascii="Times New Roman" w:eastAsiaTheme="minorHAnsi" w:hAnsi="Times New Roman"/>
          <w:sz w:val="28"/>
          <w:szCs w:val="28"/>
        </w:rPr>
        <w:t xml:space="preserve"> опуститься нижче критичного для означеної у формулі (</w:t>
      </w:r>
      <w:r w:rsidR="008E50B6">
        <w:rPr>
          <w:rFonts w:ascii="Times New Roman" w:eastAsiaTheme="minorHAnsi" w:hAnsi="Times New Roman"/>
          <w:sz w:val="28"/>
          <w:szCs w:val="28"/>
        </w:rPr>
        <w:t>3.</w:t>
      </w:r>
      <w:r w:rsidRPr="009841A9">
        <w:rPr>
          <w:rFonts w:ascii="Times New Roman" w:eastAsiaTheme="minorHAnsi" w:hAnsi="Times New Roman"/>
          <w:sz w:val="28"/>
          <w:szCs w:val="28"/>
        </w:rPr>
        <w:t xml:space="preserve">1) варіації моделі Альтмана, а саме нижче 1,1 </w:t>
      </w:r>
      <w:r w:rsidR="008E50B6">
        <w:rPr>
          <w:rFonts w:ascii="Times New Roman" w:eastAsiaTheme="minorHAnsi" w:hAnsi="Times New Roman"/>
          <w:sz w:val="28"/>
          <w:szCs w:val="28"/>
        </w:rPr>
        <w:t>[65</w:t>
      </w:r>
      <w:r w:rsidRPr="009841A9">
        <w:rPr>
          <w:rFonts w:ascii="Times New Roman" w:eastAsiaTheme="minorHAnsi" w:hAnsi="Times New Roman"/>
          <w:sz w:val="28"/>
          <w:szCs w:val="28"/>
        </w:rPr>
        <w:t>, с.160].</w:t>
      </w:r>
    </w:p>
    <w:p w:rsidR="009841A9" w:rsidRPr="009841A9" w:rsidRDefault="009841A9" w:rsidP="009841A9">
      <w:pPr>
        <w:spacing w:after="0" w:line="360" w:lineRule="auto"/>
        <w:ind w:firstLine="708"/>
        <w:jc w:val="both"/>
        <w:rPr>
          <w:rFonts w:ascii="Times New Roman" w:eastAsiaTheme="minorHAnsi" w:hAnsi="Times New Roman"/>
          <w:sz w:val="28"/>
          <w:szCs w:val="28"/>
        </w:rPr>
      </w:pPr>
      <w:r w:rsidRPr="009841A9">
        <w:rPr>
          <w:rFonts w:ascii="Times New Roman" w:eastAsiaTheme="minorHAnsi" w:hAnsi="Times New Roman"/>
          <w:sz w:val="28"/>
          <w:szCs w:val="28"/>
        </w:rPr>
        <w:t>Розрахуємо значення Z для АТ «Ідея Банк» за період з 2017 по 2021 року станом на кожне 31 грудня, але спочатку потрібно розрахувати значення коефіцієнтів К</w:t>
      </w:r>
      <w:r w:rsidRPr="009841A9">
        <w:rPr>
          <w:rFonts w:ascii="Times New Roman" w:eastAsiaTheme="minorHAnsi" w:hAnsi="Times New Roman"/>
          <w:sz w:val="28"/>
          <w:szCs w:val="28"/>
          <w:vertAlign w:val="subscript"/>
        </w:rPr>
        <w:t>1</w:t>
      </w:r>
      <w:r w:rsidRPr="009841A9">
        <w:rPr>
          <w:rFonts w:ascii="Times New Roman" w:eastAsiaTheme="minorHAnsi" w:hAnsi="Times New Roman"/>
          <w:sz w:val="28"/>
          <w:szCs w:val="28"/>
        </w:rPr>
        <w:t>, К</w:t>
      </w:r>
      <w:r w:rsidRPr="009841A9">
        <w:rPr>
          <w:rFonts w:ascii="Times New Roman" w:eastAsiaTheme="minorHAnsi" w:hAnsi="Times New Roman"/>
          <w:sz w:val="28"/>
          <w:szCs w:val="28"/>
          <w:vertAlign w:val="subscript"/>
        </w:rPr>
        <w:t>2</w:t>
      </w:r>
      <w:r w:rsidRPr="009841A9">
        <w:rPr>
          <w:rFonts w:ascii="Times New Roman" w:eastAsiaTheme="minorHAnsi" w:hAnsi="Times New Roman"/>
          <w:sz w:val="28"/>
          <w:szCs w:val="28"/>
        </w:rPr>
        <w:t>, К</w:t>
      </w:r>
      <w:r w:rsidRPr="009841A9">
        <w:rPr>
          <w:rFonts w:ascii="Times New Roman" w:eastAsiaTheme="minorHAnsi" w:hAnsi="Times New Roman"/>
          <w:sz w:val="28"/>
          <w:szCs w:val="28"/>
          <w:vertAlign w:val="subscript"/>
        </w:rPr>
        <w:t>3</w:t>
      </w:r>
      <w:r w:rsidRPr="009841A9">
        <w:rPr>
          <w:rFonts w:ascii="Times New Roman" w:eastAsiaTheme="minorHAnsi" w:hAnsi="Times New Roman"/>
          <w:sz w:val="28"/>
          <w:szCs w:val="28"/>
        </w:rPr>
        <w:t>, К</w:t>
      </w:r>
      <w:r w:rsidRPr="009841A9">
        <w:rPr>
          <w:rFonts w:ascii="Times New Roman" w:eastAsiaTheme="minorHAnsi" w:hAnsi="Times New Roman"/>
          <w:sz w:val="28"/>
          <w:szCs w:val="28"/>
          <w:vertAlign w:val="subscript"/>
        </w:rPr>
        <w:t xml:space="preserve">4 </w:t>
      </w:r>
      <w:r w:rsidRPr="009841A9">
        <w:rPr>
          <w:rFonts w:ascii="Times New Roman" w:eastAsiaTheme="minorHAnsi" w:hAnsi="Times New Roman"/>
          <w:sz w:val="28"/>
          <w:szCs w:val="28"/>
        </w:rPr>
        <w:t>(див. табл</w:t>
      </w:r>
      <w:r w:rsidR="008E50B6" w:rsidRPr="008E50B6">
        <w:rPr>
          <w:rFonts w:ascii="Times New Roman" w:eastAsiaTheme="minorHAnsi" w:hAnsi="Times New Roman"/>
          <w:sz w:val="28"/>
          <w:szCs w:val="28"/>
        </w:rPr>
        <w:t>.</w:t>
      </w:r>
      <w:r w:rsidRPr="009841A9">
        <w:rPr>
          <w:rFonts w:ascii="Times New Roman" w:eastAsiaTheme="minorHAnsi" w:hAnsi="Times New Roman"/>
          <w:sz w:val="28"/>
          <w:szCs w:val="28"/>
        </w:rPr>
        <w:t xml:space="preserve"> </w:t>
      </w:r>
      <w:r w:rsidR="008E50B6" w:rsidRPr="008E50B6">
        <w:rPr>
          <w:rFonts w:ascii="Times New Roman" w:eastAsiaTheme="minorHAnsi" w:hAnsi="Times New Roman"/>
          <w:sz w:val="28"/>
          <w:szCs w:val="28"/>
        </w:rPr>
        <w:t>2.</w:t>
      </w:r>
      <w:r w:rsidR="008E50B6">
        <w:rPr>
          <w:rFonts w:ascii="Times New Roman" w:eastAsiaTheme="minorHAnsi" w:hAnsi="Times New Roman"/>
          <w:sz w:val="28"/>
          <w:szCs w:val="28"/>
        </w:rPr>
        <w:t>10</w:t>
      </w:r>
      <w:r w:rsidRPr="009841A9">
        <w:rPr>
          <w:rFonts w:ascii="Times New Roman" w:eastAsiaTheme="minorHAnsi" w:hAnsi="Times New Roman"/>
          <w:sz w:val="28"/>
          <w:szCs w:val="28"/>
        </w:rPr>
        <w:t>). У табл</w:t>
      </w:r>
      <w:r w:rsidR="008E50B6" w:rsidRPr="008E50B6">
        <w:rPr>
          <w:rFonts w:ascii="Times New Roman" w:eastAsiaTheme="minorHAnsi" w:hAnsi="Times New Roman"/>
          <w:sz w:val="28"/>
          <w:szCs w:val="28"/>
        </w:rPr>
        <w:t>.</w:t>
      </w:r>
      <w:r w:rsidRPr="009841A9">
        <w:rPr>
          <w:rFonts w:ascii="Times New Roman" w:eastAsiaTheme="minorHAnsi" w:hAnsi="Times New Roman"/>
          <w:sz w:val="28"/>
          <w:szCs w:val="28"/>
        </w:rPr>
        <w:t xml:space="preserve"> </w:t>
      </w:r>
      <w:r w:rsidR="0015222B">
        <w:rPr>
          <w:rFonts w:ascii="Times New Roman" w:eastAsiaTheme="minorHAnsi" w:hAnsi="Times New Roman"/>
          <w:sz w:val="28"/>
          <w:szCs w:val="28"/>
        </w:rPr>
        <w:t>2.9</w:t>
      </w:r>
      <w:r w:rsidRPr="009841A9">
        <w:rPr>
          <w:rFonts w:ascii="Times New Roman" w:eastAsiaTheme="minorHAnsi" w:hAnsi="Times New Roman"/>
          <w:sz w:val="28"/>
          <w:szCs w:val="28"/>
        </w:rPr>
        <w:t xml:space="preserve"> наведені вихідні данні для розрахунку зазначених коефіцієнтів.</w:t>
      </w:r>
    </w:p>
    <w:p w:rsidR="008E50B6" w:rsidRDefault="009841A9" w:rsidP="008E50B6">
      <w:pPr>
        <w:spacing w:after="0" w:line="360" w:lineRule="auto"/>
        <w:ind w:firstLine="708"/>
        <w:jc w:val="right"/>
        <w:rPr>
          <w:rFonts w:ascii="Times New Roman" w:eastAsiaTheme="minorHAnsi" w:hAnsi="Times New Roman"/>
          <w:sz w:val="28"/>
          <w:szCs w:val="28"/>
        </w:rPr>
      </w:pPr>
      <w:r w:rsidRPr="009841A9">
        <w:rPr>
          <w:rFonts w:ascii="Times New Roman" w:eastAsiaTheme="minorHAnsi" w:hAnsi="Times New Roman"/>
          <w:sz w:val="28"/>
          <w:szCs w:val="28"/>
        </w:rPr>
        <w:t xml:space="preserve">Таблиця </w:t>
      </w:r>
      <w:r w:rsidR="0015222B">
        <w:rPr>
          <w:rFonts w:ascii="Times New Roman" w:eastAsiaTheme="minorHAnsi" w:hAnsi="Times New Roman"/>
          <w:sz w:val="28"/>
          <w:szCs w:val="28"/>
        </w:rPr>
        <w:t>2.9</w:t>
      </w:r>
    </w:p>
    <w:p w:rsidR="009841A9" w:rsidRPr="009841A9" w:rsidRDefault="009841A9" w:rsidP="009841A9">
      <w:pPr>
        <w:spacing w:after="0" w:line="360" w:lineRule="auto"/>
        <w:ind w:firstLine="708"/>
        <w:jc w:val="both"/>
        <w:rPr>
          <w:rFonts w:ascii="Times New Roman" w:eastAsiaTheme="minorHAnsi" w:hAnsi="Times New Roman"/>
          <w:sz w:val="28"/>
          <w:szCs w:val="28"/>
        </w:rPr>
      </w:pPr>
      <w:r w:rsidRPr="009841A9">
        <w:rPr>
          <w:rFonts w:ascii="Times New Roman" w:eastAsiaTheme="minorHAnsi" w:hAnsi="Times New Roman"/>
          <w:sz w:val="28"/>
          <w:szCs w:val="28"/>
        </w:rPr>
        <w:t xml:space="preserve"> Вихідні данні АТ «Ідея Банк» для розрахунку коефіцієнтів К</w:t>
      </w:r>
      <w:r w:rsidRPr="009841A9">
        <w:rPr>
          <w:rFonts w:ascii="Times New Roman" w:eastAsiaTheme="minorHAnsi" w:hAnsi="Times New Roman"/>
          <w:sz w:val="28"/>
          <w:szCs w:val="28"/>
          <w:vertAlign w:val="subscript"/>
        </w:rPr>
        <w:t>1</w:t>
      </w:r>
      <w:r w:rsidRPr="009841A9">
        <w:rPr>
          <w:rFonts w:ascii="Times New Roman" w:eastAsiaTheme="minorHAnsi" w:hAnsi="Times New Roman"/>
          <w:sz w:val="28"/>
          <w:szCs w:val="28"/>
        </w:rPr>
        <w:t>, К</w:t>
      </w:r>
      <w:r w:rsidRPr="009841A9">
        <w:rPr>
          <w:rFonts w:ascii="Times New Roman" w:eastAsiaTheme="minorHAnsi" w:hAnsi="Times New Roman"/>
          <w:sz w:val="28"/>
          <w:szCs w:val="28"/>
          <w:vertAlign w:val="subscript"/>
        </w:rPr>
        <w:t>2</w:t>
      </w:r>
      <w:r w:rsidRPr="009841A9">
        <w:rPr>
          <w:rFonts w:ascii="Times New Roman" w:eastAsiaTheme="minorHAnsi" w:hAnsi="Times New Roman"/>
          <w:sz w:val="28"/>
          <w:szCs w:val="28"/>
        </w:rPr>
        <w:t>, К</w:t>
      </w:r>
      <w:r w:rsidRPr="009841A9">
        <w:rPr>
          <w:rFonts w:ascii="Times New Roman" w:eastAsiaTheme="minorHAnsi" w:hAnsi="Times New Roman"/>
          <w:sz w:val="28"/>
          <w:szCs w:val="28"/>
          <w:vertAlign w:val="subscript"/>
        </w:rPr>
        <w:t>3</w:t>
      </w:r>
      <w:r w:rsidRPr="009841A9">
        <w:rPr>
          <w:rFonts w:ascii="Times New Roman" w:eastAsiaTheme="minorHAnsi" w:hAnsi="Times New Roman"/>
          <w:sz w:val="28"/>
          <w:szCs w:val="28"/>
        </w:rPr>
        <w:t>, К</w:t>
      </w:r>
      <w:r w:rsidRPr="009841A9">
        <w:rPr>
          <w:rFonts w:ascii="Times New Roman" w:eastAsiaTheme="minorHAnsi" w:hAnsi="Times New Roman"/>
          <w:sz w:val="28"/>
          <w:szCs w:val="28"/>
          <w:vertAlign w:val="subscript"/>
        </w:rPr>
        <w:t>4</w:t>
      </w:r>
      <w:r w:rsidRPr="009841A9">
        <w:rPr>
          <w:rFonts w:ascii="Times New Roman" w:eastAsiaTheme="minorHAnsi" w:hAnsi="Times New Roman"/>
          <w:sz w:val="28"/>
          <w:szCs w:val="28"/>
        </w:rPr>
        <w:t xml:space="preserve"> для застосування інтегральної моделі Альтмана</w:t>
      </w:r>
      <w:r w:rsidRPr="009841A9">
        <w:rPr>
          <w:rFonts w:asciiTheme="minorHAnsi" w:eastAsiaTheme="minorHAnsi" w:hAnsiTheme="minorHAnsi" w:cstheme="minorBidi"/>
        </w:rPr>
        <w:t xml:space="preserve"> </w:t>
      </w:r>
      <w:r w:rsidRPr="009841A9">
        <w:rPr>
          <w:rFonts w:ascii="Times New Roman" w:eastAsiaTheme="minorHAnsi" w:hAnsi="Times New Roman"/>
          <w:sz w:val="28"/>
          <w:szCs w:val="28"/>
        </w:rPr>
        <w:t>за період з 2017 по 2021 роки</w:t>
      </w:r>
    </w:p>
    <w:tbl>
      <w:tblPr>
        <w:tblW w:w="9714" w:type="dxa"/>
        <w:jc w:val="center"/>
        <w:tblLook w:val="04A0" w:firstRow="1" w:lastRow="0" w:firstColumn="1" w:lastColumn="0" w:noHBand="0" w:noVBand="1"/>
      </w:tblPr>
      <w:tblGrid>
        <w:gridCol w:w="3359"/>
        <w:gridCol w:w="1271"/>
        <w:gridCol w:w="1271"/>
        <w:gridCol w:w="1271"/>
        <w:gridCol w:w="1271"/>
        <w:gridCol w:w="1271"/>
      </w:tblGrid>
      <w:tr w:rsidR="009841A9" w:rsidRPr="009841A9" w:rsidTr="00AE5035">
        <w:trPr>
          <w:trHeight w:val="620"/>
          <w:jc w:val="center"/>
        </w:trPr>
        <w:tc>
          <w:tcPr>
            <w:tcW w:w="3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 xml:space="preserve">Вихідні данні </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2017</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2018</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2019</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2020</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2021</w:t>
            </w:r>
          </w:p>
        </w:tc>
      </w:tr>
      <w:tr w:rsidR="009841A9" w:rsidRPr="009841A9" w:rsidTr="00AE5035">
        <w:trPr>
          <w:trHeight w:val="416"/>
          <w:jc w:val="center"/>
        </w:trPr>
        <w:tc>
          <w:tcPr>
            <w:tcW w:w="3359" w:type="dxa"/>
            <w:tcBorders>
              <w:top w:val="nil"/>
              <w:left w:val="single" w:sz="4" w:space="0" w:color="auto"/>
              <w:bottom w:val="single" w:sz="4" w:space="0" w:color="auto"/>
              <w:right w:val="single" w:sz="4" w:space="0" w:color="auto"/>
            </w:tcBorders>
            <w:shd w:val="clear" w:color="auto" w:fill="auto"/>
            <w:vAlign w:val="center"/>
            <w:hideMark/>
          </w:tcPr>
          <w:p w:rsidR="009841A9" w:rsidRPr="009841A9" w:rsidRDefault="009841A9" w:rsidP="009841A9">
            <w:pPr>
              <w:spacing w:after="0" w:line="240" w:lineRule="auto"/>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Загальний обсяг активів, тис. грн</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3 579 047</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4 204 715</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5 405 655</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5 082 016</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6 073 326</w:t>
            </w:r>
          </w:p>
        </w:tc>
      </w:tr>
      <w:tr w:rsidR="009841A9" w:rsidRPr="009841A9" w:rsidTr="00AE5035">
        <w:trPr>
          <w:trHeight w:val="422"/>
          <w:jc w:val="center"/>
        </w:trPr>
        <w:tc>
          <w:tcPr>
            <w:tcW w:w="3359" w:type="dxa"/>
            <w:tcBorders>
              <w:top w:val="nil"/>
              <w:left w:val="single" w:sz="4" w:space="0" w:color="auto"/>
              <w:bottom w:val="single" w:sz="4" w:space="0" w:color="auto"/>
              <w:right w:val="single" w:sz="4" w:space="0" w:color="auto"/>
            </w:tcBorders>
            <w:shd w:val="clear" w:color="auto" w:fill="auto"/>
            <w:vAlign w:val="center"/>
            <w:hideMark/>
          </w:tcPr>
          <w:p w:rsidR="009841A9" w:rsidRPr="009841A9" w:rsidRDefault="009841A9" w:rsidP="009841A9">
            <w:pPr>
              <w:spacing w:after="0" w:line="240" w:lineRule="auto"/>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Загальний обсяг пасивів,</w:t>
            </w:r>
            <w:r w:rsidRPr="009841A9">
              <w:rPr>
                <w:rFonts w:asciiTheme="minorHAnsi" w:eastAsiaTheme="minorHAnsi" w:hAnsiTheme="minorHAnsi" w:cstheme="minorBidi"/>
              </w:rPr>
              <w:t xml:space="preserve"> </w:t>
            </w:r>
            <w:r w:rsidRPr="009841A9">
              <w:rPr>
                <w:rFonts w:ascii="Times New Roman" w:eastAsia="Times New Roman" w:hAnsi="Times New Roman"/>
                <w:color w:val="000000"/>
                <w:sz w:val="24"/>
                <w:szCs w:val="24"/>
                <w:lang w:eastAsia="uk-UA"/>
              </w:rPr>
              <w:t>тис. грн</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3 156 202</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3 486 266</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4 149 974</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4 149 974</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4 610 211</w:t>
            </w:r>
          </w:p>
        </w:tc>
      </w:tr>
      <w:tr w:rsidR="009841A9" w:rsidRPr="009841A9" w:rsidTr="00AE5035">
        <w:trPr>
          <w:trHeight w:val="414"/>
          <w:jc w:val="center"/>
        </w:trPr>
        <w:tc>
          <w:tcPr>
            <w:tcW w:w="3359" w:type="dxa"/>
            <w:tcBorders>
              <w:top w:val="nil"/>
              <w:left w:val="single" w:sz="4" w:space="0" w:color="auto"/>
              <w:bottom w:val="single" w:sz="4" w:space="0" w:color="auto"/>
              <w:right w:val="single" w:sz="4" w:space="0" w:color="auto"/>
            </w:tcBorders>
            <w:shd w:val="clear" w:color="auto" w:fill="auto"/>
            <w:vAlign w:val="center"/>
            <w:hideMark/>
          </w:tcPr>
          <w:p w:rsidR="009841A9" w:rsidRPr="009841A9" w:rsidRDefault="009841A9" w:rsidP="009841A9">
            <w:pPr>
              <w:spacing w:after="0" w:line="240" w:lineRule="auto"/>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Нерозподільний прибуток, тис. грн</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-103 085</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186 423</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378 980</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365 979</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581 905</w:t>
            </w:r>
          </w:p>
        </w:tc>
      </w:tr>
      <w:tr w:rsidR="009841A9" w:rsidRPr="009841A9" w:rsidTr="00AE5035">
        <w:trPr>
          <w:trHeight w:val="613"/>
          <w:jc w:val="center"/>
        </w:trPr>
        <w:tc>
          <w:tcPr>
            <w:tcW w:w="3359" w:type="dxa"/>
            <w:tcBorders>
              <w:top w:val="nil"/>
              <w:left w:val="single" w:sz="4" w:space="0" w:color="auto"/>
              <w:bottom w:val="single" w:sz="4" w:space="0" w:color="auto"/>
              <w:right w:val="single" w:sz="4" w:space="0" w:color="auto"/>
            </w:tcBorders>
            <w:shd w:val="clear" w:color="auto" w:fill="auto"/>
            <w:vAlign w:val="center"/>
            <w:hideMark/>
          </w:tcPr>
          <w:p w:rsidR="009841A9" w:rsidRPr="009841A9" w:rsidRDefault="009841A9" w:rsidP="009841A9">
            <w:pPr>
              <w:spacing w:after="0" w:line="240" w:lineRule="auto"/>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Прибуток до сплати процентів та податків, тис. грн</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169 151</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410 389</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461 184</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274 496</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711 208</w:t>
            </w:r>
          </w:p>
        </w:tc>
      </w:tr>
      <w:tr w:rsidR="009841A9" w:rsidRPr="009841A9" w:rsidTr="00AE5035">
        <w:trPr>
          <w:trHeight w:val="378"/>
          <w:jc w:val="center"/>
        </w:trPr>
        <w:tc>
          <w:tcPr>
            <w:tcW w:w="3359" w:type="dxa"/>
            <w:tcBorders>
              <w:top w:val="nil"/>
              <w:left w:val="single" w:sz="4" w:space="0" w:color="auto"/>
              <w:bottom w:val="single" w:sz="4" w:space="0" w:color="auto"/>
              <w:right w:val="single" w:sz="4" w:space="0" w:color="auto"/>
            </w:tcBorders>
            <w:shd w:val="clear" w:color="auto" w:fill="auto"/>
            <w:vAlign w:val="center"/>
            <w:hideMark/>
          </w:tcPr>
          <w:p w:rsidR="009841A9" w:rsidRPr="009841A9" w:rsidRDefault="009841A9" w:rsidP="009841A9">
            <w:pPr>
              <w:spacing w:after="0" w:line="240" w:lineRule="auto"/>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Поточні активи, тис. грн</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3 442 329</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4 054 742</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5 098 286</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4 683 575</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5 629 279</w:t>
            </w:r>
          </w:p>
        </w:tc>
      </w:tr>
      <w:tr w:rsidR="009841A9" w:rsidRPr="009841A9" w:rsidTr="00AE5035">
        <w:trPr>
          <w:trHeight w:val="406"/>
          <w:jc w:val="center"/>
        </w:trPr>
        <w:tc>
          <w:tcPr>
            <w:tcW w:w="3359" w:type="dxa"/>
            <w:tcBorders>
              <w:top w:val="nil"/>
              <w:left w:val="single" w:sz="4" w:space="0" w:color="auto"/>
              <w:bottom w:val="single" w:sz="4" w:space="0" w:color="auto"/>
              <w:right w:val="single" w:sz="4" w:space="0" w:color="auto"/>
            </w:tcBorders>
            <w:shd w:val="clear" w:color="auto" w:fill="auto"/>
            <w:vAlign w:val="center"/>
            <w:hideMark/>
          </w:tcPr>
          <w:p w:rsidR="009841A9" w:rsidRPr="009841A9" w:rsidRDefault="009841A9" w:rsidP="009841A9">
            <w:pPr>
              <w:spacing w:after="0" w:line="240" w:lineRule="auto"/>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Поточні пасиви, тис. грн</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3 113 698</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3 892 392</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4 888 536</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4 555 561</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4 350 832</w:t>
            </w:r>
          </w:p>
        </w:tc>
      </w:tr>
      <w:tr w:rsidR="009841A9" w:rsidRPr="009841A9" w:rsidTr="00AE5035">
        <w:trPr>
          <w:trHeight w:val="412"/>
          <w:jc w:val="center"/>
        </w:trPr>
        <w:tc>
          <w:tcPr>
            <w:tcW w:w="3359" w:type="dxa"/>
            <w:tcBorders>
              <w:top w:val="nil"/>
              <w:left w:val="single" w:sz="4" w:space="0" w:color="auto"/>
              <w:bottom w:val="single" w:sz="4" w:space="0" w:color="auto"/>
              <w:right w:val="single" w:sz="4" w:space="0" w:color="auto"/>
            </w:tcBorders>
            <w:shd w:val="clear" w:color="auto" w:fill="auto"/>
            <w:vAlign w:val="center"/>
            <w:hideMark/>
          </w:tcPr>
          <w:p w:rsidR="009841A9" w:rsidRPr="009841A9" w:rsidRDefault="009841A9" w:rsidP="009841A9">
            <w:pPr>
              <w:spacing w:after="0" w:line="240" w:lineRule="auto"/>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Власний капітал, тис. грн</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422 845</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718 449</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926 969</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932 042</w:t>
            </w:r>
          </w:p>
        </w:tc>
        <w:tc>
          <w:tcPr>
            <w:tcW w:w="127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1 463 115</w:t>
            </w:r>
          </w:p>
        </w:tc>
      </w:tr>
    </w:tbl>
    <w:p w:rsidR="008E50B6" w:rsidRDefault="009841A9" w:rsidP="008E50B6">
      <w:pPr>
        <w:spacing w:before="240" w:after="0" w:line="360" w:lineRule="auto"/>
        <w:ind w:firstLine="709"/>
        <w:jc w:val="right"/>
        <w:rPr>
          <w:rFonts w:ascii="Times New Roman" w:eastAsiaTheme="minorHAnsi" w:hAnsi="Times New Roman"/>
          <w:sz w:val="28"/>
          <w:szCs w:val="28"/>
        </w:rPr>
      </w:pPr>
      <w:r w:rsidRPr="009841A9">
        <w:rPr>
          <w:rFonts w:ascii="Times New Roman" w:eastAsiaTheme="minorHAnsi" w:hAnsi="Times New Roman"/>
          <w:sz w:val="28"/>
          <w:szCs w:val="28"/>
        </w:rPr>
        <w:t xml:space="preserve">Таблиця </w:t>
      </w:r>
      <w:r w:rsidR="008E50B6" w:rsidRPr="008E50B6">
        <w:rPr>
          <w:rFonts w:ascii="Times New Roman" w:eastAsiaTheme="minorHAnsi" w:hAnsi="Times New Roman"/>
          <w:sz w:val="28"/>
          <w:szCs w:val="28"/>
        </w:rPr>
        <w:t>2.10</w:t>
      </w:r>
    </w:p>
    <w:p w:rsidR="009841A9" w:rsidRPr="009841A9" w:rsidRDefault="009841A9" w:rsidP="009841A9">
      <w:pPr>
        <w:spacing w:before="120" w:after="0" w:line="360" w:lineRule="auto"/>
        <w:ind w:firstLine="708"/>
        <w:jc w:val="both"/>
        <w:rPr>
          <w:rFonts w:ascii="Times New Roman" w:eastAsiaTheme="minorHAnsi" w:hAnsi="Times New Roman"/>
          <w:sz w:val="28"/>
          <w:szCs w:val="28"/>
        </w:rPr>
      </w:pPr>
      <w:r w:rsidRPr="009841A9">
        <w:rPr>
          <w:rFonts w:ascii="Times New Roman" w:eastAsiaTheme="minorHAnsi" w:hAnsi="Times New Roman"/>
          <w:sz w:val="28"/>
          <w:szCs w:val="28"/>
        </w:rPr>
        <w:t>Розрахунок значення коефіцієнтів К1, К2, К3, К4 для застосування інтегральної моделі Альтмана АТ «Ідея Банк» за період з 2017 по 2021 роки</w:t>
      </w:r>
      <w:r w:rsidRPr="009841A9">
        <w:rPr>
          <w:rFonts w:asciiTheme="minorHAnsi" w:eastAsiaTheme="minorHAnsi" w:hAnsiTheme="minorHAnsi" w:cstheme="minorBidi"/>
        </w:rPr>
        <w:t xml:space="preserve"> </w:t>
      </w:r>
    </w:p>
    <w:tbl>
      <w:tblPr>
        <w:tblW w:w="9351" w:type="dxa"/>
        <w:jc w:val="center"/>
        <w:tblLook w:val="04A0" w:firstRow="1" w:lastRow="0" w:firstColumn="1" w:lastColumn="0" w:noHBand="0" w:noVBand="1"/>
      </w:tblPr>
      <w:tblGrid>
        <w:gridCol w:w="1415"/>
        <w:gridCol w:w="2691"/>
        <w:gridCol w:w="2551"/>
        <w:gridCol w:w="2694"/>
      </w:tblGrid>
      <w:tr w:rsidR="009841A9" w:rsidRPr="009841A9" w:rsidTr="00AE5035">
        <w:trPr>
          <w:trHeight w:val="446"/>
          <w:jc w:val="center"/>
        </w:trPr>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Коефіцієнт</w:t>
            </w:r>
          </w:p>
        </w:tc>
        <w:tc>
          <w:tcPr>
            <w:tcW w:w="2691" w:type="dxa"/>
            <w:tcBorders>
              <w:top w:val="single" w:sz="4" w:space="0" w:color="auto"/>
              <w:left w:val="nil"/>
              <w:bottom w:val="single" w:sz="4" w:space="0" w:color="auto"/>
              <w:right w:val="single" w:sz="4" w:space="0" w:color="auto"/>
            </w:tcBorders>
            <w:shd w:val="clear" w:color="auto" w:fill="auto"/>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Чисельник, тис. грн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Знаменник, тис. грн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Значення коефіцієнта</w:t>
            </w:r>
          </w:p>
        </w:tc>
      </w:tr>
      <w:tr w:rsidR="009841A9" w:rsidRPr="009841A9" w:rsidTr="00AE5035">
        <w:trPr>
          <w:trHeight w:val="293"/>
          <w:jc w:val="center"/>
        </w:trPr>
        <w:tc>
          <w:tcPr>
            <w:tcW w:w="935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2017</w:t>
            </w:r>
          </w:p>
        </w:tc>
      </w:tr>
      <w:tr w:rsidR="009841A9"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1</w:t>
            </w:r>
          </w:p>
        </w:tc>
        <w:tc>
          <w:tcPr>
            <w:tcW w:w="269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328 631</w:t>
            </w:r>
          </w:p>
        </w:tc>
        <w:tc>
          <w:tcPr>
            <w:tcW w:w="255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3 579 047</w:t>
            </w:r>
          </w:p>
        </w:tc>
        <w:tc>
          <w:tcPr>
            <w:tcW w:w="2694"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0,092</w:t>
            </w:r>
          </w:p>
        </w:tc>
      </w:tr>
      <w:tr w:rsidR="009841A9" w:rsidRPr="009841A9" w:rsidTr="00AE5035">
        <w:trPr>
          <w:trHeight w:val="316"/>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2</w:t>
            </w:r>
          </w:p>
        </w:tc>
        <w:tc>
          <w:tcPr>
            <w:tcW w:w="269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-103 085</w:t>
            </w:r>
          </w:p>
        </w:tc>
        <w:tc>
          <w:tcPr>
            <w:tcW w:w="255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3 579 047</w:t>
            </w:r>
          </w:p>
        </w:tc>
        <w:tc>
          <w:tcPr>
            <w:tcW w:w="2694"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-0,029</w:t>
            </w:r>
          </w:p>
        </w:tc>
      </w:tr>
      <w:tr w:rsidR="009841A9" w:rsidRPr="009841A9" w:rsidTr="00AE5035">
        <w:trPr>
          <w:trHeight w:val="372"/>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3</w:t>
            </w:r>
          </w:p>
        </w:tc>
        <w:tc>
          <w:tcPr>
            <w:tcW w:w="269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169 151</w:t>
            </w:r>
          </w:p>
        </w:tc>
        <w:tc>
          <w:tcPr>
            <w:tcW w:w="255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3 579 047</w:t>
            </w:r>
          </w:p>
        </w:tc>
        <w:tc>
          <w:tcPr>
            <w:tcW w:w="2694"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0,047</w:t>
            </w:r>
          </w:p>
        </w:tc>
      </w:tr>
      <w:tr w:rsidR="009841A9"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4</w:t>
            </w:r>
          </w:p>
        </w:tc>
        <w:tc>
          <w:tcPr>
            <w:tcW w:w="269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422 845</w:t>
            </w:r>
          </w:p>
        </w:tc>
        <w:tc>
          <w:tcPr>
            <w:tcW w:w="2551"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3 156 202</w:t>
            </w:r>
          </w:p>
        </w:tc>
        <w:tc>
          <w:tcPr>
            <w:tcW w:w="2694" w:type="dxa"/>
            <w:tcBorders>
              <w:top w:val="nil"/>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0,134</w:t>
            </w:r>
          </w:p>
        </w:tc>
      </w:tr>
    </w:tbl>
    <w:p w:rsidR="008E50B6" w:rsidRDefault="0015222B" w:rsidP="008E50B6">
      <w:pPr>
        <w:spacing w:before="120" w:after="0" w:line="360" w:lineRule="auto"/>
        <w:ind w:firstLine="708"/>
        <w:jc w:val="right"/>
        <w:rPr>
          <w:rFonts w:ascii="Times New Roman" w:eastAsiaTheme="minorHAnsi" w:hAnsi="Times New Roman"/>
          <w:sz w:val="28"/>
          <w:szCs w:val="28"/>
        </w:rPr>
      </w:pPr>
      <w:r>
        <w:rPr>
          <w:rFonts w:ascii="Times New Roman" w:eastAsiaTheme="minorHAnsi" w:hAnsi="Times New Roman"/>
          <w:sz w:val="28"/>
          <w:szCs w:val="28"/>
        </w:rPr>
        <w:lastRenderedPageBreak/>
        <w:t>Продовження таблиці 2.10</w:t>
      </w:r>
    </w:p>
    <w:tbl>
      <w:tblPr>
        <w:tblW w:w="9351" w:type="dxa"/>
        <w:jc w:val="center"/>
        <w:tblLook w:val="04A0" w:firstRow="1" w:lastRow="0" w:firstColumn="1" w:lastColumn="0" w:noHBand="0" w:noVBand="1"/>
      </w:tblPr>
      <w:tblGrid>
        <w:gridCol w:w="1415"/>
        <w:gridCol w:w="2691"/>
        <w:gridCol w:w="2551"/>
        <w:gridCol w:w="2694"/>
      </w:tblGrid>
      <w:tr w:rsidR="008E50B6" w:rsidRPr="009841A9" w:rsidTr="00AE5035">
        <w:trPr>
          <w:trHeight w:val="446"/>
          <w:jc w:val="center"/>
        </w:trPr>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Коефіцієнт</w:t>
            </w:r>
          </w:p>
        </w:tc>
        <w:tc>
          <w:tcPr>
            <w:tcW w:w="2691" w:type="dxa"/>
            <w:tcBorders>
              <w:top w:val="single" w:sz="4" w:space="0" w:color="auto"/>
              <w:left w:val="nil"/>
              <w:bottom w:val="single" w:sz="4" w:space="0" w:color="auto"/>
              <w:right w:val="single" w:sz="4" w:space="0" w:color="auto"/>
            </w:tcBorders>
            <w:shd w:val="clear" w:color="auto" w:fill="auto"/>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Чисельник, тис. грн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Знаменник, тис. грн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Значення коефіцієнта</w:t>
            </w:r>
          </w:p>
        </w:tc>
      </w:tr>
      <w:tr w:rsidR="008E50B6" w:rsidRPr="009841A9" w:rsidTr="00AE5035">
        <w:trPr>
          <w:trHeight w:val="293"/>
          <w:jc w:val="center"/>
        </w:trPr>
        <w:tc>
          <w:tcPr>
            <w:tcW w:w="935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2018</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1</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162 350</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4 204 715</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0,039</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2</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186 423</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4 204 715</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0,044</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3</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410 389</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4 204 715</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0,098</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4</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718 449</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3 486 266</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0,206</w:t>
            </w:r>
          </w:p>
        </w:tc>
      </w:tr>
      <w:tr w:rsidR="008E50B6" w:rsidRPr="009841A9" w:rsidTr="00AE5035">
        <w:trPr>
          <w:trHeight w:val="293"/>
          <w:jc w:val="center"/>
        </w:trPr>
        <w:tc>
          <w:tcPr>
            <w:tcW w:w="935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2019</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1</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209 750</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5 405 655</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0,039</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2</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378 980</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5 405 655</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0,07</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3</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461 184</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5 405 655</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0,085</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4</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926 969</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4 478 686</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0,207</w:t>
            </w:r>
          </w:p>
        </w:tc>
      </w:tr>
      <w:tr w:rsidR="008E50B6" w:rsidRPr="009841A9" w:rsidTr="00AE5035">
        <w:trPr>
          <w:trHeight w:val="293"/>
          <w:jc w:val="center"/>
        </w:trPr>
        <w:tc>
          <w:tcPr>
            <w:tcW w:w="935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2020</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1</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128 014</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5 082 016</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0,025</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2</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365 979</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5 082 016</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0,072</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3</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274 496</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5 082 016</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0,054</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4</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932 042</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4 149 974</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0,225</w:t>
            </w:r>
          </w:p>
        </w:tc>
      </w:tr>
      <w:tr w:rsidR="008E50B6" w:rsidRPr="009841A9" w:rsidTr="00AE5035">
        <w:trPr>
          <w:trHeight w:val="293"/>
          <w:jc w:val="center"/>
        </w:trPr>
        <w:tc>
          <w:tcPr>
            <w:tcW w:w="935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2021</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1</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1 278 447</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6 073 326</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0,211</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2</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581 905</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6 073 326</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0,096</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3</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711 208</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6 073 326</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0,117</w:t>
            </w:r>
          </w:p>
        </w:tc>
      </w:tr>
      <w:tr w:rsidR="008E50B6" w:rsidRPr="009841A9" w:rsidTr="00AE5035">
        <w:trPr>
          <w:trHeight w:val="293"/>
          <w:jc w:val="center"/>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lang w:eastAsia="uk-UA"/>
              </w:rPr>
            </w:pPr>
            <w:r w:rsidRPr="009841A9">
              <w:rPr>
                <w:rFonts w:ascii="Times New Roman" w:eastAsia="Times New Roman" w:hAnsi="Times New Roman"/>
                <w:b/>
                <w:bCs/>
                <w:color w:val="000000"/>
                <w:lang w:eastAsia="uk-UA"/>
              </w:rPr>
              <w:t>К</w:t>
            </w:r>
            <w:r w:rsidRPr="009841A9">
              <w:rPr>
                <w:rFonts w:ascii="Times New Roman" w:eastAsia="Times New Roman" w:hAnsi="Times New Roman"/>
                <w:b/>
                <w:bCs/>
                <w:color w:val="000000"/>
                <w:vertAlign w:val="subscript"/>
                <w:lang w:eastAsia="uk-UA"/>
              </w:rPr>
              <w:t>4</w:t>
            </w:r>
          </w:p>
        </w:tc>
        <w:tc>
          <w:tcPr>
            <w:tcW w:w="269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1 463 115</w:t>
            </w:r>
          </w:p>
        </w:tc>
        <w:tc>
          <w:tcPr>
            <w:tcW w:w="2551"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4 610 211</w:t>
            </w:r>
          </w:p>
        </w:tc>
        <w:tc>
          <w:tcPr>
            <w:tcW w:w="2694" w:type="dxa"/>
            <w:tcBorders>
              <w:top w:val="nil"/>
              <w:left w:val="nil"/>
              <w:bottom w:val="single" w:sz="4" w:space="0" w:color="auto"/>
              <w:right w:val="single" w:sz="4" w:space="0" w:color="auto"/>
            </w:tcBorders>
            <w:shd w:val="clear" w:color="auto" w:fill="auto"/>
            <w:noWrap/>
            <w:vAlign w:val="center"/>
            <w:hideMark/>
          </w:tcPr>
          <w:p w:rsidR="008E50B6" w:rsidRPr="009841A9" w:rsidRDefault="008E50B6" w:rsidP="00AE5035">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0,317</w:t>
            </w:r>
          </w:p>
        </w:tc>
      </w:tr>
    </w:tbl>
    <w:p w:rsidR="009841A9" w:rsidRPr="009841A9" w:rsidRDefault="009841A9" w:rsidP="008E50B6">
      <w:pPr>
        <w:spacing w:before="240" w:after="0" w:line="360" w:lineRule="auto"/>
        <w:ind w:firstLine="709"/>
        <w:jc w:val="both"/>
        <w:rPr>
          <w:rFonts w:ascii="Times New Roman" w:eastAsiaTheme="minorHAnsi" w:hAnsi="Times New Roman"/>
          <w:sz w:val="28"/>
          <w:szCs w:val="28"/>
        </w:rPr>
      </w:pPr>
      <w:r w:rsidRPr="009841A9">
        <w:rPr>
          <w:rFonts w:ascii="Times New Roman" w:eastAsiaTheme="minorHAnsi" w:hAnsi="Times New Roman"/>
          <w:sz w:val="28"/>
          <w:szCs w:val="28"/>
        </w:rPr>
        <w:t>Визначені коефіцієнти у табл</w:t>
      </w:r>
      <w:r w:rsidR="008E50B6">
        <w:rPr>
          <w:rFonts w:ascii="Times New Roman" w:eastAsiaTheme="minorHAnsi" w:hAnsi="Times New Roman"/>
          <w:sz w:val="28"/>
          <w:szCs w:val="28"/>
        </w:rPr>
        <w:t>.</w:t>
      </w:r>
      <w:r w:rsidRPr="009841A9">
        <w:rPr>
          <w:rFonts w:ascii="Times New Roman" w:eastAsiaTheme="minorHAnsi" w:hAnsi="Times New Roman"/>
          <w:sz w:val="28"/>
          <w:szCs w:val="28"/>
        </w:rPr>
        <w:t xml:space="preserve"> </w:t>
      </w:r>
      <w:r w:rsidR="008E50B6">
        <w:rPr>
          <w:rFonts w:ascii="Times New Roman" w:eastAsiaTheme="minorHAnsi" w:hAnsi="Times New Roman"/>
          <w:sz w:val="28"/>
          <w:szCs w:val="28"/>
        </w:rPr>
        <w:t>2.10</w:t>
      </w:r>
      <w:r w:rsidRPr="009841A9">
        <w:rPr>
          <w:rFonts w:ascii="Times New Roman" w:eastAsiaTheme="minorHAnsi" w:hAnsi="Times New Roman"/>
          <w:sz w:val="28"/>
          <w:szCs w:val="28"/>
        </w:rPr>
        <w:t>. підставимо безпосередньо у формулу моделі (3.1) та визначимо інтегральний показник Z станом на 31 грудня 2017, 2018, 2019, 2020, 2021 років (див. табл</w:t>
      </w:r>
      <w:r w:rsidR="008E50B6" w:rsidRPr="008E50B6">
        <w:rPr>
          <w:rFonts w:ascii="Times New Roman" w:eastAsiaTheme="minorHAnsi" w:hAnsi="Times New Roman"/>
          <w:sz w:val="28"/>
          <w:szCs w:val="28"/>
        </w:rPr>
        <w:t>.</w:t>
      </w:r>
      <w:r w:rsidRPr="009841A9">
        <w:rPr>
          <w:rFonts w:ascii="Times New Roman" w:eastAsiaTheme="minorHAnsi" w:hAnsi="Times New Roman"/>
          <w:sz w:val="28"/>
          <w:szCs w:val="28"/>
        </w:rPr>
        <w:t xml:space="preserve"> </w:t>
      </w:r>
      <w:r w:rsidR="0015222B">
        <w:rPr>
          <w:rFonts w:ascii="Times New Roman" w:eastAsiaTheme="minorHAnsi" w:hAnsi="Times New Roman"/>
          <w:sz w:val="28"/>
          <w:szCs w:val="28"/>
        </w:rPr>
        <w:t>2.11</w:t>
      </w:r>
      <w:r w:rsidRPr="009841A9">
        <w:rPr>
          <w:rFonts w:ascii="Times New Roman" w:eastAsiaTheme="minorHAnsi" w:hAnsi="Times New Roman"/>
          <w:sz w:val="28"/>
          <w:szCs w:val="28"/>
        </w:rPr>
        <w:t>)</w:t>
      </w:r>
      <w:r w:rsidR="0015222B">
        <w:rPr>
          <w:rFonts w:ascii="Times New Roman" w:eastAsiaTheme="minorHAnsi" w:hAnsi="Times New Roman"/>
          <w:sz w:val="28"/>
          <w:szCs w:val="28"/>
        </w:rPr>
        <w:t>.</w:t>
      </w:r>
    </w:p>
    <w:p w:rsidR="008E4B48" w:rsidRDefault="009841A9" w:rsidP="008E4B48">
      <w:pPr>
        <w:spacing w:before="120" w:after="0" w:line="360" w:lineRule="auto"/>
        <w:ind w:firstLine="708"/>
        <w:jc w:val="right"/>
        <w:rPr>
          <w:rFonts w:ascii="Times New Roman" w:eastAsiaTheme="minorHAnsi" w:hAnsi="Times New Roman"/>
          <w:sz w:val="28"/>
          <w:szCs w:val="28"/>
        </w:rPr>
      </w:pPr>
      <w:r w:rsidRPr="009841A9">
        <w:rPr>
          <w:rFonts w:ascii="Times New Roman" w:eastAsiaTheme="minorHAnsi" w:hAnsi="Times New Roman"/>
          <w:sz w:val="28"/>
          <w:szCs w:val="28"/>
        </w:rPr>
        <w:t xml:space="preserve">Таблиця </w:t>
      </w:r>
      <w:r w:rsidR="008E4B48" w:rsidRPr="008E4B48">
        <w:rPr>
          <w:rFonts w:ascii="Times New Roman" w:eastAsiaTheme="minorHAnsi" w:hAnsi="Times New Roman"/>
          <w:sz w:val="28"/>
          <w:szCs w:val="28"/>
        </w:rPr>
        <w:t>2.11</w:t>
      </w:r>
      <w:r w:rsidR="008E4B48">
        <w:rPr>
          <w:rFonts w:ascii="Times New Roman" w:eastAsiaTheme="minorHAnsi" w:hAnsi="Times New Roman"/>
          <w:sz w:val="28"/>
          <w:szCs w:val="28"/>
        </w:rPr>
        <w:t xml:space="preserve"> </w:t>
      </w:r>
    </w:p>
    <w:p w:rsidR="009841A9" w:rsidRPr="009841A9" w:rsidRDefault="009841A9" w:rsidP="008E4B48">
      <w:pPr>
        <w:spacing w:before="120" w:after="0" w:line="360" w:lineRule="auto"/>
        <w:ind w:firstLine="708"/>
        <w:jc w:val="center"/>
        <w:rPr>
          <w:rFonts w:ascii="Times New Roman" w:eastAsiaTheme="minorHAnsi" w:hAnsi="Times New Roman"/>
          <w:sz w:val="28"/>
          <w:szCs w:val="28"/>
        </w:rPr>
      </w:pPr>
      <w:r w:rsidRPr="009841A9">
        <w:rPr>
          <w:rFonts w:ascii="Times New Roman" w:eastAsiaTheme="minorHAnsi" w:hAnsi="Times New Roman"/>
          <w:sz w:val="28"/>
          <w:szCs w:val="28"/>
        </w:rPr>
        <w:t>Визначення інтегрального показника Z-</w:t>
      </w:r>
      <w:proofErr w:type="spellStart"/>
      <w:r w:rsidRPr="009841A9">
        <w:rPr>
          <w:rFonts w:ascii="Times New Roman" w:eastAsiaTheme="minorHAnsi" w:hAnsi="Times New Roman"/>
          <w:sz w:val="28"/>
          <w:szCs w:val="28"/>
        </w:rPr>
        <w:t>score</w:t>
      </w:r>
      <w:proofErr w:type="spellEnd"/>
      <w:r w:rsidRPr="009841A9">
        <w:rPr>
          <w:rFonts w:asciiTheme="minorHAnsi" w:eastAsiaTheme="minorHAnsi" w:hAnsiTheme="minorHAnsi" w:cstheme="minorBidi"/>
        </w:rPr>
        <w:t xml:space="preserve"> </w:t>
      </w:r>
      <w:r w:rsidRPr="009841A9">
        <w:rPr>
          <w:rFonts w:ascii="Times New Roman" w:eastAsiaTheme="minorHAnsi" w:hAnsi="Times New Roman"/>
          <w:sz w:val="28"/>
          <w:szCs w:val="28"/>
        </w:rPr>
        <w:t>АТ «Ідея Банк»</w:t>
      </w:r>
      <w:r w:rsidRPr="009841A9">
        <w:rPr>
          <w:rFonts w:asciiTheme="minorHAnsi" w:eastAsiaTheme="minorHAnsi" w:hAnsiTheme="minorHAnsi" w:cstheme="minorBidi"/>
        </w:rPr>
        <w:t xml:space="preserve"> </w:t>
      </w:r>
      <w:r w:rsidRPr="009841A9">
        <w:rPr>
          <w:rFonts w:ascii="Times New Roman" w:eastAsiaTheme="minorHAnsi" w:hAnsi="Times New Roman"/>
          <w:sz w:val="28"/>
          <w:szCs w:val="28"/>
        </w:rPr>
        <w:t>за період з 2017 по 2021 роки</w:t>
      </w:r>
    </w:p>
    <w:tbl>
      <w:tblPr>
        <w:tblW w:w="9160" w:type="dxa"/>
        <w:jc w:val="center"/>
        <w:tblLook w:val="04A0" w:firstRow="1" w:lastRow="0" w:firstColumn="1" w:lastColumn="0" w:noHBand="0" w:noVBand="1"/>
      </w:tblPr>
      <w:tblGrid>
        <w:gridCol w:w="988"/>
        <w:gridCol w:w="2551"/>
        <w:gridCol w:w="5621"/>
      </w:tblGrid>
      <w:tr w:rsidR="009841A9" w:rsidRPr="009841A9" w:rsidTr="00AE5035">
        <w:trPr>
          <w:trHeight w:val="312"/>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Період</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Розрахунок Z-</w:t>
            </w:r>
            <w:proofErr w:type="spellStart"/>
            <w:r w:rsidRPr="009841A9">
              <w:rPr>
                <w:rFonts w:ascii="Times New Roman" w:eastAsia="Times New Roman" w:hAnsi="Times New Roman"/>
                <w:b/>
                <w:bCs/>
                <w:color w:val="000000"/>
                <w:sz w:val="24"/>
                <w:szCs w:val="24"/>
                <w:lang w:eastAsia="uk-UA"/>
              </w:rPr>
              <w:t>score</w:t>
            </w:r>
            <w:proofErr w:type="spellEnd"/>
          </w:p>
        </w:tc>
        <w:tc>
          <w:tcPr>
            <w:tcW w:w="5621" w:type="dxa"/>
            <w:tcBorders>
              <w:top w:val="single" w:sz="4" w:space="0" w:color="auto"/>
              <w:left w:val="nil"/>
              <w:bottom w:val="single" w:sz="4" w:space="0" w:color="auto"/>
              <w:right w:val="single" w:sz="4" w:space="0" w:color="auto"/>
            </w:tcBorders>
          </w:tcPr>
          <w:p w:rsidR="009841A9" w:rsidRPr="009841A9" w:rsidRDefault="009841A9" w:rsidP="009841A9">
            <w:pPr>
              <w:spacing w:after="0" w:line="240" w:lineRule="auto"/>
              <w:jc w:val="center"/>
              <w:rPr>
                <w:rFonts w:ascii="Times New Roman" w:eastAsia="Times New Roman" w:hAnsi="Times New Roman"/>
                <w:b/>
                <w:bCs/>
                <w:color w:val="000000"/>
                <w:sz w:val="24"/>
                <w:szCs w:val="24"/>
                <w:lang w:eastAsia="uk-UA"/>
              </w:rPr>
            </w:pPr>
            <w:r w:rsidRPr="009841A9">
              <w:rPr>
                <w:rFonts w:ascii="Times New Roman" w:eastAsia="Times New Roman" w:hAnsi="Times New Roman"/>
                <w:b/>
                <w:bCs/>
                <w:color w:val="000000"/>
                <w:sz w:val="24"/>
                <w:szCs w:val="24"/>
                <w:lang w:eastAsia="uk-UA"/>
              </w:rPr>
              <w:t>Значення</w:t>
            </w:r>
          </w:p>
        </w:tc>
      </w:tr>
      <w:tr w:rsidR="009841A9" w:rsidRPr="009841A9" w:rsidTr="00AE5035">
        <w:trPr>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2017</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0,966</w:t>
            </w:r>
          </w:p>
        </w:tc>
        <w:tc>
          <w:tcPr>
            <w:tcW w:w="5621" w:type="dxa"/>
            <w:tcBorders>
              <w:top w:val="single" w:sz="4" w:space="0" w:color="auto"/>
              <w:left w:val="nil"/>
              <w:bottom w:val="single" w:sz="4" w:space="0" w:color="auto"/>
              <w:right w:val="single" w:sz="4" w:space="0" w:color="auto"/>
            </w:tcBorders>
          </w:tcPr>
          <w:p w:rsidR="009841A9" w:rsidRPr="009841A9" w:rsidRDefault="009841A9" w:rsidP="009841A9">
            <w:pPr>
              <w:spacing w:after="0" w:line="240" w:lineRule="auto"/>
              <w:jc w:val="both"/>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 1,1 - критична ситуація</w:t>
            </w:r>
            <w:r w:rsidRPr="009841A9">
              <w:rPr>
                <w:rFonts w:asciiTheme="minorHAnsi" w:eastAsiaTheme="minorHAnsi" w:hAnsiTheme="minorHAnsi" w:cstheme="minorBidi"/>
              </w:rPr>
              <w:t>,</w:t>
            </w:r>
            <w:r w:rsidRPr="009841A9">
              <w:rPr>
                <w:rFonts w:ascii="Times New Roman" w:eastAsia="Times New Roman" w:hAnsi="Times New Roman"/>
                <w:color w:val="000000"/>
                <w:sz w:val="24"/>
                <w:szCs w:val="24"/>
                <w:lang w:eastAsia="uk-UA"/>
              </w:rPr>
              <w:t xml:space="preserve"> висока ймовірністю банкрутства</w:t>
            </w:r>
          </w:p>
        </w:tc>
      </w:tr>
      <w:tr w:rsidR="009841A9" w:rsidRPr="009841A9" w:rsidTr="00AE5035">
        <w:trPr>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2018</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1,274</w:t>
            </w:r>
          </w:p>
        </w:tc>
        <w:tc>
          <w:tcPr>
            <w:tcW w:w="5621" w:type="dxa"/>
            <w:vMerge w:val="restart"/>
            <w:tcBorders>
              <w:top w:val="single" w:sz="4" w:space="0" w:color="auto"/>
              <w:left w:val="nil"/>
              <w:right w:val="single" w:sz="4" w:space="0" w:color="auto"/>
            </w:tcBorders>
          </w:tcPr>
          <w:p w:rsidR="009841A9" w:rsidRPr="009841A9" w:rsidRDefault="009841A9" w:rsidP="009841A9">
            <w:pPr>
              <w:spacing w:after="0" w:line="240" w:lineRule="auto"/>
              <w:jc w:val="both"/>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В межах від 1,1 до 2,6 – низька вірогідність банкрутства</w:t>
            </w:r>
          </w:p>
        </w:tc>
      </w:tr>
      <w:tr w:rsidR="009841A9" w:rsidRPr="009841A9" w:rsidTr="00AE5035">
        <w:trPr>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2019</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1,273</w:t>
            </w:r>
          </w:p>
        </w:tc>
        <w:tc>
          <w:tcPr>
            <w:tcW w:w="5621" w:type="dxa"/>
            <w:vMerge/>
            <w:tcBorders>
              <w:left w:val="nil"/>
              <w:bottom w:val="single" w:sz="4" w:space="0" w:color="auto"/>
              <w:right w:val="single" w:sz="4" w:space="0" w:color="auto"/>
            </w:tcBorders>
          </w:tcPr>
          <w:p w:rsidR="009841A9" w:rsidRPr="009841A9" w:rsidRDefault="009841A9" w:rsidP="009841A9">
            <w:pPr>
              <w:spacing w:after="0" w:line="240" w:lineRule="auto"/>
              <w:jc w:val="both"/>
              <w:rPr>
                <w:rFonts w:ascii="Times New Roman" w:eastAsia="Times New Roman" w:hAnsi="Times New Roman"/>
                <w:color w:val="000000"/>
                <w:sz w:val="24"/>
                <w:szCs w:val="24"/>
                <w:lang w:eastAsia="uk-UA"/>
              </w:rPr>
            </w:pPr>
          </w:p>
        </w:tc>
      </w:tr>
      <w:tr w:rsidR="009841A9" w:rsidRPr="009841A9" w:rsidTr="00AE5035">
        <w:trPr>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2020</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0,998</w:t>
            </w:r>
          </w:p>
        </w:tc>
        <w:tc>
          <w:tcPr>
            <w:tcW w:w="5621" w:type="dxa"/>
            <w:tcBorders>
              <w:top w:val="single" w:sz="4" w:space="0" w:color="auto"/>
              <w:left w:val="nil"/>
              <w:bottom w:val="single" w:sz="4" w:space="0" w:color="auto"/>
              <w:right w:val="single" w:sz="4" w:space="0" w:color="auto"/>
            </w:tcBorders>
          </w:tcPr>
          <w:p w:rsidR="009841A9" w:rsidRPr="009841A9" w:rsidRDefault="009841A9" w:rsidP="009841A9">
            <w:pPr>
              <w:spacing w:after="0" w:line="240" w:lineRule="auto"/>
              <w:jc w:val="both"/>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 1,1 - критична ситуація, висока ймовірністю банкрутства</w:t>
            </w:r>
          </w:p>
        </w:tc>
      </w:tr>
      <w:tr w:rsidR="009841A9" w:rsidRPr="009841A9" w:rsidTr="00AE5035">
        <w:trPr>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2021</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9841A9" w:rsidRPr="009841A9" w:rsidRDefault="009841A9" w:rsidP="009841A9">
            <w:pPr>
              <w:spacing w:after="0" w:line="240" w:lineRule="auto"/>
              <w:jc w:val="center"/>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2,816</w:t>
            </w:r>
          </w:p>
        </w:tc>
        <w:tc>
          <w:tcPr>
            <w:tcW w:w="5621" w:type="dxa"/>
            <w:tcBorders>
              <w:top w:val="single" w:sz="4" w:space="0" w:color="auto"/>
              <w:left w:val="nil"/>
              <w:bottom w:val="single" w:sz="4" w:space="0" w:color="auto"/>
              <w:right w:val="single" w:sz="4" w:space="0" w:color="auto"/>
            </w:tcBorders>
          </w:tcPr>
          <w:p w:rsidR="009841A9" w:rsidRPr="009841A9" w:rsidRDefault="009841A9" w:rsidP="009841A9">
            <w:pPr>
              <w:spacing w:after="0" w:line="240" w:lineRule="auto"/>
              <w:jc w:val="both"/>
              <w:rPr>
                <w:rFonts w:ascii="Times New Roman" w:eastAsia="Times New Roman" w:hAnsi="Times New Roman"/>
                <w:color w:val="000000"/>
                <w:sz w:val="24"/>
                <w:szCs w:val="24"/>
                <w:lang w:eastAsia="uk-UA"/>
              </w:rPr>
            </w:pPr>
            <w:r w:rsidRPr="009841A9">
              <w:rPr>
                <w:rFonts w:ascii="Times New Roman" w:eastAsia="Times New Roman" w:hAnsi="Times New Roman"/>
                <w:color w:val="000000"/>
                <w:sz w:val="24"/>
                <w:szCs w:val="24"/>
                <w:lang w:eastAsia="uk-UA"/>
              </w:rPr>
              <w:t>≥ 2,6 – ситуація не стабільна, вірогідність настання банкрутства не велика, але і не виключена</w:t>
            </w:r>
          </w:p>
        </w:tc>
      </w:tr>
    </w:tbl>
    <w:p w:rsidR="009841A9" w:rsidRPr="009841A9" w:rsidRDefault="009841A9" w:rsidP="008E4B48">
      <w:pPr>
        <w:spacing w:before="240" w:after="0" w:line="360" w:lineRule="auto"/>
        <w:ind w:firstLine="709"/>
        <w:jc w:val="both"/>
        <w:rPr>
          <w:rFonts w:ascii="Times New Roman" w:eastAsiaTheme="minorHAnsi" w:hAnsi="Times New Roman"/>
          <w:sz w:val="28"/>
          <w:szCs w:val="28"/>
        </w:rPr>
      </w:pPr>
      <w:r w:rsidRPr="009841A9">
        <w:rPr>
          <w:rFonts w:ascii="Times New Roman" w:eastAsiaTheme="minorHAnsi" w:hAnsi="Times New Roman"/>
          <w:sz w:val="28"/>
          <w:szCs w:val="28"/>
        </w:rPr>
        <w:t xml:space="preserve">Як бачимо, за п’ять років ситуація щодо імовірності банкрутства змінювалась від критичної до більш менш стабільної і навпаки, але заходи, які застосовує банк, дають позитивні результати, а значення показника Z значно </w:t>
      </w:r>
      <w:r w:rsidRPr="009841A9">
        <w:rPr>
          <w:rFonts w:ascii="Times New Roman" w:eastAsiaTheme="minorHAnsi" w:hAnsi="Times New Roman"/>
          <w:sz w:val="28"/>
          <w:szCs w:val="28"/>
        </w:rPr>
        <w:lastRenderedPageBreak/>
        <w:t xml:space="preserve">підвищилося, хоча й знаходиться на межі коли ситуація є не стабільною, тобто вірогідність настання банкрутства не велика, але і не виключена (див. рис. </w:t>
      </w:r>
      <w:r w:rsidR="008E4B48" w:rsidRPr="008E4B48">
        <w:rPr>
          <w:rFonts w:ascii="Times New Roman" w:eastAsiaTheme="minorHAnsi" w:hAnsi="Times New Roman"/>
          <w:sz w:val="28"/>
          <w:szCs w:val="28"/>
        </w:rPr>
        <w:t>2.14</w:t>
      </w:r>
      <w:r w:rsidRPr="009841A9">
        <w:rPr>
          <w:rFonts w:ascii="Times New Roman" w:eastAsiaTheme="minorHAnsi" w:hAnsi="Times New Roman"/>
          <w:sz w:val="28"/>
          <w:szCs w:val="28"/>
        </w:rPr>
        <w:t>).</w:t>
      </w:r>
    </w:p>
    <w:p w:rsidR="009841A9" w:rsidRPr="009841A9" w:rsidRDefault="009841A9" w:rsidP="009841A9">
      <w:pPr>
        <w:spacing w:after="0" w:line="360" w:lineRule="auto"/>
        <w:ind w:firstLine="708"/>
        <w:jc w:val="center"/>
        <w:rPr>
          <w:rFonts w:ascii="Times New Roman" w:eastAsiaTheme="minorHAnsi" w:hAnsi="Times New Roman"/>
          <w:sz w:val="28"/>
          <w:szCs w:val="28"/>
        </w:rPr>
      </w:pPr>
      <w:r w:rsidRPr="009841A9">
        <w:rPr>
          <w:rFonts w:asciiTheme="minorHAnsi" w:eastAsiaTheme="minorHAnsi" w:hAnsiTheme="minorHAnsi" w:cstheme="minorBidi"/>
          <w:noProof/>
          <w:lang w:eastAsia="uk-UA"/>
        </w:rPr>
        <w:drawing>
          <wp:inline distT="0" distB="0" distL="0" distR="0" wp14:anchorId="059AE9E0" wp14:editId="230AE31C">
            <wp:extent cx="4572000" cy="2453640"/>
            <wp:effectExtent l="0" t="0" r="0" b="381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841A9" w:rsidRPr="009841A9" w:rsidRDefault="009841A9" w:rsidP="009841A9">
      <w:pPr>
        <w:spacing w:after="0" w:line="360" w:lineRule="auto"/>
        <w:jc w:val="center"/>
        <w:rPr>
          <w:rFonts w:ascii="Times New Roman" w:eastAsiaTheme="minorHAnsi" w:hAnsi="Times New Roman"/>
          <w:sz w:val="28"/>
          <w:szCs w:val="28"/>
        </w:rPr>
      </w:pPr>
      <w:r w:rsidRPr="009841A9">
        <w:rPr>
          <w:rFonts w:ascii="Times New Roman" w:eastAsiaTheme="minorHAnsi" w:hAnsi="Times New Roman"/>
          <w:sz w:val="28"/>
          <w:szCs w:val="28"/>
        </w:rPr>
        <w:t xml:space="preserve">Рис. </w:t>
      </w:r>
      <w:r w:rsidR="008E4B48" w:rsidRPr="008E4B48">
        <w:rPr>
          <w:rFonts w:ascii="Times New Roman" w:eastAsiaTheme="minorHAnsi" w:hAnsi="Times New Roman"/>
          <w:sz w:val="28"/>
          <w:szCs w:val="28"/>
        </w:rPr>
        <w:t>2.14</w:t>
      </w:r>
      <w:r w:rsidRPr="009841A9">
        <w:rPr>
          <w:rFonts w:ascii="Times New Roman" w:eastAsiaTheme="minorHAnsi" w:hAnsi="Times New Roman"/>
          <w:sz w:val="28"/>
          <w:szCs w:val="28"/>
        </w:rPr>
        <w:t>. Динаміка інтегрального показника ймовірності дефолту АТ «Ідея Банк» за моделлю Альтман</w:t>
      </w:r>
      <w:r w:rsidR="008E15C1">
        <w:rPr>
          <w:rFonts w:ascii="Times New Roman" w:eastAsiaTheme="minorHAnsi" w:hAnsi="Times New Roman"/>
          <w:sz w:val="28"/>
          <w:szCs w:val="28"/>
        </w:rPr>
        <w:t>а</w:t>
      </w:r>
      <w:r w:rsidRPr="009841A9">
        <w:rPr>
          <w:rFonts w:ascii="Times New Roman" w:eastAsiaTheme="minorHAnsi" w:hAnsi="Times New Roman"/>
          <w:sz w:val="28"/>
          <w:szCs w:val="28"/>
        </w:rPr>
        <w:t xml:space="preserve"> за період з 2017 по 2021 роки</w:t>
      </w:r>
    </w:p>
    <w:p w:rsidR="009841A9" w:rsidRPr="009841A9" w:rsidRDefault="009841A9" w:rsidP="009841A9">
      <w:pPr>
        <w:spacing w:before="120" w:after="0" w:line="360" w:lineRule="auto"/>
        <w:ind w:firstLine="709"/>
        <w:jc w:val="both"/>
        <w:rPr>
          <w:rFonts w:ascii="Times New Roman" w:eastAsiaTheme="minorHAnsi" w:hAnsi="Times New Roman"/>
          <w:sz w:val="28"/>
          <w:szCs w:val="28"/>
        </w:rPr>
      </w:pPr>
      <w:r w:rsidRPr="009841A9">
        <w:rPr>
          <w:rFonts w:ascii="Times New Roman" w:eastAsiaTheme="minorHAnsi" w:hAnsi="Times New Roman"/>
          <w:sz w:val="28"/>
          <w:szCs w:val="28"/>
        </w:rPr>
        <w:t>З рис</w:t>
      </w:r>
      <w:r w:rsidR="003E1C6E">
        <w:rPr>
          <w:rFonts w:ascii="Times New Roman" w:eastAsiaTheme="minorHAnsi" w:hAnsi="Times New Roman"/>
          <w:sz w:val="28"/>
          <w:szCs w:val="28"/>
        </w:rPr>
        <w:t>.</w:t>
      </w:r>
      <w:r w:rsidRPr="009841A9">
        <w:rPr>
          <w:rFonts w:ascii="Times New Roman" w:eastAsiaTheme="minorHAnsi" w:hAnsi="Times New Roman"/>
          <w:sz w:val="28"/>
          <w:szCs w:val="28"/>
        </w:rPr>
        <w:t xml:space="preserve"> </w:t>
      </w:r>
      <w:r w:rsidR="003E1C6E">
        <w:rPr>
          <w:rFonts w:ascii="Times New Roman" w:eastAsiaTheme="minorHAnsi" w:hAnsi="Times New Roman"/>
          <w:sz w:val="28"/>
          <w:szCs w:val="28"/>
        </w:rPr>
        <w:t>2.14</w:t>
      </w:r>
      <w:r w:rsidRPr="009841A9">
        <w:rPr>
          <w:rFonts w:ascii="Times New Roman" w:eastAsiaTheme="minorHAnsi" w:hAnsi="Times New Roman"/>
          <w:sz w:val="28"/>
          <w:szCs w:val="28"/>
        </w:rPr>
        <w:t xml:space="preserve"> вбачається, що після стабілізації ситуації критичним став 2020 рік. Причиною цього став негативний вплив поширення </w:t>
      </w:r>
      <w:proofErr w:type="spellStart"/>
      <w:r w:rsidRPr="009841A9">
        <w:rPr>
          <w:rFonts w:ascii="Times New Roman" w:eastAsiaTheme="minorHAnsi" w:hAnsi="Times New Roman"/>
          <w:sz w:val="28"/>
          <w:szCs w:val="28"/>
        </w:rPr>
        <w:t>коронавірусної</w:t>
      </w:r>
      <w:proofErr w:type="spellEnd"/>
      <w:r w:rsidRPr="009841A9">
        <w:rPr>
          <w:rFonts w:ascii="Times New Roman" w:eastAsiaTheme="minorHAnsi" w:hAnsi="Times New Roman"/>
          <w:sz w:val="28"/>
          <w:szCs w:val="28"/>
        </w:rPr>
        <w:t xml:space="preserve"> хвороби COVID-19, карантину та обмежувальних заходів, спрямованих на стримування її поширення. Однак, незважаючи на це, Банк успішно пройшов негативні наслідки COVID-19 у 2020 році, оскільки увійшов у період пандемії без значних </w:t>
      </w:r>
      <w:proofErr w:type="spellStart"/>
      <w:r w:rsidRPr="009841A9">
        <w:rPr>
          <w:rFonts w:ascii="Times New Roman" w:eastAsiaTheme="minorHAnsi" w:hAnsi="Times New Roman"/>
          <w:sz w:val="28"/>
          <w:szCs w:val="28"/>
        </w:rPr>
        <w:t>дисбалансів</w:t>
      </w:r>
      <w:proofErr w:type="spellEnd"/>
      <w:r w:rsidRPr="009841A9">
        <w:rPr>
          <w:rFonts w:ascii="Times New Roman" w:eastAsiaTheme="minorHAnsi" w:hAnsi="Times New Roman"/>
          <w:sz w:val="28"/>
          <w:szCs w:val="28"/>
        </w:rPr>
        <w:t>, достатньо капіталізованим та високоліквідним. Окрім того, Банк вжив ряд заходів по роботі із депозитним та кредитним портфелями з метою уникнення негативного впливу кризових умов діяльності на його ліквідність, що дозволило значно покращити та стабілізувати ситуацію у 2021 році.</w:t>
      </w:r>
    </w:p>
    <w:p w:rsidR="009841A9" w:rsidRPr="009841A9" w:rsidRDefault="009841A9" w:rsidP="009841A9">
      <w:pPr>
        <w:spacing w:after="0" w:line="360" w:lineRule="auto"/>
        <w:ind w:firstLine="709"/>
        <w:jc w:val="both"/>
        <w:rPr>
          <w:rFonts w:ascii="Times New Roman" w:eastAsiaTheme="minorHAnsi" w:hAnsi="Times New Roman"/>
          <w:sz w:val="28"/>
          <w:szCs w:val="28"/>
        </w:rPr>
      </w:pPr>
      <w:r w:rsidRPr="009841A9">
        <w:rPr>
          <w:rFonts w:ascii="Times New Roman" w:eastAsiaTheme="minorHAnsi" w:hAnsi="Times New Roman"/>
          <w:sz w:val="28"/>
          <w:szCs w:val="28"/>
        </w:rPr>
        <w:t xml:space="preserve">Таким чином, </w:t>
      </w:r>
      <w:r w:rsidR="003E1C6E">
        <w:rPr>
          <w:rFonts w:ascii="Times New Roman" w:eastAsiaTheme="minorHAnsi" w:hAnsi="Times New Roman"/>
          <w:sz w:val="28"/>
          <w:szCs w:val="28"/>
        </w:rPr>
        <w:t>застосована</w:t>
      </w:r>
      <w:r w:rsidRPr="009841A9">
        <w:rPr>
          <w:rFonts w:ascii="Times New Roman" w:eastAsiaTheme="minorHAnsi" w:hAnsi="Times New Roman"/>
          <w:sz w:val="28"/>
          <w:szCs w:val="28"/>
        </w:rPr>
        <w:t xml:space="preserve"> система комплексної оцінки (аналізу) допоможе заздалегідь виявити можливі загрози для діяльності банку, а також вчасно та оперативно відреагувати на них. А отже, як влучно зазначають Єршова О.В. та Кушнір С.О., що</w:t>
      </w:r>
      <w:r w:rsidRPr="009841A9">
        <w:rPr>
          <w:rFonts w:asciiTheme="minorHAnsi" w:eastAsiaTheme="minorHAnsi" w:hAnsiTheme="minorHAnsi" w:cstheme="minorBidi"/>
        </w:rPr>
        <w:t xml:space="preserve"> «</w:t>
      </w:r>
      <w:r w:rsidRPr="009841A9">
        <w:rPr>
          <w:rFonts w:ascii="Times New Roman" w:eastAsiaTheme="minorHAnsi" w:hAnsi="Times New Roman"/>
          <w:sz w:val="28"/>
          <w:szCs w:val="28"/>
        </w:rPr>
        <w:t>від отриманих результатів після проведення аналізу ліквідності залежить і ефективність подальшого управління фінансовими потоками банку» [6</w:t>
      </w:r>
      <w:r w:rsidR="003E1C6E">
        <w:rPr>
          <w:rFonts w:ascii="Times New Roman" w:eastAsiaTheme="minorHAnsi" w:hAnsi="Times New Roman"/>
          <w:sz w:val="28"/>
          <w:szCs w:val="28"/>
        </w:rPr>
        <w:t>5</w:t>
      </w:r>
      <w:r w:rsidRPr="009841A9">
        <w:rPr>
          <w:rFonts w:ascii="Times New Roman" w:eastAsiaTheme="minorHAnsi" w:hAnsi="Times New Roman"/>
          <w:sz w:val="28"/>
          <w:szCs w:val="28"/>
        </w:rPr>
        <w:t>, с.161].</w:t>
      </w:r>
    </w:p>
    <w:p w:rsidR="007242E4" w:rsidRDefault="009841A9" w:rsidP="009841A9">
      <w:pPr>
        <w:spacing w:after="0" w:line="360" w:lineRule="auto"/>
        <w:ind w:firstLine="709"/>
        <w:jc w:val="both"/>
        <w:rPr>
          <w:rFonts w:ascii="Times New Roman" w:eastAsiaTheme="minorHAnsi" w:hAnsi="Times New Roman"/>
          <w:sz w:val="28"/>
          <w:szCs w:val="28"/>
        </w:rPr>
      </w:pPr>
      <w:r w:rsidRPr="009841A9">
        <w:rPr>
          <w:rFonts w:ascii="Times New Roman" w:eastAsiaTheme="minorHAnsi" w:hAnsi="Times New Roman"/>
          <w:sz w:val="28"/>
          <w:szCs w:val="28"/>
        </w:rPr>
        <w:t xml:space="preserve">Зауважимо, що зазначений підхід до виявлення кризи ліквідності та ймовірності настання банкрутства є простим у застосуванні і дає можливість </w:t>
      </w:r>
      <w:r w:rsidRPr="009841A9">
        <w:rPr>
          <w:rFonts w:ascii="Times New Roman" w:eastAsiaTheme="minorHAnsi" w:hAnsi="Times New Roman"/>
          <w:sz w:val="28"/>
          <w:szCs w:val="28"/>
        </w:rPr>
        <w:lastRenderedPageBreak/>
        <w:t xml:space="preserve">оперативно виявляти впливи деструктивних факторів на ліквідність банку та приймати адекватні управлінські рішення щодо їх нейтралізації. </w:t>
      </w:r>
    </w:p>
    <w:p w:rsidR="00D63D70" w:rsidRDefault="00D63D70" w:rsidP="009841A9">
      <w:pPr>
        <w:spacing w:after="0" w:line="360" w:lineRule="auto"/>
        <w:ind w:firstLine="709"/>
        <w:jc w:val="both"/>
        <w:rPr>
          <w:rFonts w:ascii="Times New Roman" w:eastAsiaTheme="minorHAnsi" w:hAnsi="Times New Roman"/>
          <w:sz w:val="28"/>
          <w:szCs w:val="28"/>
        </w:rPr>
      </w:pPr>
    </w:p>
    <w:p w:rsidR="00D63D70" w:rsidRDefault="00D63D70" w:rsidP="009841A9">
      <w:pPr>
        <w:spacing w:after="0" w:line="360" w:lineRule="auto"/>
        <w:ind w:firstLine="709"/>
        <w:jc w:val="both"/>
        <w:rPr>
          <w:rFonts w:ascii="Times New Roman" w:hAnsi="Times New Roman"/>
          <w:sz w:val="28"/>
          <w:szCs w:val="28"/>
        </w:rPr>
      </w:pPr>
    </w:p>
    <w:p w:rsidR="00D63D70" w:rsidRPr="008E15C1" w:rsidRDefault="00D63D70" w:rsidP="00D63D70">
      <w:pPr>
        <w:spacing w:after="0" w:line="360" w:lineRule="auto"/>
        <w:ind w:firstLine="708"/>
        <w:jc w:val="both"/>
        <w:rPr>
          <w:rFonts w:ascii="Times New Roman" w:eastAsiaTheme="minorHAnsi" w:hAnsi="Times New Roman"/>
          <w:sz w:val="28"/>
          <w:szCs w:val="28"/>
        </w:rPr>
      </w:pPr>
      <w:r w:rsidRPr="008E15C1">
        <w:rPr>
          <w:rFonts w:ascii="Times New Roman" w:eastAsiaTheme="minorHAnsi" w:hAnsi="Times New Roman"/>
          <w:sz w:val="28"/>
          <w:szCs w:val="28"/>
        </w:rPr>
        <w:t>Висновки до розділу ІІ</w:t>
      </w:r>
    </w:p>
    <w:p w:rsidR="00D63D70" w:rsidRPr="00D63D70" w:rsidRDefault="00D63D70" w:rsidP="00D63D70">
      <w:pPr>
        <w:spacing w:after="0" w:line="360" w:lineRule="auto"/>
        <w:ind w:firstLine="708"/>
        <w:jc w:val="both"/>
        <w:rPr>
          <w:rFonts w:ascii="Times New Roman" w:eastAsiaTheme="minorHAnsi" w:hAnsi="Times New Roman"/>
          <w:b/>
          <w:sz w:val="28"/>
          <w:szCs w:val="28"/>
        </w:rPr>
      </w:pPr>
    </w:p>
    <w:p w:rsidR="00D63D70" w:rsidRPr="00D63D70" w:rsidRDefault="00D63D70" w:rsidP="00C5445A">
      <w:pPr>
        <w:spacing w:after="0" w:line="360" w:lineRule="auto"/>
        <w:ind w:firstLine="709"/>
        <w:contextualSpacing/>
        <w:jc w:val="both"/>
        <w:rPr>
          <w:rFonts w:ascii="Times New Roman" w:eastAsiaTheme="minorHAnsi" w:hAnsi="Times New Roman"/>
          <w:sz w:val="28"/>
          <w:szCs w:val="28"/>
        </w:rPr>
      </w:pPr>
      <w:r w:rsidRPr="00D63D70">
        <w:rPr>
          <w:rFonts w:ascii="Times New Roman" w:eastAsiaTheme="minorHAnsi" w:hAnsi="Times New Roman"/>
          <w:sz w:val="28"/>
          <w:szCs w:val="28"/>
        </w:rPr>
        <w:t>За результатами дослідження аналітичного інструментарію управління ліквідністю комерційного банку на прикладі АТ «Ідея Банк» можна зробити наступні висновки:</w:t>
      </w:r>
    </w:p>
    <w:p w:rsidR="00D63D70" w:rsidRPr="00D63D70" w:rsidRDefault="00891352" w:rsidP="003C1413">
      <w:pPr>
        <w:numPr>
          <w:ilvl w:val="0"/>
          <w:numId w:val="3"/>
        </w:numPr>
        <w:spacing w:after="0" w:line="360" w:lineRule="auto"/>
        <w:ind w:left="0" w:firstLine="709"/>
        <w:contextualSpacing/>
        <w:jc w:val="both"/>
        <w:rPr>
          <w:rFonts w:ascii="Times New Roman" w:eastAsiaTheme="minorHAnsi" w:hAnsi="Times New Roman"/>
          <w:sz w:val="28"/>
          <w:szCs w:val="28"/>
        </w:rPr>
      </w:pPr>
      <w:r>
        <w:rPr>
          <w:rFonts w:ascii="Times New Roman" w:eastAsiaTheme="minorHAnsi" w:hAnsi="Times New Roman"/>
          <w:sz w:val="28"/>
          <w:szCs w:val="28"/>
        </w:rPr>
        <w:t>Досліджено о</w:t>
      </w:r>
      <w:r w:rsidRPr="00891352">
        <w:rPr>
          <w:rFonts w:ascii="Times New Roman" w:eastAsiaTheme="minorHAnsi" w:hAnsi="Times New Roman"/>
          <w:sz w:val="28"/>
          <w:szCs w:val="28"/>
        </w:rPr>
        <w:t>рганізаційно-економічні передумови управління ліквідністю АТ «Ідея Банк»</w:t>
      </w:r>
      <w:r>
        <w:rPr>
          <w:rFonts w:ascii="Times New Roman" w:eastAsiaTheme="minorHAnsi" w:hAnsi="Times New Roman"/>
          <w:sz w:val="28"/>
          <w:szCs w:val="28"/>
        </w:rPr>
        <w:t xml:space="preserve">. </w:t>
      </w:r>
      <w:r w:rsidR="00D63D70" w:rsidRPr="00D63D70">
        <w:rPr>
          <w:rFonts w:ascii="Times New Roman" w:eastAsiaTheme="minorHAnsi" w:hAnsi="Times New Roman"/>
          <w:sz w:val="28"/>
          <w:szCs w:val="28"/>
        </w:rPr>
        <w:t>Невід’ємною складовою банківської системи України є комерційні банки. Однин з таких банків - АТ «Ідея Банк», який має статуси банку з іноземним капіталом та ощадного, є роздрібним банком, який здебільшого орієнтований на обслуговування фізичних осіб та фізичних осіб-підприємців. Базуючись на результаті аналізу основних показників діяльності АТ «Ідея Банк» за даними фінансової звітності за період з 2017 по 2021 рок</w:t>
      </w:r>
      <w:r w:rsidR="00C5445A">
        <w:rPr>
          <w:rFonts w:ascii="Times New Roman" w:eastAsiaTheme="minorHAnsi" w:hAnsi="Times New Roman"/>
          <w:sz w:val="28"/>
          <w:szCs w:val="28"/>
        </w:rPr>
        <w:t>и</w:t>
      </w:r>
      <w:r w:rsidR="00D63D70" w:rsidRPr="00D63D70">
        <w:rPr>
          <w:rFonts w:ascii="Times New Roman" w:eastAsiaTheme="minorHAnsi" w:hAnsi="Times New Roman"/>
          <w:sz w:val="28"/>
          <w:szCs w:val="28"/>
        </w:rPr>
        <w:t xml:space="preserve"> констатуємо, що Банк має достатній рівень капіталізації та високий рівень фінансової стійкості.</w:t>
      </w:r>
      <w:r w:rsidR="00D63D70" w:rsidRPr="00D63D70">
        <w:rPr>
          <w:rFonts w:asciiTheme="minorHAnsi" w:eastAsiaTheme="minorHAnsi" w:hAnsiTheme="minorHAnsi" w:cstheme="minorBidi"/>
        </w:rPr>
        <w:t xml:space="preserve"> </w:t>
      </w:r>
      <w:r w:rsidR="00C5445A">
        <w:rPr>
          <w:rFonts w:ascii="Times New Roman" w:eastAsiaTheme="minorHAnsi" w:hAnsi="Times New Roman"/>
          <w:sz w:val="28"/>
          <w:szCs w:val="28"/>
        </w:rPr>
        <w:t xml:space="preserve">Незважаючи на </w:t>
      </w:r>
      <w:r w:rsidR="00C5445A" w:rsidRPr="00C5445A">
        <w:rPr>
          <w:rFonts w:ascii="Times New Roman" w:eastAsiaTheme="minorHAnsi" w:hAnsi="Times New Roman"/>
          <w:sz w:val="28"/>
          <w:szCs w:val="28"/>
        </w:rPr>
        <w:t>жорстк</w:t>
      </w:r>
      <w:r w:rsidR="00C5445A">
        <w:rPr>
          <w:rFonts w:ascii="Times New Roman" w:eastAsiaTheme="minorHAnsi" w:hAnsi="Times New Roman"/>
          <w:sz w:val="28"/>
          <w:szCs w:val="28"/>
        </w:rPr>
        <w:t>у</w:t>
      </w:r>
      <w:r w:rsidR="00C5445A" w:rsidRPr="00C5445A">
        <w:rPr>
          <w:rFonts w:ascii="Times New Roman" w:eastAsiaTheme="minorHAnsi" w:hAnsi="Times New Roman"/>
          <w:sz w:val="28"/>
          <w:szCs w:val="28"/>
        </w:rPr>
        <w:t xml:space="preserve"> конкуренці</w:t>
      </w:r>
      <w:r w:rsidR="00C5445A">
        <w:rPr>
          <w:rFonts w:ascii="Times New Roman" w:eastAsiaTheme="minorHAnsi" w:hAnsi="Times New Roman"/>
          <w:sz w:val="28"/>
          <w:szCs w:val="28"/>
        </w:rPr>
        <w:t>ю</w:t>
      </w:r>
      <w:r w:rsidR="00C5445A" w:rsidRPr="00C5445A">
        <w:rPr>
          <w:rFonts w:ascii="Times New Roman" w:eastAsiaTheme="minorHAnsi" w:hAnsi="Times New Roman"/>
          <w:sz w:val="28"/>
          <w:szCs w:val="28"/>
        </w:rPr>
        <w:t>; дефіцит банківських ресурсів; невизначеність, яка викликана системною фінансовою кризою; карантинні обмеження пандемії COVID-19; ескалаці</w:t>
      </w:r>
      <w:r w:rsidR="00C5445A">
        <w:rPr>
          <w:rFonts w:ascii="Times New Roman" w:eastAsiaTheme="minorHAnsi" w:hAnsi="Times New Roman"/>
          <w:sz w:val="28"/>
          <w:szCs w:val="28"/>
        </w:rPr>
        <w:t>ю</w:t>
      </w:r>
      <w:r w:rsidR="00C5445A" w:rsidRPr="00C5445A">
        <w:rPr>
          <w:rFonts w:ascii="Times New Roman" w:eastAsiaTheme="minorHAnsi" w:hAnsi="Times New Roman"/>
          <w:sz w:val="28"/>
          <w:szCs w:val="28"/>
        </w:rPr>
        <w:t xml:space="preserve"> конфлікту на Сході, який переріс у повномасштабну війну </w:t>
      </w:r>
      <w:proofErr w:type="spellStart"/>
      <w:r w:rsidR="00C5445A" w:rsidRPr="00C5445A">
        <w:rPr>
          <w:rFonts w:ascii="Times New Roman" w:eastAsiaTheme="minorHAnsi" w:hAnsi="Times New Roman"/>
          <w:sz w:val="28"/>
          <w:szCs w:val="28"/>
        </w:rPr>
        <w:t>росії</w:t>
      </w:r>
      <w:proofErr w:type="spellEnd"/>
      <w:r w:rsidR="00C5445A" w:rsidRPr="00C5445A">
        <w:rPr>
          <w:rFonts w:ascii="Times New Roman" w:eastAsiaTheme="minorHAnsi" w:hAnsi="Times New Roman"/>
          <w:sz w:val="28"/>
          <w:szCs w:val="28"/>
        </w:rPr>
        <w:t xml:space="preserve"> проти України</w:t>
      </w:r>
      <w:r w:rsidR="00D63D70" w:rsidRPr="00D63D70">
        <w:rPr>
          <w:rFonts w:ascii="Times New Roman" w:eastAsiaTheme="minorHAnsi" w:hAnsi="Times New Roman"/>
          <w:sz w:val="28"/>
          <w:szCs w:val="28"/>
        </w:rPr>
        <w:t xml:space="preserve">, Банк продемонстрував високу ефективність, фінансову стабільність та високі показники за всіма напрямками діяльності. Високоліквідні активи Банку </w:t>
      </w:r>
      <w:proofErr w:type="spellStart"/>
      <w:r w:rsidR="00D63D70" w:rsidRPr="00D63D70">
        <w:rPr>
          <w:rFonts w:ascii="Times New Roman" w:eastAsiaTheme="minorHAnsi" w:hAnsi="Times New Roman"/>
          <w:sz w:val="28"/>
          <w:szCs w:val="28"/>
        </w:rPr>
        <w:t>скл</w:t>
      </w:r>
      <w:r w:rsidR="00C5445A">
        <w:rPr>
          <w:rFonts w:ascii="Times New Roman" w:eastAsiaTheme="minorHAnsi" w:hAnsi="Times New Roman"/>
          <w:sz w:val="28"/>
          <w:szCs w:val="28"/>
        </w:rPr>
        <w:t>дали</w:t>
      </w:r>
      <w:proofErr w:type="spellEnd"/>
      <w:r w:rsidR="00D63D70" w:rsidRPr="00D63D70">
        <w:rPr>
          <w:rFonts w:ascii="Times New Roman" w:eastAsiaTheme="minorHAnsi" w:hAnsi="Times New Roman"/>
          <w:sz w:val="28"/>
          <w:szCs w:val="28"/>
        </w:rPr>
        <w:t xml:space="preserve"> більше 10% чистих активів та підтримувалися в обсязі, достатньому для обслуговування клієнтів та виконання всіх зобов`язань АТ «Ідея Банк».</w:t>
      </w:r>
    </w:p>
    <w:p w:rsidR="003C1413" w:rsidRPr="003C1413" w:rsidRDefault="00867ECC" w:rsidP="003C1413">
      <w:pPr>
        <w:pStyle w:val="a4"/>
        <w:numPr>
          <w:ilvl w:val="0"/>
          <w:numId w:val="3"/>
        </w:numPr>
        <w:spacing w:after="0" w:line="360" w:lineRule="auto"/>
        <w:ind w:left="0" w:firstLine="709"/>
        <w:jc w:val="both"/>
        <w:rPr>
          <w:rFonts w:ascii="Times New Roman" w:hAnsi="Times New Roman"/>
          <w:sz w:val="28"/>
          <w:szCs w:val="28"/>
        </w:rPr>
      </w:pPr>
      <w:r w:rsidRPr="003C1413">
        <w:rPr>
          <w:rFonts w:ascii="Times New Roman" w:hAnsi="Times New Roman"/>
          <w:sz w:val="28"/>
          <w:szCs w:val="28"/>
        </w:rPr>
        <w:t xml:space="preserve">Проаналізовано дотримання встановлених регулятором показників ліквідності комерційного банку. </w:t>
      </w:r>
      <w:r w:rsidR="00D63D70" w:rsidRPr="003C1413">
        <w:rPr>
          <w:rFonts w:ascii="Times New Roman" w:hAnsi="Times New Roman"/>
          <w:sz w:val="28"/>
          <w:szCs w:val="28"/>
        </w:rPr>
        <w:t xml:space="preserve">Управління ліквідністю комерційного банку можна розглядати як управління ліквідністю НБУ та самим комерційним банком. НБУ здійснює контроль за ліквідністю комерційних банків, чим забезпечує досягнення цілей на мікроекономічному та макроекономічному рівнях. На </w:t>
      </w:r>
      <w:r w:rsidR="00D63D70" w:rsidRPr="003C1413">
        <w:rPr>
          <w:rFonts w:ascii="Times New Roman" w:hAnsi="Times New Roman"/>
          <w:sz w:val="28"/>
          <w:szCs w:val="28"/>
        </w:rPr>
        <w:lastRenderedPageBreak/>
        <w:t>мікроекономічному рівні НБУ здійснює захист інтересів вкладників та кредиторів, а на макроекономічному забезпечує</w:t>
      </w:r>
      <w:r w:rsidR="003C1413" w:rsidRPr="003C1413">
        <w:rPr>
          <w:rFonts w:ascii="Times New Roman" w:hAnsi="Times New Roman"/>
          <w:sz w:val="28"/>
          <w:szCs w:val="28"/>
        </w:rPr>
        <w:t xml:space="preserve"> достатність рівня ліквідності.</w:t>
      </w:r>
    </w:p>
    <w:p w:rsidR="00D63D70" w:rsidRPr="003C1413" w:rsidRDefault="00D63D70" w:rsidP="003C1413">
      <w:pPr>
        <w:spacing w:after="0" w:line="360" w:lineRule="auto"/>
        <w:ind w:firstLine="709"/>
        <w:contextualSpacing/>
        <w:jc w:val="both"/>
        <w:rPr>
          <w:rFonts w:ascii="Times New Roman" w:eastAsiaTheme="minorHAnsi" w:hAnsi="Times New Roman"/>
          <w:sz w:val="28"/>
          <w:szCs w:val="28"/>
        </w:rPr>
      </w:pPr>
      <w:r w:rsidRPr="003C1413">
        <w:rPr>
          <w:rFonts w:ascii="Times New Roman" w:eastAsiaTheme="minorHAnsi" w:hAnsi="Times New Roman"/>
          <w:sz w:val="28"/>
          <w:szCs w:val="28"/>
        </w:rPr>
        <w:t xml:space="preserve">АТ «Ідея Банк» постійно здійснює оцінку ризику ліквідності шляхом виявлення і моніторингу змін у фінансуванні, яке необхідне для підтримання ліквідності на рівні, який передбачений вимогами НБУ. Базуючись на результатах аналізу показників ліквідності, констатуємо, що на протязі 2017-2021 років, АТ «Ідея Банк» виконував встановлені НБУ нормативи ліквідності зі значним їх перевищенням. </w:t>
      </w:r>
      <w:r w:rsidR="003C1413">
        <w:rPr>
          <w:rFonts w:ascii="Times New Roman" w:eastAsiaTheme="minorHAnsi" w:hAnsi="Times New Roman"/>
          <w:sz w:val="28"/>
          <w:szCs w:val="28"/>
        </w:rPr>
        <w:t>З</w:t>
      </w:r>
      <w:r w:rsidRPr="003C1413">
        <w:rPr>
          <w:rFonts w:ascii="Times New Roman" w:eastAsiaTheme="minorHAnsi" w:hAnsi="Times New Roman"/>
          <w:sz w:val="28"/>
          <w:szCs w:val="28"/>
        </w:rPr>
        <w:t>начне перевищення нормативів ліквідності має дві сторони: перша - банк має високу ліквідність і це є ознакою фінансової стійкості, друга – не ефективне управління кредитними ресурсами, що може призвести до зниження прибутковості та платоспроможність в майбутньому. Але майже за всіма нормативами ліквідності простежується чітка тенденція до зменшення.</w:t>
      </w:r>
      <w:r w:rsidR="00891352" w:rsidRPr="00891352">
        <w:t xml:space="preserve"> </w:t>
      </w:r>
      <w:r w:rsidR="00891352" w:rsidRPr="003C1413">
        <w:rPr>
          <w:rFonts w:ascii="Times New Roman" w:eastAsiaTheme="minorHAnsi" w:hAnsi="Times New Roman"/>
          <w:sz w:val="28"/>
          <w:szCs w:val="28"/>
        </w:rPr>
        <w:t xml:space="preserve">Але розглянувши на прикладі АТ «Ідея Банк» підходи до оцінки ефективності управління ліквідністю, акцентуємо, що хоча Банк і виконує усі необхідні нормативи, які встановлені регулятором, проте існують </w:t>
      </w:r>
      <w:r w:rsidR="003C1413">
        <w:rPr>
          <w:rFonts w:ascii="Times New Roman" w:eastAsiaTheme="minorHAnsi" w:hAnsi="Times New Roman"/>
          <w:sz w:val="28"/>
          <w:szCs w:val="28"/>
        </w:rPr>
        <w:t xml:space="preserve">додаткові </w:t>
      </w:r>
      <w:r w:rsidR="00891352" w:rsidRPr="003C1413">
        <w:rPr>
          <w:rFonts w:ascii="Times New Roman" w:eastAsiaTheme="minorHAnsi" w:hAnsi="Times New Roman"/>
          <w:sz w:val="28"/>
          <w:szCs w:val="28"/>
        </w:rPr>
        <w:t>показники ліквідності, по яким не досягається їх нормативне значення. А це означає, що необхідне удосконалення інструментарію управління ліквідністю Банку.</w:t>
      </w:r>
    </w:p>
    <w:p w:rsidR="00D63D70" w:rsidRPr="00D63D70" w:rsidRDefault="00587C79" w:rsidP="00587C79">
      <w:pPr>
        <w:numPr>
          <w:ilvl w:val="0"/>
          <w:numId w:val="3"/>
        </w:numPr>
        <w:spacing w:after="0" w:line="360" w:lineRule="auto"/>
        <w:ind w:left="0" w:firstLine="709"/>
        <w:contextualSpacing/>
        <w:jc w:val="both"/>
        <w:rPr>
          <w:rFonts w:ascii="Times New Roman" w:eastAsiaTheme="minorHAnsi" w:hAnsi="Times New Roman"/>
          <w:sz w:val="28"/>
          <w:szCs w:val="28"/>
        </w:rPr>
      </w:pPr>
      <w:r>
        <w:rPr>
          <w:rFonts w:ascii="Times New Roman" w:eastAsiaTheme="minorHAnsi" w:hAnsi="Times New Roman"/>
          <w:sz w:val="28"/>
          <w:szCs w:val="28"/>
        </w:rPr>
        <w:t>Проведено оцінку</w:t>
      </w:r>
      <w:r w:rsidRPr="00587C79">
        <w:rPr>
          <w:rFonts w:ascii="Times New Roman" w:eastAsiaTheme="minorHAnsi" w:hAnsi="Times New Roman"/>
          <w:sz w:val="28"/>
          <w:szCs w:val="28"/>
        </w:rPr>
        <w:t xml:space="preserve"> ефективності управління ліквідністю АТ «Ідея Банк»</w:t>
      </w:r>
      <w:r>
        <w:rPr>
          <w:rFonts w:ascii="Times New Roman" w:eastAsiaTheme="minorHAnsi" w:hAnsi="Times New Roman"/>
          <w:sz w:val="28"/>
          <w:szCs w:val="28"/>
        </w:rPr>
        <w:t>. Акцентовано, що л</w:t>
      </w:r>
      <w:r w:rsidR="00D63D70" w:rsidRPr="00D63D70">
        <w:rPr>
          <w:rFonts w:ascii="Times New Roman" w:eastAsiaTheme="minorHAnsi" w:hAnsi="Times New Roman"/>
          <w:sz w:val="28"/>
          <w:szCs w:val="28"/>
        </w:rPr>
        <w:t>іквідність комерційного банку залежить не тільки від заходів, які здійснює регулятор, а й від ефективного менеджменту самого банку.</w:t>
      </w:r>
      <w:r w:rsidR="00D63D70" w:rsidRPr="00D63D70">
        <w:rPr>
          <w:rFonts w:asciiTheme="minorHAnsi" w:eastAsiaTheme="minorHAnsi" w:hAnsiTheme="minorHAnsi" w:cstheme="minorBidi"/>
        </w:rPr>
        <w:t xml:space="preserve"> </w:t>
      </w:r>
      <w:r w:rsidR="00D63D70" w:rsidRPr="00D63D70">
        <w:rPr>
          <w:rFonts w:ascii="Times New Roman" w:eastAsiaTheme="minorHAnsi" w:hAnsi="Times New Roman"/>
          <w:sz w:val="28"/>
          <w:szCs w:val="28"/>
        </w:rPr>
        <w:t>Ефективний менеджмент управління ризиком ліквідності дозвол</w:t>
      </w:r>
      <w:r w:rsidR="00844313">
        <w:rPr>
          <w:rFonts w:ascii="Times New Roman" w:eastAsiaTheme="minorHAnsi" w:hAnsi="Times New Roman"/>
          <w:sz w:val="28"/>
          <w:szCs w:val="28"/>
        </w:rPr>
        <w:t>яє</w:t>
      </w:r>
      <w:r w:rsidR="00D63D70" w:rsidRPr="00D63D70">
        <w:rPr>
          <w:rFonts w:ascii="Times New Roman" w:eastAsiaTheme="minorHAnsi" w:hAnsi="Times New Roman"/>
          <w:sz w:val="28"/>
          <w:szCs w:val="28"/>
        </w:rPr>
        <w:t xml:space="preserve"> забезпечити підтримання оптимального збалансування активів і пасивів за строками і сумами, утримання достатнього обсягу резерву активів у вигляді грошових коштів та інших активів з прийнятним ступенем ліквідності, а також уникнення небезпеки втрати ліквідності банком в кризових ситуаціях.</w:t>
      </w:r>
    </w:p>
    <w:p w:rsidR="00D63D70" w:rsidRPr="00D63D70" w:rsidRDefault="00D63D70" w:rsidP="00587C79">
      <w:pPr>
        <w:spacing w:after="0" w:line="360" w:lineRule="auto"/>
        <w:ind w:firstLine="709"/>
        <w:contextualSpacing/>
        <w:jc w:val="both"/>
        <w:rPr>
          <w:rFonts w:ascii="Times New Roman" w:eastAsiaTheme="minorHAnsi" w:hAnsi="Times New Roman"/>
          <w:sz w:val="28"/>
          <w:szCs w:val="28"/>
        </w:rPr>
      </w:pPr>
      <w:r w:rsidRPr="00D63D70">
        <w:rPr>
          <w:rFonts w:ascii="Times New Roman" w:eastAsiaTheme="minorHAnsi" w:hAnsi="Times New Roman"/>
          <w:sz w:val="28"/>
          <w:szCs w:val="28"/>
        </w:rPr>
        <w:t>З метою зниження рівня ризику ліквідності АТ «Ідея Банк» застосовує різноманітні методи (інструменти) управління ним, зокрема індикативний метод, метод аналізу грошових потоків (</w:t>
      </w:r>
      <w:proofErr w:type="spellStart"/>
      <w:r w:rsidRPr="00D63D70">
        <w:rPr>
          <w:rFonts w:ascii="Times New Roman" w:eastAsiaTheme="minorHAnsi" w:hAnsi="Times New Roman"/>
          <w:sz w:val="28"/>
          <w:szCs w:val="28"/>
        </w:rPr>
        <w:t>cash-flow</w:t>
      </w:r>
      <w:proofErr w:type="spellEnd"/>
      <w:r w:rsidRPr="00D63D70">
        <w:rPr>
          <w:rFonts w:ascii="Times New Roman" w:eastAsiaTheme="minorHAnsi" w:hAnsi="Times New Roman"/>
          <w:sz w:val="28"/>
          <w:szCs w:val="28"/>
        </w:rPr>
        <w:t xml:space="preserve"> аналіз), метод аналізу геп-розривів в строках погашення вимог і зобов’язань, метод прогнозування ліквідної позиції, метод аналізу депозитної бази та інші; тобто здійснює планування та прогнозування ліквідності. За результатами аналізу активів та пасивів АТ «Ідея </w:t>
      </w:r>
      <w:r w:rsidRPr="00D63D70">
        <w:rPr>
          <w:rFonts w:ascii="Times New Roman" w:eastAsiaTheme="minorHAnsi" w:hAnsi="Times New Roman"/>
          <w:sz w:val="28"/>
          <w:szCs w:val="28"/>
        </w:rPr>
        <w:lastRenderedPageBreak/>
        <w:t xml:space="preserve">Банк» можна стверджувати, що Банк проводить досить ефективне управління ліквідністю, яке забезпечується завдяки дотриманню збалансованого рівня активів та зобов’язань за строками погашення. </w:t>
      </w:r>
    </w:p>
    <w:p w:rsidR="00971E37" w:rsidRDefault="00BD2EA3" w:rsidP="00BD2EA3">
      <w:pPr>
        <w:spacing w:after="0" w:line="360" w:lineRule="auto"/>
        <w:ind w:firstLine="709"/>
        <w:contextualSpacing/>
        <w:jc w:val="both"/>
        <w:rPr>
          <w:rFonts w:ascii="Times New Roman" w:eastAsiaTheme="minorHAnsi" w:hAnsi="Times New Roman"/>
          <w:sz w:val="28"/>
          <w:szCs w:val="28"/>
        </w:rPr>
      </w:pPr>
      <w:r>
        <w:rPr>
          <w:rFonts w:ascii="Times New Roman" w:eastAsiaTheme="minorHAnsi" w:hAnsi="Times New Roman"/>
          <w:sz w:val="28"/>
          <w:szCs w:val="28"/>
        </w:rPr>
        <w:t>Д</w:t>
      </w:r>
      <w:r w:rsidRPr="00BD2EA3">
        <w:rPr>
          <w:rFonts w:ascii="Times New Roman" w:eastAsiaTheme="minorHAnsi" w:hAnsi="Times New Roman"/>
          <w:sz w:val="28"/>
          <w:szCs w:val="28"/>
        </w:rPr>
        <w:t xml:space="preserve">ля оцінки </w:t>
      </w:r>
      <w:r>
        <w:rPr>
          <w:rFonts w:ascii="Times New Roman" w:eastAsiaTheme="minorHAnsi" w:hAnsi="Times New Roman"/>
          <w:sz w:val="28"/>
          <w:szCs w:val="28"/>
        </w:rPr>
        <w:t xml:space="preserve">ефективності управління </w:t>
      </w:r>
      <w:r w:rsidRPr="00BD2EA3">
        <w:rPr>
          <w:rFonts w:ascii="Times New Roman" w:eastAsiaTheme="minorHAnsi" w:hAnsi="Times New Roman"/>
          <w:sz w:val="28"/>
          <w:szCs w:val="28"/>
        </w:rPr>
        <w:t>ліквідн</w:t>
      </w:r>
      <w:r>
        <w:rPr>
          <w:rFonts w:ascii="Times New Roman" w:eastAsiaTheme="minorHAnsi" w:hAnsi="Times New Roman"/>
          <w:sz w:val="28"/>
          <w:szCs w:val="28"/>
        </w:rPr>
        <w:t>істю</w:t>
      </w:r>
      <w:r w:rsidRPr="00BD2EA3">
        <w:rPr>
          <w:rFonts w:ascii="Times New Roman" w:eastAsiaTheme="minorHAnsi" w:hAnsi="Times New Roman"/>
          <w:sz w:val="28"/>
          <w:szCs w:val="28"/>
        </w:rPr>
        <w:t xml:space="preserve"> АТ «Ідея Банк» використано комплексн</w:t>
      </w:r>
      <w:r>
        <w:rPr>
          <w:rFonts w:ascii="Times New Roman" w:eastAsiaTheme="minorHAnsi" w:hAnsi="Times New Roman"/>
          <w:sz w:val="28"/>
          <w:szCs w:val="28"/>
        </w:rPr>
        <w:t>ий</w:t>
      </w:r>
      <w:r w:rsidRPr="00BD2EA3">
        <w:rPr>
          <w:rFonts w:ascii="Times New Roman" w:eastAsiaTheme="minorHAnsi" w:hAnsi="Times New Roman"/>
          <w:sz w:val="28"/>
          <w:szCs w:val="28"/>
        </w:rPr>
        <w:t xml:space="preserve"> підх</w:t>
      </w:r>
      <w:r>
        <w:rPr>
          <w:rFonts w:ascii="Times New Roman" w:eastAsiaTheme="minorHAnsi" w:hAnsi="Times New Roman"/>
          <w:sz w:val="28"/>
          <w:szCs w:val="28"/>
        </w:rPr>
        <w:t>ід</w:t>
      </w:r>
      <w:r w:rsidRPr="00BD2EA3">
        <w:rPr>
          <w:rFonts w:ascii="Times New Roman" w:eastAsiaTheme="minorHAnsi" w:hAnsi="Times New Roman"/>
          <w:sz w:val="28"/>
          <w:szCs w:val="28"/>
        </w:rPr>
        <w:t xml:space="preserve"> - інтегральн</w:t>
      </w:r>
      <w:r w:rsidR="00D518F4">
        <w:rPr>
          <w:rFonts w:ascii="Times New Roman" w:eastAsiaTheme="minorHAnsi" w:hAnsi="Times New Roman"/>
          <w:sz w:val="28"/>
          <w:szCs w:val="28"/>
        </w:rPr>
        <w:t>у</w:t>
      </w:r>
      <w:r w:rsidRPr="00BD2EA3">
        <w:rPr>
          <w:rFonts w:ascii="Times New Roman" w:eastAsiaTheme="minorHAnsi" w:hAnsi="Times New Roman"/>
          <w:sz w:val="28"/>
          <w:szCs w:val="28"/>
        </w:rPr>
        <w:t xml:space="preserve"> модел</w:t>
      </w:r>
      <w:r>
        <w:rPr>
          <w:rFonts w:ascii="Times New Roman" w:eastAsiaTheme="minorHAnsi" w:hAnsi="Times New Roman"/>
          <w:sz w:val="28"/>
          <w:szCs w:val="28"/>
        </w:rPr>
        <w:t>ь</w:t>
      </w:r>
      <w:r w:rsidRPr="00BD2EA3">
        <w:rPr>
          <w:rFonts w:ascii="Times New Roman" w:eastAsiaTheme="minorHAnsi" w:hAnsi="Times New Roman"/>
          <w:sz w:val="28"/>
          <w:szCs w:val="28"/>
        </w:rPr>
        <w:t xml:space="preserve"> професора Е. Альтмана. </w:t>
      </w:r>
      <w:r>
        <w:rPr>
          <w:rFonts w:ascii="Times New Roman" w:eastAsiaTheme="minorHAnsi" w:hAnsi="Times New Roman"/>
          <w:sz w:val="28"/>
          <w:szCs w:val="28"/>
        </w:rPr>
        <w:t>Зазначений</w:t>
      </w:r>
      <w:r w:rsidRPr="00BD2EA3">
        <w:rPr>
          <w:rFonts w:ascii="Times New Roman" w:eastAsiaTheme="minorHAnsi" w:hAnsi="Times New Roman"/>
          <w:sz w:val="28"/>
          <w:szCs w:val="28"/>
        </w:rPr>
        <w:t xml:space="preserve"> підхід нада</w:t>
      </w:r>
      <w:r w:rsidR="00D518F4">
        <w:rPr>
          <w:rFonts w:ascii="Times New Roman" w:eastAsiaTheme="minorHAnsi" w:hAnsi="Times New Roman"/>
          <w:sz w:val="28"/>
          <w:szCs w:val="28"/>
        </w:rPr>
        <w:t>в</w:t>
      </w:r>
      <w:r w:rsidRPr="00BD2EA3">
        <w:rPr>
          <w:rFonts w:ascii="Times New Roman" w:eastAsiaTheme="minorHAnsi" w:hAnsi="Times New Roman"/>
          <w:sz w:val="28"/>
          <w:szCs w:val="28"/>
        </w:rPr>
        <w:t xml:space="preserve"> більш детальне та широке уявлення </w:t>
      </w:r>
      <w:r w:rsidR="00D518F4">
        <w:rPr>
          <w:rFonts w:ascii="Times New Roman" w:eastAsiaTheme="minorHAnsi" w:hAnsi="Times New Roman"/>
          <w:sz w:val="28"/>
          <w:szCs w:val="28"/>
        </w:rPr>
        <w:t>стосовно імовірного банкрутства.</w:t>
      </w:r>
      <w:r w:rsidRPr="00BD2EA3">
        <w:rPr>
          <w:rFonts w:ascii="Times New Roman" w:eastAsiaTheme="minorHAnsi" w:hAnsi="Times New Roman"/>
          <w:sz w:val="28"/>
          <w:szCs w:val="28"/>
        </w:rPr>
        <w:t xml:space="preserve"> За результатами аналізу було встановлено, що за п’ять років ситуація щодо імовірності банкрутства </w:t>
      </w:r>
      <w:r w:rsidR="00D518F4">
        <w:rPr>
          <w:rFonts w:ascii="Times New Roman" w:eastAsiaTheme="minorHAnsi" w:hAnsi="Times New Roman"/>
          <w:sz w:val="28"/>
          <w:szCs w:val="28"/>
        </w:rPr>
        <w:t>Банку</w:t>
      </w:r>
      <w:r w:rsidRPr="00BD2EA3">
        <w:rPr>
          <w:rFonts w:ascii="Times New Roman" w:eastAsiaTheme="minorHAnsi" w:hAnsi="Times New Roman"/>
          <w:sz w:val="28"/>
          <w:szCs w:val="28"/>
        </w:rPr>
        <w:t xml:space="preserve"> змінювалась від критичної до стабільної. А отже заходи, які застосовує Банк щодо управління ліквідністю, дають позитивні результати, хоча станом на 31.12.2021 ситуація залишалася не стабільною, тобто вірогідність настання банкрутства була не велика, але і не виключена. </w:t>
      </w:r>
    </w:p>
    <w:p w:rsidR="00971E37" w:rsidRDefault="00971E37">
      <w:pPr>
        <w:spacing w:line="259" w:lineRule="auto"/>
        <w:rPr>
          <w:rFonts w:ascii="Times New Roman" w:eastAsiaTheme="minorHAnsi" w:hAnsi="Times New Roman"/>
          <w:sz w:val="28"/>
          <w:szCs w:val="28"/>
        </w:rPr>
      </w:pPr>
      <w:r>
        <w:rPr>
          <w:rFonts w:ascii="Times New Roman" w:eastAsiaTheme="minorHAnsi" w:hAnsi="Times New Roman"/>
          <w:sz w:val="28"/>
          <w:szCs w:val="28"/>
        </w:rPr>
        <w:br w:type="page"/>
      </w:r>
    </w:p>
    <w:p w:rsidR="009C7BD3" w:rsidRPr="009C7BD3" w:rsidRDefault="009C7BD3" w:rsidP="009C7BD3">
      <w:pPr>
        <w:spacing w:after="0" w:line="360" w:lineRule="auto"/>
        <w:ind w:firstLine="709"/>
        <w:jc w:val="center"/>
        <w:rPr>
          <w:rFonts w:ascii="Times New Roman" w:eastAsiaTheme="minorHAnsi" w:hAnsi="Times New Roman"/>
          <w:sz w:val="28"/>
          <w:szCs w:val="28"/>
        </w:rPr>
      </w:pPr>
      <w:r w:rsidRPr="009C7BD3">
        <w:rPr>
          <w:rFonts w:ascii="Times New Roman" w:eastAsiaTheme="minorHAnsi" w:hAnsi="Times New Roman"/>
          <w:sz w:val="28"/>
          <w:szCs w:val="28"/>
        </w:rPr>
        <w:lastRenderedPageBreak/>
        <w:t>РОЗДІЛ 3</w:t>
      </w:r>
    </w:p>
    <w:p w:rsidR="009C7BD3" w:rsidRPr="009C7BD3" w:rsidRDefault="009C7BD3" w:rsidP="009C7BD3">
      <w:pPr>
        <w:spacing w:after="0" w:line="360" w:lineRule="auto"/>
        <w:ind w:firstLine="709"/>
        <w:jc w:val="center"/>
        <w:rPr>
          <w:rFonts w:ascii="Times New Roman" w:eastAsiaTheme="minorHAnsi" w:hAnsi="Times New Roman"/>
          <w:sz w:val="28"/>
          <w:szCs w:val="28"/>
        </w:rPr>
      </w:pPr>
      <w:r w:rsidRPr="009C7BD3">
        <w:rPr>
          <w:rFonts w:ascii="Times New Roman" w:eastAsiaTheme="minorHAnsi" w:hAnsi="Times New Roman"/>
          <w:sz w:val="28"/>
          <w:szCs w:val="28"/>
        </w:rPr>
        <w:t xml:space="preserve"> ШЛЯХИ УДОСКОНАЛЕННЯ ІНСТРУМЕНТАРІЮ УПРАВЛІННЯ ЛІКВІДНІСТЮ КОМЕРЦІЙНОГО БАНКУ НА ПРИКЛАДІ АТ «ІДЕЯ БАНК»</w:t>
      </w:r>
    </w:p>
    <w:p w:rsidR="00BD2EA3" w:rsidRDefault="00BD2EA3" w:rsidP="00BD2EA3">
      <w:pPr>
        <w:spacing w:after="0" w:line="360" w:lineRule="auto"/>
        <w:ind w:firstLine="709"/>
        <w:contextualSpacing/>
        <w:jc w:val="both"/>
        <w:rPr>
          <w:rFonts w:ascii="Times New Roman" w:eastAsiaTheme="minorHAnsi" w:hAnsi="Times New Roman"/>
          <w:sz w:val="28"/>
          <w:szCs w:val="28"/>
        </w:rPr>
      </w:pPr>
    </w:p>
    <w:p w:rsidR="005E0719" w:rsidRDefault="005E0719" w:rsidP="00BD2EA3">
      <w:pPr>
        <w:spacing w:after="0" w:line="360" w:lineRule="auto"/>
        <w:ind w:firstLine="709"/>
        <w:contextualSpacing/>
        <w:jc w:val="both"/>
        <w:rPr>
          <w:rFonts w:ascii="Times New Roman" w:eastAsiaTheme="minorHAnsi" w:hAnsi="Times New Roman"/>
          <w:sz w:val="28"/>
          <w:szCs w:val="28"/>
        </w:rPr>
      </w:pPr>
    </w:p>
    <w:p w:rsidR="00E45DCB" w:rsidRPr="00E45DCB" w:rsidRDefault="00E45DCB" w:rsidP="00E45DCB">
      <w:pPr>
        <w:spacing w:after="0" w:line="360" w:lineRule="auto"/>
        <w:ind w:firstLine="709"/>
        <w:jc w:val="both"/>
        <w:rPr>
          <w:rFonts w:ascii="Times New Roman" w:eastAsiaTheme="minorHAnsi" w:hAnsi="Times New Roman"/>
          <w:sz w:val="28"/>
          <w:szCs w:val="28"/>
        </w:rPr>
      </w:pPr>
      <w:r w:rsidRPr="00E45DCB">
        <w:rPr>
          <w:rFonts w:ascii="Times New Roman" w:eastAsiaTheme="minorHAnsi" w:hAnsi="Times New Roman"/>
          <w:sz w:val="28"/>
          <w:szCs w:val="28"/>
        </w:rPr>
        <w:t xml:space="preserve">3.1. Напрями підвищення ліквідності комерційного банку </w:t>
      </w:r>
    </w:p>
    <w:p w:rsidR="002525D1" w:rsidRDefault="002525D1" w:rsidP="006F3D75">
      <w:pPr>
        <w:spacing w:after="0" w:line="360" w:lineRule="auto"/>
        <w:ind w:firstLine="709"/>
        <w:jc w:val="both"/>
        <w:rPr>
          <w:rFonts w:ascii="Times New Roman" w:eastAsiaTheme="minorHAnsi" w:hAnsi="Times New Roman"/>
          <w:sz w:val="28"/>
          <w:szCs w:val="28"/>
        </w:rPr>
      </w:pPr>
    </w:p>
    <w:p w:rsidR="006F3D75" w:rsidRPr="006F3D75" w:rsidRDefault="006F3D75" w:rsidP="006F3D75">
      <w:pPr>
        <w:spacing w:after="0" w:line="360" w:lineRule="auto"/>
        <w:ind w:firstLine="709"/>
        <w:jc w:val="both"/>
        <w:rPr>
          <w:rFonts w:asciiTheme="minorHAnsi" w:eastAsiaTheme="minorHAnsi" w:hAnsiTheme="minorHAnsi" w:cstheme="minorBidi"/>
        </w:rPr>
      </w:pPr>
      <w:r w:rsidRPr="006F3D75">
        <w:rPr>
          <w:rFonts w:ascii="Times New Roman" w:eastAsiaTheme="minorHAnsi" w:hAnsi="Times New Roman"/>
          <w:sz w:val="28"/>
          <w:szCs w:val="28"/>
        </w:rPr>
        <w:t>На сьогодні, в часи складних економічних перетворень, забезпечення оптимального рівня ліквідності є одним із головних завдань, однією з найактуальніших проблем управління комерційним банком, а її вирішення найвищім пріоритетом. Комерційний банк вважається ліквідним тоді, коли має доступ до ресурсів, залучених за справедливою ціною, в той момент, коли вони найбільше необхідні.</w:t>
      </w:r>
      <w:r w:rsidRPr="006F3D75">
        <w:rPr>
          <w:rFonts w:asciiTheme="minorHAnsi" w:eastAsiaTheme="minorHAnsi" w:hAnsiTheme="minorHAnsi" w:cstheme="minorBidi"/>
        </w:rPr>
        <w:t xml:space="preserve"> </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Однією із найбільших проблем управління ліквідністю комерційного банку є незбалансованість ресурсної бази, тобто між залученими та наданими фінан</w:t>
      </w:r>
      <w:r w:rsidR="001272A6">
        <w:rPr>
          <w:rFonts w:ascii="Times New Roman" w:eastAsiaTheme="minorHAnsi" w:hAnsi="Times New Roman"/>
          <w:sz w:val="28"/>
          <w:szCs w:val="28"/>
        </w:rPr>
        <w:t>совими ресурсами (див. рис. 3.1</w:t>
      </w:r>
      <w:r w:rsidRPr="006F3D75">
        <w:rPr>
          <w:rFonts w:ascii="Times New Roman" w:eastAsiaTheme="minorHAnsi" w:hAnsi="Times New Roman"/>
          <w:sz w:val="28"/>
          <w:szCs w:val="28"/>
        </w:rPr>
        <w:t>).</w:t>
      </w:r>
    </w:p>
    <w:p w:rsidR="006F3D75" w:rsidRPr="006F3D75" w:rsidRDefault="006F3D75" w:rsidP="006F3D75">
      <w:pPr>
        <w:spacing w:after="0" w:line="360" w:lineRule="auto"/>
        <w:jc w:val="both"/>
        <w:rPr>
          <w:rFonts w:ascii="Times New Roman" w:eastAsiaTheme="minorHAnsi" w:hAnsi="Times New Roman"/>
          <w:sz w:val="28"/>
          <w:szCs w:val="28"/>
        </w:rPr>
      </w:pPr>
      <w:r w:rsidRPr="006F3D75">
        <w:rPr>
          <w:rFonts w:ascii="Times New Roman" w:eastAsiaTheme="minorHAnsi" w:hAnsi="Times New Roman"/>
          <w:noProof/>
          <w:sz w:val="28"/>
          <w:szCs w:val="28"/>
          <w:lang w:eastAsia="uk-UA"/>
        </w:rPr>
        <mc:AlternateContent>
          <mc:Choice Requires="wpc">
            <w:drawing>
              <wp:inline distT="0" distB="0" distL="0" distR="0" wp14:anchorId="4A7A60E9" wp14:editId="53E4B677">
                <wp:extent cx="6134100" cy="2362200"/>
                <wp:effectExtent l="0" t="0" r="0" b="0"/>
                <wp:docPr id="306" name="Полотно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7" name="Скругленный прямоугольник 227"/>
                        <wps:cNvSpPr/>
                        <wps:spPr>
                          <a:xfrm>
                            <a:off x="1828800" y="121920"/>
                            <a:ext cx="2247900"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821E3" w:rsidRPr="002545C2" w:rsidRDefault="00F821E3" w:rsidP="006F3D75">
                              <w:pPr>
                                <w:jc w:val="center"/>
                                <w:rPr>
                                  <w:rFonts w:ascii="Times New Roman" w:hAnsi="Times New Roman"/>
                                  <w:b/>
                                  <w:color w:val="000000" w:themeColor="text1"/>
                                  <w:sz w:val="24"/>
                                  <w:szCs w:val="24"/>
                                </w:rPr>
                              </w:pPr>
                              <w:r w:rsidRPr="002545C2">
                                <w:rPr>
                                  <w:rFonts w:ascii="Times New Roman" w:hAnsi="Times New Roman"/>
                                  <w:b/>
                                  <w:color w:val="000000" w:themeColor="text1"/>
                                  <w:sz w:val="24"/>
                                  <w:szCs w:val="24"/>
                                </w:rPr>
                                <w:t>ПРОБЛЕМИ ЛІКВІДНОСТІ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Стрелка влево 228"/>
                        <wps:cNvSpPr/>
                        <wps:spPr>
                          <a:xfrm rot="16200000">
                            <a:off x="1986534" y="401574"/>
                            <a:ext cx="281940" cy="484632"/>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Стрелка влево 243"/>
                        <wps:cNvSpPr/>
                        <wps:spPr>
                          <a:xfrm rot="16200000">
                            <a:off x="3693479" y="401638"/>
                            <a:ext cx="281939" cy="48450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Скругленный прямоугольник 245"/>
                        <wps:cNvSpPr/>
                        <wps:spPr>
                          <a:xfrm>
                            <a:off x="1424940" y="784860"/>
                            <a:ext cx="1440180" cy="3505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821E3" w:rsidRPr="003A5BA9" w:rsidRDefault="00F821E3" w:rsidP="006F3D75">
                              <w:pPr>
                                <w:jc w:val="center"/>
                                <w:rPr>
                                  <w:rFonts w:ascii="Times New Roman" w:hAnsi="Times New Roman"/>
                                  <w:color w:val="000000" w:themeColor="text1"/>
                                  <w:sz w:val="24"/>
                                  <w:szCs w:val="24"/>
                                </w:rPr>
                              </w:pPr>
                              <w:r w:rsidRPr="003A5BA9">
                                <w:rPr>
                                  <w:rFonts w:ascii="Times New Roman" w:hAnsi="Times New Roman"/>
                                  <w:color w:val="000000" w:themeColor="text1"/>
                                  <w:sz w:val="24"/>
                                  <w:szCs w:val="24"/>
                                </w:rPr>
                                <w:t>Дефіцит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Скругленный прямоугольник 286"/>
                        <wps:cNvSpPr/>
                        <wps:spPr>
                          <a:xfrm>
                            <a:off x="3121320" y="784860"/>
                            <a:ext cx="1440180" cy="3505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821E3" w:rsidRDefault="00F821E3" w:rsidP="006F3D75">
                              <w:pPr>
                                <w:pStyle w:val="a3"/>
                                <w:spacing w:before="0" w:beforeAutospacing="0" w:after="160" w:afterAutospacing="0" w:line="256" w:lineRule="auto"/>
                                <w:jc w:val="center"/>
                              </w:pPr>
                              <w:r>
                                <w:rPr>
                                  <w:rFonts w:eastAsia="Calibri"/>
                                  <w:color w:val="000000"/>
                                </w:rPr>
                                <w:t>Надлишок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Выгнутая влево стрелка 287"/>
                        <wps:cNvSpPr/>
                        <wps:spPr>
                          <a:xfrm rot="5400000">
                            <a:off x="925830" y="156210"/>
                            <a:ext cx="335280" cy="922020"/>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Скругленный прямоугольник 288"/>
                        <wps:cNvSpPr/>
                        <wps:spPr>
                          <a:xfrm>
                            <a:off x="83820" y="784860"/>
                            <a:ext cx="1264920" cy="14782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821E3" w:rsidRPr="00727F70" w:rsidRDefault="00F821E3" w:rsidP="006F3D75">
                              <w:pPr>
                                <w:jc w:val="center"/>
                                <w:rPr>
                                  <w:rFonts w:ascii="Times New Roman" w:hAnsi="Times New Roman"/>
                                  <w:color w:val="000000" w:themeColor="text1"/>
                                </w:rPr>
                              </w:pPr>
                              <w:r w:rsidRPr="003A5BA9">
                                <w:rPr>
                                  <w:rFonts w:ascii="Times New Roman" w:hAnsi="Times New Roman"/>
                                  <w:color w:val="000000" w:themeColor="text1"/>
                                </w:rPr>
                                <w:t xml:space="preserve">порушення нормативних вимог </w:t>
                              </w:r>
                              <w:r>
                                <w:rPr>
                                  <w:rFonts w:ascii="Times New Roman" w:hAnsi="Times New Roman"/>
                                  <w:color w:val="000000" w:themeColor="text1"/>
                                </w:rPr>
                                <w:t>НБУ</w:t>
                              </w:r>
                              <w:r w:rsidRPr="003A5BA9">
                                <w:rPr>
                                  <w:rFonts w:ascii="Times New Roman" w:hAnsi="Times New Roman"/>
                                  <w:color w:val="000000" w:themeColor="text1"/>
                                </w:rPr>
                                <w:t xml:space="preserve">, </w:t>
                              </w:r>
                              <w:r w:rsidRPr="00727F70">
                                <w:rPr>
                                  <w:rFonts w:ascii="Times New Roman" w:hAnsi="Times New Roman"/>
                                  <w:color w:val="000000" w:themeColor="text1"/>
                                </w:rPr>
                                <w:t>штрафних санкцій</w:t>
                              </w:r>
                              <w:r>
                                <w:rPr>
                                  <w:rFonts w:ascii="Times New Roman" w:hAnsi="Times New Roman"/>
                                  <w:color w:val="000000" w:themeColor="text1"/>
                                </w:rPr>
                                <w:t>,</w:t>
                              </w:r>
                              <w:r w:rsidRPr="00727F70">
                                <w:rPr>
                                  <w:rFonts w:ascii="Times New Roman" w:hAnsi="Times New Roman"/>
                                  <w:color w:val="000000" w:themeColor="text1"/>
                                </w:rPr>
                                <w:t xml:space="preserve"> </w:t>
                              </w:r>
                              <w:r>
                                <w:rPr>
                                  <w:rFonts w:ascii="Times New Roman" w:hAnsi="Times New Roman"/>
                                  <w:color w:val="000000" w:themeColor="text1"/>
                                </w:rPr>
                                <w:t xml:space="preserve">до втрати </w:t>
                              </w:r>
                              <w:r w:rsidRPr="00727F70">
                                <w:rPr>
                                  <w:rFonts w:ascii="Times New Roman" w:hAnsi="Times New Roman"/>
                                  <w:color w:val="000000" w:themeColor="text1"/>
                                </w:rPr>
                                <w:t>депозитів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Скругленный прямоугольник 289"/>
                        <wps:cNvSpPr/>
                        <wps:spPr>
                          <a:xfrm>
                            <a:off x="4660560" y="784860"/>
                            <a:ext cx="1264920" cy="15163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821E3" w:rsidRPr="003A5BA9" w:rsidRDefault="00F821E3" w:rsidP="006F3D75">
                              <w:pPr>
                                <w:jc w:val="center"/>
                                <w:rPr>
                                  <w:rFonts w:ascii="Times New Roman" w:hAnsi="Times New Roman"/>
                                </w:rPr>
                              </w:pPr>
                              <w:r w:rsidRPr="003A5BA9">
                                <w:rPr>
                                  <w:rFonts w:ascii="Times New Roman" w:hAnsi="Times New Roman"/>
                                  <w:color w:val="000000" w:themeColor="text1"/>
                                </w:rPr>
                                <w:t>негативно впливає на формування прибутку банку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Выгнутая вправо стрелка 290"/>
                        <wps:cNvSpPr/>
                        <wps:spPr>
                          <a:xfrm rot="16200000">
                            <a:off x="4721352" y="156972"/>
                            <a:ext cx="335280" cy="920496"/>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Двойная стрелка влево/вверх 291"/>
                        <wps:cNvSpPr/>
                        <wps:spPr>
                          <a:xfrm rot="2634287">
                            <a:off x="2635298" y="905083"/>
                            <a:ext cx="741583" cy="734913"/>
                          </a:xfrm>
                          <a:prstGeom prst="leftUpArrow">
                            <a:avLst>
                              <a:gd name="adj1" fmla="val 50000"/>
                              <a:gd name="adj2" fmla="val 25000"/>
                              <a:gd name="adj3" fmla="val 25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Скругленный прямоугольник 292"/>
                        <wps:cNvSpPr/>
                        <wps:spPr>
                          <a:xfrm>
                            <a:off x="1760220" y="1794420"/>
                            <a:ext cx="2537460" cy="5068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821E3" w:rsidRPr="00727F70" w:rsidRDefault="00F821E3" w:rsidP="006F3D75">
                              <w:pPr>
                                <w:jc w:val="center"/>
                                <w:rPr>
                                  <w:rFonts w:ascii="Times New Roman" w:hAnsi="Times New Roman"/>
                                  <w:b/>
                                  <w:color w:val="000000" w:themeColor="text1"/>
                                  <w:sz w:val="24"/>
                                  <w:szCs w:val="24"/>
                                </w:rPr>
                              </w:pPr>
                              <w:r w:rsidRPr="00727F70">
                                <w:rPr>
                                  <w:rFonts w:ascii="Times New Roman" w:hAnsi="Times New Roman"/>
                                  <w:b/>
                                  <w:color w:val="000000" w:themeColor="text1"/>
                                  <w:sz w:val="24"/>
                                  <w:szCs w:val="24"/>
                                </w:rPr>
                                <w:t>НЕЗБАЛАНСОВАНІСТЬ РЕСУРСНОЇ БАЗИ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A7A60E9" id="Полотно 306" o:spid="_x0000_s1314" editas="canvas" style="width:483pt;height:186pt;mso-position-horizontal-relative:char;mso-position-vertical-relative:line" coordsize="61341,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">
                <v:shape id="_x0000_s1315" type="#_x0000_t75" style="position:absolute;width:61341;height:23622;visibility:visible;mso-wrap-style:square">
                  <v:fill o:detectmouseclick="t"/>
                  <v:path o:connecttype="none"/>
                </v:shape>
                <v:roundrect id="Скругленный прямоугольник 227" o:spid="_x0000_s1316" style="position:absolute;left:18288;top:1219;width:22479;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" fillcolor="window" strokecolor="windowText" strokeweight="1pt">
                  <v:stroke joinstyle="miter"/>
                  <v:textbox>
                    <w:txbxContent>
                      <w:p w:rsidR="00F821E3" w:rsidRPr="002545C2" w:rsidRDefault="00F821E3" w:rsidP="006F3D75">
                        <w:pPr>
                          <w:jc w:val="center"/>
                          <w:rPr>
                            <w:rFonts w:ascii="Times New Roman" w:hAnsi="Times New Roman"/>
                            <w:b/>
                            <w:color w:val="000000" w:themeColor="text1"/>
                            <w:sz w:val="24"/>
                            <w:szCs w:val="24"/>
                          </w:rPr>
                        </w:pPr>
                        <w:r w:rsidRPr="002545C2">
                          <w:rPr>
                            <w:rFonts w:ascii="Times New Roman" w:hAnsi="Times New Roman"/>
                            <w:b/>
                            <w:color w:val="000000" w:themeColor="text1"/>
                            <w:sz w:val="24"/>
                            <w:szCs w:val="24"/>
                          </w:rPr>
                          <w:t>ПРОБЛЕМИ ЛІКВІДНОСТІ</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28" o:spid="_x0000_s1317" type="#_x0000_t66" style="position:absolute;left:19865;top:4015;width:2819;height:48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" adj="10800" fillcolor="window" strokecolor="windowText" strokeweight="1pt"/>
                <v:shape id="Стрелка влево 243" o:spid="_x0000_s1318" type="#_x0000_t66" style="position:absolute;left:36934;top:4016;width:2819;height:48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" adj="10800" fillcolor="window" strokecolor="windowText" strokeweight="1pt"/>
                <v:roundrect id="Скругленный прямоугольник 245" o:spid="_x0000_s1319" style="position:absolute;left:14249;top:7848;width:14402;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" fillcolor="window" strokecolor="windowText" strokeweight="1pt">
                  <v:stroke joinstyle="miter"/>
                  <v:textbox>
                    <w:txbxContent>
                      <w:p w:rsidR="00F821E3" w:rsidRPr="003A5BA9" w:rsidRDefault="00F821E3" w:rsidP="006F3D75">
                        <w:pPr>
                          <w:jc w:val="center"/>
                          <w:rPr>
                            <w:rFonts w:ascii="Times New Roman" w:hAnsi="Times New Roman"/>
                            <w:color w:val="000000" w:themeColor="text1"/>
                            <w:sz w:val="24"/>
                            <w:szCs w:val="24"/>
                          </w:rPr>
                        </w:pPr>
                        <w:r w:rsidRPr="003A5BA9">
                          <w:rPr>
                            <w:rFonts w:ascii="Times New Roman" w:hAnsi="Times New Roman"/>
                            <w:color w:val="000000" w:themeColor="text1"/>
                            <w:sz w:val="24"/>
                            <w:szCs w:val="24"/>
                          </w:rPr>
                          <w:t>Дефіцит</w:t>
                        </w:r>
                      </w:p>
                    </w:txbxContent>
                  </v:textbox>
                </v:roundrect>
                <v:roundrect id="Скругленный прямоугольник 286" o:spid="_x0000_s1320" style="position:absolute;left:31213;top:7848;width:14402;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" fillcolor="window" strokecolor="windowText" strokeweight="1pt">
                  <v:stroke joinstyle="miter"/>
                  <v:textbox>
                    <w:txbxContent>
                      <w:p w:rsidR="00F821E3" w:rsidRDefault="00F821E3" w:rsidP="006F3D75">
                        <w:pPr>
                          <w:pStyle w:val="a3"/>
                          <w:spacing w:before="0" w:beforeAutospacing="0" w:after="160" w:afterAutospacing="0" w:line="256" w:lineRule="auto"/>
                          <w:jc w:val="center"/>
                        </w:pPr>
                        <w:r>
                          <w:rPr>
                            <w:rFonts w:eastAsia="Calibri"/>
                            <w:color w:val="000000"/>
                          </w:rPr>
                          <w:t>Надлишок</w:t>
                        </w:r>
                      </w:p>
                    </w:txbxContent>
                  </v:textbox>
                </v:round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87" o:spid="_x0000_s1321" type="#_x0000_t102" style="position:absolute;left:9257;top:1562;width:3353;height:92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" adj="17673,20618,16200" fillcolor="window" strokecolor="windowText" strokeweight="1pt"/>
                <v:roundrect id="Скругленный прямоугольник 288" o:spid="_x0000_s1322" style="position:absolute;left:838;top:7848;width:12649;height:147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" fillcolor="window" strokecolor="windowText" strokeweight="1pt">
                  <v:stroke joinstyle="miter"/>
                  <v:textbox>
                    <w:txbxContent>
                      <w:p w:rsidR="00F821E3" w:rsidRPr="00727F70" w:rsidRDefault="00F821E3" w:rsidP="006F3D75">
                        <w:pPr>
                          <w:jc w:val="center"/>
                          <w:rPr>
                            <w:rFonts w:ascii="Times New Roman" w:hAnsi="Times New Roman"/>
                            <w:color w:val="000000" w:themeColor="text1"/>
                          </w:rPr>
                        </w:pPr>
                        <w:r w:rsidRPr="003A5BA9">
                          <w:rPr>
                            <w:rFonts w:ascii="Times New Roman" w:hAnsi="Times New Roman"/>
                            <w:color w:val="000000" w:themeColor="text1"/>
                          </w:rPr>
                          <w:t xml:space="preserve">порушення нормативних вимог </w:t>
                        </w:r>
                        <w:r>
                          <w:rPr>
                            <w:rFonts w:ascii="Times New Roman" w:hAnsi="Times New Roman"/>
                            <w:color w:val="000000" w:themeColor="text1"/>
                          </w:rPr>
                          <w:t>НБУ</w:t>
                        </w:r>
                        <w:r w:rsidRPr="003A5BA9">
                          <w:rPr>
                            <w:rFonts w:ascii="Times New Roman" w:hAnsi="Times New Roman"/>
                            <w:color w:val="000000" w:themeColor="text1"/>
                          </w:rPr>
                          <w:t xml:space="preserve">, </w:t>
                        </w:r>
                        <w:r w:rsidRPr="00727F70">
                          <w:rPr>
                            <w:rFonts w:ascii="Times New Roman" w:hAnsi="Times New Roman"/>
                            <w:color w:val="000000" w:themeColor="text1"/>
                          </w:rPr>
                          <w:t>штрафних санкцій</w:t>
                        </w:r>
                        <w:r>
                          <w:rPr>
                            <w:rFonts w:ascii="Times New Roman" w:hAnsi="Times New Roman"/>
                            <w:color w:val="000000" w:themeColor="text1"/>
                          </w:rPr>
                          <w:t>,</w:t>
                        </w:r>
                        <w:r w:rsidRPr="00727F70">
                          <w:rPr>
                            <w:rFonts w:ascii="Times New Roman" w:hAnsi="Times New Roman"/>
                            <w:color w:val="000000" w:themeColor="text1"/>
                          </w:rPr>
                          <w:t xml:space="preserve"> </w:t>
                        </w:r>
                        <w:r>
                          <w:rPr>
                            <w:rFonts w:ascii="Times New Roman" w:hAnsi="Times New Roman"/>
                            <w:color w:val="000000" w:themeColor="text1"/>
                          </w:rPr>
                          <w:t xml:space="preserve">до втрати </w:t>
                        </w:r>
                        <w:r w:rsidRPr="00727F70">
                          <w:rPr>
                            <w:rFonts w:ascii="Times New Roman" w:hAnsi="Times New Roman"/>
                            <w:color w:val="000000" w:themeColor="text1"/>
                          </w:rPr>
                          <w:t>депозитів</w:t>
                        </w:r>
                      </w:p>
                    </w:txbxContent>
                  </v:textbox>
                </v:roundrect>
                <v:roundrect id="Скругленный прямоугольник 289" o:spid="_x0000_s1323" style="position:absolute;left:46605;top:7848;width:12649;height:151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" fillcolor="window" strokecolor="windowText" strokeweight="1pt">
                  <v:stroke joinstyle="miter"/>
                  <v:textbox>
                    <w:txbxContent>
                      <w:p w:rsidR="00F821E3" w:rsidRPr="003A5BA9" w:rsidRDefault="00F821E3" w:rsidP="006F3D75">
                        <w:pPr>
                          <w:jc w:val="center"/>
                          <w:rPr>
                            <w:rFonts w:ascii="Times New Roman" w:hAnsi="Times New Roman"/>
                          </w:rPr>
                        </w:pPr>
                        <w:r w:rsidRPr="003A5BA9">
                          <w:rPr>
                            <w:rFonts w:ascii="Times New Roman" w:hAnsi="Times New Roman"/>
                            <w:color w:val="000000" w:themeColor="text1"/>
                          </w:rPr>
                          <w:t>негативно впливає на формування прибутку банку</w:t>
                        </w:r>
                      </w:p>
                    </w:txbxContent>
                  </v:textbox>
                </v:roundrect>
                <v:shape id="Выгнутая вправо стрелка 290" o:spid="_x0000_s1324" type="#_x0000_t103" style="position:absolute;left:47213;top:1569;width:3353;height:92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" adj="17666,20616,5400" fillcolor="window" strokecolor="windowText" strokeweight="1pt"/>
                <v:shape id="Двойная стрелка влево/вверх 291" o:spid="_x0000_s1325" style="position:absolute;left:26352;top:9050;width:7416;height:7349;rotation:2877344fd;visibility:visible;mso-wrap-style:square;v-text-anchor:middle" coordsize="741583,73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" path="m,551185l183728,367457r,l374127,367457r,-183729l374127,183728,557855,,741583,183728r,l741583,734913r-557855,l183728,734913,,551185xe" fillcolor="window" strokecolor="windowText" strokeweight="1pt">
                  <v:stroke joinstyle="miter"/>
                  <v:path arrowok="t" o:connecttype="custom" o:connectlocs="0,551185;183728,367457;183728,367457;374127,367457;374127,183728;374127,183728;557855,0;741583,183728;741583,183728;741583,734913;183728,734913;183728,734913;0,551185" o:connectangles="0,0,0,0,0,0,0,0,0,0,0,0,0"/>
                </v:shape>
                <v:roundrect id="Скругленный прямоугольник 292" o:spid="_x0000_s1326" style="position:absolute;left:17602;top:17944;width:25374;height:50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" fillcolor="window" strokecolor="windowText" strokeweight="1pt">
                  <v:stroke joinstyle="miter"/>
                  <v:textbox>
                    <w:txbxContent>
                      <w:p w:rsidR="00F821E3" w:rsidRPr="00727F70" w:rsidRDefault="00F821E3" w:rsidP="006F3D75">
                        <w:pPr>
                          <w:jc w:val="center"/>
                          <w:rPr>
                            <w:rFonts w:ascii="Times New Roman" w:hAnsi="Times New Roman"/>
                            <w:b/>
                            <w:color w:val="000000" w:themeColor="text1"/>
                            <w:sz w:val="24"/>
                            <w:szCs w:val="24"/>
                          </w:rPr>
                        </w:pPr>
                        <w:r w:rsidRPr="00727F70">
                          <w:rPr>
                            <w:rFonts w:ascii="Times New Roman" w:hAnsi="Times New Roman"/>
                            <w:b/>
                            <w:color w:val="000000" w:themeColor="text1"/>
                            <w:sz w:val="24"/>
                            <w:szCs w:val="24"/>
                          </w:rPr>
                          <w:t>НЕЗБАЛАНСОВАНІСТЬ РЕСУРСНОЇ БАЗИ</w:t>
                        </w:r>
                      </w:p>
                    </w:txbxContent>
                  </v:textbox>
                </v:roundrect>
                <w10:anchorlock/>
              </v:group>
            </w:pict>
          </mc:Fallback>
        </mc:AlternateContent>
      </w:r>
    </w:p>
    <w:p w:rsidR="006F3D75" w:rsidRPr="006F3D75" w:rsidRDefault="006F3D75" w:rsidP="006F3D75">
      <w:pPr>
        <w:spacing w:after="0" w:line="360" w:lineRule="auto"/>
        <w:jc w:val="center"/>
        <w:rPr>
          <w:rFonts w:ascii="Times New Roman" w:eastAsiaTheme="minorHAnsi" w:hAnsi="Times New Roman"/>
          <w:sz w:val="28"/>
          <w:szCs w:val="28"/>
        </w:rPr>
      </w:pPr>
      <w:r w:rsidRPr="006F3D75">
        <w:rPr>
          <w:rFonts w:ascii="Times New Roman" w:eastAsiaTheme="minorHAnsi" w:hAnsi="Times New Roman"/>
          <w:sz w:val="28"/>
          <w:szCs w:val="28"/>
        </w:rPr>
        <w:t>Рис. 3.1. Схематичне зображенні проблем ліквідності комерційного банку</w:t>
      </w:r>
    </w:p>
    <w:p w:rsidR="006F3D75" w:rsidRPr="006F3D75" w:rsidRDefault="006F3D75" w:rsidP="006F3D75">
      <w:pPr>
        <w:spacing w:before="120"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Розвиток сучасних ринків та пропонованих ними фінансових інструментів значно збільшує можливості банків щодо управління ліквідністю, водночас ускладнюючи процес вибору оптимального рішення. Але навіть застосування найдосконаліших технологій не може зняти самої проблеми. Підтримування адекватного рівня ліквідності є запорукою нормального функціонування будь-</w:t>
      </w:r>
      <w:r w:rsidRPr="006F3D75">
        <w:rPr>
          <w:rFonts w:ascii="Times New Roman" w:eastAsiaTheme="minorHAnsi" w:hAnsi="Times New Roman"/>
          <w:sz w:val="28"/>
          <w:szCs w:val="28"/>
        </w:rPr>
        <w:lastRenderedPageBreak/>
        <w:t>якої банківської установи, і це залишається аксіомою, непідвладною часу [50, с. 840].</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Система управління ризиком ліквідності комерційного банку в класичному її варіанті зазвичай складаєтьс</w:t>
      </w:r>
      <w:r w:rsidR="001272A6">
        <w:rPr>
          <w:rFonts w:ascii="Times New Roman" w:eastAsiaTheme="minorHAnsi" w:hAnsi="Times New Roman"/>
          <w:sz w:val="28"/>
          <w:szCs w:val="28"/>
        </w:rPr>
        <w:t>я із трьох рівнів (див рис. 3.2</w:t>
      </w:r>
      <w:r w:rsidRPr="006F3D75">
        <w:rPr>
          <w:rFonts w:ascii="Times New Roman" w:eastAsiaTheme="minorHAnsi" w:hAnsi="Times New Roman"/>
          <w:sz w:val="28"/>
          <w:szCs w:val="28"/>
        </w:rPr>
        <w:t>). АТ «Ідея Банк» ризик ліквідності розглядає як імовірність виникнення збитків або додаткових втрат, або недоотримання запланованих доходів унаслідок неспроможності Банку забезпечувати фінансування зростання активів та/або виконання своїх зобов’язань у належні строки [</w:t>
      </w:r>
      <w:r w:rsidR="002525D1">
        <w:rPr>
          <w:rFonts w:ascii="Times New Roman" w:eastAsiaTheme="minorHAnsi" w:hAnsi="Times New Roman"/>
          <w:sz w:val="28"/>
          <w:szCs w:val="28"/>
        </w:rPr>
        <w:t>51</w:t>
      </w:r>
      <w:r w:rsidRPr="006F3D75">
        <w:rPr>
          <w:rFonts w:ascii="Times New Roman" w:eastAsiaTheme="minorHAnsi" w:hAnsi="Times New Roman"/>
          <w:sz w:val="28"/>
          <w:szCs w:val="28"/>
        </w:rPr>
        <w:t>], та організовує систему управління ризиками, яка ґрунтується на розподілі обов’язків між його підрозділами із застосуванням моделі трирівневого захисту.</w:t>
      </w:r>
    </w:p>
    <w:p w:rsidR="006F3D75" w:rsidRPr="006F3D75" w:rsidRDefault="006F3D75" w:rsidP="006F3D75">
      <w:pPr>
        <w:spacing w:after="0" w:line="360" w:lineRule="auto"/>
        <w:jc w:val="both"/>
        <w:rPr>
          <w:rFonts w:ascii="Times New Roman" w:eastAsiaTheme="minorHAnsi" w:hAnsi="Times New Roman"/>
          <w:sz w:val="28"/>
          <w:szCs w:val="28"/>
        </w:rPr>
      </w:pPr>
      <w:r w:rsidRPr="006F3D75">
        <w:rPr>
          <w:rFonts w:ascii="Times New Roman" w:eastAsiaTheme="minorHAnsi" w:hAnsi="Times New Roman"/>
          <w:noProof/>
          <w:sz w:val="28"/>
          <w:szCs w:val="28"/>
          <w:lang w:eastAsia="uk-UA"/>
        </w:rPr>
        <mc:AlternateContent>
          <mc:Choice Requires="wpc">
            <w:drawing>
              <wp:inline distT="0" distB="0" distL="0" distR="0" wp14:anchorId="0838DBAF" wp14:editId="085083FF">
                <wp:extent cx="5722620" cy="4335780"/>
                <wp:effectExtent l="0" t="0" r="11430" b="0"/>
                <wp:docPr id="307" name="Полотно 3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3" name="Скругленный прямоугольник 293"/>
                        <wps:cNvSpPr/>
                        <wps:spPr>
                          <a:xfrm>
                            <a:off x="1135380" y="129540"/>
                            <a:ext cx="3162300" cy="5029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821E3" w:rsidRPr="00B9190B" w:rsidRDefault="00F821E3" w:rsidP="006F3D75">
                              <w:pPr>
                                <w:jc w:val="center"/>
                                <w:rPr>
                                  <w:rFonts w:ascii="Times New Roman" w:hAnsi="Times New Roman"/>
                                  <w:b/>
                                  <w:color w:val="000000" w:themeColor="text1"/>
                                  <w:sz w:val="24"/>
                                  <w:szCs w:val="24"/>
                                </w:rPr>
                              </w:pPr>
                              <w:r w:rsidRPr="00B9190B">
                                <w:rPr>
                                  <w:rFonts w:ascii="Times New Roman" w:hAnsi="Times New Roman"/>
                                  <w:b/>
                                  <w:color w:val="000000" w:themeColor="text1"/>
                                  <w:sz w:val="24"/>
                                  <w:szCs w:val="24"/>
                                </w:rPr>
                                <w:t>Система управління ризиком ліквідності</w:t>
                              </w:r>
                              <w:r w:rsidRPr="00B9190B">
                                <w:rPr>
                                  <w:rFonts w:ascii="Times New Roman" w:hAnsi="Times New Roman"/>
                                  <w:b/>
                                  <w:color w:val="000000" w:themeColor="text1"/>
                                  <w:sz w:val="24"/>
                                  <w:szCs w:val="24"/>
                                  <w:lang w:val="ru-RU"/>
                                </w:rPr>
                                <w:t xml:space="preserve"> </w:t>
                              </w:r>
                              <w:r w:rsidRPr="00B9190B">
                                <w:rPr>
                                  <w:rFonts w:ascii="Times New Roman" w:hAnsi="Times New Roman"/>
                                  <w:b/>
                                  <w:color w:val="000000" w:themeColor="text1"/>
                                  <w:sz w:val="24"/>
                                  <w:szCs w:val="24"/>
                                </w:rPr>
                                <w:t>комерційного банку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Скругленный прямоугольник 294"/>
                        <wps:cNvSpPr/>
                        <wps:spPr>
                          <a:xfrm>
                            <a:off x="1135380" y="678180"/>
                            <a:ext cx="1257300" cy="5867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821E3" w:rsidRPr="00B9190B" w:rsidRDefault="00F821E3" w:rsidP="006F3D75">
                              <w:pPr>
                                <w:jc w:val="center"/>
                                <w:rPr>
                                  <w:rFonts w:ascii="Times New Roman" w:hAnsi="Times New Roman"/>
                                  <w:color w:val="000000" w:themeColor="text1"/>
                                  <w:sz w:val="24"/>
                                  <w:szCs w:val="24"/>
                                </w:rPr>
                              </w:pPr>
                              <w:r w:rsidRPr="00B9190B">
                                <w:rPr>
                                  <w:rFonts w:ascii="Times New Roman" w:hAnsi="Times New Roman"/>
                                  <w:color w:val="000000" w:themeColor="text1"/>
                                  <w:sz w:val="24"/>
                                  <w:szCs w:val="24"/>
                                </w:rPr>
                                <w:t>стратегічне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Стрелка влево 295"/>
                        <wps:cNvSpPr/>
                        <wps:spPr>
                          <a:xfrm rot="10800000">
                            <a:off x="2392680" y="807720"/>
                            <a:ext cx="342900" cy="327660"/>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Прямоугольник 296"/>
                        <wps:cNvSpPr/>
                        <wps:spPr>
                          <a:xfrm>
                            <a:off x="2735580" y="678180"/>
                            <a:ext cx="2987040" cy="5867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821E3" w:rsidRPr="00B9190B" w:rsidRDefault="00F821E3" w:rsidP="006F3D75">
                              <w:pPr>
                                <w:spacing w:after="0" w:line="240" w:lineRule="auto"/>
                                <w:jc w:val="center"/>
                                <w:rPr>
                                  <w:rFonts w:ascii="Times New Roman" w:hAnsi="Times New Roman"/>
                                  <w:color w:val="000000" w:themeColor="text1"/>
                                </w:rPr>
                              </w:pPr>
                              <w:r w:rsidRPr="00B9190B">
                                <w:rPr>
                                  <w:rFonts w:ascii="Times New Roman" w:hAnsi="Times New Roman"/>
                                  <w:color w:val="000000" w:themeColor="text1"/>
                                </w:rPr>
                                <w:t>здійснюється шляхом розробки фінансового плану на поточний рік у частині структури депозитної бази та рівня дохідних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Скругленный прямоугольник 297"/>
                        <wps:cNvSpPr/>
                        <wps:spPr>
                          <a:xfrm>
                            <a:off x="1135380" y="1696380"/>
                            <a:ext cx="1257300" cy="5867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821E3" w:rsidRDefault="00F821E3" w:rsidP="006F3D75">
                              <w:pPr>
                                <w:pStyle w:val="a3"/>
                                <w:spacing w:before="0" w:beforeAutospacing="0" w:after="160" w:afterAutospacing="0" w:line="256" w:lineRule="auto"/>
                                <w:jc w:val="center"/>
                              </w:pPr>
                              <w:r>
                                <w:rPr>
                                  <w:rFonts w:eastAsia="Calibri"/>
                                  <w:color w:val="000000"/>
                                </w:rPr>
                                <w:t>тактичне управління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8" name="Стрелка влево 298"/>
                        <wps:cNvSpPr/>
                        <wps:spPr>
                          <a:xfrm rot="10800000">
                            <a:off x="2392680" y="1833540"/>
                            <a:ext cx="342900" cy="327660"/>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Прямоугольник 299"/>
                        <wps:cNvSpPr/>
                        <wps:spPr>
                          <a:xfrm>
                            <a:off x="2735580" y="1442040"/>
                            <a:ext cx="2987040" cy="1202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821E3" w:rsidRPr="008F3B94" w:rsidRDefault="00F821E3" w:rsidP="006F3D75">
                              <w:pPr>
                                <w:pStyle w:val="a3"/>
                                <w:spacing w:before="0" w:beforeAutospacing="0" w:after="0" w:afterAutospacing="0"/>
                                <w:jc w:val="both"/>
                                <w:rPr>
                                  <w:color w:val="000000" w:themeColor="text1"/>
                                  <w:sz w:val="22"/>
                                  <w:szCs w:val="22"/>
                                </w:rPr>
                              </w:pPr>
                              <w:r w:rsidRPr="008F3B94">
                                <w:rPr>
                                  <w:color w:val="000000" w:themeColor="text1"/>
                                  <w:sz w:val="22"/>
                                  <w:szCs w:val="22"/>
                                </w:rPr>
                                <w:t>здійснюється Комітетом управління активами, пасивами і тарифами, який аналізує поточний стан ліквідності банку, структуру активів та пасивів за строками до погашення, сталість залишків на поточних рахунках клієнтів, ситуацію на фінансових ринках та її вплив на ліквідність банку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Скругленный прямоугольник 300"/>
                        <wps:cNvSpPr/>
                        <wps:spPr>
                          <a:xfrm>
                            <a:off x="1135378" y="3151800"/>
                            <a:ext cx="1257300" cy="5896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821E3" w:rsidRPr="006A3D3F" w:rsidRDefault="00F821E3" w:rsidP="006F3D75">
                              <w:pPr>
                                <w:pStyle w:val="a3"/>
                                <w:spacing w:before="0" w:beforeAutospacing="0" w:after="160" w:afterAutospacing="0" w:line="254" w:lineRule="auto"/>
                                <w:jc w:val="center"/>
                                <w:rPr>
                                  <w:rFonts w:eastAsia="Calibri"/>
                                  <w:color w:val="000000"/>
                                </w:rPr>
                              </w:pPr>
                              <w:r w:rsidRPr="006A3D3F">
                                <w:rPr>
                                  <w:rFonts w:eastAsia="Calibri"/>
                                  <w:color w:val="000000"/>
                                </w:rPr>
                                <w:t xml:space="preserve">оперативний менеджмент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 name="Выгнутая влево стрелка 301"/>
                        <wps:cNvSpPr/>
                        <wps:spPr>
                          <a:xfrm>
                            <a:off x="403858" y="281940"/>
                            <a:ext cx="731520" cy="3327061"/>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Выгнутая влево стрелка 302"/>
                        <wps:cNvSpPr/>
                        <wps:spPr>
                          <a:xfrm>
                            <a:off x="403858" y="281940"/>
                            <a:ext cx="731520" cy="1879260"/>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Выгнутая влево стрелка 303"/>
                        <wps:cNvSpPr/>
                        <wps:spPr>
                          <a:xfrm>
                            <a:off x="327658" y="281940"/>
                            <a:ext cx="807720" cy="853440"/>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Стрелка влево 304"/>
                        <wps:cNvSpPr/>
                        <wps:spPr>
                          <a:xfrm rot="10800000">
                            <a:off x="2392680" y="3281340"/>
                            <a:ext cx="342900" cy="327660"/>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Прямоугольник 305"/>
                        <wps:cNvSpPr/>
                        <wps:spPr>
                          <a:xfrm>
                            <a:off x="2735580" y="2755560"/>
                            <a:ext cx="2987040" cy="1514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821E3" w:rsidRPr="006A3D3F" w:rsidRDefault="00F821E3" w:rsidP="006F3D75">
                              <w:pPr>
                                <w:pStyle w:val="a3"/>
                                <w:spacing w:after="0"/>
                                <w:jc w:val="both"/>
                                <w:rPr>
                                  <w:color w:val="000000" w:themeColor="text1"/>
                                </w:rPr>
                              </w:pPr>
                              <w:r w:rsidRPr="006A3D3F">
                                <w:rPr>
                                  <w:color w:val="000000" w:themeColor="text1"/>
                                </w:rPr>
                                <w:t>здійснюєт</w:t>
                              </w:r>
                              <w:r>
                                <w:rPr>
                                  <w:color w:val="000000" w:themeColor="text1"/>
                                </w:rPr>
                                <w:t xml:space="preserve">ься щоденно управлінням ризиків </w:t>
                              </w:r>
                              <w:r w:rsidRPr="006A3D3F">
                                <w:rPr>
                                  <w:color w:val="000000" w:themeColor="text1"/>
                                </w:rPr>
                                <w:t>шляхом приведення у відповідність поточних виплат та надходжень банку, визн</w:t>
                              </w:r>
                              <w:r>
                                <w:rPr>
                                  <w:color w:val="000000" w:themeColor="text1"/>
                                </w:rPr>
                                <w:t xml:space="preserve">ачення </w:t>
                              </w:r>
                              <w:r w:rsidRPr="006A3D3F">
                                <w:rPr>
                                  <w:color w:val="000000" w:themeColor="text1"/>
                                </w:rPr>
                                <w:t>щоденної потреби в ліквідних коштах та вибір</w:t>
                              </w:r>
                              <w:r>
                                <w:rPr>
                                  <w:color w:val="000000" w:themeColor="text1"/>
                                </w:rPr>
                                <w:t xml:space="preserve"> </w:t>
                              </w:r>
                              <w:r w:rsidRPr="006A3D3F">
                                <w:rPr>
                                  <w:color w:val="000000" w:themeColor="text1"/>
                                </w:rPr>
                                <w:t>раціональних джерел їх поповнення для прийняття обґрунтованих управлінських рішень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838DBAF" id="Полотно 307" o:spid="_x0000_s1327" editas="canvas" style="width:450.6pt;height:341.4pt;mso-position-horizontal-relative:char;mso-position-vertical-relative:line" coordsize="57226,4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">
                <v:shape id="_x0000_s1328" type="#_x0000_t75" style="position:absolute;width:57226;height:43357;visibility:visible;mso-wrap-style:square">
                  <v:fill o:detectmouseclick="t"/>
                  <v:path o:connecttype="none"/>
                </v:shape>
                <v:roundrect id="Скругленный прямоугольник 293" o:spid="_x0000_s1329" style="position:absolute;left:11353;top:1295;width:31623;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" fillcolor="window" strokecolor="windowText" strokeweight="1pt">
                  <v:stroke joinstyle="miter"/>
                  <v:textbox>
                    <w:txbxContent>
                      <w:p w:rsidR="00F821E3" w:rsidRPr="00B9190B" w:rsidRDefault="00F821E3" w:rsidP="006F3D75">
                        <w:pPr>
                          <w:jc w:val="center"/>
                          <w:rPr>
                            <w:rFonts w:ascii="Times New Roman" w:hAnsi="Times New Roman"/>
                            <w:b/>
                            <w:color w:val="000000" w:themeColor="text1"/>
                            <w:sz w:val="24"/>
                            <w:szCs w:val="24"/>
                          </w:rPr>
                        </w:pPr>
                        <w:r w:rsidRPr="00B9190B">
                          <w:rPr>
                            <w:rFonts w:ascii="Times New Roman" w:hAnsi="Times New Roman"/>
                            <w:b/>
                            <w:color w:val="000000" w:themeColor="text1"/>
                            <w:sz w:val="24"/>
                            <w:szCs w:val="24"/>
                          </w:rPr>
                          <w:t>Система управління ризиком ліквідності</w:t>
                        </w:r>
                        <w:r w:rsidRPr="00B9190B">
                          <w:rPr>
                            <w:rFonts w:ascii="Times New Roman" w:hAnsi="Times New Roman"/>
                            <w:b/>
                            <w:color w:val="000000" w:themeColor="text1"/>
                            <w:sz w:val="24"/>
                            <w:szCs w:val="24"/>
                            <w:lang w:val="ru-RU"/>
                          </w:rPr>
                          <w:t xml:space="preserve"> </w:t>
                        </w:r>
                        <w:r w:rsidRPr="00B9190B">
                          <w:rPr>
                            <w:rFonts w:ascii="Times New Roman" w:hAnsi="Times New Roman"/>
                            <w:b/>
                            <w:color w:val="000000" w:themeColor="text1"/>
                            <w:sz w:val="24"/>
                            <w:szCs w:val="24"/>
                          </w:rPr>
                          <w:t>комерційного банку</w:t>
                        </w:r>
                      </w:p>
                    </w:txbxContent>
                  </v:textbox>
                </v:roundrect>
                <v:roundrect id="Скругленный прямоугольник 294" o:spid="_x0000_s1330" style="position:absolute;left:11353;top:6781;width:12573;height:5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" fillcolor="window" strokecolor="windowText" strokeweight="1pt">
                  <v:stroke joinstyle="miter"/>
                  <v:textbox>
                    <w:txbxContent>
                      <w:p w:rsidR="00F821E3" w:rsidRPr="00B9190B" w:rsidRDefault="00F821E3" w:rsidP="006F3D75">
                        <w:pPr>
                          <w:jc w:val="center"/>
                          <w:rPr>
                            <w:rFonts w:ascii="Times New Roman" w:hAnsi="Times New Roman"/>
                            <w:color w:val="000000" w:themeColor="text1"/>
                            <w:sz w:val="24"/>
                            <w:szCs w:val="24"/>
                          </w:rPr>
                        </w:pPr>
                        <w:r w:rsidRPr="00B9190B">
                          <w:rPr>
                            <w:rFonts w:ascii="Times New Roman" w:hAnsi="Times New Roman"/>
                            <w:color w:val="000000" w:themeColor="text1"/>
                            <w:sz w:val="24"/>
                            <w:szCs w:val="24"/>
                          </w:rPr>
                          <w:t>стратегічне управління</w:t>
                        </w:r>
                      </w:p>
                    </w:txbxContent>
                  </v:textbox>
                </v:roundrect>
                <v:shape id="Стрелка влево 295" o:spid="_x0000_s1331" type="#_x0000_t66" style="position:absolute;left:23926;top:8077;width:3429;height:32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" adj="10320" fillcolor="window" strokecolor="windowText" strokeweight="1pt"/>
                <v:rect id="Прямоугольник 296" o:spid="_x0000_s1332" style="position:absolute;left:27355;top:6781;width:29871;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" fillcolor="window" strokecolor="windowText" strokeweight="1pt">
                  <v:textbox>
                    <w:txbxContent>
                      <w:p w:rsidR="00F821E3" w:rsidRPr="00B9190B" w:rsidRDefault="00F821E3" w:rsidP="006F3D75">
                        <w:pPr>
                          <w:spacing w:after="0" w:line="240" w:lineRule="auto"/>
                          <w:jc w:val="center"/>
                          <w:rPr>
                            <w:rFonts w:ascii="Times New Roman" w:hAnsi="Times New Roman"/>
                            <w:color w:val="000000" w:themeColor="text1"/>
                          </w:rPr>
                        </w:pPr>
                        <w:r w:rsidRPr="00B9190B">
                          <w:rPr>
                            <w:rFonts w:ascii="Times New Roman" w:hAnsi="Times New Roman"/>
                            <w:color w:val="000000" w:themeColor="text1"/>
                          </w:rPr>
                          <w:t>здійснюється шляхом розробки фінансового плану на поточний рік у частині структури депозитної бази та рівня дохідних активів</w:t>
                        </w:r>
                      </w:p>
                    </w:txbxContent>
                  </v:textbox>
                </v:rect>
                <v:roundrect id="Скругленный прямоугольник 297" o:spid="_x0000_s1333" style="position:absolute;left:11353;top:16963;width:12573;height:5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" fillcolor="window" strokecolor="windowText" strokeweight="1pt">
                  <v:stroke joinstyle="miter"/>
                  <v:textbox>
                    <w:txbxContent>
                      <w:p w:rsidR="00F821E3" w:rsidRDefault="00F821E3" w:rsidP="006F3D75">
                        <w:pPr>
                          <w:pStyle w:val="a3"/>
                          <w:spacing w:before="0" w:beforeAutospacing="0" w:after="160" w:afterAutospacing="0" w:line="256" w:lineRule="auto"/>
                          <w:jc w:val="center"/>
                        </w:pPr>
                        <w:r>
                          <w:rPr>
                            <w:rFonts w:eastAsia="Calibri"/>
                            <w:color w:val="000000"/>
                          </w:rPr>
                          <w:t>тактичне управління</w:t>
                        </w:r>
                      </w:p>
                    </w:txbxContent>
                  </v:textbox>
                </v:roundrect>
                <v:shape id="Стрелка влево 298" o:spid="_x0000_s1334" type="#_x0000_t66" style="position:absolute;left:23926;top:18335;width:3429;height:32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" adj="10320" fillcolor="window" strokecolor="windowText" strokeweight="1pt"/>
                <v:rect id="Прямоугольник 299" o:spid="_x0000_s1335" style="position:absolute;left:27355;top:14420;width:29871;height:12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" fillcolor="window" strokecolor="windowText" strokeweight="1pt">
                  <v:textbox>
                    <w:txbxContent>
                      <w:p w:rsidR="00F821E3" w:rsidRPr="008F3B94" w:rsidRDefault="00F821E3" w:rsidP="006F3D75">
                        <w:pPr>
                          <w:pStyle w:val="a3"/>
                          <w:spacing w:before="0" w:beforeAutospacing="0" w:after="0" w:afterAutospacing="0"/>
                          <w:jc w:val="both"/>
                          <w:rPr>
                            <w:color w:val="000000" w:themeColor="text1"/>
                            <w:sz w:val="22"/>
                            <w:szCs w:val="22"/>
                          </w:rPr>
                        </w:pPr>
                        <w:r w:rsidRPr="008F3B94">
                          <w:rPr>
                            <w:color w:val="000000" w:themeColor="text1"/>
                            <w:sz w:val="22"/>
                            <w:szCs w:val="22"/>
                          </w:rPr>
                          <w:t>здійснюється Комітетом управління активами, пасивами і тарифами, який аналізує поточний стан ліквідності банку, структуру активів та пасивів за строками до погашення, сталість залишків на поточних рахунках клієнтів, ситуацію на фінансових ринках та її вплив на ліквідність банку</w:t>
                        </w:r>
                      </w:p>
                    </w:txbxContent>
                  </v:textbox>
                </v:rect>
                <v:roundrect id="Скругленный прямоугольник 300" o:spid="_x0000_s1336" style="position:absolute;left:11353;top:31518;width:12573;height:5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" fillcolor="window" strokecolor="windowText" strokeweight="1pt">
                  <v:stroke joinstyle="miter"/>
                  <v:textbox>
                    <w:txbxContent>
                      <w:p w:rsidR="00F821E3" w:rsidRPr="006A3D3F" w:rsidRDefault="00F821E3" w:rsidP="006F3D75">
                        <w:pPr>
                          <w:pStyle w:val="a3"/>
                          <w:spacing w:before="0" w:beforeAutospacing="0" w:after="160" w:afterAutospacing="0" w:line="254" w:lineRule="auto"/>
                          <w:jc w:val="center"/>
                          <w:rPr>
                            <w:rFonts w:eastAsia="Calibri"/>
                            <w:color w:val="000000"/>
                          </w:rPr>
                        </w:pPr>
                        <w:r w:rsidRPr="006A3D3F">
                          <w:rPr>
                            <w:rFonts w:eastAsia="Calibri"/>
                            <w:color w:val="000000"/>
                          </w:rPr>
                          <w:t xml:space="preserve">оперативний менеджмент </w:t>
                        </w:r>
                      </w:p>
                    </w:txbxContent>
                  </v:textbox>
                </v:roundrect>
                <v:shape id="Выгнутая влево стрелка 301" o:spid="_x0000_s1337" type="#_x0000_t102" style="position:absolute;left:4038;top:2819;width:7315;height:3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" adj="19225,21006,16200" fillcolor="window" strokecolor="windowText" strokeweight="1pt"/>
                <v:shape id="Выгнутая влево стрелка 302" o:spid="_x0000_s1338" type="#_x0000_t102" style="position:absolute;left:4038;top:2819;width:7315;height:18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" adj="17396,20549,16200" fillcolor="window" strokecolor="windowText" strokeweight="1pt"/>
                <v:shape id="Выгнутая влево стрелка 303" o:spid="_x0000_s1339" type="#_x0000_t102" style="position:absolute;left:3276;top:2819;width:8077;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" adj="11379,19045,16200" fillcolor="window" strokecolor="windowText" strokeweight="1pt"/>
                <v:shape id="Стрелка влево 304" o:spid="_x0000_s1340" type="#_x0000_t66" style="position:absolute;left:23926;top:32813;width:3429;height:32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" adj="10320" fillcolor="window" strokecolor="windowText" strokeweight="1pt"/>
                <v:rect id="Прямоугольник 305" o:spid="_x0000_s1341" style="position:absolute;left:27355;top:27555;width:29871;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" fillcolor="window" strokecolor="windowText" strokeweight="1pt">
                  <v:textbox>
                    <w:txbxContent>
                      <w:p w:rsidR="00F821E3" w:rsidRPr="006A3D3F" w:rsidRDefault="00F821E3" w:rsidP="006F3D75">
                        <w:pPr>
                          <w:pStyle w:val="a3"/>
                          <w:spacing w:after="0"/>
                          <w:jc w:val="both"/>
                          <w:rPr>
                            <w:color w:val="000000" w:themeColor="text1"/>
                          </w:rPr>
                        </w:pPr>
                        <w:r w:rsidRPr="006A3D3F">
                          <w:rPr>
                            <w:color w:val="000000" w:themeColor="text1"/>
                          </w:rPr>
                          <w:t>здійснюєт</w:t>
                        </w:r>
                        <w:r>
                          <w:rPr>
                            <w:color w:val="000000" w:themeColor="text1"/>
                          </w:rPr>
                          <w:t xml:space="preserve">ься щоденно управлінням ризиків </w:t>
                        </w:r>
                        <w:r w:rsidRPr="006A3D3F">
                          <w:rPr>
                            <w:color w:val="000000" w:themeColor="text1"/>
                          </w:rPr>
                          <w:t>шляхом приведення у відповідність поточних виплат та надходжень банку, визн</w:t>
                        </w:r>
                        <w:r>
                          <w:rPr>
                            <w:color w:val="000000" w:themeColor="text1"/>
                          </w:rPr>
                          <w:t xml:space="preserve">ачення </w:t>
                        </w:r>
                        <w:r w:rsidRPr="006A3D3F">
                          <w:rPr>
                            <w:color w:val="000000" w:themeColor="text1"/>
                          </w:rPr>
                          <w:t>щоденної потреби в ліквідних коштах та вибір</w:t>
                        </w:r>
                        <w:r>
                          <w:rPr>
                            <w:color w:val="000000" w:themeColor="text1"/>
                          </w:rPr>
                          <w:t xml:space="preserve"> </w:t>
                        </w:r>
                        <w:r w:rsidRPr="006A3D3F">
                          <w:rPr>
                            <w:color w:val="000000" w:themeColor="text1"/>
                          </w:rPr>
                          <w:t>раціональних джерел їх поповнення для прийняття обґрунтованих управлінських рішень</w:t>
                        </w:r>
                      </w:p>
                    </w:txbxContent>
                  </v:textbox>
                </v:rect>
                <w10:anchorlock/>
              </v:group>
            </w:pict>
          </mc:Fallback>
        </mc:AlternateContent>
      </w:r>
    </w:p>
    <w:p w:rsidR="006F3D75" w:rsidRPr="006F3D75" w:rsidRDefault="006F3D75" w:rsidP="006F3D75">
      <w:pPr>
        <w:spacing w:after="0" w:line="360" w:lineRule="auto"/>
        <w:jc w:val="center"/>
        <w:rPr>
          <w:rFonts w:ascii="Times New Roman" w:eastAsiaTheme="minorHAnsi" w:hAnsi="Times New Roman"/>
          <w:sz w:val="28"/>
          <w:szCs w:val="28"/>
        </w:rPr>
      </w:pPr>
      <w:r w:rsidRPr="006F3D75">
        <w:rPr>
          <w:rFonts w:ascii="Times New Roman" w:eastAsiaTheme="minorHAnsi" w:hAnsi="Times New Roman"/>
          <w:sz w:val="28"/>
          <w:szCs w:val="28"/>
        </w:rPr>
        <w:t>Рис. 3.2. Система управління ризиком ліквідності комерційного банку [</w:t>
      </w:r>
      <w:r w:rsidR="002525D1">
        <w:rPr>
          <w:rFonts w:ascii="Times New Roman" w:eastAsiaTheme="minorHAnsi" w:hAnsi="Times New Roman"/>
          <w:sz w:val="28"/>
          <w:szCs w:val="28"/>
        </w:rPr>
        <w:t>51</w:t>
      </w:r>
      <w:r w:rsidRPr="006F3D75">
        <w:rPr>
          <w:rFonts w:ascii="Times New Roman" w:eastAsiaTheme="minorHAnsi" w:hAnsi="Times New Roman"/>
          <w:sz w:val="28"/>
          <w:szCs w:val="28"/>
        </w:rPr>
        <w:t xml:space="preserve">; </w:t>
      </w:r>
      <w:r w:rsidR="002525D1">
        <w:rPr>
          <w:rFonts w:ascii="Times New Roman" w:eastAsiaTheme="minorHAnsi" w:hAnsi="Times New Roman"/>
          <w:sz w:val="28"/>
          <w:szCs w:val="28"/>
        </w:rPr>
        <w:t>67</w:t>
      </w:r>
      <w:r w:rsidRPr="006F3D75">
        <w:rPr>
          <w:rFonts w:ascii="Times New Roman" w:eastAsiaTheme="minorHAnsi" w:hAnsi="Times New Roman"/>
          <w:sz w:val="28"/>
          <w:szCs w:val="28"/>
        </w:rPr>
        <w:t>, с. 841]</w:t>
      </w:r>
    </w:p>
    <w:p w:rsidR="006F3D75" w:rsidRPr="006F3D75" w:rsidRDefault="006F3D75" w:rsidP="006F3D75">
      <w:pPr>
        <w:spacing w:before="120"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Як вже зазначалося раніше, АТ «Ідея Банк» в управлінні ризиком ліквідності використовує саме трирівневу модель захисту, яка дозволяє Банку забезпечити, по мірі можливості, постійний достатній рівень ліквідності для </w:t>
      </w:r>
      <w:r w:rsidRPr="006F3D75">
        <w:rPr>
          <w:rFonts w:ascii="Times New Roman" w:eastAsiaTheme="minorHAnsi" w:hAnsi="Times New Roman"/>
          <w:sz w:val="28"/>
          <w:szCs w:val="28"/>
        </w:rPr>
        <w:lastRenderedPageBreak/>
        <w:t>погашення зобов’язань у належні строки, як за звичайних, так і за надзвичайних умов, без понесення неприйнятних збитків або ризику для репутації Банку.</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Загально відомо, що недостатній рівень ліквідності комерційного банку є першою ознакою наявності у нього фінансових проблем. Проте відповідно до наведених даних у табл</w:t>
      </w:r>
      <w:r w:rsidR="001A1986" w:rsidRPr="001A1986">
        <w:rPr>
          <w:rFonts w:ascii="Times New Roman" w:eastAsiaTheme="minorHAnsi" w:hAnsi="Times New Roman"/>
          <w:sz w:val="28"/>
          <w:szCs w:val="28"/>
        </w:rPr>
        <w:t>.</w:t>
      </w:r>
      <w:r w:rsidR="001272A6">
        <w:rPr>
          <w:rFonts w:ascii="Times New Roman" w:eastAsiaTheme="minorHAnsi" w:hAnsi="Times New Roman"/>
          <w:sz w:val="28"/>
          <w:szCs w:val="28"/>
        </w:rPr>
        <w:t xml:space="preserve"> 2.2</w:t>
      </w:r>
      <w:r w:rsidRPr="006F3D75">
        <w:rPr>
          <w:rFonts w:ascii="Times New Roman" w:eastAsiaTheme="minorHAnsi" w:hAnsi="Times New Roman"/>
          <w:sz w:val="28"/>
          <w:szCs w:val="28"/>
        </w:rPr>
        <w:t xml:space="preserve"> Розділу 2 впродовж 2017 – 2021 років у АТ «Ідея Банк» спостерігається стійкий профіцит по виконанню нормативів ліквідності, які встановлені НБУ, тобто надлишок ліквідності. Акцентуємо, що надлишкова ліквідність є, перш за все, результатом негативного управління комерційним банком та може свідчити про неспроможність банку ефективно розпоряджатися залученими ресурсами. Як бачимо, додержання нормативів, які встановлені регулятором, є необхідною умовою, але не достатньою для ефективного управління ліквідністю комерційного банку.</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Щоб запобігти надмірному підвищенню ризику ліквідності, банк має керуватися у своїй діяльності такими принципами: </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 пріоритетність ліквідності, у тому числі й при виборі напрямків розміщення коштів; </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постійність аналізу потреб банку в ліквідних засобах з метою уникнути як їх надлишку, так і дефіциту;</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планування та прогнозування дій банку в разі виникнення незбалансованої ліквідності та кризових ситуацій;</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взаємозв’язок ризику ліквідності з іншими сферами діяльності, такими як залучення та розміщення коштів, а також управління ризиком відсоткових ставок [</w:t>
      </w:r>
      <w:r w:rsidR="001A1986">
        <w:rPr>
          <w:rFonts w:ascii="Times New Roman" w:eastAsiaTheme="minorHAnsi" w:hAnsi="Times New Roman"/>
          <w:sz w:val="28"/>
          <w:szCs w:val="28"/>
        </w:rPr>
        <w:t>68</w:t>
      </w:r>
      <w:r w:rsidRPr="006F3D75">
        <w:rPr>
          <w:rFonts w:ascii="Times New Roman" w:eastAsiaTheme="minorHAnsi" w:hAnsi="Times New Roman"/>
          <w:sz w:val="28"/>
          <w:szCs w:val="28"/>
        </w:rPr>
        <w:t>, c. 468].</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Також суттєвий вплив на ліквідність банку має оптимальне співвідношення активів та пасивів за строками і сумами. Існує так зване «золоте банківське правило», яке полягає в тому, що розмір і строки фінансових вимог банку повинні порівнюватись з сумами та строками банківських зобов’язань. Дотримання «золотого банківського правила» забезпечується шляхом підтримки динамічної рівноваги активів і пасивів з постійним заміщенням коштів, які вибувають зі складу ресурсів, новими</w:t>
      </w:r>
      <w:r w:rsidR="00AE5035">
        <w:rPr>
          <w:rFonts w:ascii="Times New Roman" w:eastAsiaTheme="minorHAnsi" w:hAnsi="Times New Roman"/>
          <w:sz w:val="28"/>
          <w:szCs w:val="28"/>
        </w:rPr>
        <w:t xml:space="preserve"> [69</w:t>
      </w:r>
      <w:r w:rsidRPr="006F3D75">
        <w:rPr>
          <w:rFonts w:ascii="Times New Roman" w:eastAsiaTheme="minorHAnsi" w:hAnsi="Times New Roman"/>
          <w:sz w:val="28"/>
          <w:szCs w:val="28"/>
        </w:rPr>
        <w:t>, c. 281].</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lastRenderedPageBreak/>
        <w:t>Розглянувши на прикладі АТ «Ідея Банк» інші підходи до оцінки та управління ліквідністю, було з’ясовано, що Банк за іншими показник</w:t>
      </w:r>
      <w:r w:rsidR="00AE5035">
        <w:rPr>
          <w:rFonts w:ascii="Times New Roman" w:eastAsiaTheme="minorHAnsi" w:hAnsi="Times New Roman"/>
          <w:sz w:val="28"/>
          <w:szCs w:val="28"/>
        </w:rPr>
        <w:t>ами</w:t>
      </w:r>
      <w:r w:rsidRPr="006F3D75">
        <w:rPr>
          <w:rFonts w:ascii="Times New Roman" w:eastAsiaTheme="minorHAnsi" w:hAnsi="Times New Roman"/>
          <w:sz w:val="28"/>
          <w:szCs w:val="28"/>
        </w:rPr>
        <w:t xml:space="preserve"> не досягає оптимальних (рекомендованих) нормативних значень. Метою даного аналізу є отримання більш детальної інформації щодо фінансового стану, результати, якого викладені у табл</w:t>
      </w:r>
      <w:r w:rsidR="00AE5035" w:rsidRPr="00AE5035">
        <w:rPr>
          <w:rFonts w:ascii="Times New Roman" w:eastAsiaTheme="minorHAnsi" w:hAnsi="Times New Roman"/>
          <w:sz w:val="28"/>
          <w:szCs w:val="28"/>
        </w:rPr>
        <w:t>.</w:t>
      </w:r>
      <w:r w:rsidRPr="006F3D75">
        <w:rPr>
          <w:rFonts w:ascii="Times New Roman" w:eastAsiaTheme="minorHAnsi" w:hAnsi="Times New Roman"/>
          <w:sz w:val="28"/>
          <w:szCs w:val="28"/>
        </w:rPr>
        <w:t xml:space="preserve"> 2.</w:t>
      </w:r>
      <w:r w:rsidR="00AE5035" w:rsidRPr="00AE5035">
        <w:rPr>
          <w:rFonts w:ascii="Times New Roman" w:eastAsiaTheme="minorHAnsi" w:hAnsi="Times New Roman"/>
          <w:sz w:val="28"/>
          <w:szCs w:val="28"/>
        </w:rPr>
        <w:t>4</w:t>
      </w:r>
      <w:r w:rsidRPr="006F3D75">
        <w:rPr>
          <w:rFonts w:ascii="Times New Roman" w:eastAsiaTheme="minorHAnsi" w:hAnsi="Times New Roman"/>
          <w:sz w:val="28"/>
          <w:szCs w:val="28"/>
        </w:rPr>
        <w:t xml:space="preserve"> Розділу 2, та продемонстрували важливість розрахунків інших показників ліквідності Банку, окрім тих, що є обов’язковими нормативами та встановлені регулятором. </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Як бачимо, управління ризиками ліквідності комерційного банку залишається одним із найважливіших завдань в управлінні діяльністю комерційного банку, оскільки уникнення та мінімізація ризиків ліквідності зумовлює необхідність:</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вивчення та аналізу впливу внутрішніх та зовнішніх факторів ризику ліквідності окремого комерційного банку;</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забезпечення систематичного співвідношення методів оцінювання ліквідності балансу;</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поліпшення управління активними та пасивними операціями з метою формування ефективного кредитного портфелю та відповідних зобов'язань комерційного банку;</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підвищення ефективності управління якістю активів та пасивів;</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вибору стратегії управління активами і пасивами комерційного банку;</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удосконалення методики оцінювання показників ризику ліквідності комерційних банків [</w:t>
      </w:r>
      <w:r w:rsidR="009E7B3D">
        <w:rPr>
          <w:rFonts w:ascii="Times New Roman" w:eastAsiaTheme="minorHAnsi" w:hAnsi="Times New Roman"/>
          <w:sz w:val="28"/>
          <w:szCs w:val="28"/>
        </w:rPr>
        <w:t>69</w:t>
      </w:r>
      <w:r w:rsidRPr="006F3D75">
        <w:rPr>
          <w:rFonts w:ascii="Times New Roman" w:eastAsiaTheme="minorHAnsi" w:hAnsi="Times New Roman"/>
          <w:sz w:val="28"/>
          <w:szCs w:val="28"/>
        </w:rPr>
        <w:t xml:space="preserve">, c. 281]. </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Тобто на практиці бажано спрямовувати основний ракурс роботи на:</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 депозитний портфель, як головне джерело фінансування Банку, зокрема утримання рівня депозитів на існуючому рівні за рахунок збільшення відсоткових ставок та активне залучення нових; постійний аналіз ресурсної бази з погляду стабільності та ймовірності зняття клієнтами коштів зі своїх рахунків; задля збільшення довіри клієнтів до Банку проводити інформаційну компанію щодо надання інформації про роботу Банку, його основні показники шляхом оприлюднення її на сайті банку, у соціальних мережах, рекламних оголошеннях тощо; запроваджувати індивідуальний підхід до клієнтів; </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lastRenderedPageBreak/>
        <w:t>- кредитний портфель, зокрема відстрочку платежу; реструктуризацію боргу; активну роботу з проблемними кредитами; розширення кредитного портфелю; впровадження сучасних ІТ-технологій щодо керування, отримання, погашення кредитів клієнтами Банку тощо.</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Варто зауважити, що одним із найбільш вагомих зовнішніх чинників, що впливають на ліквідність банку, є політика НБУ, що здійснюється через систему державного нагляду і регулювання діяльності банків [2</w:t>
      </w:r>
      <w:r w:rsidR="009E7B3D">
        <w:rPr>
          <w:rFonts w:ascii="Times New Roman" w:eastAsiaTheme="minorHAnsi" w:hAnsi="Times New Roman"/>
          <w:sz w:val="28"/>
          <w:szCs w:val="28"/>
        </w:rPr>
        <w:t>9</w:t>
      </w:r>
      <w:r w:rsidRPr="006F3D75">
        <w:rPr>
          <w:rFonts w:ascii="Times New Roman" w:eastAsiaTheme="minorHAnsi" w:hAnsi="Times New Roman"/>
          <w:sz w:val="28"/>
          <w:szCs w:val="28"/>
        </w:rPr>
        <w:t>, c. 77]. З метою регулювання ліквідності банків НБУ відповідно до «Положення про регулювання Національним банком України ліквідності банків України» № 259 від 30.04.2009, з урахуванням поточної ситуації на грошовому ринку застосовує операції:</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 з рефінансування (постійно діюча лінія рефінансування для надання банкам кредитів </w:t>
      </w:r>
      <w:proofErr w:type="spellStart"/>
      <w:r w:rsidRPr="006F3D75">
        <w:rPr>
          <w:rFonts w:ascii="Times New Roman" w:eastAsiaTheme="minorHAnsi" w:hAnsi="Times New Roman"/>
          <w:sz w:val="28"/>
          <w:szCs w:val="28"/>
        </w:rPr>
        <w:t>овернайт</w:t>
      </w:r>
      <w:proofErr w:type="spellEnd"/>
      <w:r w:rsidRPr="006F3D75">
        <w:rPr>
          <w:rFonts w:ascii="Times New Roman" w:eastAsiaTheme="minorHAnsi" w:hAnsi="Times New Roman"/>
          <w:sz w:val="28"/>
          <w:szCs w:val="28"/>
        </w:rPr>
        <w:t xml:space="preserve">, кредити рефінансування); </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 </w:t>
      </w:r>
      <w:proofErr w:type="spellStart"/>
      <w:r w:rsidRPr="006F3D75">
        <w:rPr>
          <w:rFonts w:ascii="Times New Roman" w:eastAsiaTheme="minorHAnsi" w:hAnsi="Times New Roman"/>
          <w:sz w:val="28"/>
          <w:szCs w:val="28"/>
        </w:rPr>
        <w:t>репо</w:t>
      </w:r>
      <w:proofErr w:type="spellEnd"/>
      <w:r w:rsidRPr="006F3D75">
        <w:rPr>
          <w:rFonts w:ascii="Times New Roman" w:eastAsiaTheme="minorHAnsi" w:hAnsi="Times New Roman"/>
          <w:sz w:val="28"/>
          <w:szCs w:val="28"/>
        </w:rPr>
        <w:t xml:space="preserve"> (прямого </w:t>
      </w:r>
      <w:proofErr w:type="spellStart"/>
      <w:r w:rsidRPr="006F3D75">
        <w:rPr>
          <w:rFonts w:ascii="Times New Roman" w:eastAsiaTheme="minorHAnsi" w:hAnsi="Times New Roman"/>
          <w:sz w:val="28"/>
          <w:szCs w:val="28"/>
        </w:rPr>
        <w:t>репо</w:t>
      </w:r>
      <w:proofErr w:type="spellEnd"/>
      <w:r w:rsidRPr="006F3D75">
        <w:rPr>
          <w:rFonts w:ascii="Times New Roman" w:eastAsiaTheme="minorHAnsi" w:hAnsi="Times New Roman"/>
          <w:sz w:val="28"/>
          <w:szCs w:val="28"/>
        </w:rPr>
        <w:t xml:space="preserve">, зворотного </w:t>
      </w:r>
      <w:proofErr w:type="spellStart"/>
      <w:r w:rsidRPr="006F3D75">
        <w:rPr>
          <w:rFonts w:ascii="Times New Roman" w:eastAsiaTheme="minorHAnsi" w:hAnsi="Times New Roman"/>
          <w:sz w:val="28"/>
          <w:szCs w:val="28"/>
        </w:rPr>
        <w:t>репо</w:t>
      </w:r>
      <w:proofErr w:type="spellEnd"/>
      <w:r w:rsidRPr="006F3D75">
        <w:rPr>
          <w:rFonts w:ascii="Times New Roman" w:eastAsiaTheme="minorHAnsi" w:hAnsi="Times New Roman"/>
          <w:sz w:val="28"/>
          <w:szCs w:val="28"/>
        </w:rPr>
        <w:t xml:space="preserve">); </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 з власними борговими зобов’язаннями (депозитні сертифікати </w:t>
      </w:r>
      <w:proofErr w:type="spellStart"/>
      <w:r w:rsidRPr="006F3D75">
        <w:rPr>
          <w:rFonts w:ascii="Times New Roman" w:eastAsiaTheme="minorHAnsi" w:hAnsi="Times New Roman"/>
          <w:sz w:val="28"/>
          <w:szCs w:val="28"/>
        </w:rPr>
        <w:t>овернайт</w:t>
      </w:r>
      <w:proofErr w:type="spellEnd"/>
      <w:r w:rsidRPr="006F3D75">
        <w:rPr>
          <w:rFonts w:ascii="Times New Roman" w:eastAsiaTheme="minorHAnsi" w:hAnsi="Times New Roman"/>
          <w:sz w:val="28"/>
          <w:szCs w:val="28"/>
        </w:rPr>
        <w:t xml:space="preserve"> та строком до 90 днів);</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з де</w:t>
      </w:r>
      <w:r w:rsidR="009E7B3D">
        <w:rPr>
          <w:rFonts w:ascii="Times New Roman" w:eastAsiaTheme="minorHAnsi" w:hAnsi="Times New Roman"/>
          <w:sz w:val="28"/>
          <w:szCs w:val="28"/>
        </w:rPr>
        <w:t>ржавними облігаціями України [70</w:t>
      </w:r>
      <w:r w:rsidRPr="006F3D75">
        <w:rPr>
          <w:rFonts w:ascii="Times New Roman" w:eastAsiaTheme="minorHAnsi" w:hAnsi="Times New Roman"/>
          <w:sz w:val="28"/>
          <w:szCs w:val="28"/>
        </w:rPr>
        <w:t>].</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Зважаючи на череду повторюваних криз та нестабільний стан банківської системи, НБУ прийняв рішення впровадити низку заходів з попередження таких банкрутств, які пов’язані зі стресовими ситуаціями в економіці й політичною нестабільністю в країні. Відповідно до рекомендацій Базельського комітету [</w:t>
      </w:r>
      <w:r w:rsidR="009E7B3D">
        <w:rPr>
          <w:rFonts w:ascii="Times New Roman" w:eastAsiaTheme="minorHAnsi" w:hAnsi="Times New Roman"/>
          <w:sz w:val="28"/>
          <w:szCs w:val="28"/>
        </w:rPr>
        <w:t>43</w:t>
      </w:r>
      <w:r w:rsidRPr="006F3D75">
        <w:rPr>
          <w:rFonts w:ascii="Times New Roman" w:eastAsiaTheme="minorHAnsi" w:hAnsi="Times New Roman"/>
          <w:sz w:val="28"/>
          <w:szCs w:val="28"/>
        </w:rPr>
        <w:t>], угоди про асоціацію з ЄС та планів НБУ відповідно до імплементації законодавства ЄС в Україні триває запровадження нового етапу управління ризиком банківської ліквідності. Цей етап базується на нормах Д</w:t>
      </w:r>
      <w:r w:rsidR="009E7B3D">
        <w:rPr>
          <w:rFonts w:ascii="Times New Roman" w:eastAsiaTheme="minorHAnsi" w:hAnsi="Times New Roman"/>
          <w:sz w:val="28"/>
          <w:szCs w:val="28"/>
        </w:rPr>
        <w:t>ирективи 2013/36/ЄС (CRD IV) [71</w:t>
      </w:r>
      <w:r w:rsidRPr="006F3D75">
        <w:rPr>
          <w:rFonts w:ascii="Times New Roman" w:eastAsiaTheme="minorHAnsi" w:hAnsi="Times New Roman"/>
          <w:sz w:val="28"/>
          <w:szCs w:val="28"/>
        </w:rPr>
        <w:t>], Ре</w:t>
      </w:r>
      <w:r w:rsidR="009E7B3D">
        <w:rPr>
          <w:rFonts w:ascii="Times New Roman" w:eastAsiaTheme="minorHAnsi" w:hAnsi="Times New Roman"/>
          <w:sz w:val="28"/>
          <w:szCs w:val="28"/>
        </w:rPr>
        <w:t>гламенту ЄС № 575/2013 (CRR) [72] та Регламенту ЄС № 2015/61 [73</w:t>
      </w:r>
      <w:r w:rsidRPr="006F3D75">
        <w:rPr>
          <w:rFonts w:ascii="Times New Roman" w:eastAsiaTheme="minorHAnsi" w:hAnsi="Times New Roman"/>
          <w:sz w:val="28"/>
          <w:szCs w:val="28"/>
        </w:rPr>
        <w:t>] і передбачає підвищення стійкості вітчизняних банків до короткострокових і довгострокових шоків ліквідності [2</w:t>
      </w:r>
      <w:r w:rsidR="009E7B3D">
        <w:rPr>
          <w:rFonts w:ascii="Times New Roman" w:eastAsiaTheme="minorHAnsi" w:hAnsi="Times New Roman"/>
          <w:sz w:val="28"/>
          <w:szCs w:val="28"/>
        </w:rPr>
        <w:t>9</w:t>
      </w:r>
      <w:r w:rsidRPr="006F3D75">
        <w:rPr>
          <w:rFonts w:ascii="Times New Roman" w:eastAsiaTheme="minorHAnsi" w:hAnsi="Times New Roman"/>
          <w:sz w:val="28"/>
          <w:szCs w:val="28"/>
        </w:rPr>
        <w:t>, c. 78]. Тому вважаємо за доцільне звернутися до закордонного досвіду управління ліквідністю комерційного банку.</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lastRenderedPageBreak/>
        <w:t xml:space="preserve">У більшості країн світу не існує однакових показників оцінки ліквідності банку. Усі показники та методи управління ліквідністю змінюються від банку до банку. У закордонній практиці за ознакою ліквідності всі активи поділяються на: </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 </w:t>
      </w:r>
      <w:r w:rsidRPr="006F3D75">
        <w:rPr>
          <w:rFonts w:ascii="Times New Roman" w:eastAsiaTheme="minorHAnsi" w:hAnsi="Times New Roman"/>
          <w:sz w:val="28"/>
          <w:szCs w:val="28"/>
          <w:u w:val="single"/>
        </w:rPr>
        <w:t>первинні резерви</w:t>
      </w:r>
      <w:r w:rsidRPr="006F3D75">
        <w:rPr>
          <w:rFonts w:ascii="Times New Roman" w:eastAsiaTheme="minorHAnsi" w:hAnsi="Times New Roman"/>
          <w:sz w:val="28"/>
          <w:szCs w:val="28"/>
        </w:rPr>
        <w:t>, до яких належать готівка у касі і кошти на кореспондентському рахунку в центральному банку;</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 </w:t>
      </w:r>
      <w:r w:rsidRPr="006F3D75">
        <w:rPr>
          <w:rFonts w:ascii="Times New Roman" w:eastAsiaTheme="minorHAnsi" w:hAnsi="Times New Roman"/>
          <w:sz w:val="28"/>
          <w:szCs w:val="28"/>
          <w:u w:val="single"/>
        </w:rPr>
        <w:t>вторинні резерви</w:t>
      </w:r>
      <w:r w:rsidRPr="006F3D75">
        <w:rPr>
          <w:rFonts w:ascii="Times New Roman" w:eastAsiaTheme="minorHAnsi" w:hAnsi="Times New Roman"/>
          <w:sz w:val="28"/>
          <w:szCs w:val="28"/>
        </w:rPr>
        <w:t xml:space="preserve">, до яких відносяться високоліквідні цінні папери, що призначені для продажу; цей вид активу доповнює первинний резерв у разі недостачі його ліквідних засобів; </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 </w:t>
      </w:r>
      <w:r w:rsidRPr="006F3D75">
        <w:rPr>
          <w:rFonts w:ascii="Times New Roman" w:eastAsiaTheme="minorHAnsi" w:hAnsi="Times New Roman"/>
          <w:sz w:val="28"/>
          <w:szCs w:val="28"/>
          <w:u w:val="single"/>
        </w:rPr>
        <w:t>позички та інші цінні папери</w:t>
      </w:r>
      <w:r w:rsidRPr="006F3D75">
        <w:rPr>
          <w:rFonts w:ascii="Times New Roman" w:eastAsiaTheme="minorHAnsi" w:hAnsi="Times New Roman"/>
          <w:sz w:val="28"/>
          <w:szCs w:val="28"/>
        </w:rPr>
        <w:t>, ліквідність яких нижча, ніж у п</w:t>
      </w:r>
      <w:r w:rsidR="009E7B3D">
        <w:rPr>
          <w:rFonts w:ascii="Times New Roman" w:eastAsiaTheme="minorHAnsi" w:hAnsi="Times New Roman"/>
          <w:sz w:val="28"/>
          <w:szCs w:val="28"/>
        </w:rPr>
        <w:t>опередніх двох видах активів [74</w:t>
      </w:r>
      <w:r w:rsidRPr="006F3D75">
        <w:rPr>
          <w:rFonts w:ascii="Times New Roman" w:eastAsiaTheme="minorHAnsi" w:hAnsi="Times New Roman"/>
          <w:sz w:val="28"/>
          <w:szCs w:val="28"/>
        </w:rPr>
        <w:t>, c.768].</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Для ефективного управління ліквідністю закордонна практика виробила певні вимоги до структури активів. Оптимальними для забезпечення стабільності, ліквідності і платоспроможності банку в різних країнах вважаються такі норми окремих видів активів. Так, наприклад:</w:t>
      </w:r>
    </w:p>
    <w:p w:rsidR="006F3D75" w:rsidRPr="006F3D75" w:rsidRDefault="006F3D75" w:rsidP="006F3D75">
      <w:pPr>
        <w:numPr>
          <w:ilvl w:val="0"/>
          <w:numId w:val="4"/>
        </w:numPr>
        <w:spacing w:after="0" w:line="360" w:lineRule="auto"/>
        <w:ind w:left="0" w:firstLine="709"/>
        <w:contextualSpacing/>
        <w:jc w:val="both"/>
        <w:rPr>
          <w:rFonts w:ascii="Times New Roman" w:eastAsiaTheme="minorHAnsi" w:hAnsi="Times New Roman"/>
          <w:sz w:val="28"/>
          <w:szCs w:val="28"/>
        </w:rPr>
      </w:pPr>
      <w:r w:rsidRPr="006F3D75">
        <w:rPr>
          <w:rFonts w:ascii="Times New Roman" w:eastAsiaTheme="minorHAnsi" w:hAnsi="Times New Roman"/>
          <w:sz w:val="28"/>
          <w:szCs w:val="28"/>
        </w:rPr>
        <w:t>США:</w:t>
      </w:r>
    </w:p>
    <w:p w:rsidR="006F3D75" w:rsidRPr="006F3D75" w:rsidRDefault="006F3D75" w:rsidP="006F3D75">
      <w:pPr>
        <w:spacing w:after="0" w:line="360" w:lineRule="auto"/>
        <w:ind w:firstLine="709"/>
        <w:contextualSpacing/>
        <w:jc w:val="both"/>
        <w:rPr>
          <w:rFonts w:ascii="Times New Roman" w:eastAsiaTheme="minorHAnsi" w:hAnsi="Times New Roman"/>
          <w:sz w:val="28"/>
          <w:szCs w:val="28"/>
        </w:rPr>
      </w:pPr>
      <w:r w:rsidRPr="006F3D75">
        <w:rPr>
          <w:rFonts w:ascii="Times New Roman" w:eastAsiaTheme="minorHAnsi" w:hAnsi="Times New Roman"/>
          <w:sz w:val="28"/>
          <w:szCs w:val="28"/>
        </w:rPr>
        <w:t>- первинні резерви (стосовно депозитів) - не менше 5-10%;</w:t>
      </w:r>
    </w:p>
    <w:p w:rsidR="006F3D75" w:rsidRPr="006F3D75" w:rsidRDefault="006F3D75" w:rsidP="006F3D75">
      <w:pPr>
        <w:spacing w:after="0" w:line="360" w:lineRule="auto"/>
        <w:ind w:firstLine="709"/>
        <w:contextualSpacing/>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 первинні і вторинні резерви (стосовно депозитів) - не менше 10-15%; </w:t>
      </w:r>
    </w:p>
    <w:p w:rsidR="006F3D75" w:rsidRPr="006F3D75" w:rsidRDefault="006F3D75" w:rsidP="006F3D75">
      <w:pPr>
        <w:spacing w:after="0" w:line="360" w:lineRule="auto"/>
        <w:ind w:firstLine="709"/>
        <w:contextualSpacing/>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 позички (стосовно активів) - не більше 65%; </w:t>
      </w:r>
    </w:p>
    <w:p w:rsidR="006F3D75" w:rsidRPr="006F3D75" w:rsidRDefault="006F3D75" w:rsidP="006F3D75">
      <w:pPr>
        <w:spacing w:after="0" w:line="360" w:lineRule="auto"/>
        <w:ind w:firstLine="709"/>
        <w:contextualSpacing/>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2) Японія: </w:t>
      </w:r>
    </w:p>
    <w:p w:rsidR="006F3D75" w:rsidRPr="006F3D75" w:rsidRDefault="006F3D75" w:rsidP="006F3D75">
      <w:pPr>
        <w:spacing w:after="0" w:line="360" w:lineRule="auto"/>
        <w:ind w:firstLine="709"/>
        <w:contextualSpacing/>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 ліквідні активи (первинні і вторинні резерви) стосовно депозитів - 30%; </w:t>
      </w:r>
    </w:p>
    <w:p w:rsidR="006F3D75" w:rsidRPr="006F3D75" w:rsidRDefault="006F3D75" w:rsidP="006F3D75">
      <w:pPr>
        <w:spacing w:after="0" w:line="360" w:lineRule="auto"/>
        <w:ind w:firstLine="709"/>
        <w:contextualSpacing/>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3) Франція: </w:t>
      </w:r>
    </w:p>
    <w:p w:rsidR="006F3D75" w:rsidRPr="006F3D75" w:rsidRDefault="006F3D75" w:rsidP="006F3D75">
      <w:pPr>
        <w:spacing w:after="0" w:line="360" w:lineRule="auto"/>
        <w:ind w:firstLine="709"/>
        <w:contextualSpacing/>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 ліквідні активи (активи з терміном погашення в найближчі 30 днів) стосовно зобов’язань до запитання і терміном погашення в найближчі 30 днів - 100% [59, c.768]; </w:t>
      </w:r>
    </w:p>
    <w:p w:rsidR="006F3D75" w:rsidRPr="006F3D75" w:rsidRDefault="006F3D75" w:rsidP="006F3D75">
      <w:pPr>
        <w:spacing w:after="0" w:line="360" w:lineRule="auto"/>
        <w:ind w:firstLine="709"/>
        <w:contextualSpacing/>
        <w:jc w:val="both"/>
        <w:rPr>
          <w:rFonts w:ascii="Times New Roman" w:eastAsiaTheme="minorHAnsi" w:hAnsi="Times New Roman"/>
          <w:sz w:val="28"/>
          <w:szCs w:val="28"/>
        </w:rPr>
      </w:pPr>
      <w:r w:rsidRPr="006F3D75">
        <w:rPr>
          <w:rFonts w:ascii="Times New Roman" w:eastAsiaTheme="minorHAnsi" w:hAnsi="Times New Roman"/>
          <w:sz w:val="28"/>
          <w:szCs w:val="28"/>
        </w:rPr>
        <w:t>- співвідношення суми активів, розміщених строком на 3 місяці, і суми депозитів до повернення, строкових депозитів та інших ресурсів, залучених на 3 місяці, - не менше 60% [</w:t>
      </w:r>
      <w:r w:rsidR="009E7B3D">
        <w:rPr>
          <w:rFonts w:ascii="Times New Roman" w:eastAsiaTheme="minorHAnsi" w:hAnsi="Times New Roman"/>
          <w:sz w:val="28"/>
          <w:szCs w:val="28"/>
        </w:rPr>
        <w:t>74</w:t>
      </w:r>
      <w:r w:rsidRPr="006F3D75">
        <w:rPr>
          <w:rFonts w:ascii="Times New Roman" w:eastAsiaTheme="minorHAnsi" w:hAnsi="Times New Roman"/>
          <w:sz w:val="28"/>
          <w:szCs w:val="28"/>
        </w:rPr>
        <w:t>, c.768].</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У багатьох країнах світу, як і в Україні, встановлені нормативи ліквідності, які є обов’язковими для виконання всіма банками та розраховуються за співвідношенням активних і пасивних статей балансу, які згруповані за строками, наприклад Японія, Франція, Великобританія, Росія, Німеччина тощо. </w:t>
      </w:r>
      <w:r w:rsidRPr="006F3D75">
        <w:rPr>
          <w:rFonts w:ascii="Times New Roman" w:eastAsiaTheme="minorHAnsi" w:hAnsi="Times New Roman"/>
          <w:sz w:val="28"/>
          <w:szCs w:val="28"/>
        </w:rPr>
        <w:lastRenderedPageBreak/>
        <w:t>Проте є і країни, в яких на законодавчому рівні не встановлені нормативів ліквідності. Наприклад, у США</w:t>
      </w:r>
      <w:r w:rsidRPr="006F3D75">
        <w:rPr>
          <w:rFonts w:asciiTheme="minorHAnsi" w:eastAsiaTheme="minorHAnsi" w:hAnsiTheme="minorHAnsi" w:cstheme="minorBidi"/>
        </w:rPr>
        <w:t xml:space="preserve"> </w:t>
      </w:r>
      <w:r w:rsidRPr="006F3D75">
        <w:rPr>
          <w:rFonts w:ascii="Times New Roman" w:eastAsiaTheme="minorHAnsi" w:hAnsi="Times New Roman"/>
          <w:sz w:val="28"/>
          <w:szCs w:val="28"/>
        </w:rPr>
        <w:t>банки розраховують для внутрішнього використання показники ліквідності, основними з яких є співвідношення: ліквідних активів і депозитів; ліквідних активів і всіх активів; строкових депозитів і загальної суми депозитів; зобов’язань за виданими кредитами і депозитами [</w:t>
      </w:r>
      <w:r w:rsidR="009E7B3D">
        <w:rPr>
          <w:rFonts w:ascii="Times New Roman" w:eastAsiaTheme="minorHAnsi" w:hAnsi="Times New Roman"/>
          <w:sz w:val="28"/>
          <w:szCs w:val="28"/>
        </w:rPr>
        <w:t>75</w:t>
      </w:r>
      <w:r w:rsidRPr="006F3D75">
        <w:rPr>
          <w:rFonts w:ascii="Times New Roman" w:eastAsiaTheme="minorHAnsi" w:hAnsi="Times New Roman"/>
          <w:sz w:val="28"/>
          <w:szCs w:val="28"/>
        </w:rPr>
        <w:t>, с. 711].</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Беручи до уваги те, що метод коефіцієнтів є одним з основних методів управління ліквідністю комерційного банку, який використовують не лише самі банки в цілях регулювання, але й центральні банки країн світу у формі встановлення обов’язкових економічних нормативів, приділимо увагу саме закордонному досвіду управління ліквідністю за допомогою коефіцієнтів [</w:t>
      </w:r>
      <w:r w:rsidR="009E7B3D">
        <w:rPr>
          <w:rFonts w:ascii="Times New Roman" w:eastAsiaTheme="minorHAnsi" w:hAnsi="Times New Roman"/>
          <w:sz w:val="28"/>
          <w:szCs w:val="28"/>
        </w:rPr>
        <w:t>74</w:t>
      </w:r>
      <w:r w:rsidRPr="006F3D75">
        <w:rPr>
          <w:rFonts w:ascii="Times New Roman" w:eastAsiaTheme="minorHAnsi" w:hAnsi="Times New Roman"/>
          <w:sz w:val="28"/>
          <w:szCs w:val="28"/>
        </w:rPr>
        <w:t xml:space="preserve">, c.768]. Застосування нормативів ліквідності у закордонних державах мають свої відмінності порівняно з Україною і між собою, та полягають у наступному: кількості показників, їх назві, </w:t>
      </w:r>
      <w:r w:rsidRPr="009E7B3D">
        <w:rPr>
          <w:rFonts w:ascii="Times New Roman" w:eastAsiaTheme="minorHAnsi" w:hAnsi="Times New Roman"/>
          <w:sz w:val="28"/>
          <w:szCs w:val="28"/>
        </w:rPr>
        <w:t>методології розрахунку, значеннях, підходах до застосування, періодичності розрахунку тощо</w:t>
      </w:r>
      <w:r w:rsidR="009E7B3D" w:rsidRPr="009E7B3D">
        <w:rPr>
          <w:rFonts w:ascii="Times New Roman" w:eastAsiaTheme="minorHAnsi" w:hAnsi="Times New Roman"/>
          <w:sz w:val="28"/>
          <w:szCs w:val="28"/>
        </w:rPr>
        <w:t xml:space="preserve"> </w:t>
      </w:r>
      <w:r w:rsidRPr="009E7B3D">
        <w:rPr>
          <w:rFonts w:ascii="Times New Roman" w:eastAsiaTheme="minorHAnsi" w:hAnsi="Times New Roman"/>
          <w:sz w:val="28"/>
          <w:szCs w:val="28"/>
        </w:rPr>
        <w:t>(див. табл</w:t>
      </w:r>
      <w:r w:rsidR="009E7B3D" w:rsidRPr="009E7B3D">
        <w:rPr>
          <w:rFonts w:ascii="Times New Roman" w:eastAsiaTheme="minorHAnsi" w:hAnsi="Times New Roman"/>
          <w:sz w:val="28"/>
          <w:szCs w:val="28"/>
        </w:rPr>
        <w:t>.</w:t>
      </w:r>
      <w:r w:rsidR="001272A6">
        <w:rPr>
          <w:rFonts w:ascii="Times New Roman" w:eastAsiaTheme="minorHAnsi" w:hAnsi="Times New Roman"/>
          <w:sz w:val="28"/>
          <w:szCs w:val="28"/>
        </w:rPr>
        <w:t xml:space="preserve"> 3.1</w:t>
      </w:r>
      <w:r w:rsidRPr="009E7B3D">
        <w:rPr>
          <w:rFonts w:ascii="Times New Roman" w:eastAsiaTheme="minorHAnsi" w:hAnsi="Times New Roman"/>
          <w:sz w:val="28"/>
          <w:szCs w:val="28"/>
        </w:rPr>
        <w:t>).</w:t>
      </w:r>
    </w:p>
    <w:p w:rsidR="009E7B3D" w:rsidRDefault="001272A6" w:rsidP="009E7B3D">
      <w:pPr>
        <w:spacing w:after="0" w:line="360" w:lineRule="auto"/>
        <w:ind w:firstLine="709"/>
        <w:jc w:val="right"/>
        <w:rPr>
          <w:rFonts w:ascii="Times New Roman" w:eastAsiaTheme="minorHAnsi" w:hAnsi="Times New Roman"/>
          <w:sz w:val="28"/>
          <w:szCs w:val="28"/>
        </w:rPr>
      </w:pPr>
      <w:r>
        <w:rPr>
          <w:rFonts w:ascii="Times New Roman" w:eastAsiaTheme="minorHAnsi" w:hAnsi="Times New Roman"/>
          <w:sz w:val="28"/>
          <w:szCs w:val="28"/>
        </w:rPr>
        <w:t>Таблиця 3.1</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 Нормативи ліквідності комерційних банків, які застосовуються в окремих країнах світу </w:t>
      </w:r>
    </w:p>
    <w:tbl>
      <w:tblPr>
        <w:tblStyle w:val="a5"/>
        <w:tblW w:w="0" w:type="auto"/>
        <w:jc w:val="center"/>
        <w:tblInd w:w="0" w:type="dxa"/>
        <w:tblLook w:val="04A0" w:firstRow="1" w:lastRow="0" w:firstColumn="1" w:lastColumn="0" w:noHBand="0" w:noVBand="1"/>
      </w:tblPr>
      <w:tblGrid>
        <w:gridCol w:w="1446"/>
        <w:gridCol w:w="2092"/>
        <w:gridCol w:w="3924"/>
        <w:gridCol w:w="2165"/>
      </w:tblGrid>
      <w:tr w:rsidR="006F3D75" w:rsidRPr="006F3D75" w:rsidTr="009E7B3D">
        <w:trPr>
          <w:jc w:val="center"/>
        </w:trPr>
        <w:tc>
          <w:tcPr>
            <w:tcW w:w="1446" w:type="dxa"/>
            <w:vAlign w:val="center"/>
          </w:tcPr>
          <w:p w:rsidR="006F3D75" w:rsidRPr="006F3D75" w:rsidRDefault="006F3D75" w:rsidP="006F3D75">
            <w:pPr>
              <w:spacing w:line="240" w:lineRule="auto"/>
              <w:jc w:val="center"/>
              <w:rPr>
                <w:rFonts w:ascii="Times New Roman" w:eastAsiaTheme="minorHAnsi" w:hAnsi="Times New Roman"/>
                <w:b/>
                <w:sz w:val="24"/>
                <w:szCs w:val="24"/>
              </w:rPr>
            </w:pPr>
            <w:r w:rsidRPr="006F3D75">
              <w:rPr>
                <w:rFonts w:ascii="Times New Roman" w:eastAsiaTheme="minorHAnsi" w:hAnsi="Times New Roman"/>
                <w:b/>
                <w:sz w:val="24"/>
                <w:szCs w:val="24"/>
              </w:rPr>
              <w:t>Країна</w:t>
            </w:r>
          </w:p>
        </w:tc>
        <w:tc>
          <w:tcPr>
            <w:tcW w:w="2092" w:type="dxa"/>
            <w:vAlign w:val="center"/>
          </w:tcPr>
          <w:p w:rsidR="006F3D75" w:rsidRPr="006F3D75" w:rsidRDefault="006F3D75" w:rsidP="006F3D75">
            <w:pPr>
              <w:spacing w:line="240" w:lineRule="auto"/>
              <w:jc w:val="center"/>
              <w:rPr>
                <w:rFonts w:ascii="Times New Roman" w:eastAsiaTheme="minorHAnsi" w:hAnsi="Times New Roman"/>
                <w:b/>
                <w:sz w:val="24"/>
                <w:szCs w:val="24"/>
              </w:rPr>
            </w:pPr>
            <w:r w:rsidRPr="006F3D75">
              <w:rPr>
                <w:rFonts w:ascii="Times New Roman" w:eastAsiaTheme="minorHAnsi" w:hAnsi="Times New Roman"/>
                <w:b/>
                <w:sz w:val="24"/>
                <w:szCs w:val="24"/>
              </w:rPr>
              <w:t>Показник</w:t>
            </w:r>
          </w:p>
        </w:tc>
        <w:tc>
          <w:tcPr>
            <w:tcW w:w="3924" w:type="dxa"/>
            <w:vAlign w:val="center"/>
          </w:tcPr>
          <w:p w:rsidR="006F3D75" w:rsidRPr="006F3D75" w:rsidRDefault="006F3D75" w:rsidP="006F3D75">
            <w:pPr>
              <w:spacing w:line="240" w:lineRule="auto"/>
              <w:jc w:val="center"/>
              <w:rPr>
                <w:rFonts w:ascii="Times New Roman" w:eastAsiaTheme="minorHAnsi" w:hAnsi="Times New Roman"/>
                <w:b/>
                <w:sz w:val="24"/>
                <w:szCs w:val="24"/>
              </w:rPr>
            </w:pPr>
            <w:r w:rsidRPr="006F3D75">
              <w:rPr>
                <w:rFonts w:ascii="Times New Roman" w:eastAsiaTheme="minorHAnsi" w:hAnsi="Times New Roman"/>
                <w:b/>
                <w:sz w:val="24"/>
                <w:szCs w:val="24"/>
              </w:rPr>
              <w:t>Алгоритм розрахунку</w:t>
            </w:r>
          </w:p>
        </w:tc>
        <w:tc>
          <w:tcPr>
            <w:tcW w:w="2165" w:type="dxa"/>
            <w:vAlign w:val="center"/>
          </w:tcPr>
          <w:p w:rsidR="006F3D75" w:rsidRPr="006F3D75" w:rsidRDefault="006F3D75" w:rsidP="006F3D75">
            <w:pPr>
              <w:spacing w:line="240" w:lineRule="auto"/>
              <w:jc w:val="center"/>
              <w:rPr>
                <w:rFonts w:ascii="Times New Roman" w:eastAsiaTheme="minorHAnsi" w:hAnsi="Times New Roman"/>
                <w:b/>
                <w:sz w:val="24"/>
                <w:szCs w:val="24"/>
              </w:rPr>
            </w:pPr>
            <w:r w:rsidRPr="006F3D75">
              <w:rPr>
                <w:rFonts w:ascii="Times New Roman" w:eastAsiaTheme="minorHAnsi" w:hAnsi="Times New Roman"/>
                <w:b/>
                <w:sz w:val="24"/>
                <w:szCs w:val="24"/>
              </w:rPr>
              <w:t>Нормативне значення, %</w:t>
            </w:r>
          </w:p>
        </w:tc>
      </w:tr>
      <w:tr w:rsidR="006F3D75" w:rsidRPr="006F3D75" w:rsidTr="009E7B3D">
        <w:trPr>
          <w:jc w:val="center"/>
        </w:trPr>
        <w:tc>
          <w:tcPr>
            <w:tcW w:w="1446" w:type="dxa"/>
            <w:vAlign w:val="center"/>
          </w:tcPr>
          <w:p w:rsidR="006F3D75" w:rsidRPr="006F3D75" w:rsidRDefault="006F3D75" w:rsidP="006F3D75">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Японія</w:t>
            </w:r>
          </w:p>
        </w:tc>
        <w:tc>
          <w:tcPr>
            <w:tcW w:w="2092" w:type="dxa"/>
            <w:vAlign w:val="center"/>
          </w:tcPr>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Норматив</w:t>
            </w:r>
          </w:p>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ліквідності</w:t>
            </w:r>
          </w:p>
        </w:tc>
        <w:tc>
          <w:tcPr>
            <w:tcW w:w="3924" w:type="dxa"/>
            <w:vAlign w:val="center"/>
          </w:tcPr>
          <w:p w:rsidR="006F3D75" w:rsidRPr="006F3D75" w:rsidRDefault="006F3D75" w:rsidP="006F3D75">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Співвідношення суми коштів на коррахунку в Центральному банку та в касі, державних цінних паперів і загальної суми залучених депозитів</w:t>
            </w:r>
          </w:p>
        </w:tc>
        <w:tc>
          <w:tcPr>
            <w:tcW w:w="2165" w:type="dxa"/>
            <w:vAlign w:val="center"/>
          </w:tcPr>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&gt; 30</w:t>
            </w:r>
          </w:p>
        </w:tc>
      </w:tr>
      <w:tr w:rsidR="006F3D75" w:rsidRPr="006F3D75" w:rsidTr="009E7B3D">
        <w:trPr>
          <w:jc w:val="center"/>
        </w:trPr>
        <w:tc>
          <w:tcPr>
            <w:tcW w:w="1446" w:type="dxa"/>
            <w:vAlign w:val="center"/>
          </w:tcPr>
          <w:p w:rsidR="006F3D75" w:rsidRPr="006F3D75" w:rsidRDefault="006F3D75" w:rsidP="006F3D75">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 xml:space="preserve">Франція </w:t>
            </w:r>
          </w:p>
        </w:tc>
        <w:tc>
          <w:tcPr>
            <w:tcW w:w="2092" w:type="dxa"/>
            <w:vAlign w:val="center"/>
          </w:tcPr>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Норматив ліквідності</w:t>
            </w:r>
          </w:p>
        </w:tc>
        <w:tc>
          <w:tcPr>
            <w:tcW w:w="3924" w:type="dxa"/>
            <w:vAlign w:val="center"/>
          </w:tcPr>
          <w:p w:rsidR="006F3D75" w:rsidRPr="006F3D75" w:rsidRDefault="006F3D75" w:rsidP="006F3D75">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Співвідношення активів, розміщених терміном до трьох місяців, до депозитів до запитання, строкових депозитів та</w:t>
            </w:r>
          </w:p>
          <w:p w:rsidR="006F3D75" w:rsidRPr="006F3D75" w:rsidRDefault="006F3D75" w:rsidP="006F3D75">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інших коштів, залучених на три місяці</w:t>
            </w:r>
          </w:p>
        </w:tc>
        <w:tc>
          <w:tcPr>
            <w:tcW w:w="2165" w:type="dxa"/>
            <w:vAlign w:val="center"/>
          </w:tcPr>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Щоквартально</w:t>
            </w:r>
          </w:p>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&gt; 60</w:t>
            </w:r>
          </w:p>
        </w:tc>
      </w:tr>
      <w:tr w:rsidR="006F3D75" w:rsidRPr="006F3D75" w:rsidTr="009E7B3D">
        <w:trPr>
          <w:jc w:val="center"/>
        </w:trPr>
        <w:tc>
          <w:tcPr>
            <w:tcW w:w="1446" w:type="dxa"/>
            <w:vAlign w:val="center"/>
          </w:tcPr>
          <w:p w:rsidR="006F3D75" w:rsidRPr="006F3D75" w:rsidRDefault="006F3D75" w:rsidP="006F3D75">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Велика Британія</w:t>
            </w:r>
          </w:p>
        </w:tc>
        <w:tc>
          <w:tcPr>
            <w:tcW w:w="2092" w:type="dxa"/>
            <w:vAlign w:val="center"/>
          </w:tcPr>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Норматив ліквідності</w:t>
            </w:r>
          </w:p>
        </w:tc>
        <w:tc>
          <w:tcPr>
            <w:tcW w:w="3924" w:type="dxa"/>
            <w:vAlign w:val="center"/>
          </w:tcPr>
          <w:p w:rsidR="006F3D75" w:rsidRPr="006F3D75" w:rsidRDefault="006F3D75" w:rsidP="006F3D75">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Співвідношення готівкових коштів, залишків на рахунку Ностро, депозитів до запитання і терміном на один день,</w:t>
            </w:r>
          </w:p>
          <w:p w:rsidR="006F3D75" w:rsidRPr="006F3D75" w:rsidRDefault="006F3D75" w:rsidP="006F3D75">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цінних паперів та придатних до переобліку векселів до залучених коштів</w:t>
            </w:r>
          </w:p>
        </w:tc>
        <w:tc>
          <w:tcPr>
            <w:tcW w:w="2165" w:type="dxa"/>
            <w:vAlign w:val="center"/>
          </w:tcPr>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 xml:space="preserve">Щомісячно </w:t>
            </w:r>
          </w:p>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&gt; 12,5</w:t>
            </w:r>
          </w:p>
        </w:tc>
      </w:tr>
    </w:tbl>
    <w:p w:rsidR="009E7B3D" w:rsidRDefault="009E7B3D" w:rsidP="006F3D75">
      <w:pPr>
        <w:spacing w:after="0" w:line="360" w:lineRule="auto"/>
        <w:jc w:val="both"/>
        <w:rPr>
          <w:rFonts w:ascii="Times New Roman" w:eastAsiaTheme="minorHAnsi" w:hAnsi="Times New Roman"/>
          <w:sz w:val="28"/>
          <w:szCs w:val="28"/>
        </w:rPr>
      </w:pPr>
    </w:p>
    <w:p w:rsidR="009E7B3D" w:rsidRDefault="009E7B3D" w:rsidP="009E7B3D">
      <w:pPr>
        <w:spacing w:after="0" w:line="360" w:lineRule="auto"/>
        <w:jc w:val="right"/>
        <w:rPr>
          <w:rFonts w:ascii="Times New Roman" w:eastAsiaTheme="minorHAnsi" w:hAnsi="Times New Roman"/>
          <w:sz w:val="28"/>
          <w:szCs w:val="28"/>
        </w:rPr>
      </w:pPr>
      <w:r w:rsidRPr="006F3D75">
        <w:rPr>
          <w:rFonts w:ascii="Times New Roman" w:eastAsiaTheme="minorHAnsi" w:hAnsi="Times New Roman"/>
          <w:sz w:val="28"/>
          <w:szCs w:val="28"/>
        </w:rPr>
        <w:lastRenderedPageBreak/>
        <w:t>Продовження таб</w:t>
      </w:r>
      <w:r w:rsidR="001272A6">
        <w:rPr>
          <w:rFonts w:ascii="Times New Roman" w:eastAsiaTheme="minorHAnsi" w:hAnsi="Times New Roman"/>
          <w:sz w:val="28"/>
          <w:szCs w:val="28"/>
        </w:rPr>
        <w:t>лиці 3.1</w:t>
      </w:r>
    </w:p>
    <w:tbl>
      <w:tblPr>
        <w:tblStyle w:val="a5"/>
        <w:tblW w:w="0" w:type="auto"/>
        <w:jc w:val="center"/>
        <w:tblInd w:w="0" w:type="dxa"/>
        <w:tblLook w:val="04A0" w:firstRow="1" w:lastRow="0" w:firstColumn="1" w:lastColumn="0" w:noHBand="0" w:noVBand="1"/>
      </w:tblPr>
      <w:tblGrid>
        <w:gridCol w:w="1446"/>
        <w:gridCol w:w="2092"/>
        <w:gridCol w:w="3924"/>
        <w:gridCol w:w="2165"/>
      </w:tblGrid>
      <w:tr w:rsidR="009E7B3D" w:rsidRPr="006F3D75" w:rsidTr="009E7B3D">
        <w:trPr>
          <w:jc w:val="center"/>
        </w:trPr>
        <w:tc>
          <w:tcPr>
            <w:tcW w:w="1446" w:type="dxa"/>
            <w:vAlign w:val="center"/>
          </w:tcPr>
          <w:p w:rsidR="009E7B3D" w:rsidRPr="006F3D75" w:rsidRDefault="009E7B3D" w:rsidP="00D20772">
            <w:pPr>
              <w:spacing w:line="240" w:lineRule="auto"/>
              <w:jc w:val="center"/>
              <w:rPr>
                <w:rFonts w:ascii="Times New Roman" w:eastAsiaTheme="minorHAnsi" w:hAnsi="Times New Roman"/>
                <w:b/>
                <w:sz w:val="24"/>
                <w:szCs w:val="24"/>
              </w:rPr>
            </w:pPr>
            <w:r w:rsidRPr="006F3D75">
              <w:rPr>
                <w:rFonts w:ascii="Times New Roman" w:eastAsiaTheme="minorHAnsi" w:hAnsi="Times New Roman"/>
                <w:b/>
                <w:sz w:val="24"/>
                <w:szCs w:val="24"/>
              </w:rPr>
              <w:t>Країна</w:t>
            </w:r>
          </w:p>
        </w:tc>
        <w:tc>
          <w:tcPr>
            <w:tcW w:w="2092" w:type="dxa"/>
            <w:vAlign w:val="center"/>
          </w:tcPr>
          <w:p w:rsidR="009E7B3D" w:rsidRPr="006F3D75" w:rsidRDefault="009E7B3D" w:rsidP="00D20772">
            <w:pPr>
              <w:spacing w:line="240" w:lineRule="auto"/>
              <w:jc w:val="center"/>
              <w:rPr>
                <w:rFonts w:ascii="Times New Roman" w:eastAsiaTheme="minorHAnsi" w:hAnsi="Times New Roman"/>
                <w:b/>
                <w:sz w:val="24"/>
                <w:szCs w:val="24"/>
              </w:rPr>
            </w:pPr>
            <w:r w:rsidRPr="006F3D75">
              <w:rPr>
                <w:rFonts w:ascii="Times New Roman" w:eastAsiaTheme="minorHAnsi" w:hAnsi="Times New Roman"/>
                <w:b/>
                <w:sz w:val="24"/>
                <w:szCs w:val="24"/>
              </w:rPr>
              <w:t>Показник</w:t>
            </w:r>
          </w:p>
        </w:tc>
        <w:tc>
          <w:tcPr>
            <w:tcW w:w="3924" w:type="dxa"/>
            <w:vAlign w:val="center"/>
          </w:tcPr>
          <w:p w:rsidR="009E7B3D" w:rsidRPr="006F3D75" w:rsidRDefault="009E7B3D" w:rsidP="00D20772">
            <w:pPr>
              <w:spacing w:line="240" w:lineRule="auto"/>
              <w:jc w:val="center"/>
              <w:rPr>
                <w:rFonts w:ascii="Times New Roman" w:eastAsiaTheme="minorHAnsi" w:hAnsi="Times New Roman"/>
                <w:b/>
                <w:sz w:val="24"/>
                <w:szCs w:val="24"/>
              </w:rPr>
            </w:pPr>
            <w:r w:rsidRPr="006F3D75">
              <w:rPr>
                <w:rFonts w:ascii="Times New Roman" w:eastAsiaTheme="minorHAnsi" w:hAnsi="Times New Roman"/>
                <w:b/>
                <w:sz w:val="24"/>
                <w:szCs w:val="24"/>
              </w:rPr>
              <w:t>Алгоритм розрахунку</w:t>
            </w:r>
          </w:p>
        </w:tc>
        <w:tc>
          <w:tcPr>
            <w:tcW w:w="2165" w:type="dxa"/>
            <w:vAlign w:val="center"/>
          </w:tcPr>
          <w:p w:rsidR="009E7B3D" w:rsidRPr="006F3D75" w:rsidRDefault="009E7B3D" w:rsidP="00D20772">
            <w:pPr>
              <w:spacing w:line="240" w:lineRule="auto"/>
              <w:jc w:val="center"/>
              <w:rPr>
                <w:rFonts w:ascii="Times New Roman" w:eastAsiaTheme="minorHAnsi" w:hAnsi="Times New Roman"/>
                <w:b/>
                <w:sz w:val="24"/>
                <w:szCs w:val="24"/>
              </w:rPr>
            </w:pPr>
            <w:r w:rsidRPr="006F3D75">
              <w:rPr>
                <w:rFonts w:ascii="Times New Roman" w:eastAsiaTheme="minorHAnsi" w:hAnsi="Times New Roman"/>
                <w:b/>
                <w:sz w:val="24"/>
                <w:szCs w:val="24"/>
              </w:rPr>
              <w:t>Нормативне значення, %</w:t>
            </w:r>
          </w:p>
        </w:tc>
      </w:tr>
      <w:tr w:rsidR="009E7B3D" w:rsidRPr="006F3D75" w:rsidTr="009E7B3D">
        <w:trPr>
          <w:jc w:val="center"/>
        </w:trPr>
        <w:tc>
          <w:tcPr>
            <w:tcW w:w="1446" w:type="dxa"/>
            <w:vMerge w:val="restart"/>
            <w:vAlign w:val="center"/>
          </w:tcPr>
          <w:p w:rsidR="009E7B3D" w:rsidRPr="006F3D75" w:rsidRDefault="009E7B3D" w:rsidP="00D20772">
            <w:pPr>
              <w:spacing w:line="36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Німеччина</w:t>
            </w:r>
          </w:p>
        </w:tc>
        <w:tc>
          <w:tcPr>
            <w:tcW w:w="2092" w:type="dxa"/>
            <w:vAlign w:val="center"/>
          </w:tcPr>
          <w:p w:rsidR="009E7B3D" w:rsidRPr="006F3D75" w:rsidRDefault="009E7B3D" w:rsidP="00D20772">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Норматив короткострокової</w:t>
            </w:r>
          </w:p>
          <w:p w:rsidR="009E7B3D" w:rsidRPr="006F3D75" w:rsidRDefault="009E7B3D" w:rsidP="00D20772">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ліквідності</w:t>
            </w:r>
          </w:p>
        </w:tc>
        <w:tc>
          <w:tcPr>
            <w:tcW w:w="3924" w:type="dxa"/>
            <w:vAlign w:val="center"/>
          </w:tcPr>
          <w:p w:rsidR="009E7B3D" w:rsidRPr="006F3D75" w:rsidRDefault="009E7B3D" w:rsidP="00D20772">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Співвідношення короткострокових і середньострокових вкладень (до чотирьох років) до залучених ресурсів до чотирьох років та ощадних вкладів</w:t>
            </w:r>
          </w:p>
        </w:tc>
        <w:tc>
          <w:tcPr>
            <w:tcW w:w="2165" w:type="dxa"/>
            <w:vAlign w:val="center"/>
          </w:tcPr>
          <w:p w:rsidR="009E7B3D" w:rsidRPr="006F3D75" w:rsidRDefault="009E7B3D" w:rsidP="00D20772">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Щомісячно 100</w:t>
            </w:r>
          </w:p>
        </w:tc>
      </w:tr>
      <w:tr w:rsidR="009E7B3D" w:rsidRPr="006F3D75" w:rsidTr="009E7B3D">
        <w:trPr>
          <w:jc w:val="center"/>
        </w:trPr>
        <w:tc>
          <w:tcPr>
            <w:tcW w:w="1446" w:type="dxa"/>
            <w:vMerge/>
          </w:tcPr>
          <w:p w:rsidR="009E7B3D" w:rsidRPr="006F3D75" w:rsidRDefault="009E7B3D" w:rsidP="00D20772">
            <w:pPr>
              <w:spacing w:line="360" w:lineRule="auto"/>
              <w:jc w:val="both"/>
              <w:rPr>
                <w:rFonts w:ascii="Times New Roman" w:eastAsiaTheme="minorHAnsi" w:hAnsi="Times New Roman"/>
                <w:sz w:val="28"/>
                <w:szCs w:val="28"/>
              </w:rPr>
            </w:pPr>
          </w:p>
        </w:tc>
        <w:tc>
          <w:tcPr>
            <w:tcW w:w="2092" w:type="dxa"/>
            <w:vAlign w:val="center"/>
          </w:tcPr>
          <w:p w:rsidR="009E7B3D" w:rsidRPr="006F3D75" w:rsidRDefault="009E7B3D" w:rsidP="00D20772">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Норматив довгострокової</w:t>
            </w:r>
          </w:p>
          <w:p w:rsidR="009E7B3D" w:rsidRPr="006F3D75" w:rsidRDefault="009E7B3D" w:rsidP="00D20772">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ліквідності</w:t>
            </w:r>
          </w:p>
        </w:tc>
        <w:tc>
          <w:tcPr>
            <w:tcW w:w="3924" w:type="dxa"/>
            <w:vAlign w:val="center"/>
          </w:tcPr>
          <w:p w:rsidR="009E7B3D" w:rsidRPr="006F3D75" w:rsidRDefault="009E7B3D" w:rsidP="00D20772">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Співвідношення довгострокових активів терміном розміщення понад чотири роки до залучених коштів терміном понад чотири роки</w:t>
            </w:r>
          </w:p>
        </w:tc>
        <w:tc>
          <w:tcPr>
            <w:tcW w:w="2165" w:type="dxa"/>
            <w:vAlign w:val="center"/>
          </w:tcPr>
          <w:p w:rsidR="009E7B3D" w:rsidRPr="006F3D75" w:rsidRDefault="009E7B3D" w:rsidP="00D20772">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Щомісячно100</w:t>
            </w:r>
          </w:p>
        </w:tc>
      </w:tr>
      <w:tr w:rsidR="006F3D75" w:rsidRPr="006F3D75" w:rsidTr="009E7B3D">
        <w:trPr>
          <w:jc w:val="center"/>
        </w:trPr>
        <w:tc>
          <w:tcPr>
            <w:tcW w:w="1446" w:type="dxa"/>
            <w:vMerge w:val="restart"/>
            <w:vAlign w:val="center"/>
          </w:tcPr>
          <w:p w:rsidR="006F3D75" w:rsidRPr="006F3D75" w:rsidRDefault="006F3D75" w:rsidP="006F3D75">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Росія</w:t>
            </w:r>
          </w:p>
        </w:tc>
        <w:tc>
          <w:tcPr>
            <w:tcW w:w="2092" w:type="dxa"/>
            <w:vAlign w:val="center"/>
          </w:tcPr>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Норматив миттєвої ліквідності</w:t>
            </w:r>
          </w:p>
        </w:tc>
        <w:tc>
          <w:tcPr>
            <w:tcW w:w="3924" w:type="dxa"/>
            <w:vAlign w:val="center"/>
          </w:tcPr>
          <w:p w:rsidR="006F3D75" w:rsidRPr="006F3D75" w:rsidRDefault="006F3D75" w:rsidP="006F3D75">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Співвідношення суми високоліквідних активів до суми</w:t>
            </w:r>
          </w:p>
          <w:p w:rsidR="006F3D75" w:rsidRPr="006F3D75" w:rsidRDefault="006F3D75" w:rsidP="006F3D75">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зобов’язань по рахунках до запитання</w:t>
            </w:r>
          </w:p>
        </w:tc>
        <w:tc>
          <w:tcPr>
            <w:tcW w:w="2165" w:type="dxa"/>
            <w:vAlign w:val="center"/>
          </w:tcPr>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Щоденно ≥15</w:t>
            </w:r>
          </w:p>
        </w:tc>
      </w:tr>
      <w:tr w:rsidR="006F3D75" w:rsidRPr="006F3D75" w:rsidTr="009E7B3D">
        <w:trPr>
          <w:jc w:val="center"/>
        </w:trPr>
        <w:tc>
          <w:tcPr>
            <w:tcW w:w="1446" w:type="dxa"/>
            <w:vMerge/>
          </w:tcPr>
          <w:p w:rsidR="006F3D75" w:rsidRPr="006F3D75" w:rsidRDefault="006F3D75" w:rsidP="006F3D75">
            <w:pPr>
              <w:spacing w:line="360" w:lineRule="auto"/>
              <w:jc w:val="both"/>
              <w:rPr>
                <w:rFonts w:ascii="Times New Roman" w:eastAsiaTheme="minorHAnsi" w:hAnsi="Times New Roman"/>
                <w:sz w:val="28"/>
                <w:szCs w:val="28"/>
              </w:rPr>
            </w:pPr>
          </w:p>
        </w:tc>
        <w:tc>
          <w:tcPr>
            <w:tcW w:w="2092" w:type="dxa"/>
            <w:vAlign w:val="center"/>
          </w:tcPr>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Норматив поточної ліквідності</w:t>
            </w:r>
          </w:p>
        </w:tc>
        <w:tc>
          <w:tcPr>
            <w:tcW w:w="3924" w:type="dxa"/>
            <w:vAlign w:val="center"/>
          </w:tcPr>
          <w:p w:rsidR="006F3D75" w:rsidRPr="006F3D75" w:rsidRDefault="006F3D75" w:rsidP="006F3D75">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 xml:space="preserve">Співвідношення суми ліквідних активів до суми зобов’язань по рахунках до запитання і на термін до 30 днів </w:t>
            </w:r>
          </w:p>
        </w:tc>
        <w:tc>
          <w:tcPr>
            <w:tcW w:w="2165" w:type="dxa"/>
            <w:vAlign w:val="center"/>
          </w:tcPr>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Щомісячно ≥ 50</w:t>
            </w:r>
          </w:p>
        </w:tc>
      </w:tr>
      <w:tr w:rsidR="006F3D75" w:rsidRPr="006F3D75" w:rsidTr="009E7B3D">
        <w:trPr>
          <w:jc w:val="center"/>
        </w:trPr>
        <w:tc>
          <w:tcPr>
            <w:tcW w:w="1446" w:type="dxa"/>
            <w:vMerge/>
          </w:tcPr>
          <w:p w:rsidR="006F3D75" w:rsidRPr="006F3D75" w:rsidRDefault="006F3D75" w:rsidP="006F3D75">
            <w:pPr>
              <w:spacing w:line="360" w:lineRule="auto"/>
              <w:jc w:val="both"/>
              <w:rPr>
                <w:rFonts w:ascii="Times New Roman" w:eastAsiaTheme="minorHAnsi" w:hAnsi="Times New Roman"/>
                <w:sz w:val="28"/>
                <w:szCs w:val="28"/>
              </w:rPr>
            </w:pPr>
          </w:p>
        </w:tc>
        <w:tc>
          <w:tcPr>
            <w:tcW w:w="2092" w:type="dxa"/>
            <w:vAlign w:val="center"/>
          </w:tcPr>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Норматив довгострокової</w:t>
            </w:r>
          </w:p>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ліквідності</w:t>
            </w:r>
          </w:p>
        </w:tc>
        <w:tc>
          <w:tcPr>
            <w:tcW w:w="3924" w:type="dxa"/>
            <w:vAlign w:val="center"/>
          </w:tcPr>
          <w:p w:rsidR="006F3D75" w:rsidRPr="006F3D75" w:rsidRDefault="006F3D75" w:rsidP="006F3D75">
            <w:pPr>
              <w:spacing w:line="240" w:lineRule="auto"/>
              <w:jc w:val="both"/>
              <w:rPr>
                <w:rFonts w:ascii="Times New Roman" w:eastAsiaTheme="minorHAnsi" w:hAnsi="Times New Roman"/>
                <w:sz w:val="24"/>
                <w:szCs w:val="24"/>
              </w:rPr>
            </w:pPr>
            <w:r w:rsidRPr="006F3D75">
              <w:rPr>
                <w:rFonts w:ascii="Times New Roman" w:eastAsiaTheme="minorHAnsi" w:hAnsi="Times New Roman"/>
                <w:sz w:val="24"/>
                <w:szCs w:val="24"/>
              </w:rPr>
              <w:t>Співвідношення кредитних вимог банку із терміном погашення понад 366 днів до власного капіталу банку та зобов’язань банку з терміном до дати погашення понад 366 днів</w:t>
            </w:r>
          </w:p>
        </w:tc>
        <w:tc>
          <w:tcPr>
            <w:tcW w:w="2165" w:type="dxa"/>
            <w:vAlign w:val="center"/>
          </w:tcPr>
          <w:p w:rsidR="006F3D75" w:rsidRPr="006F3D75" w:rsidRDefault="006F3D75" w:rsidP="006F3D75">
            <w:pPr>
              <w:spacing w:line="240" w:lineRule="auto"/>
              <w:jc w:val="center"/>
              <w:rPr>
                <w:rFonts w:ascii="Times New Roman" w:eastAsiaTheme="minorHAnsi" w:hAnsi="Times New Roman"/>
                <w:sz w:val="24"/>
                <w:szCs w:val="24"/>
              </w:rPr>
            </w:pPr>
            <w:r w:rsidRPr="006F3D75">
              <w:rPr>
                <w:rFonts w:ascii="Times New Roman" w:eastAsiaTheme="minorHAnsi" w:hAnsi="Times New Roman"/>
                <w:sz w:val="24"/>
                <w:szCs w:val="24"/>
              </w:rPr>
              <w:t>Щомісячно ≤120</w:t>
            </w:r>
          </w:p>
        </w:tc>
      </w:tr>
    </w:tbl>
    <w:p w:rsidR="009E7B3D" w:rsidRPr="00107C68" w:rsidRDefault="009E7B3D" w:rsidP="006F3D75">
      <w:pPr>
        <w:spacing w:before="120" w:after="0" w:line="360" w:lineRule="auto"/>
        <w:ind w:firstLine="709"/>
        <w:jc w:val="both"/>
        <w:rPr>
          <w:rFonts w:ascii="Times New Roman" w:eastAsiaTheme="minorHAnsi" w:hAnsi="Times New Roman"/>
          <w:sz w:val="24"/>
          <w:szCs w:val="24"/>
        </w:rPr>
      </w:pPr>
      <w:r w:rsidRPr="00107C68">
        <w:rPr>
          <w:rFonts w:ascii="Times New Roman" w:eastAsiaTheme="minorHAnsi" w:hAnsi="Times New Roman"/>
          <w:sz w:val="24"/>
          <w:szCs w:val="24"/>
        </w:rPr>
        <w:t>Джерело: [</w:t>
      </w:r>
      <w:r w:rsidR="00107C68" w:rsidRPr="00107C68">
        <w:rPr>
          <w:rFonts w:ascii="Times New Roman" w:eastAsiaTheme="minorHAnsi" w:hAnsi="Times New Roman"/>
          <w:sz w:val="24"/>
          <w:szCs w:val="24"/>
        </w:rPr>
        <w:t>75</w:t>
      </w:r>
      <w:r w:rsidRPr="00107C68">
        <w:rPr>
          <w:rFonts w:ascii="Times New Roman" w:eastAsiaTheme="minorHAnsi" w:hAnsi="Times New Roman"/>
          <w:sz w:val="24"/>
          <w:szCs w:val="24"/>
        </w:rPr>
        <w:t xml:space="preserve">, с. 711; </w:t>
      </w:r>
      <w:r w:rsidR="00107C68" w:rsidRPr="00107C68">
        <w:rPr>
          <w:rFonts w:ascii="Times New Roman" w:eastAsiaTheme="minorHAnsi" w:hAnsi="Times New Roman"/>
          <w:sz w:val="24"/>
          <w:szCs w:val="24"/>
        </w:rPr>
        <w:t>76</w:t>
      </w:r>
      <w:r w:rsidRPr="00107C68">
        <w:rPr>
          <w:rFonts w:ascii="Times New Roman" w:eastAsiaTheme="minorHAnsi" w:hAnsi="Times New Roman"/>
          <w:sz w:val="24"/>
          <w:szCs w:val="24"/>
        </w:rPr>
        <w:t>, с. 318–319]</w:t>
      </w:r>
    </w:p>
    <w:p w:rsidR="006F3D75" w:rsidRPr="006F3D75" w:rsidRDefault="006F3D75" w:rsidP="006F3D75">
      <w:pPr>
        <w:spacing w:before="120"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 xml:space="preserve">Банківські установи деяких країн не обмежуються лише нормативними показниками ліквідності, адже для власних потреб вони можуть розраховувати інші показники ліквідності балансу банку. Наприклад, у Великій Британії для аналізу та контролю за своєю діяльністю комерційні банки розраховують такі показники ліквідності, за якими немає необхідності звітувати. Вони обчислюються як співвідношення суми активів до суми зобов’язань зі строком розміщення активів і погашення зобов’язань до одного та до шести місяців. У США досвід оцінювання ліквідності комерційними банками є напрочуд цікавим. Центральний банк США не вимагає від комерційних банків чіткого дотримання встановлених законодавством нормативів ліквідності. Банки розраховують для внутрішнього використання показники ліквідності, основними з яких є співвідношення: ліквідних активів і депозитів; ліквідних активів і всіх активів; строкових депозитів і загальної суми депозитів; зобов’язань за виданими кредитами і депозитами. Під час проведення аналізу ліквідності методи змінюються залежно від ринку, на якому функціонує банк, типу або виду </w:t>
      </w:r>
      <w:r w:rsidRPr="006F3D75">
        <w:rPr>
          <w:rFonts w:ascii="Times New Roman" w:eastAsiaTheme="minorHAnsi" w:hAnsi="Times New Roman"/>
          <w:sz w:val="28"/>
          <w:szCs w:val="28"/>
        </w:rPr>
        <w:lastRenderedPageBreak/>
        <w:t>комерційного банку, змісту і різноманіття банківських продуктів та послуг. Одним із завдань, що постає перед керівництвом самих банківських установ, є розробка та підтримка системи показників ліквідності [</w:t>
      </w:r>
      <w:r w:rsidR="00081DE6">
        <w:rPr>
          <w:rFonts w:ascii="Times New Roman" w:eastAsiaTheme="minorHAnsi" w:hAnsi="Times New Roman"/>
          <w:sz w:val="28"/>
          <w:szCs w:val="28"/>
        </w:rPr>
        <w:t>42</w:t>
      </w:r>
      <w:r w:rsidRPr="006F3D75">
        <w:rPr>
          <w:rFonts w:ascii="Times New Roman" w:eastAsiaTheme="minorHAnsi" w:hAnsi="Times New Roman"/>
          <w:sz w:val="28"/>
          <w:szCs w:val="28"/>
        </w:rPr>
        <w:t>, с. 106].</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Нині в американській практиці не передбачено обов’язкових формул оцінки ліквідності різноманітних банків. Під час проведення аналізу ліквідності методи змінюються залежно від ринку, на якому функціонує банк, типу або виду комерційного банку, змісту і різноманіття банківських продуктів та послуг [</w:t>
      </w:r>
      <w:r w:rsidR="005656CD">
        <w:rPr>
          <w:rFonts w:ascii="Times New Roman" w:eastAsiaTheme="minorHAnsi" w:hAnsi="Times New Roman"/>
          <w:sz w:val="28"/>
          <w:szCs w:val="28"/>
        </w:rPr>
        <w:t>76</w:t>
      </w:r>
      <w:r w:rsidRPr="006F3D75">
        <w:rPr>
          <w:rFonts w:ascii="Times New Roman" w:eastAsiaTheme="minorHAnsi" w:hAnsi="Times New Roman"/>
          <w:sz w:val="28"/>
          <w:szCs w:val="28"/>
        </w:rPr>
        <w:t>, c. 173].</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В певних розвинених країнах світу, наприклад у США, управління ризиком ґрунтується на визначенні недостачі або надлишку ліквідності. Для цього усю суму активів за певний період порівнюють із сумою пасивів відповідного періоду, дефіцит або надлишок ліквідності визначають за періодами і наростаючим підсумком. Наступним етапом аналізу є зіставлення суми дефіциту чи надлишку з граничним рівнем, що визначив банк. Тобто йдеться про геп-аналіз, який використовується комерційними банками України для управління ризиком ліквідності [</w:t>
      </w:r>
      <w:r w:rsidR="005C25FD">
        <w:rPr>
          <w:rFonts w:ascii="Times New Roman" w:eastAsiaTheme="minorHAnsi" w:hAnsi="Times New Roman"/>
          <w:sz w:val="28"/>
          <w:szCs w:val="28"/>
        </w:rPr>
        <w:t>10</w:t>
      </w:r>
      <w:r w:rsidRPr="006F3D75">
        <w:rPr>
          <w:rFonts w:ascii="Times New Roman" w:eastAsiaTheme="minorHAnsi" w:hAnsi="Times New Roman"/>
          <w:sz w:val="28"/>
          <w:szCs w:val="28"/>
        </w:rPr>
        <w:t xml:space="preserve">, c. 23; </w:t>
      </w:r>
      <w:r w:rsidR="005C25FD">
        <w:rPr>
          <w:rFonts w:ascii="Times New Roman" w:eastAsiaTheme="minorHAnsi" w:hAnsi="Times New Roman"/>
          <w:sz w:val="28"/>
          <w:szCs w:val="28"/>
        </w:rPr>
        <w:t>74</w:t>
      </w:r>
      <w:r w:rsidRPr="006F3D75">
        <w:rPr>
          <w:rFonts w:ascii="Times New Roman" w:eastAsiaTheme="minorHAnsi" w:hAnsi="Times New Roman"/>
          <w:sz w:val="28"/>
          <w:szCs w:val="28"/>
        </w:rPr>
        <w:t>, c.768].</w:t>
      </w:r>
    </w:p>
    <w:p w:rsidR="006F3D75" w:rsidRPr="006F3D75" w:rsidRDefault="006F3D75" w:rsidP="006F3D75">
      <w:pPr>
        <w:spacing w:after="0" w:line="360" w:lineRule="auto"/>
        <w:ind w:firstLine="709"/>
        <w:jc w:val="both"/>
        <w:rPr>
          <w:rFonts w:ascii="Times New Roman" w:eastAsiaTheme="minorHAnsi" w:hAnsi="Times New Roman"/>
          <w:sz w:val="28"/>
          <w:szCs w:val="28"/>
        </w:rPr>
      </w:pPr>
      <w:r w:rsidRPr="006F3D75">
        <w:rPr>
          <w:rFonts w:ascii="Times New Roman" w:eastAsiaTheme="minorHAnsi" w:hAnsi="Times New Roman"/>
          <w:sz w:val="28"/>
          <w:szCs w:val="28"/>
        </w:rPr>
        <w:t>Отже, як показує зарубіжна та вітчизняна практика управління ліквідністю комерційного банку, що основною умовою для досягнення постійного достатнього рівня ліквідності для погашення зобов’язань у належні строки, як за звичайних, так і за надзвичайних умов, без понесення неприйнятних збитків або ризику для репутації банку є виконання встановлених регулятором та розроблених самим банком нормативів. Саме виконання цих нормативів є запорукою ефективного управління ліквідністю комерційного банку.</w:t>
      </w:r>
    </w:p>
    <w:p w:rsidR="005E0719" w:rsidRDefault="009B40F1" w:rsidP="005C76B5">
      <w:pPr>
        <w:spacing w:after="0" w:line="360" w:lineRule="auto"/>
        <w:ind w:firstLine="709"/>
        <w:contextualSpacing/>
        <w:jc w:val="both"/>
        <w:rPr>
          <w:rFonts w:ascii="Times New Roman" w:eastAsiaTheme="minorHAnsi" w:hAnsi="Times New Roman"/>
          <w:sz w:val="28"/>
          <w:szCs w:val="28"/>
        </w:rPr>
      </w:pPr>
      <w:r>
        <w:rPr>
          <w:rFonts w:ascii="Times New Roman" w:eastAsiaTheme="minorHAnsi" w:hAnsi="Times New Roman"/>
          <w:sz w:val="28"/>
          <w:szCs w:val="28"/>
        </w:rPr>
        <w:t>Узагальнюючи наведене вище, беручи до уваги закордонний досвід констатуємо, що основною метою управління ліквідності комерційного банку</w:t>
      </w:r>
      <w:r w:rsidR="00B14F19">
        <w:rPr>
          <w:rFonts w:ascii="Times New Roman" w:eastAsiaTheme="minorHAnsi" w:hAnsi="Times New Roman"/>
          <w:sz w:val="28"/>
          <w:szCs w:val="28"/>
        </w:rPr>
        <w:t xml:space="preserve"> є підвищення </w:t>
      </w:r>
      <w:r>
        <w:rPr>
          <w:rFonts w:ascii="Times New Roman" w:eastAsiaTheme="minorHAnsi" w:hAnsi="Times New Roman"/>
          <w:sz w:val="28"/>
          <w:szCs w:val="28"/>
        </w:rPr>
        <w:t>ефективність</w:t>
      </w:r>
      <w:r w:rsidR="00B14F19">
        <w:rPr>
          <w:rFonts w:ascii="Times New Roman" w:eastAsiaTheme="minorHAnsi" w:hAnsi="Times New Roman"/>
          <w:sz w:val="28"/>
          <w:szCs w:val="28"/>
        </w:rPr>
        <w:t xml:space="preserve"> його функціонування</w:t>
      </w:r>
      <w:r>
        <w:rPr>
          <w:rFonts w:ascii="Times New Roman" w:eastAsiaTheme="minorHAnsi" w:hAnsi="Times New Roman"/>
          <w:sz w:val="28"/>
          <w:szCs w:val="28"/>
        </w:rPr>
        <w:t>, мак</w:t>
      </w:r>
      <w:r w:rsidRPr="009B40F1">
        <w:rPr>
          <w:rFonts w:ascii="Times New Roman" w:eastAsiaTheme="minorHAnsi" w:hAnsi="Times New Roman"/>
          <w:sz w:val="28"/>
          <w:szCs w:val="28"/>
        </w:rPr>
        <w:t>симізаці</w:t>
      </w:r>
      <w:r w:rsidR="00B14F19">
        <w:rPr>
          <w:rFonts w:ascii="Times New Roman" w:eastAsiaTheme="minorHAnsi" w:hAnsi="Times New Roman"/>
          <w:sz w:val="28"/>
          <w:szCs w:val="28"/>
        </w:rPr>
        <w:t>я</w:t>
      </w:r>
      <w:r w:rsidRPr="009B40F1">
        <w:rPr>
          <w:rFonts w:ascii="Times New Roman" w:eastAsiaTheme="minorHAnsi" w:hAnsi="Times New Roman"/>
          <w:sz w:val="28"/>
          <w:szCs w:val="28"/>
        </w:rPr>
        <w:t xml:space="preserve"> пр</w:t>
      </w:r>
      <w:r>
        <w:rPr>
          <w:rFonts w:ascii="Times New Roman" w:eastAsiaTheme="minorHAnsi" w:hAnsi="Times New Roman"/>
          <w:sz w:val="28"/>
          <w:szCs w:val="28"/>
        </w:rPr>
        <w:t>ибутку при обов'язковому дотри</w:t>
      </w:r>
      <w:r w:rsidRPr="009B40F1">
        <w:rPr>
          <w:rFonts w:ascii="Times New Roman" w:eastAsiaTheme="minorHAnsi" w:hAnsi="Times New Roman"/>
          <w:sz w:val="28"/>
          <w:szCs w:val="28"/>
        </w:rPr>
        <w:t xml:space="preserve">манні встановлюваних </w:t>
      </w:r>
      <w:r>
        <w:rPr>
          <w:rFonts w:ascii="Times New Roman" w:eastAsiaTheme="minorHAnsi" w:hAnsi="Times New Roman"/>
          <w:sz w:val="28"/>
          <w:szCs w:val="28"/>
        </w:rPr>
        <w:t xml:space="preserve">та визначених самим </w:t>
      </w:r>
      <w:r w:rsidRPr="009B40F1">
        <w:rPr>
          <w:rFonts w:ascii="Times New Roman" w:eastAsiaTheme="minorHAnsi" w:hAnsi="Times New Roman"/>
          <w:sz w:val="28"/>
          <w:szCs w:val="28"/>
        </w:rPr>
        <w:t>банком економічних нормативів.</w:t>
      </w:r>
      <w:r w:rsidR="005C76B5">
        <w:rPr>
          <w:rFonts w:ascii="Times New Roman" w:eastAsiaTheme="minorHAnsi" w:hAnsi="Times New Roman"/>
          <w:sz w:val="28"/>
          <w:szCs w:val="28"/>
        </w:rPr>
        <w:t xml:space="preserve"> Задля забезпечення належного рівня ліквідності розглянемо н</w:t>
      </w:r>
      <w:r w:rsidR="005C76B5" w:rsidRPr="005C76B5">
        <w:rPr>
          <w:rFonts w:ascii="Times New Roman" w:eastAsiaTheme="minorHAnsi" w:hAnsi="Times New Roman"/>
          <w:sz w:val="28"/>
          <w:szCs w:val="28"/>
        </w:rPr>
        <w:t xml:space="preserve">апрями </w:t>
      </w:r>
      <w:r w:rsidR="005C76B5">
        <w:rPr>
          <w:rFonts w:ascii="Times New Roman" w:eastAsiaTheme="minorHAnsi" w:hAnsi="Times New Roman"/>
          <w:sz w:val="28"/>
          <w:szCs w:val="28"/>
        </w:rPr>
        <w:t xml:space="preserve">(шляхи) </w:t>
      </w:r>
      <w:r w:rsidR="005C76B5" w:rsidRPr="005C76B5">
        <w:rPr>
          <w:rFonts w:ascii="Times New Roman" w:eastAsiaTheme="minorHAnsi" w:hAnsi="Times New Roman"/>
          <w:sz w:val="28"/>
          <w:szCs w:val="28"/>
        </w:rPr>
        <w:t>підвищення ліквідності комерційного банку</w:t>
      </w:r>
      <w:r w:rsidR="005C76B5">
        <w:rPr>
          <w:rFonts w:ascii="Times New Roman" w:eastAsiaTheme="minorHAnsi" w:hAnsi="Times New Roman"/>
          <w:sz w:val="28"/>
          <w:szCs w:val="28"/>
        </w:rPr>
        <w:t>, зокрема:</w:t>
      </w:r>
    </w:p>
    <w:p w:rsidR="005C76B5" w:rsidRDefault="005C76B5" w:rsidP="00B47429">
      <w:pPr>
        <w:spacing w:after="0" w:line="367" w:lineRule="auto"/>
        <w:ind w:firstLine="709"/>
        <w:contextualSpacing/>
        <w:jc w:val="both"/>
        <w:rPr>
          <w:rFonts w:ascii="Times New Roman" w:eastAsiaTheme="minorHAnsi" w:hAnsi="Times New Roman"/>
          <w:sz w:val="28"/>
          <w:szCs w:val="28"/>
        </w:rPr>
      </w:pPr>
      <w:r>
        <w:rPr>
          <w:rFonts w:ascii="Times New Roman" w:eastAsiaTheme="minorHAnsi" w:hAnsi="Times New Roman"/>
          <w:sz w:val="28"/>
          <w:szCs w:val="28"/>
        </w:rPr>
        <w:lastRenderedPageBreak/>
        <w:t>- поліпшення – вдосконалення організаційної структури комерційного банку, яке полягає у розвитку менеджменту, підвищенню кваліфікації працівників банку</w:t>
      </w:r>
      <w:r w:rsidR="000E5D68">
        <w:rPr>
          <w:rFonts w:ascii="Times New Roman" w:eastAsiaTheme="minorHAnsi" w:hAnsi="Times New Roman"/>
          <w:sz w:val="28"/>
          <w:szCs w:val="28"/>
        </w:rPr>
        <w:t xml:space="preserve"> тощо</w:t>
      </w:r>
      <w:r>
        <w:rPr>
          <w:rFonts w:ascii="Times New Roman" w:eastAsiaTheme="minorHAnsi" w:hAnsi="Times New Roman"/>
          <w:sz w:val="28"/>
          <w:szCs w:val="28"/>
        </w:rPr>
        <w:t>;</w:t>
      </w:r>
    </w:p>
    <w:p w:rsidR="005C76B5" w:rsidRDefault="005C76B5" w:rsidP="00B47429">
      <w:pPr>
        <w:spacing w:after="0" w:line="367" w:lineRule="auto"/>
        <w:ind w:firstLine="709"/>
        <w:contextualSpacing/>
        <w:jc w:val="both"/>
        <w:rPr>
          <w:rFonts w:ascii="Times New Roman" w:eastAsiaTheme="minorHAnsi" w:hAnsi="Times New Roman"/>
          <w:sz w:val="28"/>
          <w:szCs w:val="28"/>
        </w:rPr>
      </w:pPr>
      <w:r>
        <w:rPr>
          <w:rFonts w:ascii="Times New Roman" w:eastAsiaTheme="minorHAnsi" w:hAnsi="Times New Roman"/>
          <w:sz w:val="28"/>
          <w:szCs w:val="28"/>
        </w:rPr>
        <w:t>- постійний моніторинг ліквідності балансу шляхом розрахунку встановлених</w:t>
      </w:r>
      <w:r w:rsidR="005539C2">
        <w:rPr>
          <w:rFonts w:ascii="Times New Roman" w:eastAsiaTheme="minorHAnsi" w:hAnsi="Times New Roman"/>
          <w:sz w:val="28"/>
          <w:szCs w:val="28"/>
        </w:rPr>
        <w:t xml:space="preserve"> НБУ</w:t>
      </w:r>
      <w:r>
        <w:rPr>
          <w:rFonts w:ascii="Times New Roman" w:eastAsiaTheme="minorHAnsi" w:hAnsi="Times New Roman"/>
          <w:sz w:val="28"/>
          <w:szCs w:val="28"/>
        </w:rPr>
        <w:t xml:space="preserve"> </w:t>
      </w:r>
      <w:r w:rsidR="009370ED">
        <w:rPr>
          <w:rFonts w:ascii="Times New Roman" w:eastAsiaTheme="minorHAnsi" w:hAnsi="Times New Roman"/>
          <w:sz w:val="28"/>
          <w:szCs w:val="28"/>
        </w:rPr>
        <w:t xml:space="preserve">та </w:t>
      </w:r>
      <w:r w:rsidR="005539C2" w:rsidRPr="005539C2">
        <w:rPr>
          <w:rFonts w:ascii="Times New Roman" w:eastAsiaTheme="minorHAnsi" w:hAnsi="Times New Roman"/>
          <w:sz w:val="28"/>
          <w:szCs w:val="28"/>
        </w:rPr>
        <w:t>додаткових нормативів ліквідності</w:t>
      </w:r>
      <w:r w:rsidR="005539C2">
        <w:rPr>
          <w:rFonts w:ascii="Times New Roman" w:eastAsiaTheme="minorHAnsi" w:hAnsi="Times New Roman"/>
          <w:sz w:val="28"/>
          <w:szCs w:val="28"/>
        </w:rPr>
        <w:t>;</w:t>
      </w:r>
    </w:p>
    <w:p w:rsidR="005539C2" w:rsidRDefault="005539C2" w:rsidP="00B47429">
      <w:pPr>
        <w:spacing w:after="0" w:line="367" w:lineRule="auto"/>
        <w:ind w:firstLine="709"/>
        <w:contextualSpacing/>
        <w:jc w:val="both"/>
        <w:rPr>
          <w:rFonts w:ascii="Times New Roman" w:eastAsiaTheme="minorHAnsi" w:hAnsi="Times New Roman"/>
          <w:sz w:val="28"/>
          <w:szCs w:val="28"/>
        </w:rPr>
      </w:pPr>
      <w:r>
        <w:rPr>
          <w:rFonts w:ascii="Times New Roman" w:eastAsiaTheme="minorHAnsi" w:hAnsi="Times New Roman"/>
          <w:sz w:val="28"/>
          <w:szCs w:val="28"/>
        </w:rPr>
        <w:t>- забезпечення прибутковості основної діяльності</w:t>
      </w:r>
      <w:r w:rsidR="000E5D68">
        <w:rPr>
          <w:rFonts w:ascii="Times New Roman" w:eastAsiaTheme="minorHAnsi" w:hAnsi="Times New Roman"/>
          <w:sz w:val="28"/>
          <w:szCs w:val="28"/>
        </w:rPr>
        <w:t xml:space="preserve"> банку;</w:t>
      </w:r>
      <w:r>
        <w:rPr>
          <w:rFonts w:ascii="Times New Roman" w:eastAsiaTheme="minorHAnsi" w:hAnsi="Times New Roman"/>
          <w:sz w:val="28"/>
          <w:szCs w:val="28"/>
        </w:rPr>
        <w:t xml:space="preserve"> </w:t>
      </w:r>
    </w:p>
    <w:p w:rsidR="000E5D68" w:rsidRDefault="000E5D68" w:rsidP="00B47429">
      <w:pPr>
        <w:spacing w:after="0" w:line="367" w:lineRule="auto"/>
        <w:ind w:firstLine="709"/>
        <w:contextualSpacing/>
        <w:jc w:val="both"/>
        <w:rPr>
          <w:rFonts w:ascii="Times New Roman" w:eastAsiaTheme="minorHAnsi" w:hAnsi="Times New Roman"/>
          <w:sz w:val="28"/>
          <w:szCs w:val="28"/>
        </w:rPr>
      </w:pPr>
      <w:r>
        <w:rPr>
          <w:rFonts w:ascii="Times New Roman" w:eastAsiaTheme="minorHAnsi" w:hAnsi="Times New Roman"/>
          <w:sz w:val="28"/>
          <w:szCs w:val="28"/>
        </w:rPr>
        <w:t xml:space="preserve">- раціональне використання коштів шляхом видачі позичок та здійснення інвестиційної діяльності. </w:t>
      </w:r>
      <w:r w:rsidR="00B14F19">
        <w:rPr>
          <w:rFonts w:ascii="Times New Roman" w:eastAsiaTheme="minorHAnsi" w:hAnsi="Times New Roman"/>
          <w:sz w:val="28"/>
          <w:szCs w:val="28"/>
        </w:rPr>
        <w:t>М</w:t>
      </w:r>
      <w:r>
        <w:rPr>
          <w:rFonts w:ascii="Times New Roman" w:eastAsiaTheme="minorHAnsi" w:hAnsi="Times New Roman"/>
          <w:sz w:val="28"/>
          <w:szCs w:val="28"/>
        </w:rPr>
        <w:t>аксимізація ліквідності досягається завдяки максимізації залишків коштів на коррахунках та у касі відносно інших активів, проте у цьому випадку відбувається мінімізація прибутку. Акцентуємо, максимізація прибутку відбувається не під час збереження коштів, а завдяки їх раціональному використанню;</w:t>
      </w:r>
    </w:p>
    <w:p w:rsidR="000E5D68" w:rsidRDefault="000E5D68" w:rsidP="00B47429">
      <w:pPr>
        <w:spacing w:after="0" w:line="367" w:lineRule="auto"/>
        <w:ind w:firstLine="709"/>
        <w:contextualSpacing/>
        <w:jc w:val="both"/>
        <w:rPr>
          <w:rFonts w:ascii="Times New Roman" w:eastAsiaTheme="minorHAnsi" w:hAnsi="Times New Roman"/>
          <w:sz w:val="28"/>
          <w:szCs w:val="28"/>
        </w:rPr>
      </w:pPr>
      <w:r>
        <w:rPr>
          <w:rFonts w:ascii="Times New Roman" w:eastAsiaTheme="minorHAnsi" w:hAnsi="Times New Roman"/>
          <w:sz w:val="28"/>
          <w:szCs w:val="28"/>
        </w:rPr>
        <w:t>- визначення потреб у ліквідних коштах на короткострокову перспективу;</w:t>
      </w:r>
    </w:p>
    <w:p w:rsidR="000E5D68" w:rsidRDefault="000E5D68" w:rsidP="00B47429">
      <w:pPr>
        <w:spacing w:after="0" w:line="367" w:lineRule="auto"/>
        <w:ind w:firstLine="709"/>
        <w:contextualSpacing/>
        <w:jc w:val="both"/>
        <w:rPr>
          <w:rFonts w:ascii="Times New Roman" w:eastAsiaTheme="minorHAnsi" w:hAnsi="Times New Roman"/>
          <w:sz w:val="28"/>
          <w:szCs w:val="28"/>
        </w:rPr>
      </w:pPr>
      <w:r>
        <w:rPr>
          <w:rFonts w:ascii="Times New Roman" w:eastAsiaTheme="minorHAnsi" w:hAnsi="Times New Roman"/>
          <w:sz w:val="28"/>
          <w:szCs w:val="28"/>
        </w:rPr>
        <w:t xml:space="preserve">- вихід на нові ринки, розширення спектру та </w:t>
      </w:r>
      <w:r w:rsidRPr="005539C2">
        <w:rPr>
          <w:rFonts w:ascii="Times New Roman" w:eastAsiaTheme="minorHAnsi" w:hAnsi="Times New Roman"/>
          <w:sz w:val="28"/>
          <w:szCs w:val="28"/>
        </w:rPr>
        <w:t xml:space="preserve">діапазону </w:t>
      </w:r>
      <w:r>
        <w:rPr>
          <w:rFonts w:ascii="Times New Roman" w:eastAsiaTheme="minorHAnsi" w:hAnsi="Times New Roman"/>
          <w:sz w:val="28"/>
          <w:szCs w:val="28"/>
        </w:rPr>
        <w:t>банківських</w:t>
      </w:r>
      <w:r w:rsidRPr="005539C2">
        <w:rPr>
          <w:rFonts w:ascii="Times New Roman" w:eastAsiaTheme="minorHAnsi" w:hAnsi="Times New Roman"/>
          <w:sz w:val="28"/>
          <w:szCs w:val="28"/>
        </w:rPr>
        <w:t xml:space="preserve"> операцій</w:t>
      </w:r>
      <w:r>
        <w:rPr>
          <w:rFonts w:ascii="Times New Roman" w:eastAsiaTheme="minorHAnsi" w:hAnsi="Times New Roman"/>
          <w:sz w:val="28"/>
          <w:szCs w:val="28"/>
        </w:rPr>
        <w:t>;</w:t>
      </w:r>
    </w:p>
    <w:p w:rsidR="00A8703E" w:rsidRDefault="00A8703E" w:rsidP="00B47429">
      <w:pPr>
        <w:spacing w:after="0" w:line="367" w:lineRule="auto"/>
        <w:ind w:firstLine="709"/>
        <w:contextualSpacing/>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A8703E">
        <w:rPr>
          <w:rFonts w:ascii="Times New Roman" w:eastAsiaTheme="minorHAnsi" w:hAnsi="Times New Roman"/>
          <w:sz w:val="28"/>
          <w:szCs w:val="28"/>
        </w:rPr>
        <w:t>проведення діагностики банк</w:t>
      </w:r>
      <w:r>
        <w:rPr>
          <w:rFonts w:ascii="Times New Roman" w:eastAsiaTheme="minorHAnsi" w:hAnsi="Times New Roman"/>
          <w:sz w:val="28"/>
          <w:szCs w:val="28"/>
        </w:rPr>
        <w:t>у</w:t>
      </w:r>
      <w:r w:rsidRPr="00A8703E">
        <w:rPr>
          <w:rFonts w:ascii="Times New Roman" w:eastAsiaTheme="minorHAnsi" w:hAnsi="Times New Roman"/>
          <w:sz w:val="28"/>
          <w:szCs w:val="28"/>
        </w:rPr>
        <w:t xml:space="preserve"> </w:t>
      </w:r>
      <w:r>
        <w:rPr>
          <w:rFonts w:ascii="Times New Roman" w:eastAsiaTheme="minorHAnsi" w:hAnsi="Times New Roman"/>
          <w:sz w:val="28"/>
          <w:szCs w:val="28"/>
        </w:rPr>
        <w:t>задля</w:t>
      </w:r>
      <w:r w:rsidRPr="00A8703E">
        <w:rPr>
          <w:rFonts w:ascii="Times New Roman" w:eastAsiaTheme="minorHAnsi" w:hAnsi="Times New Roman"/>
          <w:sz w:val="28"/>
          <w:szCs w:val="28"/>
        </w:rPr>
        <w:t xml:space="preserve"> в</w:t>
      </w:r>
      <w:r>
        <w:rPr>
          <w:rFonts w:ascii="Times New Roman" w:eastAsiaTheme="minorHAnsi" w:hAnsi="Times New Roman"/>
          <w:sz w:val="28"/>
          <w:szCs w:val="28"/>
        </w:rPr>
        <w:t>иявлення</w:t>
      </w:r>
      <w:r w:rsidRPr="00A8703E">
        <w:rPr>
          <w:rFonts w:ascii="Times New Roman" w:eastAsiaTheme="minorHAnsi" w:hAnsi="Times New Roman"/>
          <w:sz w:val="28"/>
          <w:szCs w:val="28"/>
        </w:rPr>
        <w:t xml:space="preserve"> сла</w:t>
      </w:r>
      <w:r>
        <w:rPr>
          <w:rFonts w:ascii="Times New Roman" w:eastAsiaTheme="minorHAnsi" w:hAnsi="Times New Roman"/>
          <w:sz w:val="28"/>
          <w:szCs w:val="28"/>
        </w:rPr>
        <w:t xml:space="preserve">бких місць у їхній діяльності з </w:t>
      </w:r>
      <w:r w:rsidRPr="00A8703E">
        <w:rPr>
          <w:rFonts w:ascii="Times New Roman" w:eastAsiaTheme="minorHAnsi" w:hAnsi="Times New Roman"/>
          <w:sz w:val="28"/>
          <w:szCs w:val="28"/>
        </w:rPr>
        <w:t>метою надання їм фінансової допомоги</w:t>
      </w:r>
      <w:r>
        <w:rPr>
          <w:rFonts w:ascii="Times New Roman" w:eastAsiaTheme="minorHAnsi" w:hAnsi="Times New Roman"/>
          <w:sz w:val="28"/>
          <w:szCs w:val="28"/>
        </w:rPr>
        <w:t>;</w:t>
      </w:r>
    </w:p>
    <w:p w:rsidR="00A8703E" w:rsidRDefault="00A8703E" w:rsidP="00B47429">
      <w:pPr>
        <w:spacing w:after="0" w:line="367" w:lineRule="auto"/>
        <w:ind w:firstLine="709"/>
        <w:contextualSpacing/>
        <w:jc w:val="both"/>
        <w:rPr>
          <w:rFonts w:ascii="Times New Roman" w:eastAsiaTheme="minorHAnsi" w:hAnsi="Times New Roman"/>
          <w:sz w:val="28"/>
          <w:szCs w:val="28"/>
        </w:rPr>
      </w:pPr>
      <w:r>
        <w:rPr>
          <w:rFonts w:ascii="Times New Roman" w:eastAsiaTheme="minorHAnsi" w:hAnsi="Times New Roman"/>
          <w:sz w:val="28"/>
          <w:szCs w:val="28"/>
        </w:rPr>
        <w:t>- «здорова» та грамотна політика управління активами та пасивами банку.</w:t>
      </w:r>
    </w:p>
    <w:p w:rsidR="00A8703E" w:rsidRDefault="00A8703E" w:rsidP="00A8703E">
      <w:pPr>
        <w:spacing w:after="0" w:line="360" w:lineRule="auto"/>
        <w:ind w:firstLine="709"/>
        <w:contextualSpacing/>
        <w:jc w:val="both"/>
        <w:rPr>
          <w:rFonts w:ascii="Times New Roman" w:eastAsiaTheme="minorHAnsi" w:hAnsi="Times New Roman"/>
          <w:sz w:val="28"/>
          <w:szCs w:val="28"/>
        </w:rPr>
      </w:pPr>
    </w:p>
    <w:p w:rsidR="00CB2AAA" w:rsidRPr="00B74CBC" w:rsidRDefault="00CB2AAA" w:rsidP="00A8703E">
      <w:pPr>
        <w:spacing w:after="0" w:line="360" w:lineRule="auto"/>
        <w:ind w:firstLine="709"/>
        <w:contextualSpacing/>
        <w:jc w:val="both"/>
        <w:rPr>
          <w:rFonts w:ascii="Times New Roman" w:eastAsiaTheme="minorHAnsi" w:hAnsi="Times New Roman"/>
          <w:sz w:val="28"/>
          <w:szCs w:val="28"/>
        </w:rPr>
      </w:pPr>
    </w:p>
    <w:p w:rsidR="00B74CBC" w:rsidRPr="00B74CBC" w:rsidRDefault="00B74CBC" w:rsidP="00B74CBC">
      <w:pPr>
        <w:pStyle w:val="a4"/>
        <w:numPr>
          <w:ilvl w:val="1"/>
          <w:numId w:val="3"/>
        </w:numPr>
        <w:spacing w:after="0" w:line="360" w:lineRule="auto"/>
        <w:ind w:left="0" w:firstLine="709"/>
        <w:jc w:val="both"/>
        <w:rPr>
          <w:rFonts w:ascii="Times New Roman" w:hAnsi="Times New Roman"/>
          <w:sz w:val="28"/>
          <w:szCs w:val="28"/>
        </w:rPr>
      </w:pPr>
      <w:r w:rsidRPr="00B74CBC">
        <w:rPr>
          <w:rFonts w:ascii="Times New Roman" w:hAnsi="Times New Roman"/>
          <w:sz w:val="28"/>
          <w:szCs w:val="28"/>
        </w:rPr>
        <w:t>Формування моделі комплексної оцінки ліквідності комерційного банку</w:t>
      </w:r>
    </w:p>
    <w:p w:rsidR="00B74CBC" w:rsidRPr="00B74CBC" w:rsidRDefault="00B74CBC" w:rsidP="00B74CBC">
      <w:pPr>
        <w:pStyle w:val="a4"/>
        <w:spacing w:after="0" w:line="360" w:lineRule="auto"/>
        <w:ind w:left="1429"/>
        <w:jc w:val="both"/>
        <w:rPr>
          <w:rFonts w:ascii="Times New Roman" w:hAnsi="Times New Roman"/>
          <w:sz w:val="28"/>
          <w:szCs w:val="28"/>
        </w:rPr>
      </w:pPr>
    </w:p>
    <w:p w:rsidR="00B74CBC" w:rsidRPr="00B74CBC" w:rsidRDefault="00B74CBC" w:rsidP="00DA53C8">
      <w:pPr>
        <w:spacing w:after="0" w:line="367" w:lineRule="auto"/>
        <w:ind w:firstLine="709"/>
        <w:jc w:val="both"/>
        <w:rPr>
          <w:rFonts w:ascii="Times New Roman" w:eastAsiaTheme="minorHAnsi" w:hAnsi="Times New Roman"/>
          <w:sz w:val="28"/>
          <w:szCs w:val="28"/>
        </w:rPr>
      </w:pPr>
      <w:r w:rsidRPr="00B74CBC">
        <w:rPr>
          <w:rFonts w:ascii="Times New Roman" w:eastAsiaTheme="minorHAnsi" w:hAnsi="Times New Roman"/>
          <w:sz w:val="28"/>
          <w:szCs w:val="28"/>
        </w:rPr>
        <w:t xml:space="preserve">Ключове значення у забезпеченні ліквідності АТ «Ідея Банк» має збалансованість активів та пасивів за сумами та строками. Зазначена збалансованість є запорукою того, що виникнення кризи ліквідності банку майже неможлива. Це пояснюється тим, що зобов’язання банку забезпечені наявними ресурсами, а узгодженість активів і пасивів у строках забезпечить своєчасне виконання цих зобов’язань. Тобто, чим вищою є узгодженість активів та пасивів </w:t>
      </w:r>
      <w:r w:rsidRPr="00B74CBC">
        <w:rPr>
          <w:rFonts w:ascii="Times New Roman" w:eastAsiaTheme="minorHAnsi" w:hAnsi="Times New Roman"/>
          <w:sz w:val="28"/>
          <w:szCs w:val="28"/>
        </w:rPr>
        <w:lastRenderedPageBreak/>
        <w:t>за сумами та строками, тим вищою є ліквідність банку, стійкішим фінансовий стан, а політика управління ефективнішою.</w:t>
      </w:r>
    </w:p>
    <w:p w:rsidR="00DA53C8" w:rsidRDefault="00B74CBC" w:rsidP="00DA53C8">
      <w:pPr>
        <w:spacing w:after="0" w:line="367" w:lineRule="auto"/>
        <w:ind w:firstLine="709"/>
        <w:jc w:val="both"/>
        <w:rPr>
          <w:rFonts w:ascii="Times New Roman" w:eastAsiaTheme="minorHAnsi" w:hAnsi="Times New Roman"/>
          <w:sz w:val="28"/>
          <w:szCs w:val="28"/>
        </w:rPr>
      </w:pPr>
      <w:r w:rsidRPr="00B74CBC">
        <w:rPr>
          <w:rFonts w:ascii="Times New Roman" w:eastAsiaTheme="minorHAnsi" w:hAnsi="Times New Roman"/>
          <w:sz w:val="28"/>
          <w:szCs w:val="28"/>
        </w:rPr>
        <w:t>АТ «Ідея Банк» щоденно моніторить коефіцієнти ліквідності, які встановлені НБУ, а за необхідністю здійснює стрес-тестування та аналіз сценаріїв. Показники ліквідності, які представлені у табл</w:t>
      </w:r>
      <w:r>
        <w:rPr>
          <w:rFonts w:ascii="Times New Roman" w:eastAsiaTheme="minorHAnsi" w:hAnsi="Times New Roman"/>
          <w:sz w:val="28"/>
          <w:szCs w:val="28"/>
        </w:rPr>
        <w:t>.</w:t>
      </w:r>
      <w:r w:rsidR="001272A6">
        <w:rPr>
          <w:rFonts w:ascii="Times New Roman" w:eastAsiaTheme="minorHAnsi" w:hAnsi="Times New Roman"/>
          <w:sz w:val="28"/>
          <w:szCs w:val="28"/>
        </w:rPr>
        <w:t xml:space="preserve"> 2.2 та 2.3</w:t>
      </w:r>
      <w:r w:rsidRPr="00B74CBC">
        <w:rPr>
          <w:rFonts w:ascii="Times New Roman" w:eastAsiaTheme="minorHAnsi" w:hAnsi="Times New Roman"/>
          <w:sz w:val="28"/>
          <w:szCs w:val="28"/>
        </w:rPr>
        <w:t xml:space="preserve"> Розділу 2, свідчать про те, що Банк виконує усі встановлені нормативи зі значним їх перевищенням. </w:t>
      </w:r>
      <w:r w:rsidR="00C13E47" w:rsidRPr="00C13E47">
        <w:rPr>
          <w:rFonts w:ascii="Times New Roman" w:eastAsiaTheme="minorHAnsi" w:hAnsi="Times New Roman"/>
          <w:sz w:val="28"/>
          <w:szCs w:val="28"/>
        </w:rPr>
        <w:t xml:space="preserve">Це означає, що Банк не в повній мірі використовує кошти, які осідають на поточних рахунках і депозитах до запитання для їх розміщення в доходні активи. </w:t>
      </w:r>
      <w:r w:rsidR="00DA53C8">
        <w:rPr>
          <w:rFonts w:ascii="Times New Roman" w:eastAsiaTheme="minorHAnsi" w:hAnsi="Times New Roman"/>
          <w:sz w:val="28"/>
          <w:szCs w:val="28"/>
        </w:rPr>
        <w:t>Окреслене</w:t>
      </w:r>
      <w:r w:rsidR="00C13E47" w:rsidRPr="00C13E47">
        <w:rPr>
          <w:rFonts w:ascii="Times New Roman" w:eastAsiaTheme="minorHAnsi" w:hAnsi="Times New Roman"/>
          <w:sz w:val="28"/>
          <w:szCs w:val="28"/>
        </w:rPr>
        <w:t xml:space="preserve"> може призвести до неплатоспроможності банку, не зважаючи на його здатність виконувати поточні зобов’язання.</w:t>
      </w:r>
      <w:r w:rsidR="00DA53C8" w:rsidRPr="00DA53C8">
        <w:rPr>
          <w:rFonts w:ascii="Times New Roman" w:eastAsiaTheme="minorHAnsi" w:hAnsi="Times New Roman"/>
          <w:sz w:val="28"/>
          <w:szCs w:val="28"/>
        </w:rPr>
        <w:t xml:space="preserve"> </w:t>
      </w:r>
    </w:p>
    <w:p w:rsidR="00DA53C8" w:rsidRDefault="00DA53C8" w:rsidP="00DA53C8">
      <w:pPr>
        <w:spacing w:after="0" w:line="367" w:lineRule="auto"/>
        <w:ind w:firstLine="709"/>
        <w:jc w:val="both"/>
        <w:rPr>
          <w:rFonts w:ascii="Times New Roman" w:eastAsiaTheme="minorHAnsi" w:hAnsi="Times New Roman"/>
          <w:sz w:val="28"/>
          <w:szCs w:val="28"/>
        </w:rPr>
      </w:pPr>
      <w:r w:rsidRPr="00DA53C8">
        <w:rPr>
          <w:rFonts w:ascii="Times New Roman" w:eastAsiaTheme="minorHAnsi" w:hAnsi="Times New Roman"/>
          <w:sz w:val="28"/>
          <w:szCs w:val="28"/>
        </w:rPr>
        <w:t>Надлишкова ліквідність генерує негативний вплив на ефективн</w:t>
      </w:r>
      <w:r>
        <w:rPr>
          <w:rFonts w:ascii="Times New Roman" w:eastAsiaTheme="minorHAnsi" w:hAnsi="Times New Roman"/>
          <w:sz w:val="28"/>
          <w:szCs w:val="28"/>
        </w:rPr>
        <w:t xml:space="preserve">ість функціонування банківської </w:t>
      </w:r>
      <w:r w:rsidRPr="00DA53C8">
        <w:rPr>
          <w:rFonts w:ascii="Times New Roman" w:eastAsiaTheme="minorHAnsi" w:hAnsi="Times New Roman"/>
          <w:sz w:val="28"/>
          <w:szCs w:val="28"/>
        </w:rPr>
        <w:t>системи, оскільки призводить до зниження рівня одержуваного прибутку. Низький рівень довгострокових</w:t>
      </w:r>
      <w:r>
        <w:rPr>
          <w:rFonts w:ascii="Times New Roman" w:eastAsiaTheme="minorHAnsi" w:hAnsi="Times New Roman"/>
          <w:sz w:val="28"/>
          <w:szCs w:val="28"/>
        </w:rPr>
        <w:t xml:space="preserve"> </w:t>
      </w:r>
      <w:r w:rsidRPr="00DA53C8">
        <w:rPr>
          <w:rFonts w:ascii="Times New Roman" w:eastAsiaTheme="minorHAnsi" w:hAnsi="Times New Roman"/>
          <w:sz w:val="28"/>
          <w:szCs w:val="28"/>
        </w:rPr>
        <w:t xml:space="preserve">зобов’язань банків створює перешкоди для проведення </w:t>
      </w:r>
      <w:proofErr w:type="spellStart"/>
      <w:r w:rsidRPr="00DA53C8">
        <w:rPr>
          <w:rFonts w:ascii="Times New Roman" w:eastAsiaTheme="minorHAnsi" w:hAnsi="Times New Roman"/>
          <w:sz w:val="28"/>
          <w:szCs w:val="28"/>
        </w:rPr>
        <w:t>експансійної</w:t>
      </w:r>
      <w:proofErr w:type="spellEnd"/>
      <w:r w:rsidRPr="00DA53C8">
        <w:rPr>
          <w:rFonts w:ascii="Times New Roman" w:eastAsiaTheme="minorHAnsi" w:hAnsi="Times New Roman"/>
          <w:sz w:val="28"/>
          <w:szCs w:val="28"/>
        </w:rPr>
        <w:t xml:space="preserve"> кредитної політики, а подальше зниження</w:t>
      </w:r>
      <w:r>
        <w:rPr>
          <w:rFonts w:ascii="Times New Roman" w:eastAsiaTheme="minorHAnsi" w:hAnsi="Times New Roman"/>
          <w:sz w:val="28"/>
          <w:szCs w:val="28"/>
        </w:rPr>
        <w:t xml:space="preserve"> </w:t>
      </w:r>
      <w:r w:rsidRPr="00DA53C8">
        <w:rPr>
          <w:rFonts w:ascii="Times New Roman" w:eastAsiaTheme="minorHAnsi" w:hAnsi="Times New Roman"/>
          <w:sz w:val="28"/>
          <w:szCs w:val="28"/>
        </w:rPr>
        <w:t>депозитних ставок ще більше ускладнить залучення довгострокових коштів клієнтів.</w:t>
      </w:r>
      <w:r>
        <w:rPr>
          <w:rFonts w:ascii="Times New Roman" w:eastAsiaTheme="minorHAnsi" w:hAnsi="Times New Roman"/>
          <w:sz w:val="28"/>
          <w:szCs w:val="28"/>
        </w:rPr>
        <w:t xml:space="preserve"> </w:t>
      </w:r>
      <w:r w:rsidRPr="00DA53C8">
        <w:rPr>
          <w:rFonts w:ascii="Times New Roman" w:eastAsiaTheme="minorHAnsi" w:hAnsi="Times New Roman"/>
          <w:sz w:val="28"/>
          <w:szCs w:val="28"/>
        </w:rPr>
        <w:t>Це створює додаткові</w:t>
      </w:r>
      <w:r>
        <w:rPr>
          <w:rFonts w:ascii="Times New Roman" w:eastAsiaTheme="minorHAnsi" w:hAnsi="Times New Roman"/>
          <w:sz w:val="28"/>
          <w:szCs w:val="28"/>
        </w:rPr>
        <w:t xml:space="preserve"> </w:t>
      </w:r>
      <w:r w:rsidRPr="00DA53C8">
        <w:rPr>
          <w:rFonts w:ascii="Times New Roman" w:eastAsiaTheme="minorHAnsi" w:hAnsi="Times New Roman"/>
          <w:sz w:val="28"/>
          <w:szCs w:val="28"/>
        </w:rPr>
        <w:t>ризики для ефективного функціонування банківської системи. Тому виникає необхідність постійно</w:t>
      </w:r>
      <w:r>
        <w:rPr>
          <w:rFonts w:ascii="Times New Roman" w:eastAsiaTheme="minorHAnsi" w:hAnsi="Times New Roman"/>
          <w:sz w:val="28"/>
          <w:szCs w:val="28"/>
        </w:rPr>
        <w:t xml:space="preserve"> </w:t>
      </w:r>
      <w:r w:rsidRPr="00DA53C8">
        <w:rPr>
          <w:rFonts w:ascii="Times New Roman" w:eastAsiaTheme="minorHAnsi" w:hAnsi="Times New Roman"/>
          <w:sz w:val="28"/>
          <w:szCs w:val="28"/>
        </w:rPr>
        <w:t>удосконалювати інструментарій управління ліквідністю банку відповідно до вимог сьогодення</w:t>
      </w:r>
      <w:r w:rsidRPr="00C13E47">
        <w:rPr>
          <w:rFonts w:ascii="Times New Roman" w:eastAsiaTheme="minorHAnsi" w:hAnsi="Times New Roman"/>
          <w:sz w:val="28"/>
          <w:szCs w:val="28"/>
        </w:rPr>
        <w:t xml:space="preserve"> [63, с. 105].</w:t>
      </w:r>
    </w:p>
    <w:p w:rsidR="00632839" w:rsidRDefault="00C13E47" w:rsidP="00DA53C8">
      <w:pPr>
        <w:spacing w:after="0" w:line="367" w:lineRule="auto"/>
        <w:ind w:firstLine="709"/>
        <w:jc w:val="both"/>
        <w:rPr>
          <w:rFonts w:ascii="Times New Roman" w:eastAsiaTheme="minorHAnsi" w:hAnsi="Times New Roman"/>
          <w:sz w:val="28"/>
          <w:szCs w:val="28"/>
        </w:rPr>
      </w:pPr>
      <w:r w:rsidRPr="00C13E47">
        <w:rPr>
          <w:rFonts w:ascii="Times New Roman" w:eastAsiaTheme="minorHAnsi" w:hAnsi="Times New Roman"/>
          <w:sz w:val="28"/>
          <w:szCs w:val="28"/>
        </w:rPr>
        <w:t>В період, який досліджується (2017-2021 рок</w:t>
      </w:r>
      <w:r w:rsidR="00F674EB">
        <w:rPr>
          <w:rFonts w:ascii="Times New Roman" w:eastAsiaTheme="minorHAnsi" w:hAnsi="Times New Roman"/>
          <w:sz w:val="28"/>
          <w:szCs w:val="28"/>
        </w:rPr>
        <w:t>и</w:t>
      </w:r>
      <w:r w:rsidRPr="00C13E47">
        <w:rPr>
          <w:rFonts w:ascii="Times New Roman" w:eastAsiaTheme="minorHAnsi" w:hAnsi="Times New Roman"/>
          <w:sz w:val="28"/>
          <w:szCs w:val="28"/>
        </w:rPr>
        <w:t xml:space="preserve">), в Україні діють нормативи ліквідності, які встановлені НБУ (Н4, Н5, Н6), та показники ліквідності, визначеними стандартами «Базель III» (LCR, NSFR). </w:t>
      </w:r>
      <w:r w:rsidR="00F674EB">
        <w:rPr>
          <w:rFonts w:ascii="Times New Roman" w:eastAsiaTheme="minorHAnsi" w:hAnsi="Times New Roman"/>
          <w:sz w:val="28"/>
          <w:szCs w:val="28"/>
        </w:rPr>
        <w:t>Зауважимо</w:t>
      </w:r>
      <w:r w:rsidRPr="00C13E47">
        <w:rPr>
          <w:rFonts w:ascii="Times New Roman" w:eastAsiaTheme="minorHAnsi" w:hAnsi="Times New Roman"/>
          <w:sz w:val="28"/>
          <w:szCs w:val="28"/>
        </w:rPr>
        <w:t>, що з 22.03.2022 в Україні НБУ запроваджена дія нормативів ліквідності, які передбачені «Базелем ІІІ». А отже вважаємо за доцільне провести компаративний аналіз зазначених показни</w:t>
      </w:r>
      <w:r w:rsidR="001272A6">
        <w:rPr>
          <w:rFonts w:ascii="Times New Roman" w:eastAsiaTheme="minorHAnsi" w:hAnsi="Times New Roman"/>
          <w:sz w:val="28"/>
          <w:szCs w:val="28"/>
        </w:rPr>
        <w:t>ків ліквідності (див. табл. 3.2</w:t>
      </w:r>
      <w:r w:rsidRPr="00C13E47">
        <w:rPr>
          <w:rFonts w:ascii="Times New Roman" w:eastAsiaTheme="minorHAnsi" w:hAnsi="Times New Roman"/>
          <w:sz w:val="28"/>
          <w:szCs w:val="28"/>
        </w:rPr>
        <w:t>).</w:t>
      </w:r>
    </w:p>
    <w:p w:rsidR="00B47429" w:rsidRDefault="00B47429" w:rsidP="00B47429">
      <w:pPr>
        <w:spacing w:after="0" w:line="360" w:lineRule="auto"/>
        <w:ind w:firstLine="709"/>
        <w:jc w:val="both"/>
        <w:rPr>
          <w:rFonts w:ascii="Times New Roman" w:eastAsiaTheme="minorHAnsi" w:hAnsi="Times New Roman"/>
          <w:sz w:val="28"/>
          <w:szCs w:val="28"/>
        </w:rPr>
      </w:pPr>
      <w:r w:rsidRPr="00C13E47">
        <w:rPr>
          <w:rFonts w:ascii="Times New Roman" w:eastAsiaTheme="minorHAnsi" w:hAnsi="Times New Roman"/>
          <w:sz w:val="28"/>
          <w:szCs w:val="28"/>
        </w:rPr>
        <w:t xml:space="preserve">Як вбачається з проведеного аналізу, стандарти «Базеля ІІІ» є більш жорстокішими ніж нормативи, які встановлені НБУ, та передбачають можливість забезпечити фінансову стабільність банків за рахунок попередження і зниження ризику ліквідності. </w:t>
      </w:r>
    </w:p>
    <w:p w:rsidR="00632839" w:rsidRDefault="00632839">
      <w:pPr>
        <w:spacing w:line="259" w:lineRule="auto"/>
        <w:rPr>
          <w:rFonts w:ascii="Times New Roman" w:eastAsiaTheme="minorHAnsi" w:hAnsi="Times New Roman"/>
          <w:sz w:val="28"/>
          <w:szCs w:val="28"/>
        </w:rPr>
      </w:pPr>
      <w:r>
        <w:rPr>
          <w:rFonts w:ascii="Times New Roman" w:eastAsiaTheme="minorHAnsi" w:hAnsi="Times New Roman"/>
          <w:sz w:val="28"/>
          <w:szCs w:val="28"/>
        </w:rPr>
        <w:br w:type="page"/>
      </w:r>
    </w:p>
    <w:p w:rsidR="00632839" w:rsidRDefault="00C13E47" w:rsidP="00632839">
      <w:pPr>
        <w:spacing w:after="0" w:line="360" w:lineRule="auto"/>
        <w:ind w:firstLine="709"/>
        <w:jc w:val="right"/>
        <w:rPr>
          <w:rFonts w:ascii="Times New Roman" w:eastAsiaTheme="minorHAnsi" w:hAnsi="Times New Roman"/>
          <w:sz w:val="28"/>
          <w:szCs w:val="28"/>
        </w:rPr>
      </w:pPr>
      <w:r w:rsidRPr="00C13E47">
        <w:rPr>
          <w:rFonts w:ascii="Times New Roman" w:eastAsiaTheme="minorHAnsi" w:hAnsi="Times New Roman"/>
          <w:sz w:val="28"/>
          <w:szCs w:val="28"/>
        </w:rPr>
        <w:lastRenderedPageBreak/>
        <w:t>Таб</w:t>
      </w:r>
      <w:r w:rsidR="00632839" w:rsidRPr="00632839">
        <w:rPr>
          <w:rFonts w:ascii="Times New Roman" w:eastAsiaTheme="minorHAnsi" w:hAnsi="Times New Roman"/>
          <w:sz w:val="28"/>
          <w:szCs w:val="28"/>
        </w:rPr>
        <w:t>лиця 3.2</w:t>
      </w:r>
    </w:p>
    <w:p w:rsidR="00C13E47" w:rsidRPr="00C13E47" w:rsidRDefault="00C13E47" w:rsidP="00632839">
      <w:pPr>
        <w:spacing w:after="0" w:line="360" w:lineRule="auto"/>
        <w:ind w:firstLine="709"/>
        <w:jc w:val="center"/>
        <w:rPr>
          <w:rFonts w:ascii="Times New Roman" w:eastAsiaTheme="minorHAnsi" w:hAnsi="Times New Roman"/>
          <w:sz w:val="28"/>
          <w:szCs w:val="28"/>
        </w:rPr>
      </w:pPr>
      <w:r w:rsidRPr="00C13E47">
        <w:rPr>
          <w:rFonts w:ascii="Times New Roman" w:eastAsiaTheme="minorHAnsi" w:hAnsi="Times New Roman"/>
          <w:sz w:val="28"/>
          <w:szCs w:val="28"/>
        </w:rPr>
        <w:t>Компаративний (порівняльний) аналіз нормативів ліквідності НБУ та стандартів «Базель III»</w:t>
      </w:r>
    </w:p>
    <w:tbl>
      <w:tblPr>
        <w:tblStyle w:val="a5"/>
        <w:tblW w:w="0" w:type="auto"/>
        <w:jc w:val="center"/>
        <w:tblInd w:w="0" w:type="dxa"/>
        <w:tblLook w:val="04A0" w:firstRow="1" w:lastRow="0" w:firstColumn="1" w:lastColumn="0" w:noHBand="0" w:noVBand="1"/>
      </w:tblPr>
      <w:tblGrid>
        <w:gridCol w:w="1719"/>
        <w:gridCol w:w="4087"/>
        <w:gridCol w:w="3821"/>
      </w:tblGrid>
      <w:tr w:rsidR="00C13E47" w:rsidRPr="00C13E47" w:rsidTr="00F674EB">
        <w:trPr>
          <w:trHeight w:val="680"/>
          <w:jc w:val="center"/>
        </w:trPr>
        <w:tc>
          <w:tcPr>
            <w:tcW w:w="1719" w:type="dxa"/>
            <w:vAlign w:val="center"/>
          </w:tcPr>
          <w:p w:rsidR="00C13E47" w:rsidRPr="00C13E47" w:rsidRDefault="00C13E47" w:rsidP="00C13E47">
            <w:pPr>
              <w:spacing w:line="240" w:lineRule="auto"/>
              <w:jc w:val="center"/>
              <w:rPr>
                <w:rFonts w:ascii="Times New Roman" w:eastAsiaTheme="minorHAnsi" w:hAnsi="Times New Roman"/>
                <w:b/>
                <w:sz w:val="24"/>
                <w:szCs w:val="24"/>
              </w:rPr>
            </w:pPr>
            <w:r w:rsidRPr="00C13E47">
              <w:rPr>
                <w:rFonts w:ascii="Times New Roman" w:eastAsiaTheme="minorHAnsi" w:hAnsi="Times New Roman"/>
                <w:b/>
                <w:sz w:val="24"/>
                <w:szCs w:val="24"/>
              </w:rPr>
              <w:t>Критерії порівняння</w:t>
            </w:r>
          </w:p>
        </w:tc>
        <w:tc>
          <w:tcPr>
            <w:tcW w:w="4087" w:type="dxa"/>
            <w:vAlign w:val="center"/>
          </w:tcPr>
          <w:p w:rsidR="00C13E47" w:rsidRPr="00C13E47" w:rsidRDefault="00C13E47" w:rsidP="00C13E47">
            <w:pPr>
              <w:spacing w:line="240" w:lineRule="auto"/>
              <w:jc w:val="center"/>
              <w:rPr>
                <w:rFonts w:ascii="Times New Roman" w:eastAsiaTheme="minorHAnsi" w:hAnsi="Times New Roman"/>
                <w:b/>
                <w:sz w:val="24"/>
                <w:szCs w:val="24"/>
              </w:rPr>
            </w:pPr>
            <w:r w:rsidRPr="00C13E47">
              <w:rPr>
                <w:rFonts w:ascii="Times New Roman" w:eastAsiaTheme="minorHAnsi" w:hAnsi="Times New Roman"/>
                <w:b/>
                <w:sz w:val="24"/>
                <w:szCs w:val="24"/>
              </w:rPr>
              <w:t>Нормативи ліквідності НБУ</w:t>
            </w:r>
          </w:p>
        </w:tc>
        <w:tc>
          <w:tcPr>
            <w:tcW w:w="3821" w:type="dxa"/>
            <w:vAlign w:val="center"/>
          </w:tcPr>
          <w:p w:rsidR="00C13E47" w:rsidRPr="00C13E47" w:rsidRDefault="00C13E47" w:rsidP="00C13E47">
            <w:pPr>
              <w:spacing w:line="240" w:lineRule="auto"/>
              <w:jc w:val="center"/>
              <w:rPr>
                <w:rFonts w:ascii="Times New Roman" w:eastAsiaTheme="minorHAnsi" w:hAnsi="Times New Roman"/>
                <w:b/>
                <w:sz w:val="24"/>
                <w:szCs w:val="24"/>
              </w:rPr>
            </w:pPr>
            <w:r w:rsidRPr="00C13E47">
              <w:rPr>
                <w:rFonts w:ascii="Times New Roman" w:eastAsiaTheme="minorHAnsi" w:hAnsi="Times New Roman"/>
                <w:b/>
                <w:sz w:val="24"/>
                <w:szCs w:val="24"/>
              </w:rPr>
              <w:t>Стандарти «Базель ІІІ»</w:t>
            </w:r>
          </w:p>
        </w:tc>
      </w:tr>
      <w:tr w:rsidR="00C13E47" w:rsidRPr="00C13E47" w:rsidTr="00F674EB">
        <w:trPr>
          <w:trHeight w:val="1397"/>
          <w:jc w:val="center"/>
        </w:trPr>
        <w:tc>
          <w:tcPr>
            <w:tcW w:w="1719"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Найменування нормативів</w:t>
            </w:r>
          </w:p>
        </w:tc>
        <w:tc>
          <w:tcPr>
            <w:tcW w:w="4087"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 xml:space="preserve">Н4 – норматив миттєвої ліквідності; </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 xml:space="preserve">Н5 – норматив поточної ліквідності; </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Н6 – норматив короткострокової</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ліквідності</w:t>
            </w:r>
          </w:p>
        </w:tc>
        <w:tc>
          <w:tcPr>
            <w:tcW w:w="3821"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LCR - показник покриття ліквідності;</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 xml:space="preserve">NSFR - показник чистого стабільного фінансування </w:t>
            </w:r>
          </w:p>
        </w:tc>
      </w:tr>
      <w:tr w:rsidR="00C13E47" w:rsidRPr="00C13E47" w:rsidTr="00F674EB">
        <w:trPr>
          <w:trHeight w:val="993"/>
          <w:jc w:val="center"/>
        </w:trPr>
        <w:tc>
          <w:tcPr>
            <w:tcW w:w="1719"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Час визначення</w:t>
            </w:r>
          </w:p>
        </w:tc>
        <w:tc>
          <w:tcPr>
            <w:tcW w:w="4087"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 xml:space="preserve">Н4 – 1 операційний день; </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Н5 – 1 місяць;</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Н6 – 1 рік</w:t>
            </w:r>
          </w:p>
        </w:tc>
        <w:tc>
          <w:tcPr>
            <w:tcW w:w="3821"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LCR – 1 місяць;</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NSFR – 1 рік</w:t>
            </w:r>
          </w:p>
        </w:tc>
      </w:tr>
      <w:tr w:rsidR="00C13E47" w:rsidRPr="00C13E47" w:rsidTr="00F674EB">
        <w:trPr>
          <w:trHeight w:val="2269"/>
          <w:jc w:val="center"/>
        </w:trPr>
        <w:tc>
          <w:tcPr>
            <w:tcW w:w="1719"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Встановлені (нормативні) значення</w:t>
            </w:r>
          </w:p>
        </w:tc>
        <w:tc>
          <w:tcPr>
            <w:tcW w:w="4087"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Н4 - не менше 20%;</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Н5 – не менше 40%;</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Н6 – не менше 60%</w:t>
            </w:r>
          </w:p>
          <w:p w:rsidR="00C13E47" w:rsidRPr="00C13E47" w:rsidRDefault="00C13E47" w:rsidP="00C13E47">
            <w:pPr>
              <w:spacing w:line="240" w:lineRule="auto"/>
              <w:jc w:val="both"/>
              <w:rPr>
                <w:rFonts w:ascii="Times New Roman" w:eastAsiaTheme="minorHAnsi" w:hAnsi="Times New Roman"/>
                <w:sz w:val="24"/>
                <w:szCs w:val="24"/>
                <w:lang w:val="ru-RU"/>
              </w:rPr>
            </w:pPr>
          </w:p>
        </w:tc>
        <w:tc>
          <w:tcPr>
            <w:tcW w:w="3821" w:type="dxa"/>
            <w:vAlign w:val="center"/>
          </w:tcPr>
          <w:p w:rsidR="00C13E47" w:rsidRPr="00C13E47" w:rsidRDefault="00C13E47" w:rsidP="00C13E47">
            <w:pPr>
              <w:spacing w:line="240" w:lineRule="auto"/>
              <w:jc w:val="both"/>
              <w:rPr>
                <w:rFonts w:ascii="Times New Roman" w:eastAsiaTheme="minorHAnsi" w:hAnsi="Times New Roman"/>
              </w:rPr>
            </w:pPr>
            <w:r w:rsidRPr="00C13E47">
              <w:rPr>
                <w:rFonts w:ascii="Times New Roman" w:eastAsiaTheme="minorHAnsi" w:hAnsi="Times New Roman"/>
              </w:rPr>
              <w:t xml:space="preserve">LCR: не менше 50% в іноземній валюті, не менше 80% у всіх валютах - з 01.12.2018; не менше 900% (для усіх валют) – з 01.06.2019; не менше 100% (для усіх валют) – з 01.12.2019. </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rPr>
              <w:t xml:space="preserve">NSFR: не менше 80% – з 01.04.2021; не менше 90% – з 01.10.2021; не менше 100% – з 01.04.2022 </w:t>
            </w:r>
          </w:p>
        </w:tc>
      </w:tr>
      <w:tr w:rsidR="00C13E47" w:rsidRPr="00C13E47" w:rsidTr="00F674EB">
        <w:trPr>
          <w:trHeight w:val="1409"/>
          <w:jc w:val="center"/>
        </w:trPr>
        <w:tc>
          <w:tcPr>
            <w:tcW w:w="1719"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Розрахунок показників з урахуванням</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 xml:space="preserve">сценаріїв </w:t>
            </w:r>
          </w:p>
        </w:tc>
        <w:tc>
          <w:tcPr>
            <w:tcW w:w="4087"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Нормативи не враховують можливі сценарії розвитку подій, встановлено граничні мінімальні значення з урахуванням часових обмежень</w:t>
            </w:r>
          </w:p>
        </w:tc>
        <w:tc>
          <w:tcPr>
            <w:tcW w:w="3821"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Врахування можливих сценаріїв розвитку подій</w:t>
            </w:r>
          </w:p>
        </w:tc>
      </w:tr>
      <w:tr w:rsidR="00C13E47" w:rsidRPr="00C13E47" w:rsidTr="00F674EB">
        <w:trPr>
          <w:trHeight w:val="1401"/>
          <w:jc w:val="center"/>
        </w:trPr>
        <w:tc>
          <w:tcPr>
            <w:tcW w:w="1719"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Валютний ризик</w:t>
            </w:r>
          </w:p>
        </w:tc>
        <w:tc>
          <w:tcPr>
            <w:tcW w:w="4087"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Нормативи розраховуються у національній валюті</w:t>
            </w:r>
          </w:p>
        </w:tc>
        <w:tc>
          <w:tcPr>
            <w:tcW w:w="3821"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Нормативи розраховуються за кожною основною валютою (відповідно до її питомої ваги у балансі)</w:t>
            </w:r>
          </w:p>
        </w:tc>
      </w:tr>
      <w:tr w:rsidR="00C13E47" w:rsidRPr="00C13E47" w:rsidTr="00F674EB">
        <w:trPr>
          <w:trHeight w:val="1268"/>
          <w:jc w:val="center"/>
        </w:trPr>
        <w:tc>
          <w:tcPr>
            <w:tcW w:w="1719"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Оперативне</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регулювання</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стану ліквідності</w:t>
            </w:r>
          </w:p>
        </w:tc>
        <w:tc>
          <w:tcPr>
            <w:tcW w:w="4087"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За результатами виконання банком нормативу миттєвої ліквідності</w:t>
            </w:r>
          </w:p>
        </w:tc>
        <w:tc>
          <w:tcPr>
            <w:tcW w:w="3821"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Не забезпечується</w:t>
            </w:r>
          </w:p>
        </w:tc>
      </w:tr>
      <w:tr w:rsidR="00C13E47" w:rsidRPr="00C13E47" w:rsidTr="00F674EB">
        <w:trPr>
          <w:trHeight w:val="1555"/>
          <w:jc w:val="center"/>
        </w:trPr>
        <w:tc>
          <w:tcPr>
            <w:tcW w:w="1719"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 xml:space="preserve">Ризик складових активів та </w:t>
            </w:r>
          </w:p>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зобов’язань банку</w:t>
            </w:r>
          </w:p>
        </w:tc>
        <w:tc>
          <w:tcPr>
            <w:tcW w:w="4087"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Не передбачено</w:t>
            </w:r>
          </w:p>
        </w:tc>
        <w:tc>
          <w:tcPr>
            <w:tcW w:w="3821" w:type="dxa"/>
            <w:vAlign w:val="center"/>
          </w:tcPr>
          <w:p w:rsidR="00C13E47" w:rsidRPr="00C13E47" w:rsidRDefault="00C13E47" w:rsidP="00C13E47">
            <w:pPr>
              <w:spacing w:line="240" w:lineRule="auto"/>
              <w:jc w:val="both"/>
              <w:rPr>
                <w:rFonts w:ascii="Times New Roman" w:eastAsiaTheme="minorHAnsi" w:hAnsi="Times New Roman"/>
                <w:sz w:val="24"/>
                <w:szCs w:val="24"/>
              </w:rPr>
            </w:pPr>
            <w:r w:rsidRPr="00C13E47">
              <w:rPr>
                <w:rFonts w:ascii="Times New Roman" w:eastAsiaTheme="minorHAnsi" w:hAnsi="Times New Roman"/>
                <w:sz w:val="24"/>
                <w:szCs w:val="24"/>
              </w:rPr>
              <w:t>Передбачено</w:t>
            </w:r>
          </w:p>
        </w:tc>
      </w:tr>
    </w:tbl>
    <w:p w:rsidR="00632839" w:rsidRPr="00B47429" w:rsidRDefault="00632839" w:rsidP="00C13E47">
      <w:pPr>
        <w:spacing w:before="120" w:after="0" w:line="360" w:lineRule="auto"/>
        <w:ind w:firstLine="709"/>
        <w:jc w:val="both"/>
        <w:rPr>
          <w:rFonts w:ascii="Times New Roman" w:eastAsiaTheme="minorHAnsi" w:hAnsi="Times New Roman"/>
          <w:sz w:val="24"/>
          <w:szCs w:val="24"/>
        </w:rPr>
      </w:pPr>
      <w:r w:rsidRPr="00B47429">
        <w:rPr>
          <w:rFonts w:ascii="Times New Roman" w:eastAsiaTheme="minorHAnsi" w:hAnsi="Times New Roman"/>
          <w:sz w:val="24"/>
          <w:szCs w:val="24"/>
        </w:rPr>
        <w:t>Джерело: [15; 32; 33; 43; 56; 57; 58; 59; 77, с. 105]</w:t>
      </w:r>
    </w:p>
    <w:p w:rsidR="00D20772" w:rsidRDefault="00D20772" w:rsidP="0054182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Національний банк України вимагає від комерційних банків побудови ефективної системи управління</w:t>
      </w:r>
      <w:r w:rsidR="00D064ED">
        <w:rPr>
          <w:rFonts w:ascii="Times New Roman" w:eastAsiaTheme="minorHAnsi" w:hAnsi="Times New Roman"/>
          <w:sz w:val="28"/>
          <w:szCs w:val="28"/>
        </w:rPr>
        <w:t>,</w:t>
      </w:r>
      <w:r>
        <w:rPr>
          <w:rFonts w:ascii="Times New Roman" w:eastAsiaTheme="minorHAnsi" w:hAnsi="Times New Roman"/>
          <w:sz w:val="28"/>
          <w:szCs w:val="28"/>
        </w:rPr>
        <w:t xml:space="preserve"> головною метою якої є забезпечення достатнього рівня ліквідності. Важливу роль в забезпеченні достатнього рівня ліквідності в</w:t>
      </w:r>
      <w:r w:rsidRPr="00D20772">
        <w:rPr>
          <w:rFonts w:ascii="Times New Roman" w:eastAsiaTheme="minorHAnsi" w:hAnsi="Times New Roman"/>
          <w:sz w:val="28"/>
          <w:szCs w:val="28"/>
        </w:rPr>
        <w:t>ідіграють інструменти управління нею</w:t>
      </w:r>
      <w:r>
        <w:rPr>
          <w:rFonts w:ascii="Times New Roman" w:eastAsiaTheme="minorHAnsi" w:hAnsi="Times New Roman"/>
          <w:sz w:val="28"/>
          <w:szCs w:val="28"/>
        </w:rPr>
        <w:t>, зокрема методи аналізу</w:t>
      </w:r>
      <w:r w:rsidR="00D064ED">
        <w:rPr>
          <w:rFonts w:ascii="Times New Roman" w:eastAsiaTheme="minorHAnsi" w:hAnsi="Times New Roman"/>
          <w:sz w:val="28"/>
          <w:szCs w:val="28"/>
        </w:rPr>
        <w:t xml:space="preserve">. </w:t>
      </w:r>
      <w:r w:rsidR="00D064ED">
        <w:rPr>
          <w:rFonts w:ascii="Times New Roman" w:eastAsiaTheme="minorHAnsi" w:hAnsi="Times New Roman"/>
          <w:sz w:val="28"/>
          <w:szCs w:val="28"/>
        </w:rPr>
        <w:lastRenderedPageBreak/>
        <w:t>Аналіз ліквідності банку ставить за мету оцінку та прогнозування можливостей банку щодо своєчасного та в повному обсязі виконання зобов’язань за умови, що збережеться достатній рівень дохідності.</w:t>
      </w:r>
      <w:r>
        <w:t xml:space="preserve"> </w:t>
      </w:r>
      <w:r w:rsidR="00541822" w:rsidRPr="00541822">
        <w:rPr>
          <w:rFonts w:ascii="Times New Roman" w:eastAsiaTheme="minorHAnsi" w:hAnsi="Times New Roman"/>
          <w:sz w:val="28"/>
          <w:szCs w:val="28"/>
        </w:rPr>
        <w:t xml:space="preserve">А отже перед банком постає </w:t>
      </w:r>
      <w:r w:rsidRPr="00541822">
        <w:rPr>
          <w:rFonts w:ascii="Times New Roman" w:eastAsiaTheme="minorHAnsi" w:hAnsi="Times New Roman"/>
          <w:sz w:val="28"/>
          <w:szCs w:val="28"/>
        </w:rPr>
        <w:t>завдання пошуку оптимального співвідношення між активами та зобов’язаннями як з боку забезпечення потреб ліквідності, так і їх дохідності та вартості. Забезпечення ефективного прогнозування необхідно для формування оптимальної структури активів банку щоб досягти збалансованості рівня ліквідності та мінімізувати ризики у довгостроковій перспективі</w:t>
      </w:r>
      <w:r w:rsidR="000D21FE">
        <w:rPr>
          <w:rFonts w:ascii="Times New Roman" w:eastAsiaTheme="minorHAnsi" w:hAnsi="Times New Roman"/>
          <w:sz w:val="28"/>
          <w:szCs w:val="28"/>
        </w:rPr>
        <w:t xml:space="preserve"> [77]</w:t>
      </w:r>
      <w:r w:rsidRPr="00541822">
        <w:rPr>
          <w:rFonts w:ascii="Times New Roman" w:eastAsiaTheme="minorHAnsi" w:hAnsi="Times New Roman"/>
          <w:sz w:val="28"/>
          <w:szCs w:val="28"/>
        </w:rPr>
        <w:t>.</w:t>
      </w:r>
    </w:p>
    <w:p w:rsidR="00A9220E" w:rsidRPr="00A9220E" w:rsidRDefault="00751E74" w:rsidP="00541822">
      <w:pPr>
        <w:spacing w:after="0" w:line="360" w:lineRule="auto"/>
        <w:ind w:firstLine="709"/>
        <w:jc w:val="both"/>
        <w:rPr>
          <w:rFonts w:ascii="Times New Roman" w:eastAsiaTheme="minorHAnsi" w:hAnsi="Times New Roman"/>
          <w:sz w:val="28"/>
          <w:szCs w:val="28"/>
        </w:rPr>
      </w:pPr>
      <w:r w:rsidRPr="00A9220E">
        <w:rPr>
          <w:rFonts w:ascii="Times New Roman" w:eastAsiaTheme="minorHAnsi" w:hAnsi="Times New Roman"/>
          <w:sz w:val="28"/>
          <w:szCs w:val="28"/>
        </w:rPr>
        <w:t xml:space="preserve">На прикладі АТ «Ідея Банк» пропонуємо розглянути розрахунок типової оптимізаційної </w:t>
      </w:r>
      <w:r w:rsidR="00A9220E" w:rsidRPr="00A9220E">
        <w:rPr>
          <w:rFonts w:ascii="Times New Roman" w:eastAsiaTheme="minorHAnsi" w:hAnsi="Times New Roman"/>
          <w:sz w:val="28"/>
          <w:szCs w:val="28"/>
        </w:rPr>
        <w:t>моделі задля виконання вище окресленого завдання. Типова оптимізаційна модель дозволить встановити, який вплив на досягнення та підтримання достатнього рівня ліквідності мають активи та зобов’язання комерційного банку. Для побудови оптимізаційної моделі використаємо кореляційно-регресійний аналіз, який дозволить:</w:t>
      </w:r>
    </w:p>
    <w:p w:rsidR="00A9220E" w:rsidRPr="00A9220E" w:rsidRDefault="00A9220E" w:rsidP="00541822">
      <w:pPr>
        <w:spacing w:after="0" w:line="360" w:lineRule="auto"/>
        <w:ind w:firstLine="709"/>
        <w:jc w:val="both"/>
        <w:rPr>
          <w:rFonts w:ascii="Times New Roman" w:eastAsiaTheme="minorHAnsi" w:hAnsi="Times New Roman"/>
          <w:sz w:val="28"/>
          <w:szCs w:val="28"/>
        </w:rPr>
      </w:pPr>
      <w:r w:rsidRPr="00A9220E">
        <w:rPr>
          <w:rFonts w:ascii="Times New Roman" w:eastAsiaTheme="minorHAnsi" w:hAnsi="Times New Roman"/>
          <w:sz w:val="28"/>
          <w:szCs w:val="28"/>
        </w:rPr>
        <w:t>- виявити характер впливу активів та зобов’язань на рівень ліквідності;</w:t>
      </w:r>
    </w:p>
    <w:p w:rsidR="00A9220E" w:rsidRPr="00A9220E" w:rsidRDefault="00A9220E" w:rsidP="00541822">
      <w:pPr>
        <w:spacing w:after="0" w:line="360" w:lineRule="auto"/>
        <w:ind w:firstLine="709"/>
        <w:jc w:val="both"/>
        <w:rPr>
          <w:rFonts w:ascii="Times New Roman" w:eastAsiaTheme="minorHAnsi" w:hAnsi="Times New Roman"/>
          <w:sz w:val="28"/>
          <w:szCs w:val="28"/>
        </w:rPr>
      </w:pPr>
      <w:r w:rsidRPr="00A9220E">
        <w:rPr>
          <w:rFonts w:ascii="Times New Roman" w:eastAsiaTheme="minorHAnsi" w:hAnsi="Times New Roman"/>
          <w:sz w:val="28"/>
          <w:szCs w:val="28"/>
        </w:rPr>
        <w:t xml:space="preserve">- причино-наслідкову залежність рівня ліквідності від </w:t>
      </w:r>
      <w:r w:rsidR="003B609B">
        <w:rPr>
          <w:rFonts w:ascii="Times New Roman" w:eastAsiaTheme="minorHAnsi" w:hAnsi="Times New Roman"/>
          <w:sz w:val="28"/>
          <w:szCs w:val="28"/>
        </w:rPr>
        <w:t>складових</w:t>
      </w:r>
      <w:r w:rsidRPr="00A9220E">
        <w:rPr>
          <w:rFonts w:ascii="Times New Roman" w:eastAsiaTheme="minorHAnsi" w:hAnsi="Times New Roman"/>
          <w:sz w:val="28"/>
          <w:szCs w:val="28"/>
        </w:rPr>
        <w:t xml:space="preserve"> активів та пасивів комерційного банку;</w:t>
      </w:r>
    </w:p>
    <w:p w:rsidR="00A9220E" w:rsidRPr="00A9220E" w:rsidRDefault="00A9220E" w:rsidP="00541822">
      <w:pPr>
        <w:spacing w:after="0" w:line="360" w:lineRule="auto"/>
        <w:ind w:firstLine="709"/>
        <w:jc w:val="both"/>
        <w:rPr>
          <w:rFonts w:ascii="Times New Roman" w:eastAsiaTheme="minorHAnsi" w:hAnsi="Times New Roman"/>
          <w:sz w:val="28"/>
          <w:szCs w:val="28"/>
        </w:rPr>
      </w:pPr>
      <w:r w:rsidRPr="00A9220E">
        <w:rPr>
          <w:rFonts w:ascii="Times New Roman" w:eastAsiaTheme="minorHAnsi" w:hAnsi="Times New Roman"/>
          <w:sz w:val="28"/>
          <w:szCs w:val="28"/>
        </w:rPr>
        <w:t>- спрогнозувати рівень ліквідності на майбутнє.</w:t>
      </w:r>
    </w:p>
    <w:p w:rsidR="003B609B" w:rsidRDefault="007F5777" w:rsidP="003B609B">
      <w:pPr>
        <w:spacing w:after="0" w:line="360" w:lineRule="auto"/>
        <w:ind w:firstLine="709"/>
        <w:jc w:val="both"/>
        <w:rPr>
          <w:rFonts w:ascii="Times New Roman" w:eastAsiaTheme="minorHAnsi" w:hAnsi="Times New Roman"/>
          <w:sz w:val="28"/>
          <w:szCs w:val="28"/>
        </w:rPr>
      </w:pPr>
      <w:r w:rsidRPr="007F5777">
        <w:rPr>
          <w:rFonts w:ascii="Times New Roman" w:eastAsiaTheme="minorHAnsi" w:hAnsi="Times New Roman"/>
          <w:sz w:val="28"/>
          <w:szCs w:val="28"/>
        </w:rPr>
        <w:t>З</w:t>
      </w:r>
      <w:r w:rsidR="003B609B" w:rsidRPr="007F5777">
        <w:rPr>
          <w:rFonts w:ascii="Times New Roman" w:eastAsiaTheme="minorHAnsi" w:hAnsi="Times New Roman"/>
          <w:sz w:val="28"/>
          <w:szCs w:val="28"/>
        </w:rPr>
        <w:t xml:space="preserve">апропонований </w:t>
      </w:r>
      <w:r w:rsidRPr="007F5777">
        <w:rPr>
          <w:rFonts w:ascii="Times New Roman" w:eastAsiaTheme="minorHAnsi" w:hAnsi="Times New Roman"/>
          <w:sz w:val="28"/>
          <w:szCs w:val="28"/>
        </w:rPr>
        <w:t>кореляційно-</w:t>
      </w:r>
      <w:r w:rsidR="003B609B" w:rsidRPr="007F5777">
        <w:rPr>
          <w:rFonts w:ascii="Times New Roman" w:eastAsiaTheme="minorHAnsi" w:hAnsi="Times New Roman"/>
          <w:sz w:val="28"/>
          <w:szCs w:val="28"/>
        </w:rPr>
        <w:t xml:space="preserve">регресійний аналіз </w:t>
      </w:r>
      <w:r w:rsidRPr="007F5777">
        <w:rPr>
          <w:rFonts w:ascii="Times New Roman" w:eastAsiaTheme="minorHAnsi" w:hAnsi="Times New Roman"/>
          <w:sz w:val="28"/>
          <w:szCs w:val="28"/>
        </w:rPr>
        <w:t xml:space="preserve">з математичної точки зору </w:t>
      </w:r>
      <w:r w:rsidR="003B609B" w:rsidRPr="007F5777">
        <w:rPr>
          <w:rFonts w:ascii="Times New Roman" w:eastAsiaTheme="minorHAnsi" w:hAnsi="Times New Roman"/>
          <w:sz w:val="28"/>
          <w:szCs w:val="28"/>
        </w:rPr>
        <w:t>буде представлений у вигляді парної лінійної регресії</w:t>
      </w:r>
      <w:r w:rsidRPr="007F5777">
        <w:rPr>
          <w:rFonts w:ascii="Times New Roman" w:eastAsiaTheme="minorHAnsi" w:hAnsi="Times New Roman"/>
          <w:sz w:val="28"/>
          <w:szCs w:val="28"/>
        </w:rPr>
        <w:t xml:space="preserve">, яка має наступний </w:t>
      </w:r>
      <w:r w:rsidRPr="009F6F15">
        <w:rPr>
          <w:rFonts w:ascii="Times New Roman" w:eastAsiaTheme="minorHAnsi" w:hAnsi="Times New Roman"/>
          <w:sz w:val="28"/>
          <w:szCs w:val="28"/>
        </w:rPr>
        <w:t>вигляд (</w:t>
      </w:r>
      <w:r w:rsidR="00E96D62" w:rsidRPr="009F6F15">
        <w:rPr>
          <w:rFonts w:ascii="Times New Roman" w:eastAsiaTheme="minorHAnsi" w:hAnsi="Times New Roman"/>
          <w:sz w:val="28"/>
          <w:szCs w:val="28"/>
        </w:rPr>
        <w:t xml:space="preserve">див. </w:t>
      </w:r>
      <w:r w:rsidRPr="009F6F15">
        <w:rPr>
          <w:rFonts w:ascii="Times New Roman" w:eastAsiaTheme="minorHAnsi" w:hAnsi="Times New Roman"/>
          <w:sz w:val="28"/>
          <w:szCs w:val="28"/>
        </w:rPr>
        <w:t>формул</w:t>
      </w:r>
      <w:r w:rsidR="009F6F15" w:rsidRPr="009F6F15">
        <w:rPr>
          <w:rFonts w:ascii="Times New Roman" w:eastAsiaTheme="minorHAnsi" w:hAnsi="Times New Roman"/>
          <w:sz w:val="28"/>
          <w:szCs w:val="28"/>
        </w:rPr>
        <w:t>у</w:t>
      </w:r>
      <w:r w:rsidR="001272A6">
        <w:rPr>
          <w:rFonts w:ascii="Times New Roman" w:eastAsiaTheme="minorHAnsi" w:hAnsi="Times New Roman"/>
          <w:sz w:val="28"/>
          <w:szCs w:val="28"/>
        </w:rPr>
        <w:t xml:space="preserve"> 3.1</w:t>
      </w:r>
      <w:r w:rsidRPr="009F6F15">
        <w:rPr>
          <w:rFonts w:ascii="Times New Roman" w:eastAsiaTheme="minorHAnsi" w:hAnsi="Times New Roman"/>
          <w:sz w:val="28"/>
          <w:szCs w:val="28"/>
        </w:rPr>
        <w:t>)</w:t>
      </w:r>
      <w:r w:rsidRPr="007F5777">
        <w:rPr>
          <w:rFonts w:ascii="Times New Roman" w:eastAsiaTheme="minorHAnsi" w:hAnsi="Times New Roman"/>
          <w:sz w:val="28"/>
          <w:szCs w:val="28"/>
        </w:rPr>
        <w:t xml:space="preserve"> </w:t>
      </w:r>
      <w:r w:rsidR="003B609B" w:rsidRPr="007F5777">
        <w:rPr>
          <w:rFonts w:ascii="Times New Roman" w:eastAsiaTheme="minorHAnsi" w:hAnsi="Times New Roman"/>
          <w:sz w:val="28"/>
          <w:szCs w:val="28"/>
        </w:rPr>
        <w:t>[</w:t>
      </w:r>
      <w:r w:rsidRPr="007F5777">
        <w:rPr>
          <w:rFonts w:ascii="Times New Roman" w:eastAsiaTheme="minorHAnsi" w:hAnsi="Times New Roman"/>
          <w:sz w:val="28"/>
          <w:szCs w:val="28"/>
        </w:rPr>
        <w:t>78</w:t>
      </w:r>
      <w:r w:rsidR="003B609B" w:rsidRPr="007F5777">
        <w:rPr>
          <w:rFonts w:ascii="Times New Roman" w:eastAsiaTheme="minorHAnsi" w:hAnsi="Times New Roman"/>
          <w:sz w:val="28"/>
          <w:szCs w:val="28"/>
        </w:rPr>
        <w:t xml:space="preserve">]: </w:t>
      </w: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5"/>
      </w:tblGrid>
      <w:tr w:rsidR="007F5777" w:rsidTr="007F5777">
        <w:tc>
          <w:tcPr>
            <w:tcW w:w="8642" w:type="dxa"/>
          </w:tcPr>
          <w:p w:rsidR="007F5777" w:rsidRDefault="007F5777" w:rsidP="003B609B">
            <w:pPr>
              <w:spacing w:line="360" w:lineRule="auto"/>
              <w:jc w:val="both"/>
              <w:rPr>
                <w:rFonts w:ascii="Times New Roman" w:eastAsiaTheme="minorEastAsia" w:hAnsi="Times New Roman"/>
                <w:iCs/>
                <w:sz w:val="28"/>
                <w:szCs w:val="28"/>
              </w:rPr>
            </w:pPr>
          </w:p>
          <w:p w:rsidR="007F5777" w:rsidRPr="007F5777" w:rsidRDefault="007F5777" w:rsidP="003B609B">
            <w:pPr>
              <w:spacing w:line="360" w:lineRule="auto"/>
              <w:jc w:val="both"/>
              <w:rPr>
                <w:rFonts w:ascii="Times New Roman" w:eastAsiaTheme="minorHAnsi" w:hAnsi="Times New Roman"/>
                <w:sz w:val="28"/>
                <w:szCs w:val="28"/>
              </w:rPr>
            </w:pPr>
            <m:oMathPara>
              <m:oMath>
                <m:r>
                  <w:rPr>
                    <w:rFonts w:ascii="Cambria Math" w:eastAsiaTheme="minorHAnsi" w:hAnsi="Cambria Math"/>
                    <w:sz w:val="28"/>
                    <w:szCs w:val="28"/>
                  </w:rPr>
                  <m:t>y</m:t>
                </m:r>
                <m:r>
                  <m:rPr>
                    <m:sty m:val="p"/>
                  </m:rPr>
                  <w:rPr>
                    <w:rFonts w:ascii="Cambria Math" w:eastAsiaTheme="minorHAnsi" w:hAnsi="Cambria Math"/>
                    <w:sz w:val="28"/>
                    <w:szCs w:val="28"/>
                  </w:rPr>
                  <m:t xml:space="preserve">= </m:t>
                </m:r>
                <m:sSub>
                  <m:sSubPr>
                    <m:ctrlPr>
                      <w:rPr>
                        <w:rFonts w:ascii="Cambria Math" w:eastAsiaTheme="minorHAnsi" w:hAnsi="Cambria Math"/>
                        <w:sz w:val="28"/>
                        <w:szCs w:val="28"/>
                      </w:rPr>
                    </m:ctrlPr>
                  </m:sSubPr>
                  <m:e>
                    <m:r>
                      <w:rPr>
                        <w:rFonts w:ascii="Cambria Math" w:eastAsiaTheme="minorHAnsi" w:hAnsi="Cambria Math"/>
                        <w:sz w:val="28"/>
                        <w:szCs w:val="28"/>
                      </w:rPr>
                      <m:t>b</m:t>
                    </m:r>
                  </m:e>
                  <m:sub>
                    <m:r>
                      <m:rPr>
                        <m:sty m:val="p"/>
                      </m:rPr>
                      <w:rPr>
                        <w:rFonts w:ascii="Cambria Math" w:eastAsiaTheme="minorHAnsi" w:hAnsi="Cambria Math"/>
                        <w:sz w:val="28"/>
                        <w:szCs w:val="28"/>
                      </w:rPr>
                      <m:t>0</m:t>
                    </m:r>
                  </m:sub>
                </m:sSub>
                <m:r>
                  <m:rPr>
                    <m:sty m:val="p"/>
                  </m:rPr>
                  <w:rPr>
                    <w:rFonts w:ascii="Cambria Math" w:eastAsiaTheme="minorHAnsi" w:hAnsi="Cambria Math"/>
                    <w:sz w:val="28"/>
                    <w:szCs w:val="28"/>
                  </w:rPr>
                  <m:t>+</m:t>
                </m:r>
                <m:r>
                  <w:rPr>
                    <w:rFonts w:ascii="Cambria Math" w:eastAsiaTheme="minorHAnsi" w:hAnsi="Cambria Math"/>
                    <w:sz w:val="28"/>
                    <w:szCs w:val="28"/>
                  </w:rPr>
                  <m:t>bx</m:t>
                </m:r>
                <m:r>
                  <m:rPr>
                    <m:sty m:val="p"/>
                  </m:rPr>
                  <w:rPr>
                    <w:rFonts w:ascii="Cambria Math" w:eastAsiaTheme="minorHAnsi" w:hAnsi="Cambria Math"/>
                    <w:sz w:val="28"/>
                    <w:szCs w:val="28"/>
                  </w:rPr>
                  <m:t>+</m:t>
                </m:r>
                <m:r>
                  <w:rPr>
                    <w:rFonts w:ascii="Cambria Math" w:eastAsiaTheme="minorHAnsi" w:hAnsi="Cambria Math"/>
                    <w:sz w:val="28"/>
                    <w:szCs w:val="28"/>
                  </w:rPr>
                  <m:t>e</m:t>
                </m:r>
              </m:oMath>
            </m:oMathPara>
          </w:p>
          <w:p w:rsidR="007F5777" w:rsidRDefault="007F5777" w:rsidP="003B609B">
            <w:pPr>
              <w:spacing w:line="360" w:lineRule="auto"/>
              <w:jc w:val="both"/>
              <w:rPr>
                <w:rFonts w:ascii="Times New Roman" w:eastAsiaTheme="minorHAnsi" w:hAnsi="Times New Roman"/>
                <w:sz w:val="28"/>
                <w:szCs w:val="28"/>
              </w:rPr>
            </w:pPr>
          </w:p>
          <w:p w:rsidR="007F5777" w:rsidRDefault="007F5777" w:rsidP="003B609B">
            <w:pPr>
              <w:spacing w:line="360" w:lineRule="auto"/>
              <w:jc w:val="both"/>
              <w:rPr>
                <w:rFonts w:ascii="Times New Roman" w:eastAsiaTheme="minorHAnsi" w:hAnsi="Times New Roman"/>
                <w:sz w:val="28"/>
                <w:szCs w:val="28"/>
              </w:rPr>
            </w:pPr>
            <w:r w:rsidRPr="007F5777">
              <w:rPr>
                <w:rFonts w:ascii="Times New Roman" w:eastAsiaTheme="minorHAnsi" w:hAnsi="Times New Roman"/>
                <w:sz w:val="28"/>
                <w:szCs w:val="28"/>
              </w:rPr>
              <w:t xml:space="preserve">де y – залежна змінна (результативна ознака); </w:t>
            </w:r>
          </w:p>
          <w:p w:rsidR="007F5777" w:rsidRDefault="007F5777" w:rsidP="003B609B">
            <w:pPr>
              <w:spacing w:line="360" w:lineRule="auto"/>
              <w:jc w:val="both"/>
              <w:rPr>
                <w:rFonts w:ascii="Times New Roman" w:eastAsiaTheme="minorHAnsi" w:hAnsi="Times New Roman"/>
                <w:sz w:val="28"/>
                <w:szCs w:val="28"/>
              </w:rPr>
            </w:pPr>
            <w:r w:rsidRPr="009B09AE">
              <w:rPr>
                <w:rFonts w:ascii="Times New Roman" w:eastAsiaTheme="minorHAnsi" w:hAnsi="Times New Roman"/>
                <w:sz w:val="28"/>
                <w:szCs w:val="28"/>
              </w:rPr>
              <w:t xml:space="preserve">     </w:t>
            </w:r>
            <w:r w:rsidRPr="007F5777">
              <w:rPr>
                <w:rFonts w:ascii="Times New Roman" w:eastAsiaTheme="minorHAnsi" w:hAnsi="Times New Roman"/>
                <w:sz w:val="28"/>
                <w:szCs w:val="28"/>
              </w:rPr>
              <w:t xml:space="preserve">x – незалежна змінна (факторна ознака); </w:t>
            </w:r>
          </w:p>
          <w:p w:rsidR="007F5777" w:rsidRDefault="007F5777" w:rsidP="003B609B">
            <w:pPr>
              <w:spacing w:line="360" w:lineRule="auto"/>
              <w:jc w:val="both"/>
              <w:rPr>
                <w:rFonts w:ascii="Times New Roman" w:eastAsiaTheme="minorHAnsi" w:hAnsi="Times New Roman"/>
                <w:sz w:val="28"/>
                <w:szCs w:val="28"/>
              </w:rPr>
            </w:pPr>
            <w:r w:rsidRPr="009B09AE">
              <w:rPr>
                <w:rFonts w:ascii="Times New Roman" w:eastAsiaTheme="minorHAnsi" w:hAnsi="Times New Roman"/>
                <w:sz w:val="28"/>
                <w:szCs w:val="28"/>
              </w:rPr>
              <w:t xml:space="preserve">     </w:t>
            </w:r>
            <w:r w:rsidRPr="007F5777">
              <w:rPr>
                <w:rFonts w:ascii="Times New Roman" w:eastAsiaTheme="minorHAnsi" w:hAnsi="Times New Roman"/>
                <w:sz w:val="28"/>
                <w:szCs w:val="28"/>
              </w:rPr>
              <w:t>b</w:t>
            </w:r>
            <w:r w:rsidRPr="007F5777">
              <w:rPr>
                <w:rFonts w:ascii="Times New Roman" w:eastAsiaTheme="minorHAnsi" w:hAnsi="Times New Roman"/>
                <w:sz w:val="28"/>
                <w:szCs w:val="28"/>
                <w:vertAlign w:val="subscript"/>
              </w:rPr>
              <w:t>0</w:t>
            </w:r>
            <w:r w:rsidRPr="007F5777">
              <w:rPr>
                <w:rFonts w:ascii="Times New Roman" w:eastAsiaTheme="minorHAnsi" w:hAnsi="Times New Roman"/>
                <w:sz w:val="28"/>
                <w:szCs w:val="28"/>
              </w:rPr>
              <w:t xml:space="preserve">,b – коефіцієнти або параметри моделі; </w:t>
            </w:r>
          </w:p>
          <w:p w:rsidR="007F5777" w:rsidRDefault="007F5777" w:rsidP="003B609B">
            <w:pPr>
              <w:spacing w:line="360" w:lineRule="auto"/>
              <w:jc w:val="both"/>
              <w:rPr>
                <w:rFonts w:ascii="Times New Roman" w:eastAsiaTheme="minorHAnsi" w:hAnsi="Times New Roman"/>
                <w:sz w:val="28"/>
                <w:szCs w:val="28"/>
              </w:rPr>
            </w:pPr>
            <w:r w:rsidRPr="00835F03">
              <w:rPr>
                <w:rFonts w:ascii="Times New Roman" w:eastAsiaTheme="minorHAnsi" w:hAnsi="Times New Roman"/>
                <w:sz w:val="28"/>
                <w:szCs w:val="28"/>
                <w:lang w:val="ru-RU"/>
              </w:rPr>
              <w:t xml:space="preserve">     </w:t>
            </w:r>
            <w:r w:rsidRPr="007F5777">
              <w:rPr>
                <w:rFonts w:ascii="Times New Roman" w:eastAsiaTheme="minorHAnsi" w:hAnsi="Times New Roman"/>
                <w:sz w:val="28"/>
                <w:szCs w:val="28"/>
              </w:rPr>
              <w:t>e – випадкова величина, похибка.</w:t>
            </w:r>
          </w:p>
        </w:tc>
        <w:tc>
          <w:tcPr>
            <w:tcW w:w="985" w:type="dxa"/>
          </w:tcPr>
          <w:p w:rsidR="007F5777" w:rsidRDefault="007F5777" w:rsidP="007F5777">
            <w:pPr>
              <w:spacing w:line="360" w:lineRule="auto"/>
              <w:jc w:val="center"/>
              <w:rPr>
                <w:rFonts w:ascii="Times New Roman" w:eastAsiaTheme="minorHAnsi" w:hAnsi="Times New Roman"/>
                <w:sz w:val="28"/>
                <w:szCs w:val="28"/>
              </w:rPr>
            </w:pPr>
          </w:p>
          <w:p w:rsidR="007F5777" w:rsidRDefault="007F5777" w:rsidP="007F5777">
            <w:pPr>
              <w:spacing w:line="360" w:lineRule="auto"/>
              <w:jc w:val="center"/>
              <w:rPr>
                <w:rFonts w:ascii="Times New Roman" w:eastAsiaTheme="minorHAnsi" w:hAnsi="Times New Roman"/>
                <w:sz w:val="28"/>
                <w:szCs w:val="28"/>
              </w:rPr>
            </w:pPr>
            <w:r>
              <w:rPr>
                <w:rFonts w:ascii="Times New Roman" w:eastAsiaTheme="minorHAnsi" w:hAnsi="Times New Roman"/>
                <w:sz w:val="28"/>
                <w:szCs w:val="28"/>
              </w:rPr>
              <w:t>(3.1)</w:t>
            </w:r>
          </w:p>
        </w:tc>
      </w:tr>
    </w:tbl>
    <w:p w:rsidR="003B609B" w:rsidRDefault="004502B0" w:rsidP="00E96D62">
      <w:pPr>
        <w:spacing w:before="120"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Виходячи з представленої формули необхідно описати вихідні данні, які будуть складатися з:</w:t>
      </w:r>
    </w:p>
    <w:p w:rsidR="004502B0" w:rsidRDefault="004502B0" w:rsidP="003B609B">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незалежних змінних – складові активів та зобов’язань АТ «Ідея Банк»</w:t>
      </w:r>
      <w:r w:rsidR="00A04414">
        <w:rPr>
          <w:rFonts w:ascii="Times New Roman" w:eastAsiaTheme="minorHAnsi" w:hAnsi="Times New Roman"/>
          <w:sz w:val="28"/>
          <w:szCs w:val="28"/>
        </w:rPr>
        <w:t>;</w:t>
      </w:r>
    </w:p>
    <w:p w:rsidR="00A04414" w:rsidRDefault="00A04414" w:rsidP="003B609B">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lastRenderedPageBreak/>
        <w:t xml:space="preserve">- залежних змінних – показники ліквідності АТ «Ідея Банк». </w:t>
      </w:r>
    </w:p>
    <w:p w:rsidR="00AB6024" w:rsidRDefault="00AB6024" w:rsidP="003B609B">
      <w:pPr>
        <w:spacing w:after="0" w:line="360" w:lineRule="auto"/>
        <w:ind w:firstLine="709"/>
        <w:jc w:val="both"/>
        <w:rPr>
          <w:rFonts w:ascii="Times New Roman" w:eastAsiaTheme="minorHAnsi" w:hAnsi="Times New Roman"/>
          <w:sz w:val="28"/>
          <w:szCs w:val="28"/>
        </w:rPr>
      </w:pPr>
      <w:r w:rsidRPr="00AB6024">
        <w:rPr>
          <w:rFonts w:ascii="Times New Roman" w:eastAsiaTheme="minorHAnsi" w:hAnsi="Times New Roman"/>
          <w:sz w:val="28"/>
          <w:szCs w:val="28"/>
        </w:rPr>
        <w:t xml:space="preserve">Акцентуємо, що для розрахунку буде використано лише норматив Н6, оскільки НБУ відмінив обов’язковий розрахунок нормативів Н4 та Н5, а тому не неможливо використати їх </w:t>
      </w:r>
      <w:r w:rsidR="00835F03">
        <w:rPr>
          <w:rFonts w:ascii="Times New Roman" w:eastAsiaTheme="minorHAnsi" w:hAnsi="Times New Roman"/>
          <w:sz w:val="28"/>
          <w:szCs w:val="28"/>
        </w:rPr>
        <w:t>показники</w:t>
      </w:r>
      <w:r w:rsidRPr="00AB6024">
        <w:rPr>
          <w:rFonts w:ascii="Times New Roman" w:eastAsiaTheme="minorHAnsi" w:hAnsi="Times New Roman"/>
          <w:sz w:val="28"/>
          <w:szCs w:val="28"/>
        </w:rPr>
        <w:t xml:space="preserve"> за весь</w:t>
      </w:r>
      <w:r w:rsidR="007C43FC">
        <w:rPr>
          <w:rFonts w:ascii="Times New Roman" w:eastAsiaTheme="minorHAnsi" w:hAnsi="Times New Roman"/>
          <w:sz w:val="28"/>
          <w:szCs w:val="28"/>
        </w:rPr>
        <w:t xml:space="preserve"> період</w:t>
      </w:r>
      <w:r w:rsidRPr="00AB6024">
        <w:rPr>
          <w:rFonts w:ascii="Times New Roman" w:eastAsiaTheme="minorHAnsi" w:hAnsi="Times New Roman"/>
          <w:sz w:val="28"/>
          <w:szCs w:val="28"/>
        </w:rPr>
        <w:t>, який досліджується.</w:t>
      </w:r>
    </w:p>
    <w:p w:rsidR="00A04414" w:rsidRDefault="00A04414" w:rsidP="003B609B">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Окреслений масив даних буде зве</w:t>
      </w:r>
      <w:r w:rsidR="001272A6">
        <w:rPr>
          <w:rFonts w:ascii="Times New Roman" w:eastAsiaTheme="minorHAnsi" w:hAnsi="Times New Roman"/>
          <w:sz w:val="28"/>
          <w:szCs w:val="28"/>
        </w:rPr>
        <w:t>дений у таблицю (див. табл. 3.5</w:t>
      </w:r>
      <w:r>
        <w:rPr>
          <w:rFonts w:ascii="Times New Roman" w:eastAsiaTheme="minorHAnsi" w:hAnsi="Times New Roman"/>
          <w:sz w:val="28"/>
          <w:szCs w:val="28"/>
        </w:rPr>
        <w:t>).</w:t>
      </w:r>
    </w:p>
    <w:p w:rsidR="007F7EDD" w:rsidRDefault="001272A6" w:rsidP="007F7EDD">
      <w:pPr>
        <w:spacing w:after="0" w:line="360" w:lineRule="auto"/>
        <w:ind w:firstLine="709"/>
        <w:jc w:val="right"/>
        <w:rPr>
          <w:rFonts w:ascii="Times New Roman" w:eastAsiaTheme="minorHAnsi" w:hAnsi="Times New Roman"/>
          <w:sz w:val="28"/>
          <w:szCs w:val="28"/>
        </w:rPr>
      </w:pPr>
      <w:r>
        <w:rPr>
          <w:rFonts w:ascii="Times New Roman" w:eastAsiaTheme="minorHAnsi" w:hAnsi="Times New Roman"/>
          <w:sz w:val="28"/>
          <w:szCs w:val="28"/>
        </w:rPr>
        <w:t>Таблиця 3.5</w:t>
      </w:r>
    </w:p>
    <w:p w:rsidR="007F7EDD" w:rsidRDefault="007F7EDD" w:rsidP="00C11A70">
      <w:pPr>
        <w:spacing w:after="0" w:line="360" w:lineRule="auto"/>
        <w:ind w:firstLine="709"/>
        <w:jc w:val="center"/>
        <w:rPr>
          <w:rFonts w:ascii="Times New Roman" w:eastAsiaTheme="minorHAnsi" w:hAnsi="Times New Roman"/>
          <w:sz w:val="28"/>
          <w:szCs w:val="28"/>
        </w:rPr>
      </w:pPr>
      <w:r>
        <w:rPr>
          <w:rFonts w:ascii="Times New Roman" w:eastAsiaTheme="minorHAnsi" w:hAnsi="Times New Roman"/>
          <w:sz w:val="28"/>
          <w:szCs w:val="28"/>
        </w:rPr>
        <w:t>Вихідні данні</w:t>
      </w:r>
      <w:r w:rsidR="00C11A70">
        <w:rPr>
          <w:rFonts w:ascii="Times New Roman" w:eastAsiaTheme="minorHAnsi" w:hAnsi="Times New Roman"/>
          <w:sz w:val="28"/>
          <w:szCs w:val="28"/>
        </w:rPr>
        <w:t xml:space="preserve"> </w:t>
      </w:r>
      <w:r>
        <w:rPr>
          <w:rFonts w:ascii="Times New Roman" w:eastAsiaTheme="minorHAnsi" w:hAnsi="Times New Roman"/>
          <w:sz w:val="28"/>
          <w:szCs w:val="28"/>
        </w:rPr>
        <w:t xml:space="preserve">для розрахунку </w:t>
      </w:r>
      <w:r w:rsidR="00C11A70">
        <w:rPr>
          <w:rFonts w:ascii="Times New Roman" w:eastAsiaTheme="minorHAnsi" w:hAnsi="Times New Roman"/>
          <w:sz w:val="28"/>
          <w:szCs w:val="28"/>
        </w:rPr>
        <w:t xml:space="preserve">за період з 2017 по 2021 рр. </w:t>
      </w:r>
      <w:r>
        <w:rPr>
          <w:rFonts w:ascii="Times New Roman" w:eastAsiaTheme="minorHAnsi" w:hAnsi="Times New Roman"/>
          <w:sz w:val="28"/>
          <w:szCs w:val="28"/>
        </w:rPr>
        <w:t xml:space="preserve">та </w:t>
      </w:r>
      <w:r w:rsidR="00C11A70">
        <w:rPr>
          <w:rFonts w:ascii="Times New Roman" w:eastAsiaTheme="minorHAnsi" w:hAnsi="Times New Roman"/>
          <w:sz w:val="28"/>
          <w:szCs w:val="28"/>
        </w:rPr>
        <w:t>їх умовні позначення</w:t>
      </w:r>
    </w:p>
    <w:tbl>
      <w:tblPr>
        <w:tblW w:w="9271" w:type="dxa"/>
        <w:jc w:val="center"/>
        <w:tblLook w:val="04A0" w:firstRow="1" w:lastRow="0" w:firstColumn="1" w:lastColumn="0" w:noHBand="0" w:noVBand="1"/>
      </w:tblPr>
      <w:tblGrid>
        <w:gridCol w:w="4821"/>
        <w:gridCol w:w="708"/>
        <w:gridCol w:w="696"/>
        <w:gridCol w:w="666"/>
        <w:gridCol w:w="800"/>
        <w:gridCol w:w="800"/>
        <w:gridCol w:w="780"/>
      </w:tblGrid>
      <w:tr w:rsidR="0086123D" w:rsidRPr="0086123D" w:rsidTr="00810F54">
        <w:trPr>
          <w:trHeight w:val="300"/>
          <w:jc w:val="center"/>
        </w:trPr>
        <w:tc>
          <w:tcPr>
            <w:tcW w:w="4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Найменування статті</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Умовне позначення</w:t>
            </w:r>
          </w:p>
        </w:tc>
        <w:tc>
          <w:tcPr>
            <w:tcW w:w="6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2017</w:t>
            </w:r>
          </w:p>
        </w:tc>
        <w:tc>
          <w:tcPr>
            <w:tcW w:w="6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2018</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2019</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2020</w:t>
            </w:r>
          </w:p>
        </w:tc>
        <w:tc>
          <w:tcPr>
            <w:tcW w:w="7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2021</w:t>
            </w:r>
          </w:p>
        </w:tc>
      </w:tr>
      <w:tr w:rsidR="0086123D" w:rsidRPr="0086123D" w:rsidTr="00810F54">
        <w:trPr>
          <w:trHeight w:val="867"/>
          <w:jc w:val="center"/>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p>
        </w:tc>
        <w:tc>
          <w:tcPr>
            <w:tcW w:w="696" w:type="dxa"/>
            <w:vMerge/>
            <w:tcBorders>
              <w:top w:val="single" w:sz="4" w:space="0" w:color="auto"/>
              <w:left w:val="single" w:sz="4" w:space="0" w:color="auto"/>
              <w:bottom w:val="single" w:sz="4" w:space="0" w:color="000000"/>
              <w:right w:val="single" w:sz="4" w:space="0" w:color="auto"/>
            </w:tcBorders>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p>
        </w:tc>
        <w:tc>
          <w:tcPr>
            <w:tcW w:w="666" w:type="dxa"/>
            <w:vMerge/>
            <w:tcBorders>
              <w:top w:val="single" w:sz="4" w:space="0" w:color="auto"/>
              <w:left w:val="single" w:sz="4" w:space="0" w:color="auto"/>
              <w:bottom w:val="single" w:sz="4" w:space="0" w:color="000000"/>
              <w:right w:val="single" w:sz="4" w:space="0" w:color="auto"/>
            </w:tcBorders>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p>
        </w:tc>
      </w:tr>
      <w:tr w:rsidR="0086123D" w:rsidRPr="0086123D" w:rsidTr="00810F54">
        <w:trPr>
          <w:trHeight w:val="427"/>
          <w:jc w:val="center"/>
        </w:trPr>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Незалежні змінні</w:t>
            </w:r>
          </w:p>
        </w:tc>
        <w:tc>
          <w:tcPr>
            <w:tcW w:w="696"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 </w:t>
            </w:r>
          </w:p>
        </w:tc>
        <w:tc>
          <w:tcPr>
            <w:tcW w:w="666"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 </w:t>
            </w:r>
          </w:p>
        </w:tc>
        <w:tc>
          <w:tcPr>
            <w:tcW w:w="800"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 </w:t>
            </w:r>
          </w:p>
        </w:tc>
        <w:tc>
          <w:tcPr>
            <w:tcW w:w="800"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 </w:t>
            </w:r>
          </w:p>
        </w:tc>
        <w:tc>
          <w:tcPr>
            <w:tcW w:w="780"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 </w:t>
            </w:r>
          </w:p>
        </w:tc>
      </w:tr>
      <w:tr w:rsidR="0086123D" w:rsidRPr="0086123D" w:rsidTr="00810F54">
        <w:trPr>
          <w:trHeight w:val="531"/>
          <w:jc w:val="center"/>
        </w:trPr>
        <w:tc>
          <w:tcPr>
            <w:tcW w:w="4821" w:type="dxa"/>
            <w:tcBorders>
              <w:top w:val="nil"/>
              <w:left w:val="single" w:sz="4" w:space="0" w:color="auto"/>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Складові активів, % в активах</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 </w:t>
            </w:r>
          </w:p>
        </w:tc>
        <w:tc>
          <w:tcPr>
            <w:tcW w:w="696"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 </w:t>
            </w:r>
          </w:p>
        </w:tc>
        <w:tc>
          <w:tcPr>
            <w:tcW w:w="666"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 </w:t>
            </w:r>
          </w:p>
        </w:tc>
        <w:tc>
          <w:tcPr>
            <w:tcW w:w="800"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 </w:t>
            </w:r>
          </w:p>
        </w:tc>
        <w:tc>
          <w:tcPr>
            <w:tcW w:w="800"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 </w:t>
            </w:r>
          </w:p>
        </w:tc>
        <w:tc>
          <w:tcPr>
            <w:tcW w:w="780"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 </w:t>
            </w:r>
          </w:p>
        </w:tc>
      </w:tr>
      <w:tr w:rsidR="0086123D" w:rsidRPr="0086123D" w:rsidTr="00810F54">
        <w:trPr>
          <w:trHeight w:val="300"/>
          <w:jc w:val="center"/>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86123D" w:rsidRPr="0086123D" w:rsidRDefault="0086123D" w:rsidP="0086123D">
            <w:pPr>
              <w:spacing w:after="0" w:line="240" w:lineRule="auto"/>
              <w:rPr>
                <w:rFonts w:ascii="Times New Roman" w:eastAsia="Times New Roman" w:hAnsi="Times New Roman"/>
                <w:color w:val="000000"/>
                <w:lang w:eastAsia="uk-UA"/>
              </w:rPr>
            </w:pPr>
            <w:r w:rsidRPr="0086123D">
              <w:rPr>
                <w:rFonts w:ascii="Times New Roman" w:eastAsia="Times New Roman" w:hAnsi="Times New Roman"/>
                <w:color w:val="000000"/>
                <w:lang w:eastAsia="uk-UA"/>
              </w:rPr>
              <w:t>Грошові кошти та їх еквіваленти</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i/>
                <w:color w:val="000000"/>
                <w:lang w:eastAsia="uk-UA"/>
              </w:rPr>
            </w:pPr>
            <w:r w:rsidRPr="0086123D">
              <w:rPr>
                <w:rFonts w:ascii="Times New Roman" w:eastAsia="Times New Roman" w:hAnsi="Times New Roman"/>
                <w:i/>
                <w:color w:val="000000"/>
                <w:lang w:eastAsia="uk-UA"/>
              </w:rPr>
              <w:t>х</w:t>
            </w:r>
            <w:r w:rsidRPr="0086123D">
              <w:rPr>
                <w:rFonts w:ascii="Times New Roman" w:eastAsia="Times New Roman" w:hAnsi="Times New Roman"/>
                <w:i/>
                <w:color w:val="000000"/>
                <w:vertAlign w:val="subscript"/>
                <w:lang w:eastAsia="uk-UA"/>
              </w:rPr>
              <w:t>1</w:t>
            </w:r>
          </w:p>
        </w:tc>
        <w:tc>
          <w:tcPr>
            <w:tcW w:w="69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8,32</w:t>
            </w:r>
          </w:p>
        </w:tc>
        <w:tc>
          <w:tcPr>
            <w:tcW w:w="66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10,83</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13,82</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14,25</w:t>
            </w:r>
          </w:p>
        </w:tc>
        <w:tc>
          <w:tcPr>
            <w:tcW w:w="78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10,79</w:t>
            </w:r>
          </w:p>
        </w:tc>
      </w:tr>
      <w:tr w:rsidR="0086123D" w:rsidRPr="0086123D" w:rsidTr="00810F54">
        <w:trPr>
          <w:trHeight w:val="360"/>
          <w:jc w:val="center"/>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86123D" w:rsidRPr="0086123D" w:rsidRDefault="0086123D" w:rsidP="0086123D">
            <w:pPr>
              <w:spacing w:after="0" w:line="240" w:lineRule="auto"/>
              <w:rPr>
                <w:rFonts w:ascii="Times New Roman" w:eastAsia="Times New Roman" w:hAnsi="Times New Roman"/>
                <w:color w:val="000000"/>
                <w:lang w:eastAsia="uk-UA"/>
              </w:rPr>
            </w:pPr>
            <w:r w:rsidRPr="0086123D">
              <w:rPr>
                <w:rFonts w:ascii="Times New Roman" w:eastAsia="Times New Roman" w:hAnsi="Times New Roman"/>
                <w:color w:val="000000"/>
                <w:lang w:eastAsia="uk-UA"/>
              </w:rPr>
              <w:t>Кредити та аванси клієнтам</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i/>
                <w:color w:val="000000"/>
                <w:lang w:eastAsia="uk-UA"/>
              </w:rPr>
            </w:pPr>
            <w:r w:rsidRPr="0086123D">
              <w:rPr>
                <w:rFonts w:ascii="Times New Roman" w:eastAsia="Times New Roman" w:hAnsi="Times New Roman"/>
                <w:i/>
                <w:color w:val="000000"/>
                <w:lang w:eastAsia="uk-UA"/>
              </w:rPr>
              <w:t>х</w:t>
            </w:r>
            <w:r w:rsidRPr="0086123D">
              <w:rPr>
                <w:rFonts w:ascii="Times New Roman" w:eastAsia="Times New Roman" w:hAnsi="Times New Roman"/>
                <w:i/>
                <w:color w:val="000000"/>
                <w:vertAlign w:val="subscript"/>
                <w:lang w:eastAsia="uk-UA"/>
              </w:rPr>
              <w:t>2</w:t>
            </w:r>
          </w:p>
        </w:tc>
        <w:tc>
          <w:tcPr>
            <w:tcW w:w="69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72,4</w:t>
            </w:r>
          </w:p>
        </w:tc>
        <w:tc>
          <w:tcPr>
            <w:tcW w:w="66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78,62</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76,56</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74,58</w:t>
            </w:r>
          </w:p>
        </w:tc>
        <w:tc>
          <w:tcPr>
            <w:tcW w:w="78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79,11</w:t>
            </w:r>
          </w:p>
        </w:tc>
      </w:tr>
      <w:tr w:rsidR="0086123D" w:rsidRPr="0086123D" w:rsidTr="00810F54">
        <w:trPr>
          <w:trHeight w:val="300"/>
          <w:jc w:val="center"/>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86123D" w:rsidRPr="0086123D" w:rsidRDefault="0086123D" w:rsidP="0086123D">
            <w:pPr>
              <w:spacing w:after="0" w:line="240" w:lineRule="auto"/>
              <w:rPr>
                <w:rFonts w:ascii="Times New Roman" w:eastAsia="Times New Roman" w:hAnsi="Times New Roman"/>
                <w:color w:val="000000"/>
                <w:lang w:eastAsia="uk-UA"/>
              </w:rPr>
            </w:pPr>
            <w:r w:rsidRPr="0086123D">
              <w:rPr>
                <w:rFonts w:ascii="Times New Roman" w:eastAsia="Times New Roman" w:hAnsi="Times New Roman"/>
                <w:color w:val="000000"/>
                <w:lang w:eastAsia="uk-UA"/>
              </w:rPr>
              <w:t>Інвестиції в цінні папери</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i/>
                <w:color w:val="000000"/>
                <w:lang w:eastAsia="uk-UA"/>
              </w:rPr>
            </w:pPr>
            <w:r w:rsidRPr="0086123D">
              <w:rPr>
                <w:rFonts w:ascii="Times New Roman" w:eastAsia="Times New Roman" w:hAnsi="Times New Roman"/>
                <w:i/>
                <w:color w:val="000000"/>
                <w:lang w:eastAsia="uk-UA"/>
              </w:rPr>
              <w:t>х</w:t>
            </w:r>
            <w:r w:rsidRPr="0086123D">
              <w:rPr>
                <w:rFonts w:ascii="Times New Roman" w:eastAsia="Times New Roman" w:hAnsi="Times New Roman"/>
                <w:i/>
                <w:color w:val="000000"/>
                <w:vertAlign w:val="subscript"/>
                <w:lang w:eastAsia="uk-UA"/>
              </w:rPr>
              <w:t>3</w:t>
            </w:r>
          </w:p>
        </w:tc>
        <w:tc>
          <w:tcPr>
            <w:tcW w:w="69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8,29</w:t>
            </w:r>
          </w:p>
        </w:tc>
        <w:tc>
          <w:tcPr>
            <w:tcW w:w="66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4,71</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3,13</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2,8</w:t>
            </w:r>
          </w:p>
        </w:tc>
        <w:tc>
          <w:tcPr>
            <w:tcW w:w="78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2,28</w:t>
            </w:r>
          </w:p>
        </w:tc>
      </w:tr>
      <w:tr w:rsidR="0086123D" w:rsidRPr="0086123D" w:rsidTr="00810F54">
        <w:trPr>
          <w:trHeight w:val="279"/>
          <w:jc w:val="center"/>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86123D" w:rsidRPr="0086123D" w:rsidRDefault="0086123D" w:rsidP="0086123D">
            <w:pPr>
              <w:spacing w:after="0" w:line="240" w:lineRule="auto"/>
              <w:rPr>
                <w:rFonts w:ascii="Times New Roman" w:eastAsia="Times New Roman" w:hAnsi="Times New Roman"/>
                <w:color w:val="000000"/>
                <w:lang w:eastAsia="uk-UA"/>
              </w:rPr>
            </w:pPr>
            <w:r w:rsidRPr="0086123D">
              <w:rPr>
                <w:rFonts w:ascii="Times New Roman" w:eastAsia="Times New Roman" w:hAnsi="Times New Roman"/>
                <w:color w:val="000000"/>
                <w:lang w:eastAsia="uk-UA"/>
              </w:rPr>
              <w:t>Основні засоби та нематеріальні активи</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i/>
                <w:color w:val="000000"/>
                <w:lang w:eastAsia="uk-UA"/>
              </w:rPr>
            </w:pPr>
            <w:r w:rsidRPr="0086123D">
              <w:rPr>
                <w:rFonts w:ascii="Times New Roman" w:eastAsia="Times New Roman" w:hAnsi="Times New Roman"/>
                <w:i/>
                <w:color w:val="000000"/>
                <w:lang w:eastAsia="uk-UA"/>
              </w:rPr>
              <w:t>х</w:t>
            </w:r>
            <w:r w:rsidRPr="0086123D">
              <w:rPr>
                <w:rFonts w:ascii="Times New Roman" w:eastAsia="Times New Roman" w:hAnsi="Times New Roman"/>
                <w:i/>
                <w:color w:val="000000"/>
                <w:vertAlign w:val="subscript"/>
                <w:lang w:eastAsia="uk-UA"/>
              </w:rPr>
              <w:t>4</w:t>
            </w:r>
          </w:p>
        </w:tc>
        <w:tc>
          <w:tcPr>
            <w:tcW w:w="69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3,49</w:t>
            </w:r>
          </w:p>
        </w:tc>
        <w:tc>
          <w:tcPr>
            <w:tcW w:w="66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3,46</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3,93</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4,44</w:t>
            </w:r>
          </w:p>
        </w:tc>
        <w:tc>
          <w:tcPr>
            <w:tcW w:w="78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4,29</w:t>
            </w:r>
          </w:p>
        </w:tc>
      </w:tr>
      <w:tr w:rsidR="0086123D" w:rsidRPr="0086123D" w:rsidTr="00810F54">
        <w:trPr>
          <w:trHeight w:val="300"/>
          <w:jc w:val="center"/>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86123D" w:rsidRPr="0086123D" w:rsidRDefault="0086123D" w:rsidP="0086123D">
            <w:pPr>
              <w:spacing w:after="0" w:line="240" w:lineRule="auto"/>
              <w:rPr>
                <w:rFonts w:ascii="Times New Roman" w:eastAsia="Times New Roman" w:hAnsi="Times New Roman"/>
                <w:color w:val="000000"/>
                <w:lang w:eastAsia="uk-UA"/>
              </w:rPr>
            </w:pPr>
            <w:r w:rsidRPr="0086123D">
              <w:rPr>
                <w:rFonts w:ascii="Times New Roman" w:eastAsia="Times New Roman" w:hAnsi="Times New Roman"/>
                <w:color w:val="000000"/>
                <w:lang w:eastAsia="uk-UA"/>
              </w:rPr>
              <w:t>Інші  активи</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i/>
                <w:color w:val="000000"/>
                <w:lang w:eastAsia="uk-UA"/>
              </w:rPr>
            </w:pPr>
            <w:r w:rsidRPr="0086123D">
              <w:rPr>
                <w:rFonts w:ascii="Times New Roman" w:eastAsia="Times New Roman" w:hAnsi="Times New Roman"/>
                <w:i/>
                <w:color w:val="000000"/>
                <w:lang w:eastAsia="uk-UA"/>
              </w:rPr>
              <w:t>х</w:t>
            </w:r>
            <w:r w:rsidRPr="0086123D">
              <w:rPr>
                <w:rFonts w:ascii="Times New Roman" w:eastAsia="Times New Roman" w:hAnsi="Times New Roman"/>
                <w:i/>
                <w:color w:val="000000"/>
                <w:vertAlign w:val="subscript"/>
                <w:lang w:eastAsia="uk-UA"/>
              </w:rPr>
              <w:t>5</w:t>
            </w:r>
          </w:p>
        </w:tc>
        <w:tc>
          <w:tcPr>
            <w:tcW w:w="69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2,95</w:t>
            </w:r>
          </w:p>
        </w:tc>
        <w:tc>
          <w:tcPr>
            <w:tcW w:w="66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1,89</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1,91</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3,58</w:t>
            </w:r>
          </w:p>
        </w:tc>
        <w:tc>
          <w:tcPr>
            <w:tcW w:w="78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3,17</w:t>
            </w:r>
          </w:p>
        </w:tc>
      </w:tr>
      <w:tr w:rsidR="0086123D" w:rsidRPr="0086123D" w:rsidTr="00810F54">
        <w:trPr>
          <w:trHeight w:val="545"/>
          <w:jc w:val="center"/>
        </w:trPr>
        <w:tc>
          <w:tcPr>
            <w:tcW w:w="4821" w:type="dxa"/>
            <w:tcBorders>
              <w:top w:val="nil"/>
              <w:left w:val="single" w:sz="4" w:space="0" w:color="auto"/>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Складові зобов’язань, % в зобов’язаннях</w:t>
            </w:r>
          </w:p>
        </w:tc>
        <w:tc>
          <w:tcPr>
            <w:tcW w:w="708" w:type="dxa"/>
            <w:tcBorders>
              <w:top w:val="nil"/>
              <w:left w:val="nil"/>
              <w:bottom w:val="single" w:sz="4" w:space="0" w:color="auto"/>
              <w:right w:val="single" w:sz="4" w:space="0" w:color="auto"/>
            </w:tcBorders>
            <w:shd w:val="clear" w:color="auto" w:fill="auto"/>
            <w:noWrap/>
            <w:vAlign w:val="bottom"/>
            <w:hideMark/>
          </w:tcPr>
          <w:p w:rsidR="0086123D" w:rsidRPr="0086123D" w:rsidRDefault="0086123D" w:rsidP="0086123D">
            <w:pPr>
              <w:spacing w:after="0" w:line="240" w:lineRule="auto"/>
              <w:rPr>
                <w:rFonts w:eastAsia="Times New Roman"/>
                <w:i/>
                <w:color w:val="000000"/>
                <w:lang w:eastAsia="uk-UA"/>
              </w:rPr>
            </w:pPr>
            <w:r w:rsidRPr="0086123D">
              <w:rPr>
                <w:rFonts w:eastAsia="Times New Roman"/>
                <w:i/>
                <w:color w:val="000000"/>
                <w:lang w:eastAsia="uk-UA"/>
              </w:rPr>
              <w:t> </w:t>
            </w:r>
          </w:p>
        </w:tc>
        <w:tc>
          <w:tcPr>
            <w:tcW w:w="696" w:type="dxa"/>
            <w:tcBorders>
              <w:top w:val="nil"/>
              <w:left w:val="nil"/>
              <w:bottom w:val="single" w:sz="4" w:space="0" w:color="auto"/>
              <w:right w:val="single" w:sz="4" w:space="0" w:color="auto"/>
            </w:tcBorders>
            <w:shd w:val="clear" w:color="auto" w:fill="auto"/>
            <w:noWrap/>
            <w:vAlign w:val="bottom"/>
            <w:hideMark/>
          </w:tcPr>
          <w:p w:rsidR="0086123D" w:rsidRPr="0086123D" w:rsidRDefault="0086123D" w:rsidP="0086123D">
            <w:pPr>
              <w:spacing w:after="0" w:line="240" w:lineRule="auto"/>
              <w:rPr>
                <w:rFonts w:eastAsia="Times New Roman"/>
                <w:color w:val="000000"/>
                <w:lang w:eastAsia="uk-UA"/>
              </w:rPr>
            </w:pPr>
            <w:r w:rsidRPr="0086123D">
              <w:rPr>
                <w:rFonts w:eastAsia="Times New Roman"/>
                <w:color w:val="000000"/>
                <w:lang w:eastAsia="uk-UA"/>
              </w:rPr>
              <w:t> </w:t>
            </w:r>
          </w:p>
        </w:tc>
        <w:tc>
          <w:tcPr>
            <w:tcW w:w="666" w:type="dxa"/>
            <w:tcBorders>
              <w:top w:val="nil"/>
              <w:left w:val="nil"/>
              <w:bottom w:val="single" w:sz="4" w:space="0" w:color="auto"/>
              <w:right w:val="single" w:sz="4" w:space="0" w:color="auto"/>
            </w:tcBorders>
            <w:shd w:val="clear" w:color="auto" w:fill="auto"/>
            <w:noWrap/>
            <w:vAlign w:val="bottom"/>
            <w:hideMark/>
          </w:tcPr>
          <w:p w:rsidR="0086123D" w:rsidRPr="0086123D" w:rsidRDefault="0086123D" w:rsidP="0086123D">
            <w:pPr>
              <w:spacing w:after="0" w:line="240" w:lineRule="auto"/>
              <w:rPr>
                <w:rFonts w:eastAsia="Times New Roman"/>
                <w:color w:val="000000"/>
                <w:lang w:eastAsia="uk-UA"/>
              </w:rPr>
            </w:pPr>
            <w:r w:rsidRPr="0086123D">
              <w:rPr>
                <w:rFonts w:eastAsia="Times New Roman"/>
                <w:color w:val="000000"/>
                <w:lang w:eastAsia="uk-UA"/>
              </w:rPr>
              <w:t> </w:t>
            </w:r>
          </w:p>
        </w:tc>
        <w:tc>
          <w:tcPr>
            <w:tcW w:w="800" w:type="dxa"/>
            <w:tcBorders>
              <w:top w:val="nil"/>
              <w:left w:val="nil"/>
              <w:bottom w:val="single" w:sz="4" w:space="0" w:color="auto"/>
              <w:right w:val="single" w:sz="4" w:space="0" w:color="auto"/>
            </w:tcBorders>
            <w:shd w:val="clear" w:color="auto" w:fill="auto"/>
            <w:noWrap/>
            <w:vAlign w:val="bottom"/>
            <w:hideMark/>
          </w:tcPr>
          <w:p w:rsidR="0086123D" w:rsidRPr="0086123D" w:rsidRDefault="0086123D" w:rsidP="0086123D">
            <w:pPr>
              <w:spacing w:after="0" w:line="240" w:lineRule="auto"/>
              <w:rPr>
                <w:rFonts w:eastAsia="Times New Roman"/>
                <w:color w:val="000000"/>
                <w:lang w:eastAsia="uk-UA"/>
              </w:rPr>
            </w:pPr>
            <w:r w:rsidRPr="0086123D">
              <w:rPr>
                <w:rFonts w:eastAsia="Times New Roman"/>
                <w:color w:val="000000"/>
                <w:lang w:eastAsia="uk-UA"/>
              </w:rPr>
              <w:t> </w:t>
            </w:r>
          </w:p>
        </w:tc>
        <w:tc>
          <w:tcPr>
            <w:tcW w:w="800" w:type="dxa"/>
            <w:tcBorders>
              <w:top w:val="nil"/>
              <w:left w:val="nil"/>
              <w:bottom w:val="single" w:sz="4" w:space="0" w:color="auto"/>
              <w:right w:val="single" w:sz="4" w:space="0" w:color="auto"/>
            </w:tcBorders>
            <w:shd w:val="clear" w:color="auto" w:fill="auto"/>
            <w:noWrap/>
            <w:vAlign w:val="bottom"/>
            <w:hideMark/>
          </w:tcPr>
          <w:p w:rsidR="0086123D" w:rsidRPr="0086123D" w:rsidRDefault="0086123D" w:rsidP="0086123D">
            <w:pPr>
              <w:spacing w:after="0" w:line="240" w:lineRule="auto"/>
              <w:rPr>
                <w:rFonts w:eastAsia="Times New Roman"/>
                <w:color w:val="000000"/>
                <w:lang w:eastAsia="uk-UA"/>
              </w:rPr>
            </w:pPr>
            <w:r w:rsidRPr="0086123D">
              <w:rPr>
                <w:rFonts w:eastAsia="Times New Roman"/>
                <w:color w:val="000000"/>
                <w:lang w:eastAsia="uk-UA"/>
              </w:rPr>
              <w:t> </w:t>
            </w:r>
          </w:p>
        </w:tc>
        <w:tc>
          <w:tcPr>
            <w:tcW w:w="780" w:type="dxa"/>
            <w:tcBorders>
              <w:top w:val="nil"/>
              <w:left w:val="nil"/>
              <w:bottom w:val="single" w:sz="4" w:space="0" w:color="auto"/>
              <w:right w:val="single" w:sz="4" w:space="0" w:color="auto"/>
            </w:tcBorders>
            <w:shd w:val="clear" w:color="auto" w:fill="auto"/>
            <w:noWrap/>
            <w:vAlign w:val="bottom"/>
            <w:hideMark/>
          </w:tcPr>
          <w:p w:rsidR="0086123D" w:rsidRPr="0086123D" w:rsidRDefault="0086123D" w:rsidP="0086123D">
            <w:pPr>
              <w:spacing w:after="0" w:line="240" w:lineRule="auto"/>
              <w:rPr>
                <w:rFonts w:eastAsia="Times New Roman"/>
                <w:color w:val="000000"/>
                <w:lang w:eastAsia="uk-UA"/>
              </w:rPr>
            </w:pPr>
            <w:r w:rsidRPr="0086123D">
              <w:rPr>
                <w:rFonts w:eastAsia="Times New Roman"/>
                <w:color w:val="000000"/>
                <w:lang w:eastAsia="uk-UA"/>
              </w:rPr>
              <w:t> </w:t>
            </w:r>
          </w:p>
        </w:tc>
      </w:tr>
      <w:tr w:rsidR="0086123D" w:rsidRPr="0086123D" w:rsidTr="00810F54">
        <w:trPr>
          <w:trHeight w:val="300"/>
          <w:jc w:val="center"/>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86123D" w:rsidRPr="0086123D" w:rsidRDefault="0086123D" w:rsidP="0086123D">
            <w:pPr>
              <w:spacing w:after="0" w:line="240" w:lineRule="auto"/>
              <w:rPr>
                <w:rFonts w:ascii="Times New Roman" w:eastAsia="Times New Roman" w:hAnsi="Times New Roman"/>
                <w:color w:val="000000"/>
                <w:lang w:eastAsia="uk-UA"/>
              </w:rPr>
            </w:pPr>
            <w:r w:rsidRPr="0086123D">
              <w:rPr>
                <w:rFonts w:ascii="Times New Roman" w:eastAsia="Times New Roman" w:hAnsi="Times New Roman"/>
                <w:color w:val="000000"/>
                <w:lang w:eastAsia="uk-UA"/>
              </w:rPr>
              <w:t>Кошти банків</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i/>
                <w:color w:val="000000"/>
                <w:lang w:eastAsia="uk-UA"/>
              </w:rPr>
            </w:pPr>
            <w:r w:rsidRPr="0086123D">
              <w:rPr>
                <w:rFonts w:ascii="Times New Roman" w:eastAsia="Times New Roman" w:hAnsi="Times New Roman"/>
                <w:i/>
                <w:color w:val="000000"/>
                <w:lang w:eastAsia="uk-UA"/>
              </w:rPr>
              <w:t>х</w:t>
            </w:r>
            <w:r w:rsidRPr="0086123D">
              <w:rPr>
                <w:rFonts w:ascii="Times New Roman" w:eastAsia="Times New Roman" w:hAnsi="Times New Roman"/>
                <w:i/>
                <w:color w:val="000000"/>
                <w:vertAlign w:val="subscript"/>
                <w:lang w:eastAsia="uk-UA"/>
              </w:rPr>
              <w:t>6</w:t>
            </w:r>
          </w:p>
        </w:tc>
        <w:tc>
          <w:tcPr>
            <w:tcW w:w="69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w:t>
            </w:r>
          </w:p>
        </w:tc>
        <w:tc>
          <w:tcPr>
            <w:tcW w:w="66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14,24</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0,09</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0,1</w:t>
            </w:r>
          </w:p>
        </w:tc>
        <w:tc>
          <w:tcPr>
            <w:tcW w:w="78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0,11</w:t>
            </w:r>
          </w:p>
        </w:tc>
      </w:tr>
      <w:tr w:rsidR="0086123D" w:rsidRPr="0086123D" w:rsidTr="00810F54">
        <w:trPr>
          <w:trHeight w:val="300"/>
          <w:jc w:val="center"/>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86123D" w:rsidRPr="0086123D" w:rsidRDefault="0086123D" w:rsidP="0086123D">
            <w:pPr>
              <w:spacing w:after="0" w:line="240" w:lineRule="auto"/>
              <w:rPr>
                <w:rFonts w:ascii="Times New Roman" w:eastAsia="Times New Roman" w:hAnsi="Times New Roman"/>
                <w:color w:val="000000"/>
                <w:lang w:eastAsia="uk-UA"/>
              </w:rPr>
            </w:pPr>
            <w:r w:rsidRPr="0086123D">
              <w:rPr>
                <w:rFonts w:ascii="Times New Roman" w:eastAsia="Times New Roman" w:hAnsi="Times New Roman"/>
                <w:color w:val="000000"/>
                <w:lang w:eastAsia="uk-UA"/>
              </w:rPr>
              <w:t>Кошти клієнтів</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i/>
                <w:color w:val="000000"/>
                <w:lang w:eastAsia="uk-UA"/>
              </w:rPr>
            </w:pPr>
            <w:r w:rsidRPr="0086123D">
              <w:rPr>
                <w:rFonts w:ascii="Times New Roman" w:eastAsia="Times New Roman" w:hAnsi="Times New Roman"/>
                <w:i/>
                <w:color w:val="000000"/>
                <w:lang w:eastAsia="uk-UA"/>
              </w:rPr>
              <w:t>х</w:t>
            </w:r>
            <w:r w:rsidRPr="0086123D">
              <w:rPr>
                <w:rFonts w:ascii="Times New Roman" w:eastAsia="Times New Roman" w:hAnsi="Times New Roman"/>
                <w:i/>
                <w:color w:val="000000"/>
                <w:vertAlign w:val="subscript"/>
                <w:lang w:eastAsia="uk-UA"/>
              </w:rPr>
              <w:t>7</w:t>
            </w:r>
          </w:p>
        </w:tc>
        <w:tc>
          <w:tcPr>
            <w:tcW w:w="69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91,64</w:t>
            </w:r>
          </w:p>
        </w:tc>
        <w:tc>
          <w:tcPr>
            <w:tcW w:w="66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80,51</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81,4</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79,78</w:t>
            </w:r>
          </w:p>
        </w:tc>
        <w:tc>
          <w:tcPr>
            <w:tcW w:w="78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91,92</w:t>
            </w:r>
          </w:p>
        </w:tc>
      </w:tr>
      <w:tr w:rsidR="0086123D" w:rsidRPr="0086123D" w:rsidTr="00810F54">
        <w:trPr>
          <w:trHeight w:val="300"/>
          <w:jc w:val="center"/>
        </w:trPr>
        <w:tc>
          <w:tcPr>
            <w:tcW w:w="4821" w:type="dxa"/>
            <w:tcBorders>
              <w:top w:val="nil"/>
              <w:left w:val="single" w:sz="4" w:space="0" w:color="auto"/>
              <w:bottom w:val="single" w:sz="4" w:space="0" w:color="auto"/>
              <w:right w:val="single" w:sz="4" w:space="0" w:color="auto"/>
            </w:tcBorders>
            <w:shd w:val="clear" w:color="auto" w:fill="auto"/>
            <w:vAlign w:val="bottom"/>
            <w:hideMark/>
          </w:tcPr>
          <w:p w:rsidR="0086123D" w:rsidRPr="0086123D" w:rsidRDefault="0086123D" w:rsidP="0086123D">
            <w:pPr>
              <w:spacing w:after="0" w:line="240" w:lineRule="auto"/>
              <w:rPr>
                <w:rFonts w:ascii="Times New Roman" w:eastAsia="Times New Roman" w:hAnsi="Times New Roman"/>
                <w:color w:val="000000"/>
                <w:lang w:eastAsia="uk-UA"/>
              </w:rPr>
            </w:pPr>
            <w:r w:rsidRPr="0086123D">
              <w:rPr>
                <w:rFonts w:ascii="Times New Roman" w:eastAsia="Times New Roman" w:hAnsi="Times New Roman"/>
                <w:color w:val="000000"/>
                <w:lang w:eastAsia="uk-UA"/>
              </w:rPr>
              <w:t>Інші зобов’язання</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i/>
                <w:color w:val="000000"/>
                <w:lang w:eastAsia="uk-UA"/>
              </w:rPr>
            </w:pPr>
            <w:r w:rsidRPr="0086123D">
              <w:rPr>
                <w:rFonts w:ascii="Times New Roman" w:eastAsia="Times New Roman" w:hAnsi="Times New Roman"/>
                <w:i/>
                <w:color w:val="000000"/>
                <w:lang w:eastAsia="uk-UA"/>
              </w:rPr>
              <w:t>х</w:t>
            </w:r>
            <w:r w:rsidRPr="0086123D">
              <w:rPr>
                <w:rFonts w:ascii="Times New Roman" w:eastAsia="Times New Roman" w:hAnsi="Times New Roman"/>
                <w:i/>
                <w:color w:val="000000"/>
                <w:vertAlign w:val="subscript"/>
                <w:lang w:eastAsia="uk-UA"/>
              </w:rPr>
              <w:t>8</w:t>
            </w:r>
          </w:p>
        </w:tc>
        <w:tc>
          <w:tcPr>
            <w:tcW w:w="69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2,11</w:t>
            </w:r>
          </w:p>
        </w:tc>
        <w:tc>
          <w:tcPr>
            <w:tcW w:w="66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2,62</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2,62</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2,57</w:t>
            </w:r>
          </w:p>
        </w:tc>
        <w:tc>
          <w:tcPr>
            <w:tcW w:w="78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2,99</w:t>
            </w:r>
          </w:p>
        </w:tc>
      </w:tr>
      <w:tr w:rsidR="0086123D" w:rsidRPr="0086123D" w:rsidTr="00810F54">
        <w:trPr>
          <w:trHeight w:val="470"/>
          <w:jc w:val="center"/>
        </w:trPr>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b/>
                <w:bCs/>
                <w:color w:val="000000"/>
                <w:lang w:eastAsia="uk-UA"/>
              </w:rPr>
            </w:pPr>
            <w:r w:rsidRPr="0086123D">
              <w:rPr>
                <w:rFonts w:ascii="Times New Roman" w:eastAsia="Times New Roman" w:hAnsi="Times New Roman"/>
                <w:b/>
                <w:bCs/>
                <w:color w:val="000000"/>
                <w:lang w:eastAsia="uk-UA"/>
              </w:rPr>
              <w:t>Залежні змінні</w:t>
            </w:r>
          </w:p>
        </w:tc>
        <w:tc>
          <w:tcPr>
            <w:tcW w:w="696" w:type="dxa"/>
            <w:tcBorders>
              <w:top w:val="nil"/>
              <w:left w:val="nil"/>
              <w:bottom w:val="single" w:sz="4" w:space="0" w:color="auto"/>
              <w:right w:val="single" w:sz="4" w:space="0" w:color="auto"/>
            </w:tcBorders>
            <w:shd w:val="clear" w:color="auto" w:fill="auto"/>
            <w:noWrap/>
            <w:vAlign w:val="bottom"/>
            <w:hideMark/>
          </w:tcPr>
          <w:p w:rsidR="0086123D" w:rsidRPr="0086123D" w:rsidRDefault="0086123D" w:rsidP="0086123D">
            <w:pPr>
              <w:spacing w:after="0" w:line="240" w:lineRule="auto"/>
              <w:rPr>
                <w:rFonts w:eastAsia="Times New Roman"/>
                <w:color w:val="000000"/>
                <w:lang w:eastAsia="uk-UA"/>
              </w:rPr>
            </w:pPr>
            <w:r w:rsidRPr="0086123D">
              <w:rPr>
                <w:rFonts w:eastAsia="Times New Roman"/>
                <w:color w:val="000000"/>
                <w:lang w:eastAsia="uk-UA"/>
              </w:rPr>
              <w:t> </w:t>
            </w:r>
          </w:p>
        </w:tc>
        <w:tc>
          <w:tcPr>
            <w:tcW w:w="666" w:type="dxa"/>
            <w:tcBorders>
              <w:top w:val="nil"/>
              <w:left w:val="nil"/>
              <w:bottom w:val="single" w:sz="4" w:space="0" w:color="auto"/>
              <w:right w:val="single" w:sz="4" w:space="0" w:color="auto"/>
            </w:tcBorders>
            <w:shd w:val="clear" w:color="auto" w:fill="auto"/>
            <w:noWrap/>
            <w:vAlign w:val="bottom"/>
            <w:hideMark/>
          </w:tcPr>
          <w:p w:rsidR="0086123D" w:rsidRPr="0086123D" w:rsidRDefault="0086123D" w:rsidP="0086123D">
            <w:pPr>
              <w:spacing w:after="0" w:line="240" w:lineRule="auto"/>
              <w:rPr>
                <w:rFonts w:eastAsia="Times New Roman"/>
                <w:color w:val="000000"/>
                <w:lang w:eastAsia="uk-UA"/>
              </w:rPr>
            </w:pPr>
            <w:r w:rsidRPr="0086123D">
              <w:rPr>
                <w:rFonts w:eastAsia="Times New Roman"/>
                <w:color w:val="000000"/>
                <w:lang w:eastAsia="uk-UA"/>
              </w:rPr>
              <w:t> </w:t>
            </w:r>
          </w:p>
        </w:tc>
        <w:tc>
          <w:tcPr>
            <w:tcW w:w="800" w:type="dxa"/>
            <w:tcBorders>
              <w:top w:val="nil"/>
              <w:left w:val="nil"/>
              <w:bottom w:val="single" w:sz="4" w:space="0" w:color="auto"/>
              <w:right w:val="single" w:sz="4" w:space="0" w:color="auto"/>
            </w:tcBorders>
            <w:shd w:val="clear" w:color="auto" w:fill="auto"/>
            <w:noWrap/>
            <w:vAlign w:val="bottom"/>
            <w:hideMark/>
          </w:tcPr>
          <w:p w:rsidR="0086123D" w:rsidRPr="0086123D" w:rsidRDefault="0086123D" w:rsidP="0086123D">
            <w:pPr>
              <w:spacing w:after="0" w:line="240" w:lineRule="auto"/>
              <w:rPr>
                <w:rFonts w:eastAsia="Times New Roman"/>
                <w:color w:val="000000"/>
                <w:lang w:eastAsia="uk-UA"/>
              </w:rPr>
            </w:pPr>
            <w:r w:rsidRPr="0086123D">
              <w:rPr>
                <w:rFonts w:eastAsia="Times New Roman"/>
                <w:color w:val="000000"/>
                <w:lang w:eastAsia="uk-UA"/>
              </w:rPr>
              <w:t> </w:t>
            </w:r>
          </w:p>
        </w:tc>
        <w:tc>
          <w:tcPr>
            <w:tcW w:w="800" w:type="dxa"/>
            <w:tcBorders>
              <w:top w:val="nil"/>
              <w:left w:val="nil"/>
              <w:bottom w:val="single" w:sz="4" w:space="0" w:color="auto"/>
              <w:right w:val="single" w:sz="4" w:space="0" w:color="auto"/>
            </w:tcBorders>
            <w:shd w:val="clear" w:color="auto" w:fill="auto"/>
            <w:noWrap/>
            <w:vAlign w:val="bottom"/>
            <w:hideMark/>
          </w:tcPr>
          <w:p w:rsidR="0086123D" w:rsidRPr="0086123D" w:rsidRDefault="0086123D" w:rsidP="0086123D">
            <w:pPr>
              <w:spacing w:after="0" w:line="240" w:lineRule="auto"/>
              <w:rPr>
                <w:rFonts w:eastAsia="Times New Roman"/>
                <w:color w:val="000000"/>
                <w:lang w:eastAsia="uk-UA"/>
              </w:rPr>
            </w:pPr>
            <w:r w:rsidRPr="0086123D">
              <w:rPr>
                <w:rFonts w:eastAsia="Times New Roman"/>
                <w:color w:val="000000"/>
                <w:lang w:eastAsia="uk-UA"/>
              </w:rPr>
              <w:t> </w:t>
            </w:r>
          </w:p>
        </w:tc>
        <w:tc>
          <w:tcPr>
            <w:tcW w:w="780" w:type="dxa"/>
            <w:tcBorders>
              <w:top w:val="nil"/>
              <w:left w:val="nil"/>
              <w:bottom w:val="single" w:sz="4" w:space="0" w:color="auto"/>
              <w:right w:val="single" w:sz="4" w:space="0" w:color="auto"/>
            </w:tcBorders>
            <w:shd w:val="clear" w:color="auto" w:fill="auto"/>
            <w:noWrap/>
            <w:vAlign w:val="bottom"/>
            <w:hideMark/>
          </w:tcPr>
          <w:p w:rsidR="0086123D" w:rsidRPr="0086123D" w:rsidRDefault="0086123D" w:rsidP="0086123D">
            <w:pPr>
              <w:spacing w:after="0" w:line="240" w:lineRule="auto"/>
              <w:rPr>
                <w:rFonts w:eastAsia="Times New Roman"/>
                <w:color w:val="000000"/>
                <w:lang w:eastAsia="uk-UA"/>
              </w:rPr>
            </w:pPr>
            <w:r w:rsidRPr="0086123D">
              <w:rPr>
                <w:rFonts w:eastAsia="Times New Roman"/>
                <w:color w:val="000000"/>
                <w:lang w:eastAsia="uk-UA"/>
              </w:rPr>
              <w:t> </w:t>
            </w:r>
          </w:p>
        </w:tc>
      </w:tr>
      <w:tr w:rsidR="0086123D" w:rsidRPr="0086123D" w:rsidTr="00810F54">
        <w:trPr>
          <w:trHeight w:val="300"/>
          <w:jc w:val="center"/>
        </w:trPr>
        <w:tc>
          <w:tcPr>
            <w:tcW w:w="4821" w:type="dxa"/>
            <w:tcBorders>
              <w:top w:val="nil"/>
              <w:left w:val="single" w:sz="4" w:space="0" w:color="auto"/>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color w:val="000000"/>
                <w:lang w:eastAsia="uk-UA"/>
              </w:rPr>
            </w:pPr>
            <w:r w:rsidRPr="0086123D">
              <w:rPr>
                <w:rFonts w:ascii="Times New Roman" w:eastAsia="Times New Roman" w:hAnsi="Times New Roman"/>
                <w:color w:val="000000"/>
                <w:lang w:eastAsia="uk-UA"/>
              </w:rPr>
              <w:t>Коефіцієнт загальної ліквідності</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i/>
                <w:color w:val="000000"/>
                <w:lang w:eastAsia="uk-UA"/>
              </w:rPr>
            </w:pPr>
            <w:r w:rsidRPr="0086123D">
              <w:rPr>
                <w:rFonts w:ascii="Times New Roman" w:eastAsia="Times New Roman" w:hAnsi="Times New Roman"/>
                <w:i/>
                <w:color w:val="000000"/>
                <w:lang w:eastAsia="uk-UA"/>
              </w:rPr>
              <w:t>у</w:t>
            </w:r>
            <w:r w:rsidRPr="0086123D">
              <w:rPr>
                <w:rFonts w:ascii="Times New Roman" w:eastAsia="Times New Roman" w:hAnsi="Times New Roman"/>
                <w:i/>
                <w:color w:val="000000"/>
                <w:vertAlign w:val="subscript"/>
                <w:lang w:eastAsia="uk-UA"/>
              </w:rPr>
              <w:t>1</w:t>
            </w:r>
          </w:p>
        </w:tc>
        <w:tc>
          <w:tcPr>
            <w:tcW w:w="69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1,134</w:t>
            </w:r>
          </w:p>
        </w:tc>
        <w:tc>
          <w:tcPr>
            <w:tcW w:w="66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1,206</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1,207</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1,225</w:t>
            </w:r>
          </w:p>
        </w:tc>
        <w:tc>
          <w:tcPr>
            <w:tcW w:w="78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1,317</w:t>
            </w:r>
          </w:p>
        </w:tc>
      </w:tr>
      <w:tr w:rsidR="0086123D" w:rsidRPr="0086123D" w:rsidTr="00810F54">
        <w:trPr>
          <w:trHeight w:val="600"/>
          <w:jc w:val="center"/>
        </w:trPr>
        <w:tc>
          <w:tcPr>
            <w:tcW w:w="4821" w:type="dxa"/>
            <w:tcBorders>
              <w:top w:val="nil"/>
              <w:left w:val="single" w:sz="4" w:space="0" w:color="auto"/>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rPr>
                <w:rFonts w:ascii="Times New Roman" w:eastAsia="Times New Roman" w:hAnsi="Times New Roman"/>
                <w:color w:val="000000"/>
                <w:lang w:eastAsia="uk-UA"/>
              </w:rPr>
            </w:pPr>
            <w:r w:rsidRPr="0086123D">
              <w:rPr>
                <w:rFonts w:ascii="Times New Roman" w:eastAsia="Times New Roman" w:hAnsi="Times New Roman"/>
                <w:color w:val="000000"/>
                <w:lang w:eastAsia="uk-UA"/>
              </w:rPr>
              <w:t>Коефіцієнт генеральної ліквідності зобов’язань</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i/>
                <w:color w:val="000000"/>
                <w:lang w:eastAsia="uk-UA"/>
              </w:rPr>
            </w:pPr>
            <w:r w:rsidRPr="0086123D">
              <w:rPr>
                <w:rFonts w:ascii="Times New Roman" w:eastAsia="Times New Roman" w:hAnsi="Times New Roman"/>
                <w:i/>
                <w:color w:val="000000"/>
                <w:lang w:eastAsia="uk-UA"/>
              </w:rPr>
              <w:t>у</w:t>
            </w:r>
            <w:r w:rsidRPr="0086123D">
              <w:rPr>
                <w:rFonts w:ascii="Times New Roman" w:eastAsia="Times New Roman" w:hAnsi="Times New Roman"/>
                <w:i/>
                <w:color w:val="000000"/>
                <w:vertAlign w:val="subscript"/>
                <w:lang w:eastAsia="uk-UA"/>
              </w:rPr>
              <w:t>2</w:t>
            </w:r>
          </w:p>
        </w:tc>
        <w:tc>
          <w:tcPr>
            <w:tcW w:w="69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0,134</w:t>
            </w:r>
          </w:p>
        </w:tc>
        <w:tc>
          <w:tcPr>
            <w:tcW w:w="66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0,172</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0,214</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0,229</w:t>
            </w:r>
          </w:p>
        </w:tc>
        <w:tc>
          <w:tcPr>
            <w:tcW w:w="78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0,199</w:t>
            </w:r>
          </w:p>
        </w:tc>
      </w:tr>
      <w:tr w:rsidR="0086123D" w:rsidRPr="0086123D" w:rsidTr="00810F54">
        <w:trPr>
          <w:trHeight w:val="776"/>
          <w:jc w:val="center"/>
        </w:trPr>
        <w:tc>
          <w:tcPr>
            <w:tcW w:w="4821" w:type="dxa"/>
            <w:tcBorders>
              <w:top w:val="nil"/>
              <w:left w:val="single" w:sz="4" w:space="0" w:color="auto"/>
              <w:bottom w:val="single" w:sz="4" w:space="0" w:color="auto"/>
              <w:right w:val="single" w:sz="4" w:space="0" w:color="auto"/>
            </w:tcBorders>
            <w:shd w:val="clear" w:color="auto" w:fill="auto"/>
            <w:vAlign w:val="center"/>
            <w:hideMark/>
          </w:tcPr>
          <w:p w:rsidR="0086123D" w:rsidRPr="0086123D" w:rsidRDefault="00810F54" w:rsidP="0086123D">
            <w:pPr>
              <w:spacing w:after="0" w:line="240" w:lineRule="auto"/>
              <w:rPr>
                <w:rFonts w:ascii="Times New Roman" w:eastAsia="Times New Roman" w:hAnsi="Times New Roman"/>
                <w:color w:val="000000"/>
                <w:lang w:eastAsia="uk-UA"/>
              </w:rPr>
            </w:pPr>
            <w:r>
              <w:rPr>
                <w:rFonts w:ascii="Times New Roman" w:eastAsia="Times New Roman" w:hAnsi="Times New Roman"/>
                <w:color w:val="000000"/>
                <w:lang w:eastAsia="uk-UA"/>
              </w:rPr>
              <w:t xml:space="preserve">Коефіцієнт співвідношення </w:t>
            </w:r>
            <w:r w:rsidR="0086123D" w:rsidRPr="0086123D">
              <w:rPr>
                <w:rFonts w:ascii="Times New Roman" w:eastAsia="Times New Roman" w:hAnsi="Times New Roman"/>
                <w:color w:val="000000"/>
                <w:lang w:eastAsia="uk-UA"/>
              </w:rPr>
              <w:t>високоліквідних активів до робочих активів банку</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i/>
                <w:color w:val="000000"/>
                <w:lang w:eastAsia="uk-UA"/>
              </w:rPr>
            </w:pPr>
            <w:r w:rsidRPr="0086123D">
              <w:rPr>
                <w:rFonts w:ascii="Times New Roman" w:eastAsia="Times New Roman" w:hAnsi="Times New Roman"/>
                <w:i/>
                <w:color w:val="000000"/>
                <w:lang w:eastAsia="uk-UA"/>
              </w:rPr>
              <w:t>у</w:t>
            </w:r>
            <w:r w:rsidRPr="0086123D">
              <w:rPr>
                <w:rFonts w:ascii="Times New Roman" w:eastAsia="Times New Roman" w:hAnsi="Times New Roman"/>
                <w:i/>
                <w:color w:val="000000"/>
                <w:vertAlign w:val="subscript"/>
                <w:lang w:eastAsia="uk-UA"/>
              </w:rPr>
              <w:t>3</w:t>
            </w:r>
          </w:p>
        </w:tc>
        <w:tc>
          <w:tcPr>
            <w:tcW w:w="69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0,091</w:t>
            </w:r>
          </w:p>
        </w:tc>
        <w:tc>
          <w:tcPr>
            <w:tcW w:w="66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0,127</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0,169</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0,176</w:t>
            </w:r>
          </w:p>
        </w:tc>
        <w:tc>
          <w:tcPr>
            <w:tcW w:w="78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0,128</w:t>
            </w:r>
          </w:p>
        </w:tc>
      </w:tr>
      <w:tr w:rsidR="0086123D" w:rsidRPr="0086123D" w:rsidTr="00810F54">
        <w:trPr>
          <w:trHeight w:val="716"/>
          <w:jc w:val="center"/>
        </w:trPr>
        <w:tc>
          <w:tcPr>
            <w:tcW w:w="4821" w:type="dxa"/>
            <w:tcBorders>
              <w:top w:val="nil"/>
              <w:left w:val="single" w:sz="4" w:space="0" w:color="auto"/>
              <w:bottom w:val="single" w:sz="4" w:space="0" w:color="auto"/>
              <w:right w:val="single" w:sz="4" w:space="0" w:color="auto"/>
            </w:tcBorders>
            <w:shd w:val="clear" w:color="auto" w:fill="auto"/>
            <w:vAlign w:val="center"/>
            <w:hideMark/>
          </w:tcPr>
          <w:p w:rsidR="0086123D" w:rsidRPr="0086123D" w:rsidRDefault="0086123D" w:rsidP="001A72F5">
            <w:pPr>
              <w:spacing w:after="0" w:line="240" w:lineRule="auto"/>
              <w:rPr>
                <w:rFonts w:ascii="Times New Roman" w:eastAsia="Times New Roman" w:hAnsi="Times New Roman"/>
                <w:color w:val="000000"/>
                <w:lang w:eastAsia="uk-UA"/>
              </w:rPr>
            </w:pPr>
            <w:r w:rsidRPr="0086123D">
              <w:rPr>
                <w:rFonts w:ascii="Times New Roman" w:eastAsia="Times New Roman" w:hAnsi="Times New Roman"/>
                <w:color w:val="000000"/>
                <w:lang w:eastAsia="uk-UA"/>
              </w:rPr>
              <w:t>Коефіцієнт ліквідного співвідношення виданих кредитів і залучених депозитів (для визначення незбалансованої</w:t>
            </w:r>
            <w:r w:rsidR="00AB2810">
              <w:rPr>
                <w:rFonts w:ascii="Times New Roman" w:eastAsia="Times New Roman" w:hAnsi="Times New Roman"/>
                <w:color w:val="000000"/>
                <w:lang w:eastAsia="uk-UA"/>
              </w:rPr>
              <w:t xml:space="preserve"> </w:t>
            </w:r>
            <w:r w:rsidRPr="0086123D">
              <w:rPr>
                <w:rFonts w:ascii="Times New Roman" w:eastAsia="Times New Roman" w:hAnsi="Times New Roman"/>
                <w:color w:val="000000"/>
                <w:lang w:eastAsia="uk-UA"/>
              </w:rPr>
              <w:t>ліквідності)</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i/>
                <w:color w:val="000000"/>
                <w:lang w:eastAsia="uk-UA"/>
              </w:rPr>
            </w:pPr>
            <w:r w:rsidRPr="0086123D">
              <w:rPr>
                <w:rFonts w:ascii="Times New Roman" w:eastAsia="Times New Roman" w:hAnsi="Times New Roman"/>
                <w:i/>
                <w:color w:val="000000"/>
                <w:lang w:eastAsia="uk-UA"/>
              </w:rPr>
              <w:t>у</w:t>
            </w:r>
            <w:r w:rsidRPr="0086123D">
              <w:rPr>
                <w:rFonts w:ascii="Times New Roman" w:eastAsia="Times New Roman" w:hAnsi="Times New Roman"/>
                <w:i/>
                <w:color w:val="000000"/>
                <w:vertAlign w:val="subscript"/>
                <w:lang w:eastAsia="uk-UA"/>
              </w:rPr>
              <w:t>4</w:t>
            </w:r>
          </w:p>
        </w:tc>
        <w:tc>
          <w:tcPr>
            <w:tcW w:w="69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0,871</w:t>
            </w:r>
          </w:p>
        </w:tc>
        <w:tc>
          <w:tcPr>
            <w:tcW w:w="666"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1,007</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0,988</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0,99</w:t>
            </w:r>
          </w:p>
        </w:tc>
        <w:tc>
          <w:tcPr>
            <w:tcW w:w="78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1,134</w:t>
            </w:r>
          </w:p>
        </w:tc>
      </w:tr>
      <w:tr w:rsidR="0086123D" w:rsidRPr="0086123D" w:rsidTr="00810F54">
        <w:trPr>
          <w:trHeight w:val="404"/>
          <w:jc w:val="center"/>
        </w:trPr>
        <w:tc>
          <w:tcPr>
            <w:tcW w:w="4821" w:type="dxa"/>
            <w:tcBorders>
              <w:top w:val="nil"/>
              <w:left w:val="single" w:sz="4" w:space="0" w:color="auto"/>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both"/>
              <w:rPr>
                <w:rFonts w:ascii="Times New Roman" w:eastAsia="Times New Roman" w:hAnsi="Times New Roman"/>
                <w:color w:val="000000"/>
                <w:lang w:eastAsia="uk-UA"/>
              </w:rPr>
            </w:pPr>
            <w:r w:rsidRPr="0086123D">
              <w:rPr>
                <w:rFonts w:ascii="Times New Roman" w:eastAsia="Times New Roman" w:hAnsi="Times New Roman"/>
                <w:color w:val="000000"/>
                <w:lang w:eastAsia="uk-UA"/>
              </w:rPr>
              <w:t>Норматив короткострокової ліквідності</w:t>
            </w:r>
            <w:r>
              <w:rPr>
                <w:rFonts w:ascii="Times New Roman" w:eastAsia="Times New Roman" w:hAnsi="Times New Roman"/>
                <w:color w:val="000000"/>
                <w:lang w:eastAsia="uk-UA"/>
              </w:rPr>
              <w:t xml:space="preserve"> (Н6)</w:t>
            </w:r>
          </w:p>
        </w:tc>
        <w:tc>
          <w:tcPr>
            <w:tcW w:w="708" w:type="dxa"/>
            <w:tcBorders>
              <w:top w:val="nil"/>
              <w:left w:val="nil"/>
              <w:bottom w:val="single" w:sz="4" w:space="0" w:color="auto"/>
              <w:right w:val="single" w:sz="4" w:space="0" w:color="auto"/>
            </w:tcBorders>
            <w:shd w:val="clear" w:color="auto" w:fill="auto"/>
            <w:vAlign w:val="center"/>
            <w:hideMark/>
          </w:tcPr>
          <w:p w:rsidR="0086123D" w:rsidRPr="0086123D" w:rsidRDefault="0086123D" w:rsidP="0086123D">
            <w:pPr>
              <w:spacing w:after="0" w:line="240" w:lineRule="auto"/>
              <w:jc w:val="center"/>
              <w:rPr>
                <w:rFonts w:ascii="Times New Roman" w:eastAsia="Times New Roman" w:hAnsi="Times New Roman"/>
                <w:i/>
                <w:color w:val="000000"/>
                <w:lang w:eastAsia="uk-UA"/>
              </w:rPr>
            </w:pPr>
            <w:r w:rsidRPr="0086123D">
              <w:rPr>
                <w:rFonts w:ascii="Times New Roman" w:eastAsia="Times New Roman" w:hAnsi="Times New Roman"/>
                <w:i/>
                <w:color w:val="000000"/>
                <w:lang w:eastAsia="uk-UA"/>
              </w:rPr>
              <w:t>у</w:t>
            </w:r>
            <w:r w:rsidRPr="0086123D">
              <w:rPr>
                <w:rFonts w:ascii="Times New Roman" w:eastAsia="Times New Roman" w:hAnsi="Times New Roman"/>
                <w:i/>
                <w:color w:val="000000"/>
                <w:vertAlign w:val="subscript"/>
                <w:lang w:eastAsia="uk-UA"/>
              </w:rPr>
              <w:t>5</w:t>
            </w:r>
          </w:p>
        </w:tc>
        <w:tc>
          <w:tcPr>
            <w:tcW w:w="696" w:type="dxa"/>
            <w:tcBorders>
              <w:top w:val="nil"/>
              <w:left w:val="nil"/>
              <w:bottom w:val="single" w:sz="4" w:space="0" w:color="auto"/>
              <w:right w:val="single" w:sz="4" w:space="0" w:color="auto"/>
            </w:tcBorders>
            <w:shd w:val="clear" w:color="auto" w:fill="auto"/>
            <w:noWrap/>
            <w:vAlign w:val="center"/>
            <w:hideMark/>
          </w:tcPr>
          <w:p w:rsidR="0086123D" w:rsidRPr="0086123D" w:rsidRDefault="00FA0691" w:rsidP="0086123D">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1,669</w:t>
            </w:r>
          </w:p>
        </w:tc>
        <w:tc>
          <w:tcPr>
            <w:tcW w:w="666" w:type="dxa"/>
            <w:tcBorders>
              <w:top w:val="nil"/>
              <w:left w:val="nil"/>
              <w:bottom w:val="single" w:sz="4" w:space="0" w:color="auto"/>
              <w:right w:val="single" w:sz="4" w:space="0" w:color="auto"/>
            </w:tcBorders>
            <w:shd w:val="clear" w:color="auto" w:fill="auto"/>
            <w:noWrap/>
            <w:vAlign w:val="center"/>
            <w:hideMark/>
          </w:tcPr>
          <w:p w:rsidR="0086123D" w:rsidRPr="0086123D" w:rsidRDefault="00FA0691" w:rsidP="0086123D">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2,126</w:t>
            </w:r>
          </w:p>
        </w:tc>
        <w:tc>
          <w:tcPr>
            <w:tcW w:w="800" w:type="dxa"/>
            <w:tcBorders>
              <w:top w:val="nil"/>
              <w:left w:val="nil"/>
              <w:bottom w:val="single" w:sz="4" w:space="0" w:color="auto"/>
              <w:right w:val="single" w:sz="4" w:space="0" w:color="auto"/>
            </w:tcBorders>
            <w:shd w:val="clear" w:color="auto" w:fill="auto"/>
            <w:noWrap/>
            <w:vAlign w:val="center"/>
            <w:hideMark/>
          </w:tcPr>
          <w:p w:rsidR="00FA0691" w:rsidRPr="0086123D" w:rsidRDefault="00FA0691" w:rsidP="00FA0691">
            <w:pPr>
              <w:spacing w:after="0" w:line="240" w:lineRule="auto"/>
              <w:jc w:val="center"/>
              <w:rPr>
                <w:rFonts w:ascii="Times New Roman" w:eastAsia="Times New Roman" w:hAnsi="Times New Roman"/>
                <w:color w:val="000000"/>
                <w:sz w:val="20"/>
                <w:szCs w:val="20"/>
                <w:lang w:eastAsia="uk-UA"/>
              </w:rPr>
            </w:pPr>
            <w:r>
              <w:rPr>
                <w:rFonts w:ascii="Times New Roman" w:eastAsia="Times New Roman" w:hAnsi="Times New Roman"/>
                <w:color w:val="000000"/>
                <w:sz w:val="20"/>
                <w:szCs w:val="20"/>
                <w:lang w:eastAsia="uk-UA"/>
              </w:rPr>
              <w:t>1,189</w:t>
            </w:r>
          </w:p>
        </w:tc>
        <w:tc>
          <w:tcPr>
            <w:tcW w:w="80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1,003</w:t>
            </w:r>
          </w:p>
        </w:tc>
        <w:tc>
          <w:tcPr>
            <w:tcW w:w="780" w:type="dxa"/>
            <w:tcBorders>
              <w:top w:val="nil"/>
              <w:left w:val="nil"/>
              <w:bottom w:val="single" w:sz="4" w:space="0" w:color="auto"/>
              <w:right w:val="single" w:sz="4" w:space="0" w:color="auto"/>
            </w:tcBorders>
            <w:shd w:val="clear" w:color="auto" w:fill="auto"/>
            <w:noWrap/>
            <w:vAlign w:val="center"/>
            <w:hideMark/>
          </w:tcPr>
          <w:p w:rsidR="0086123D" w:rsidRPr="0086123D" w:rsidRDefault="0086123D" w:rsidP="0086123D">
            <w:pPr>
              <w:spacing w:after="0" w:line="240" w:lineRule="auto"/>
              <w:jc w:val="center"/>
              <w:rPr>
                <w:rFonts w:ascii="Times New Roman" w:eastAsia="Times New Roman" w:hAnsi="Times New Roman"/>
                <w:color w:val="000000"/>
                <w:sz w:val="20"/>
                <w:szCs w:val="20"/>
                <w:lang w:eastAsia="uk-UA"/>
              </w:rPr>
            </w:pPr>
            <w:r w:rsidRPr="0086123D">
              <w:rPr>
                <w:rFonts w:ascii="Times New Roman" w:eastAsia="Times New Roman" w:hAnsi="Times New Roman"/>
                <w:color w:val="000000"/>
                <w:sz w:val="20"/>
                <w:szCs w:val="20"/>
                <w:lang w:eastAsia="uk-UA"/>
              </w:rPr>
              <w:t>1,146</w:t>
            </w:r>
          </w:p>
        </w:tc>
      </w:tr>
    </w:tbl>
    <w:p w:rsidR="0016132F" w:rsidRDefault="0016132F" w:rsidP="0003651A">
      <w:pPr>
        <w:spacing w:before="240"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Наступним кроком необхідно побудувати кореляційну матрицю</w:t>
      </w:r>
      <w:r w:rsidR="00CF44D2">
        <w:rPr>
          <w:rFonts w:ascii="Times New Roman" w:hAnsi="Times New Roman"/>
          <w:color w:val="000000"/>
          <w:sz w:val="28"/>
          <w:szCs w:val="28"/>
        </w:rPr>
        <w:t xml:space="preserve">. Кореляційна матриця буде побудована за допомогою </w:t>
      </w:r>
      <w:r w:rsidR="00735BC3" w:rsidRPr="00735BC3">
        <w:rPr>
          <w:rFonts w:ascii="Times New Roman" w:hAnsi="Times New Roman"/>
          <w:color w:val="000000"/>
          <w:sz w:val="28"/>
          <w:szCs w:val="28"/>
        </w:rPr>
        <w:t xml:space="preserve">пакету </w:t>
      </w:r>
      <w:r w:rsidR="00735BC3">
        <w:rPr>
          <w:rFonts w:ascii="Times New Roman" w:hAnsi="Times New Roman"/>
          <w:color w:val="000000"/>
          <w:sz w:val="28"/>
          <w:szCs w:val="28"/>
        </w:rPr>
        <w:t>«Аналіз даних»</w:t>
      </w:r>
      <w:r w:rsidR="00735BC3" w:rsidRPr="00735BC3">
        <w:rPr>
          <w:rFonts w:ascii="Times New Roman" w:hAnsi="Times New Roman"/>
          <w:color w:val="000000"/>
          <w:sz w:val="28"/>
          <w:szCs w:val="28"/>
        </w:rPr>
        <w:t xml:space="preserve"> </w:t>
      </w:r>
      <w:r w:rsidR="0003651A">
        <w:rPr>
          <w:rFonts w:ascii="Times New Roman" w:hAnsi="Times New Roman"/>
          <w:color w:val="000000"/>
          <w:sz w:val="28"/>
          <w:szCs w:val="28"/>
        </w:rPr>
        <w:t xml:space="preserve">програми для роботи з електронними таблицями </w:t>
      </w:r>
      <w:r w:rsidR="0003651A" w:rsidRPr="0003651A">
        <w:rPr>
          <w:rFonts w:ascii="Times New Roman" w:hAnsi="Times New Roman"/>
          <w:color w:val="000000"/>
          <w:sz w:val="28"/>
          <w:szCs w:val="28"/>
        </w:rPr>
        <w:t>Microsoft Office Excel</w:t>
      </w:r>
      <w:r w:rsidR="0003651A">
        <w:rPr>
          <w:rFonts w:ascii="Times New Roman" w:hAnsi="Times New Roman"/>
          <w:color w:val="000000"/>
          <w:sz w:val="28"/>
          <w:szCs w:val="28"/>
        </w:rPr>
        <w:t xml:space="preserve">, яка дозволить виявити </w:t>
      </w:r>
      <w:r w:rsidR="0003651A" w:rsidRPr="0016132F">
        <w:rPr>
          <w:rFonts w:ascii="Times New Roman" w:hAnsi="Times New Roman"/>
          <w:color w:val="000000"/>
          <w:sz w:val="28"/>
          <w:szCs w:val="28"/>
        </w:rPr>
        <w:t>лінійну залежність між змінними, напрям та щільність зв’язку</w:t>
      </w:r>
      <w:r w:rsidR="0003651A">
        <w:rPr>
          <w:rFonts w:ascii="Times New Roman" w:hAnsi="Times New Roman"/>
          <w:color w:val="000000"/>
          <w:sz w:val="28"/>
          <w:szCs w:val="28"/>
        </w:rPr>
        <w:t xml:space="preserve"> </w:t>
      </w:r>
      <w:r w:rsidR="001762F5">
        <w:rPr>
          <w:rFonts w:ascii="Times New Roman" w:hAnsi="Times New Roman"/>
          <w:color w:val="000000"/>
          <w:sz w:val="28"/>
          <w:szCs w:val="28"/>
        </w:rPr>
        <w:t>(</w:t>
      </w:r>
      <w:r w:rsidR="001272A6">
        <w:rPr>
          <w:rFonts w:ascii="Times New Roman" w:hAnsi="Times New Roman"/>
          <w:color w:val="000000"/>
          <w:sz w:val="28"/>
          <w:szCs w:val="28"/>
        </w:rPr>
        <w:t>див. табл. 3.6</w:t>
      </w:r>
      <w:r w:rsidR="0003651A">
        <w:rPr>
          <w:rFonts w:ascii="Times New Roman" w:hAnsi="Times New Roman"/>
          <w:color w:val="000000"/>
          <w:sz w:val="28"/>
          <w:szCs w:val="28"/>
        </w:rPr>
        <w:t xml:space="preserve">). </w:t>
      </w:r>
    </w:p>
    <w:p w:rsidR="0003651A" w:rsidRDefault="001272A6" w:rsidP="00DD14B2">
      <w:pPr>
        <w:spacing w:after="0" w:line="360" w:lineRule="auto"/>
        <w:ind w:firstLine="709"/>
        <w:jc w:val="right"/>
        <w:rPr>
          <w:rFonts w:ascii="Times New Roman" w:hAnsi="Times New Roman"/>
          <w:color w:val="000000"/>
          <w:sz w:val="28"/>
          <w:szCs w:val="28"/>
        </w:rPr>
      </w:pPr>
      <w:r>
        <w:rPr>
          <w:rFonts w:ascii="Times New Roman" w:hAnsi="Times New Roman"/>
          <w:color w:val="000000"/>
          <w:sz w:val="28"/>
          <w:szCs w:val="28"/>
        </w:rPr>
        <w:lastRenderedPageBreak/>
        <w:t>Таблиця 3.6</w:t>
      </w:r>
    </w:p>
    <w:p w:rsidR="00DD14B2" w:rsidRDefault="00DD14B2" w:rsidP="00DD14B2">
      <w:pPr>
        <w:spacing w:after="0" w:line="360" w:lineRule="auto"/>
        <w:ind w:firstLine="709"/>
        <w:jc w:val="center"/>
        <w:rPr>
          <w:rFonts w:ascii="Times New Roman" w:hAnsi="Times New Roman"/>
          <w:color w:val="000000"/>
          <w:sz w:val="28"/>
          <w:szCs w:val="28"/>
        </w:rPr>
      </w:pPr>
      <w:r>
        <w:rPr>
          <w:rFonts w:ascii="Times New Roman" w:hAnsi="Times New Roman"/>
          <w:color w:val="000000"/>
          <w:sz w:val="28"/>
          <w:szCs w:val="28"/>
        </w:rPr>
        <w:t>Кореляційна матриця для вихідних даних</w:t>
      </w:r>
    </w:p>
    <w:tbl>
      <w:tblPr>
        <w:tblW w:w="10125" w:type="dxa"/>
        <w:jc w:val="center"/>
        <w:tblLook w:val="04A0" w:firstRow="1" w:lastRow="0" w:firstColumn="1" w:lastColumn="0" w:noHBand="0" w:noVBand="1"/>
      </w:tblPr>
      <w:tblGrid>
        <w:gridCol w:w="704"/>
        <w:gridCol w:w="835"/>
        <w:gridCol w:w="743"/>
        <w:gridCol w:w="709"/>
        <w:gridCol w:w="709"/>
        <w:gridCol w:w="708"/>
        <w:gridCol w:w="709"/>
        <w:gridCol w:w="851"/>
        <w:gridCol w:w="709"/>
        <w:gridCol w:w="709"/>
        <w:gridCol w:w="709"/>
        <w:gridCol w:w="708"/>
        <w:gridCol w:w="690"/>
        <w:gridCol w:w="632"/>
      </w:tblGrid>
      <w:tr w:rsidR="0090580C" w:rsidRPr="0090580C" w:rsidTr="0090580C">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 </w:t>
            </w:r>
          </w:p>
        </w:tc>
        <w:tc>
          <w:tcPr>
            <w:tcW w:w="835" w:type="dxa"/>
            <w:tcBorders>
              <w:top w:val="single" w:sz="4" w:space="0" w:color="auto"/>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х1</w:t>
            </w:r>
          </w:p>
        </w:tc>
        <w:tc>
          <w:tcPr>
            <w:tcW w:w="743" w:type="dxa"/>
            <w:tcBorders>
              <w:top w:val="single" w:sz="4" w:space="0" w:color="auto"/>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х2</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х3</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х4</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х5</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х6</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х7</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х8</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у1</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у2</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у3</w:t>
            </w:r>
          </w:p>
        </w:tc>
        <w:tc>
          <w:tcPr>
            <w:tcW w:w="690" w:type="dxa"/>
            <w:tcBorders>
              <w:top w:val="single" w:sz="4" w:space="0" w:color="auto"/>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у4</w:t>
            </w:r>
          </w:p>
        </w:tc>
        <w:tc>
          <w:tcPr>
            <w:tcW w:w="632" w:type="dxa"/>
            <w:tcBorders>
              <w:top w:val="single" w:sz="4" w:space="0" w:color="auto"/>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iCs/>
                <w:color w:val="000000"/>
                <w:lang w:eastAsia="uk-UA"/>
              </w:rPr>
            </w:pPr>
            <w:r w:rsidRPr="0090580C">
              <w:rPr>
                <w:rFonts w:ascii="Times New Roman" w:eastAsia="Times New Roman" w:hAnsi="Times New Roman"/>
                <w:i/>
                <w:iCs/>
                <w:color w:val="000000"/>
                <w:lang w:eastAsia="uk-UA"/>
              </w:rPr>
              <w:t>у5</w:t>
            </w:r>
          </w:p>
        </w:tc>
      </w:tr>
      <w:tr w:rsidR="0090580C" w:rsidRPr="0090580C" w:rsidTr="0090580C">
        <w:trPr>
          <w:trHeight w:val="397"/>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color w:val="000000"/>
                <w:lang w:eastAsia="uk-UA"/>
              </w:rPr>
            </w:pPr>
            <w:r w:rsidRPr="0090580C">
              <w:rPr>
                <w:rFonts w:ascii="Times New Roman" w:eastAsia="Times New Roman" w:hAnsi="Times New Roman"/>
                <w:i/>
                <w:color w:val="000000"/>
                <w:lang w:eastAsia="uk-UA"/>
              </w:rPr>
              <w:t>х1</w:t>
            </w:r>
          </w:p>
        </w:tc>
        <w:tc>
          <w:tcPr>
            <w:tcW w:w="835"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1,00</w:t>
            </w:r>
          </w:p>
        </w:tc>
        <w:tc>
          <w:tcPr>
            <w:tcW w:w="743"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851"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90"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32"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r>
      <w:tr w:rsidR="0090580C" w:rsidRPr="0090580C" w:rsidTr="0090580C">
        <w:trPr>
          <w:trHeight w:val="397"/>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color w:val="000000"/>
                <w:lang w:eastAsia="uk-UA"/>
              </w:rPr>
            </w:pPr>
            <w:r w:rsidRPr="0090580C">
              <w:rPr>
                <w:rFonts w:ascii="Times New Roman" w:eastAsia="Times New Roman" w:hAnsi="Times New Roman"/>
                <w:i/>
                <w:color w:val="000000"/>
                <w:lang w:eastAsia="uk-UA"/>
              </w:rPr>
              <w:t>х2</w:t>
            </w:r>
          </w:p>
        </w:tc>
        <w:tc>
          <w:tcPr>
            <w:tcW w:w="835"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0,17</w:t>
            </w:r>
          </w:p>
        </w:tc>
        <w:tc>
          <w:tcPr>
            <w:tcW w:w="743"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851"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90"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32"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r>
      <w:tr w:rsidR="0090580C" w:rsidRPr="0090580C" w:rsidTr="0090580C">
        <w:trPr>
          <w:trHeight w:val="397"/>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color w:val="000000"/>
                <w:lang w:eastAsia="uk-UA"/>
              </w:rPr>
            </w:pPr>
            <w:r w:rsidRPr="0090580C">
              <w:rPr>
                <w:rFonts w:ascii="Times New Roman" w:eastAsia="Times New Roman" w:hAnsi="Times New Roman"/>
                <w:i/>
                <w:color w:val="000000"/>
                <w:lang w:eastAsia="uk-UA"/>
              </w:rPr>
              <w:t>х3</w:t>
            </w:r>
          </w:p>
        </w:tc>
        <w:tc>
          <w:tcPr>
            <w:tcW w:w="835"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-0,77</w:t>
            </w:r>
          </w:p>
        </w:tc>
        <w:tc>
          <w:tcPr>
            <w:tcW w:w="743"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-0,66</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851"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90"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32"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r>
      <w:tr w:rsidR="0090580C" w:rsidRPr="0090580C" w:rsidTr="0090580C">
        <w:trPr>
          <w:trHeight w:val="397"/>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color w:val="000000"/>
                <w:lang w:eastAsia="uk-UA"/>
              </w:rPr>
            </w:pPr>
            <w:r w:rsidRPr="0090580C">
              <w:rPr>
                <w:rFonts w:ascii="Times New Roman" w:eastAsia="Times New Roman" w:hAnsi="Times New Roman"/>
                <w:i/>
                <w:color w:val="000000"/>
                <w:lang w:eastAsia="uk-UA"/>
              </w:rPr>
              <w:t>х4</w:t>
            </w:r>
          </w:p>
        </w:tc>
        <w:tc>
          <w:tcPr>
            <w:tcW w:w="835"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0,65</w:t>
            </w:r>
          </w:p>
        </w:tc>
        <w:tc>
          <w:tcPr>
            <w:tcW w:w="743"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0,15</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-0,79</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1,00</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851"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90"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32"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r>
      <w:tr w:rsidR="0090580C" w:rsidRPr="0090580C" w:rsidTr="0090580C">
        <w:trPr>
          <w:trHeight w:val="397"/>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color w:val="000000"/>
                <w:lang w:eastAsia="uk-UA"/>
              </w:rPr>
            </w:pPr>
            <w:r w:rsidRPr="0090580C">
              <w:rPr>
                <w:rFonts w:ascii="Times New Roman" w:eastAsia="Times New Roman" w:hAnsi="Times New Roman"/>
                <w:i/>
                <w:color w:val="000000"/>
                <w:lang w:eastAsia="uk-UA"/>
              </w:rPr>
              <w:t>х5</w:t>
            </w:r>
          </w:p>
        </w:tc>
        <w:tc>
          <w:tcPr>
            <w:tcW w:w="835"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0,00</w:t>
            </w:r>
          </w:p>
        </w:tc>
        <w:tc>
          <w:tcPr>
            <w:tcW w:w="743"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-0,38</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-0,09</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0,65</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851"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90"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32"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r>
      <w:tr w:rsidR="0090580C" w:rsidRPr="0090580C" w:rsidTr="0090580C">
        <w:trPr>
          <w:trHeight w:val="397"/>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color w:val="000000"/>
                <w:lang w:eastAsia="uk-UA"/>
              </w:rPr>
            </w:pPr>
            <w:r w:rsidRPr="0090580C">
              <w:rPr>
                <w:rFonts w:ascii="Times New Roman" w:eastAsia="Times New Roman" w:hAnsi="Times New Roman"/>
                <w:i/>
                <w:color w:val="000000"/>
                <w:lang w:eastAsia="uk-UA"/>
              </w:rPr>
              <w:t>х6</w:t>
            </w:r>
          </w:p>
        </w:tc>
        <w:tc>
          <w:tcPr>
            <w:tcW w:w="835"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-0,17</w:t>
            </w:r>
          </w:p>
        </w:tc>
        <w:tc>
          <w:tcPr>
            <w:tcW w:w="743"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0,48</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0,10</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-0,57</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-0,59</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1,00</w:t>
            </w:r>
          </w:p>
        </w:tc>
        <w:tc>
          <w:tcPr>
            <w:tcW w:w="851"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90"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32"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r>
      <w:tr w:rsidR="0090580C" w:rsidRPr="0090580C" w:rsidTr="0090580C">
        <w:trPr>
          <w:trHeight w:val="397"/>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color w:val="000000"/>
                <w:lang w:eastAsia="uk-UA"/>
              </w:rPr>
            </w:pPr>
            <w:r w:rsidRPr="0090580C">
              <w:rPr>
                <w:rFonts w:ascii="Times New Roman" w:eastAsia="Times New Roman" w:hAnsi="Times New Roman"/>
                <w:i/>
                <w:color w:val="000000"/>
                <w:lang w:eastAsia="uk-UA"/>
              </w:rPr>
              <w:t>х7</w:t>
            </w:r>
          </w:p>
        </w:tc>
        <w:tc>
          <w:tcPr>
            <w:tcW w:w="835"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-0,76</w:t>
            </w:r>
          </w:p>
        </w:tc>
        <w:tc>
          <w:tcPr>
            <w:tcW w:w="743"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-0,13</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0,38</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-0,09</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0,36</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-0,41</w:t>
            </w:r>
          </w:p>
        </w:tc>
        <w:tc>
          <w:tcPr>
            <w:tcW w:w="851"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90"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32"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r>
      <w:tr w:rsidR="0090580C" w:rsidRPr="0090580C" w:rsidTr="0090580C">
        <w:trPr>
          <w:trHeight w:val="397"/>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color w:val="000000"/>
                <w:lang w:eastAsia="uk-UA"/>
              </w:rPr>
            </w:pPr>
            <w:r w:rsidRPr="0090580C">
              <w:rPr>
                <w:rFonts w:ascii="Times New Roman" w:eastAsia="Times New Roman" w:hAnsi="Times New Roman"/>
                <w:i/>
                <w:color w:val="000000"/>
                <w:lang w:eastAsia="uk-UA"/>
              </w:rPr>
              <w:t>х8</w:t>
            </w:r>
          </w:p>
        </w:tc>
        <w:tc>
          <w:tcPr>
            <w:tcW w:w="835"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0,40</w:t>
            </w:r>
          </w:p>
        </w:tc>
        <w:tc>
          <w:tcPr>
            <w:tcW w:w="743"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0,88</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-0,89</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0,59</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0,00</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0,07</w:t>
            </w:r>
          </w:p>
        </w:tc>
        <w:tc>
          <w:tcPr>
            <w:tcW w:w="851"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-0,07</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90"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32"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r>
      <w:tr w:rsidR="0090580C" w:rsidRPr="0090580C" w:rsidTr="0090580C">
        <w:trPr>
          <w:trHeight w:val="397"/>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color w:val="000000"/>
                <w:lang w:eastAsia="uk-UA"/>
              </w:rPr>
            </w:pPr>
            <w:r w:rsidRPr="0090580C">
              <w:rPr>
                <w:rFonts w:ascii="Times New Roman" w:eastAsia="Times New Roman" w:hAnsi="Times New Roman"/>
                <w:i/>
                <w:color w:val="000000"/>
                <w:lang w:eastAsia="uk-UA"/>
              </w:rPr>
              <w:t>у1</w:t>
            </w:r>
          </w:p>
        </w:tc>
        <w:tc>
          <w:tcPr>
            <w:tcW w:w="835"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0,31</w:t>
            </w:r>
          </w:p>
        </w:tc>
        <w:tc>
          <w:tcPr>
            <w:tcW w:w="743"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0,77</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-0,84</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0,70</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0,25</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-0,09</w:t>
            </w:r>
          </w:p>
        </w:tc>
        <w:tc>
          <w:tcPr>
            <w:tcW w:w="851"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0,11</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0,96</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1,00</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90"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32"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r>
      <w:tr w:rsidR="0090580C" w:rsidRPr="0090580C" w:rsidTr="0090580C">
        <w:trPr>
          <w:trHeight w:val="397"/>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color w:val="000000"/>
                <w:lang w:eastAsia="uk-UA"/>
              </w:rPr>
            </w:pPr>
            <w:r w:rsidRPr="0090580C">
              <w:rPr>
                <w:rFonts w:ascii="Times New Roman" w:eastAsia="Times New Roman" w:hAnsi="Times New Roman"/>
                <w:i/>
                <w:color w:val="000000"/>
                <w:lang w:eastAsia="uk-UA"/>
              </w:rPr>
              <w:t>у2</w:t>
            </w:r>
          </w:p>
        </w:tc>
        <w:tc>
          <w:tcPr>
            <w:tcW w:w="835"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0,94</w:t>
            </w:r>
          </w:p>
        </w:tc>
        <w:tc>
          <w:tcPr>
            <w:tcW w:w="743"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0,33</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-0,92</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0,84</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0,18</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-0,26</w:t>
            </w:r>
          </w:p>
        </w:tc>
        <w:tc>
          <w:tcPr>
            <w:tcW w:w="851"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-0,56</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0,64</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0,59</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1,00</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90"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32"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r>
      <w:tr w:rsidR="0090580C" w:rsidRPr="0090580C" w:rsidTr="0090580C">
        <w:trPr>
          <w:trHeight w:val="397"/>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color w:val="000000"/>
                <w:lang w:eastAsia="uk-UA"/>
              </w:rPr>
            </w:pPr>
            <w:r w:rsidRPr="0090580C">
              <w:rPr>
                <w:rFonts w:ascii="Times New Roman" w:eastAsia="Times New Roman" w:hAnsi="Times New Roman"/>
                <w:i/>
                <w:color w:val="000000"/>
                <w:lang w:eastAsia="uk-UA"/>
              </w:rPr>
              <w:t>у3</w:t>
            </w:r>
          </w:p>
        </w:tc>
        <w:tc>
          <w:tcPr>
            <w:tcW w:w="835"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0,99</w:t>
            </w:r>
          </w:p>
        </w:tc>
        <w:tc>
          <w:tcPr>
            <w:tcW w:w="743"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0,19</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-0,78</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0,67</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0,01</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-0,17</w:t>
            </w:r>
          </w:p>
        </w:tc>
        <w:tc>
          <w:tcPr>
            <w:tcW w:w="851"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-0,75</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0,42</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0,33</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0,95</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1,00</w:t>
            </w:r>
          </w:p>
        </w:tc>
        <w:tc>
          <w:tcPr>
            <w:tcW w:w="690"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c>
          <w:tcPr>
            <w:tcW w:w="632"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r>
      <w:tr w:rsidR="0090580C" w:rsidRPr="0090580C" w:rsidTr="0090580C">
        <w:trPr>
          <w:trHeight w:val="397"/>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color w:val="000000"/>
                <w:lang w:eastAsia="uk-UA"/>
              </w:rPr>
            </w:pPr>
            <w:r w:rsidRPr="0090580C">
              <w:rPr>
                <w:rFonts w:ascii="Times New Roman" w:eastAsia="Times New Roman" w:hAnsi="Times New Roman"/>
                <w:i/>
                <w:color w:val="000000"/>
                <w:lang w:eastAsia="uk-UA"/>
              </w:rPr>
              <w:t>у4</w:t>
            </w:r>
          </w:p>
        </w:tc>
        <w:tc>
          <w:tcPr>
            <w:tcW w:w="835"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0,28</w:t>
            </w:r>
          </w:p>
        </w:tc>
        <w:tc>
          <w:tcPr>
            <w:tcW w:w="743"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0,87</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-0,83</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0,58</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0,09</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0,06</w:t>
            </w:r>
          </w:p>
        </w:tc>
        <w:tc>
          <w:tcPr>
            <w:tcW w:w="851"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0,06</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0,99</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0,98</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0,54</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0,30</w:t>
            </w:r>
          </w:p>
        </w:tc>
        <w:tc>
          <w:tcPr>
            <w:tcW w:w="690"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1,00</w:t>
            </w:r>
          </w:p>
        </w:tc>
        <w:tc>
          <w:tcPr>
            <w:tcW w:w="632"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p>
        </w:tc>
      </w:tr>
      <w:tr w:rsidR="0090580C" w:rsidRPr="0090580C" w:rsidTr="0090580C">
        <w:trPr>
          <w:trHeight w:val="397"/>
          <w:jc w:val="center"/>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i/>
                <w:color w:val="000000"/>
                <w:lang w:eastAsia="uk-UA"/>
              </w:rPr>
            </w:pPr>
            <w:r w:rsidRPr="0090580C">
              <w:rPr>
                <w:rFonts w:ascii="Times New Roman" w:eastAsia="Times New Roman" w:hAnsi="Times New Roman"/>
                <w:i/>
                <w:color w:val="000000"/>
                <w:lang w:eastAsia="uk-UA"/>
              </w:rPr>
              <w:t>у5</w:t>
            </w:r>
          </w:p>
        </w:tc>
        <w:tc>
          <w:tcPr>
            <w:tcW w:w="835"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-0,61</w:t>
            </w:r>
          </w:p>
        </w:tc>
        <w:tc>
          <w:tcPr>
            <w:tcW w:w="743"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0,11</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0,60</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-0,90</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-0,58</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0,84</w:t>
            </w:r>
          </w:p>
        </w:tc>
        <w:tc>
          <w:tcPr>
            <w:tcW w:w="851"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-0,04</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-0,35</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-0,47</w:t>
            </w:r>
          </w:p>
        </w:tc>
        <w:tc>
          <w:tcPr>
            <w:tcW w:w="709"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-0,73</w:t>
            </w:r>
          </w:p>
        </w:tc>
        <w:tc>
          <w:tcPr>
            <w:tcW w:w="708"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-0,62</w:t>
            </w:r>
          </w:p>
        </w:tc>
        <w:tc>
          <w:tcPr>
            <w:tcW w:w="690"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color w:val="000000"/>
                <w:lang w:eastAsia="uk-UA"/>
              </w:rPr>
            </w:pPr>
            <w:r w:rsidRPr="0090580C">
              <w:rPr>
                <w:rFonts w:ascii="Times New Roman" w:eastAsia="Times New Roman" w:hAnsi="Times New Roman"/>
                <w:color w:val="000000"/>
                <w:lang w:eastAsia="uk-UA"/>
              </w:rPr>
              <w:t>-0,33</w:t>
            </w:r>
          </w:p>
        </w:tc>
        <w:tc>
          <w:tcPr>
            <w:tcW w:w="632" w:type="dxa"/>
            <w:tcBorders>
              <w:top w:val="nil"/>
              <w:left w:val="nil"/>
              <w:bottom w:val="single" w:sz="4" w:space="0" w:color="auto"/>
              <w:right w:val="single" w:sz="4" w:space="0" w:color="auto"/>
            </w:tcBorders>
            <w:shd w:val="clear" w:color="000000" w:fill="FFFFFF"/>
            <w:noWrap/>
            <w:vAlign w:val="center"/>
            <w:hideMark/>
          </w:tcPr>
          <w:p w:rsidR="0090580C" w:rsidRPr="0090580C" w:rsidRDefault="0090580C" w:rsidP="0090580C">
            <w:pPr>
              <w:spacing w:after="0" w:line="240" w:lineRule="auto"/>
              <w:jc w:val="center"/>
              <w:rPr>
                <w:rFonts w:ascii="Times New Roman" w:eastAsia="Times New Roman" w:hAnsi="Times New Roman"/>
                <w:b/>
                <w:bCs/>
                <w:color w:val="000000"/>
                <w:lang w:eastAsia="uk-UA"/>
              </w:rPr>
            </w:pPr>
            <w:r w:rsidRPr="0090580C">
              <w:rPr>
                <w:rFonts w:ascii="Times New Roman" w:eastAsia="Times New Roman" w:hAnsi="Times New Roman"/>
                <w:b/>
                <w:bCs/>
                <w:color w:val="000000"/>
                <w:lang w:eastAsia="uk-UA"/>
              </w:rPr>
              <w:t>1,00</w:t>
            </w:r>
          </w:p>
        </w:tc>
      </w:tr>
    </w:tbl>
    <w:p w:rsidR="0003651A" w:rsidRDefault="00DD14B2" w:rsidP="00DD14B2">
      <w:pPr>
        <w:spacing w:before="240"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За результатами розрахунків отримали від’ємні та додатні значення, що свідчить про наступне:</w:t>
      </w:r>
    </w:p>
    <w:p w:rsidR="00DD14B2" w:rsidRDefault="00DD14B2" w:rsidP="00DD14B2">
      <w:pPr>
        <w:pStyle w:val="a4"/>
        <w:numPr>
          <w:ilvl w:val="0"/>
          <w:numId w:val="5"/>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від’ємне значення – обернена залежність;</w:t>
      </w:r>
    </w:p>
    <w:p w:rsidR="0003651A" w:rsidRPr="00DD14B2" w:rsidRDefault="00DD14B2" w:rsidP="00DD14B2">
      <w:pPr>
        <w:pStyle w:val="a4"/>
        <w:numPr>
          <w:ilvl w:val="0"/>
          <w:numId w:val="5"/>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додатне – пряма залежність.</w:t>
      </w:r>
    </w:p>
    <w:p w:rsidR="0086123D" w:rsidRDefault="0016132F" w:rsidP="00DD14B2">
      <w:pPr>
        <w:spacing w:after="0" w:line="360" w:lineRule="auto"/>
        <w:ind w:firstLine="709"/>
        <w:jc w:val="both"/>
        <w:rPr>
          <w:rFonts w:ascii="Times New Roman" w:hAnsi="Times New Roman"/>
          <w:color w:val="000000"/>
          <w:sz w:val="28"/>
          <w:szCs w:val="28"/>
        </w:rPr>
      </w:pPr>
      <w:r w:rsidRPr="0016132F">
        <w:rPr>
          <w:rFonts w:ascii="Times New Roman" w:hAnsi="Times New Roman"/>
          <w:color w:val="000000"/>
          <w:sz w:val="28"/>
          <w:szCs w:val="28"/>
        </w:rPr>
        <w:t>Щільним вважається зв'язок на рівні 0,7 та більше, що в таблиці буде виділено напівжирним шрифтом.</w:t>
      </w:r>
    </w:p>
    <w:p w:rsidR="00400709" w:rsidRPr="00400709" w:rsidRDefault="00400709" w:rsidP="00400709">
      <w:pPr>
        <w:spacing w:after="0" w:line="360" w:lineRule="auto"/>
        <w:ind w:firstLine="709"/>
        <w:jc w:val="both"/>
        <w:rPr>
          <w:rFonts w:ascii="Times New Roman" w:hAnsi="Times New Roman"/>
          <w:sz w:val="28"/>
          <w:szCs w:val="28"/>
        </w:rPr>
      </w:pPr>
      <w:r w:rsidRPr="00400709">
        <w:rPr>
          <w:rFonts w:ascii="Times New Roman" w:hAnsi="Times New Roman"/>
          <w:sz w:val="28"/>
          <w:szCs w:val="28"/>
        </w:rPr>
        <w:t xml:space="preserve">Отримані </w:t>
      </w:r>
      <w:r w:rsidR="001272A6">
        <w:rPr>
          <w:rFonts w:ascii="Times New Roman" w:hAnsi="Times New Roman"/>
          <w:sz w:val="28"/>
          <w:szCs w:val="28"/>
        </w:rPr>
        <w:t xml:space="preserve">в табл. 3.6 </w:t>
      </w:r>
      <w:r w:rsidRPr="00400709">
        <w:rPr>
          <w:rFonts w:ascii="Times New Roman" w:hAnsi="Times New Roman"/>
          <w:sz w:val="28"/>
          <w:szCs w:val="28"/>
        </w:rPr>
        <w:t xml:space="preserve">результати свідчать про наявність тісного зв’язку між багатьма показниками АТ </w:t>
      </w:r>
      <w:r>
        <w:rPr>
          <w:rFonts w:ascii="Times New Roman" w:hAnsi="Times New Roman"/>
          <w:sz w:val="28"/>
          <w:szCs w:val="28"/>
        </w:rPr>
        <w:t>«Ідея Банк»</w:t>
      </w:r>
      <w:r w:rsidRPr="00400709">
        <w:rPr>
          <w:rFonts w:ascii="Times New Roman" w:hAnsi="Times New Roman"/>
          <w:sz w:val="28"/>
          <w:szCs w:val="28"/>
        </w:rPr>
        <w:t xml:space="preserve">, як серед залежних, так і незалежних змінних. Така ситуація може бути спричинена </w:t>
      </w:r>
      <w:proofErr w:type="spellStart"/>
      <w:r w:rsidRPr="00400709">
        <w:rPr>
          <w:rFonts w:ascii="Times New Roman" w:hAnsi="Times New Roman"/>
          <w:sz w:val="28"/>
          <w:szCs w:val="28"/>
        </w:rPr>
        <w:t>мультиколінеарністю</w:t>
      </w:r>
      <w:proofErr w:type="spellEnd"/>
      <w:r w:rsidRPr="00400709">
        <w:rPr>
          <w:rFonts w:ascii="Times New Roman" w:hAnsi="Times New Roman"/>
          <w:sz w:val="28"/>
          <w:szCs w:val="28"/>
        </w:rPr>
        <w:t xml:space="preserve"> в моделі, проте в </w:t>
      </w:r>
      <w:r w:rsidR="001024E6">
        <w:rPr>
          <w:rFonts w:ascii="Times New Roman" w:hAnsi="Times New Roman"/>
          <w:sz w:val="28"/>
          <w:szCs w:val="28"/>
        </w:rPr>
        <w:t>даному</w:t>
      </w:r>
      <w:r w:rsidRPr="00400709">
        <w:rPr>
          <w:rFonts w:ascii="Times New Roman" w:hAnsi="Times New Roman"/>
          <w:sz w:val="28"/>
          <w:szCs w:val="28"/>
        </w:rPr>
        <w:t xml:space="preserve"> випадку це </w:t>
      </w:r>
      <w:r w:rsidR="001024E6">
        <w:rPr>
          <w:rFonts w:ascii="Times New Roman" w:hAnsi="Times New Roman"/>
          <w:sz w:val="28"/>
          <w:szCs w:val="28"/>
        </w:rPr>
        <w:t>не є</w:t>
      </w:r>
      <w:r w:rsidRPr="00400709">
        <w:rPr>
          <w:rFonts w:ascii="Times New Roman" w:hAnsi="Times New Roman"/>
          <w:sz w:val="28"/>
          <w:szCs w:val="28"/>
        </w:rPr>
        <w:t xml:space="preserve"> загроз</w:t>
      </w:r>
      <w:r w:rsidR="001024E6">
        <w:rPr>
          <w:rFonts w:ascii="Times New Roman" w:hAnsi="Times New Roman"/>
          <w:sz w:val="28"/>
          <w:szCs w:val="28"/>
        </w:rPr>
        <w:t>ою</w:t>
      </w:r>
      <w:r w:rsidRPr="00400709">
        <w:rPr>
          <w:rFonts w:ascii="Times New Roman" w:hAnsi="Times New Roman"/>
          <w:sz w:val="28"/>
          <w:szCs w:val="28"/>
        </w:rPr>
        <w:t xml:space="preserve">, </w:t>
      </w:r>
      <w:r w:rsidR="001024E6">
        <w:rPr>
          <w:rFonts w:ascii="Times New Roman" w:hAnsi="Times New Roman"/>
          <w:sz w:val="28"/>
          <w:szCs w:val="28"/>
        </w:rPr>
        <w:t>тому що буде</w:t>
      </w:r>
      <w:r w:rsidRPr="00400709">
        <w:rPr>
          <w:rFonts w:ascii="Times New Roman" w:hAnsi="Times New Roman"/>
          <w:sz w:val="28"/>
          <w:szCs w:val="28"/>
        </w:rPr>
        <w:t xml:space="preserve"> побуд</w:t>
      </w:r>
      <w:r w:rsidR="001024E6">
        <w:rPr>
          <w:rFonts w:ascii="Times New Roman" w:hAnsi="Times New Roman"/>
          <w:sz w:val="28"/>
          <w:szCs w:val="28"/>
        </w:rPr>
        <w:t>овано</w:t>
      </w:r>
      <w:r w:rsidRPr="00400709">
        <w:rPr>
          <w:rFonts w:ascii="Times New Roman" w:hAnsi="Times New Roman"/>
          <w:sz w:val="28"/>
          <w:szCs w:val="28"/>
        </w:rPr>
        <w:t xml:space="preserve"> </w:t>
      </w:r>
      <w:proofErr w:type="spellStart"/>
      <w:r w:rsidRPr="00400709">
        <w:rPr>
          <w:rFonts w:ascii="Times New Roman" w:hAnsi="Times New Roman"/>
          <w:sz w:val="28"/>
          <w:szCs w:val="28"/>
        </w:rPr>
        <w:t>однофакторні</w:t>
      </w:r>
      <w:proofErr w:type="spellEnd"/>
      <w:r w:rsidRPr="00400709">
        <w:rPr>
          <w:rFonts w:ascii="Times New Roman" w:hAnsi="Times New Roman"/>
          <w:sz w:val="28"/>
          <w:szCs w:val="28"/>
        </w:rPr>
        <w:t xml:space="preserve"> регресійні </w:t>
      </w:r>
      <w:r w:rsidRPr="003676D0">
        <w:rPr>
          <w:rFonts w:ascii="Times New Roman" w:hAnsi="Times New Roman"/>
          <w:sz w:val="28"/>
          <w:szCs w:val="28"/>
        </w:rPr>
        <w:t>рівняння</w:t>
      </w:r>
      <w:r w:rsidR="00FD0DCF" w:rsidRPr="003676D0">
        <w:rPr>
          <w:rFonts w:ascii="Times New Roman" w:hAnsi="Times New Roman"/>
          <w:sz w:val="28"/>
          <w:szCs w:val="28"/>
        </w:rPr>
        <w:t xml:space="preserve"> </w:t>
      </w:r>
      <w:r w:rsidR="00FD0DCF" w:rsidRPr="003676D0">
        <w:rPr>
          <w:rFonts w:ascii="Times New Roman" w:hAnsi="Times New Roman"/>
          <w:sz w:val="28"/>
          <w:szCs w:val="28"/>
          <w:lang w:val="ru-RU"/>
        </w:rPr>
        <w:t>[</w:t>
      </w:r>
      <w:r w:rsidR="003676D0" w:rsidRPr="003676D0">
        <w:rPr>
          <w:rFonts w:ascii="Times New Roman" w:hAnsi="Times New Roman"/>
          <w:sz w:val="28"/>
          <w:szCs w:val="28"/>
          <w:lang w:val="ru-RU"/>
        </w:rPr>
        <w:t>78</w:t>
      </w:r>
      <w:r w:rsidR="00FD0DCF" w:rsidRPr="003676D0">
        <w:rPr>
          <w:rFonts w:ascii="Times New Roman" w:hAnsi="Times New Roman"/>
          <w:sz w:val="28"/>
          <w:szCs w:val="28"/>
          <w:lang w:val="ru-RU"/>
        </w:rPr>
        <w:t>]</w:t>
      </w:r>
      <w:r w:rsidRPr="003676D0">
        <w:rPr>
          <w:rFonts w:ascii="Times New Roman" w:hAnsi="Times New Roman"/>
          <w:sz w:val="28"/>
          <w:szCs w:val="28"/>
        </w:rPr>
        <w:t>.</w:t>
      </w:r>
    </w:p>
    <w:p w:rsidR="00087290" w:rsidRDefault="006F22A2" w:rsidP="00400709">
      <w:pPr>
        <w:spacing w:after="0" w:line="360" w:lineRule="auto"/>
        <w:ind w:firstLine="709"/>
        <w:jc w:val="both"/>
        <w:rPr>
          <w:rFonts w:ascii="Times New Roman" w:hAnsi="Times New Roman"/>
          <w:sz w:val="28"/>
          <w:szCs w:val="28"/>
        </w:rPr>
      </w:pPr>
      <w:r w:rsidRPr="006F22A2">
        <w:rPr>
          <w:rFonts w:ascii="Times New Roman" w:hAnsi="Times New Roman"/>
          <w:sz w:val="28"/>
          <w:szCs w:val="28"/>
        </w:rPr>
        <w:t>Далі</w:t>
      </w:r>
      <w:r w:rsidR="00400709" w:rsidRPr="006F22A2">
        <w:rPr>
          <w:rFonts w:ascii="Times New Roman" w:hAnsi="Times New Roman"/>
          <w:sz w:val="28"/>
          <w:szCs w:val="28"/>
        </w:rPr>
        <w:t xml:space="preserve"> </w:t>
      </w:r>
      <w:r w:rsidRPr="006F22A2">
        <w:rPr>
          <w:rFonts w:ascii="Times New Roman" w:hAnsi="Times New Roman"/>
          <w:sz w:val="28"/>
          <w:szCs w:val="28"/>
        </w:rPr>
        <w:t>у</w:t>
      </w:r>
      <w:r w:rsidR="00400709" w:rsidRPr="006F22A2">
        <w:rPr>
          <w:rFonts w:ascii="Times New Roman" w:hAnsi="Times New Roman"/>
          <w:sz w:val="28"/>
          <w:szCs w:val="28"/>
        </w:rPr>
        <w:t xml:space="preserve"> табл</w:t>
      </w:r>
      <w:r w:rsidR="001272A6">
        <w:rPr>
          <w:rFonts w:ascii="Times New Roman" w:hAnsi="Times New Roman"/>
          <w:sz w:val="28"/>
          <w:szCs w:val="28"/>
        </w:rPr>
        <w:t>. 3.7</w:t>
      </w:r>
      <w:r w:rsidR="00400709" w:rsidRPr="006F22A2">
        <w:rPr>
          <w:rFonts w:ascii="Times New Roman" w:hAnsi="Times New Roman"/>
          <w:sz w:val="28"/>
          <w:szCs w:val="28"/>
        </w:rPr>
        <w:t xml:space="preserve"> наведемо лише ті моделі, що відповідають наведеним параметрам адекватності, а отже зв'язок між змінними в яких був підтверджений.</w:t>
      </w:r>
    </w:p>
    <w:p w:rsidR="00087290" w:rsidRDefault="00087290">
      <w:pPr>
        <w:spacing w:line="259" w:lineRule="auto"/>
        <w:rPr>
          <w:rFonts w:ascii="Times New Roman" w:hAnsi="Times New Roman"/>
          <w:sz w:val="28"/>
          <w:szCs w:val="28"/>
        </w:rPr>
      </w:pPr>
      <w:r>
        <w:rPr>
          <w:rFonts w:ascii="Times New Roman" w:hAnsi="Times New Roman"/>
          <w:sz w:val="28"/>
          <w:szCs w:val="28"/>
        </w:rPr>
        <w:br w:type="page"/>
      </w:r>
    </w:p>
    <w:p w:rsidR="00DA0AEF" w:rsidRDefault="001272A6" w:rsidP="00DA0AEF">
      <w:pPr>
        <w:spacing w:after="0" w:line="360" w:lineRule="auto"/>
        <w:ind w:firstLine="709"/>
        <w:jc w:val="right"/>
        <w:rPr>
          <w:rFonts w:ascii="Times New Roman" w:hAnsi="Times New Roman"/>
          <w:sz w:val="28"/>
          <w:szCs w:val="28"/>
        </w:rPr>
      </w:pPr>
      <w:r>
        <w:rPr>
          <w:rFonts w:ascii="Times New Roman" w:hAnsi="Times New Roman"/>
          <w:sz w:val="28"/>
          <w:szCs w:val="28"/>
        </w:rPr>
        <w:lastRenderedPageBreak/>
        <w:t>Таблиця 3.7</w:t>
      </w:r>
    </w:p>
    <w:p w:rsidR="00DA0AEF" w:rsidRDefault="009E39A3" w:rsidP="009E39A3">
      <w:pPr>
        <w:spacing w:after="0" w:line="360" w:lineRule="auto"/>
        <w:ind w:firstLine="709"/>
        <w:jc w:val="center"/>
        <w:rPr>
          <w:rFonts w:ascii="Times New Roman" w:hAnsi="Times New Roman"/>
          <w:sz w:val="28"/>
          <w:szCs w:val="28"/>
        </w:rPr>
      </w:pPr>
      <w:r w:rsidRPr="009E39A3">
        <w:rPr>
          <w:rFonts w:ascii="Times New Roman" w:hAnsi="Times New Roman"/>
          <w:sz w:val="28"/>
          <w:szCs w:val="28"/>
        </w:rPr>
        <w:t>Результати регресійного аналізу для виявлення впливу складових активів та зобов’язань банку на підтримання рівня ліквідності</w:t>
      </w:r>
    </w:p>
    <w:tbl>
      <w:tblPr>
        <w:tblW w:w="9260" w:type="dxa"/>
        <w:tblLook w:val="04A0" w:firstRow="1" w:lastRow="0" w:firstColumn="1" w:lastColumn="0" w:noHBand="0" w:noVBand="1"/>
      </w:tblPr>
      <w:tblGrid>
        <w:gridCol w:w="1400"/>
        <w:gridCol w:w="2340"/>
        <w:gridCol w:w="960"/>
        <w:gridCol w:w="960"/>
        <w:gridCol w:w="1336"/>
        <w:gridCol w:w="1380"/>
        <w:gridCol w:w="960"/>
      </w:tblGrid>
      <w:tr w:rsidR="0040509C" w:rsidRPr="0040509C" w:rsidTr="0040509C">
        <w:trPr>
          <w:trHeight w:val="828"/>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509C" w:rsidRPr="0040509C" w:rsidRDefault="0040509C" w:rsidP="0040509C">
            <w:pPr>
              <w:spacing w:after="0" w:line="240" w:lineRule="auto"/>
              <w:jc w:val="center"/>
              <w:rPr>
                <w:rFonts w:ascii="Times New Roman" w:eastAsia="Times New Roman" w:hAnsi="Times New Roman"/>
                <w:b/>
                <w:bCs/>
                <w:color w:val="000000"/>
                <w:lang w:eastAsia="uk-UA"/>
              </w:rPr>
            </w:pPr>
            <w:r w:rsidRPr="0040509C">
              <w:rPr>
                <w:rFonts w:ascii="Times New Roman" w:eastAsia="Times New Roman" w:hAnsi="Times New Roman"/>
                <w:b/>
                <w:bCs/>
                <w:color w:val="000000"/>
                <w:lang w:eastAsia="uk-UA"/>
              </w:rPr>
              <w:t>Незалежна змінна</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40509C" w:rsidRPr="0040509C" w:rsidRDefault="0040509C" w:rsidP="0040509C">
            <w:pPr>
              <w:spacing w:after="0" w:line="240" w:lineRule="auto"/>
              <w:jc w:val="center"/>
              <w:rPr>
                <w:rFonts w:ascii="Times New Roman" w:eastAsia="Times New Roman" w:hAnsi="Times New Roman"/>
                <w:b/>
                <w:bCs/>
                <w:color w:val="000000"/>
                <w:lang w:eastAsia="uk-UA"/>
              </w:rPr>
            </w:pPr>
            <w:r w:rsidRPr="0040509C">
              <w:rPr>
                <w:rFonts w:ascii="Times New Roman" w:eastAsia="Times New Roman" w:hAnsi="Times New Roman"/>
                <w:b/>
                <w:bCs/>
                <w:color w:val="000000"/>
                <w:lang w:eastAsia="uk-UA"/>
              </w:rPr>
              <w:t>Рівняння регресії</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0509C" w:rsidRPr="0040509C" w:rsidRDefault="0040509C" w:rsidP="0040509C">
            <w:pPr>
              <w:spacing w:after="0" w:line="240" w:lineRule="auto"/>
              <w:jc w:val="center"/>
              <w:rPr>
                <w:rFonts w:ascii="Times New Roman" w:eastAsia="Times New Roman" w:hAnsi="Times New Roman"/>
                <w:b/>
                <w:bCs/>
                <w:color w:val="000000"/>
                <w:lang w:eastAsia="uk-UA"/>
              </w:rPr>
            </w:pPr>
            <w:r w:rsidRPr="0040509C">
              <w:rPr>
                <w:rFonts w:ascii="Times New Roman" w:eastAsia="Times New Roman" w:hAnsi="Times New Roman"/>
                <w:b/>
                <w:bCs/>
                <w:color w:val="000000"/>
                <w:lang w:eastAsia="uk-UA"/>
              </w:rPr>
              <w:t>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0509C" w:rsidRPr="0040509C" w:rsidRDefault="0040509C" w:rsidP="0040509C">
            <w:pPr>
              <w:spacing w:after="0" w:line="240" w:lineRule="auto"/>
              <w:jc w:val="center"/>
              <w:rPr>
                <w:rFonts w:ascii="Times New Roman" w:eastAsia="Times New Roman" w:hAnsi="Times New Roman"/>
                <w:b/>
                <w:bCs/>
                <w:color w:val="000000"/>
                <w:lang w:eastAsia="uk-UA"/>
              </w:rPr>
            </w:pPr>
            <w:r w:rsidRPr="0040509C">
              <w:rPr>
                <w:rFonts w:ascii="Times New Roman" w:eastAsia="Times New Roman" w:hAnsi="Times New Roman"/>
                <w:b/>
                <w:bCs/>
                <w:color w:val="000000"/>
                <w:lang w:eastAsia="uk-UA"/>
              </w:rPr>
              <w:t>R</w:t>
            </w:r>
            <w:r w:rsidRPr="0040509C">
              <w:rPr>
                <w:rFonts w:ascii="Times New Roman" w:eastAsia="Times New Roman" w:hAnsi="Times New Roman"/>
                <w:b/>
                <w:bCs/>
                <w:color w:val="000000"/>
                <w:vertAlign w:val="superscript"/>
                <w:lang w:eastAsia="uk-UA"/>
              </w:rPr>
              <w:t>2</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40509C" w:rsidRPr="0040509C" w:rsidRDefault="0040509C" w:rsidP="0040509C">
            <w:pPr>
              <w:spacing w:after="0" w:line="240" w:lineRule="auto"/>
              <w:jc w:val="center"/>
              <w:rPr>
                <w:rFonts w:ascii="Times New Roman" w:eastAsia="Times New Roman" w:hAnsi="Times New Roman"/>
                <w:b/>
                <w:bCs/>
                <w:color w:val="000000"/>
                <w:lang w:eastAsia="uk-UA"/>
              </w:rPr>
            </w:pPr>
            <w:r w:rsidRPr="0040509C">
              <w:rPr>
                <w:rFonts w:ascii="Times New Roman" w:eastAsia="Times New Roman" w:hAnsi="Times New Roman"/>
                <w:b/>
                <w:bCs/>
                <w:color w:val="000000"/>
                <w:lang w:eastAsia="uk-UA"/>
              </w:rPr>
              <w:t>F-статистика Фішера</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40509C" w:rsidRPr="0040509C" w:rsidRDefault="0040509C" w:rsidP="0040509C">
            <w:pPr>
              <w:spacing w:after="0" w:line="240" w:lineRule="auto"/>
              <w:jc w:val="center"/>
              <w:rPr>
                <w:rFonts w:ascii="Times New Roman" w:eastAsia="Times New Roman" w:hAnsi="Times New Roman"/>
                <w:b/>
                <w:bCs/>
                <w:color w:val="000000"/>
                <w:lang w:eastAsia="uk-UA"/>
              </w:rPr>
            </w:pPr>
            <w:r w:rsidRPr="0040509C">
              <w:rPr>
                <w:rFonts w:ascii="Times New Roman" w:eastAsia="Times New Roman" w:hAnsi="Times New Roman"/>
                <w:b/>
                <w:bCs/>
                <w:color w:val="000000"/>
                <w:lang w:eastAsia="uk-UA"/>
              </w:rPr>
              <w:t>t-статистика Стьюдента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0509C" w:rsidRPr="0040509C" w:rsidRDefault="0040509C" w:rsidP="0040509C">
            <w:pPr>
              <w:spacing w:after="0" w:line="240" w:lineRule="auto"/>
              <w:jc w:val="center"/>
              <w:rPr>
                <w:rFonts w:ascii="Times New Roman" w:eastAsia="Times New Roman" w:hAnsi="Times New Roman"/>
                <w:b/>
                <w:bCs/>
                <w:color w:val="000000"/>
                <w:lang w:eastAsia="uk-UA"/>
              </w:rPr>
            </w:pPr>
            <w:r w:rsidRPr="0040509C">
              <w:rPr>
                <w:rFonts w:ascii="Times New Roman" w:eastAsia="Times New Roman" w:hAnsi="Times New Roman"/>
                <w:b/>
                <w:bCs/>
                <w:color w:val="000000"/>
                <w:lang w:eastAsia="uk-UA"/>
              </w:rPr>
              <w:t>p-знач.</w:t>
            </w:r>
          </w:p>
        </w:tc>
      </w:tr>
      <w:tr w:rsidR="0040509C" w:rsidRPr="0040509C" w:rsidTr="00626CE8">
        <w:trPr>
          <w:trHeight w:val="397"/>
        </w:trPr>
        <w:tc>
          <w:tcPr>
            <w:tcW w:w="926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40509C" w:rsidRPr="0040509C" w:rsidRDefault="0040509C" w:rsidP="0040509C">
            <w:pPr>
              <w:spacing w:after="0" w:line="240" w:lineRule="auto"/>
              <w:jc w:val="center"/>
              <w:rPr>
                <w:rFonts w:ascii="Times New Roman" w:eastAsia="Times New Roman" w:hAnsi="Times New Roman"/>
                <w:b/>
                <w:i/>
                <w:iCs/>
                <w:color w:val="000000"/>
                <w:lang w:eastAsia="uk-UA"/>
              </w:rPr>
            </w:pPr>
            <w:r w:rsidRPr="0040509C">
              <w:rPr>
                <w:rFonts w:ascii="Times New Roman" w:eastAsia="Times New Roman" w:hAnsi="Times New Roman"/>
                <w:b/>
                <w:i/>
                <w:iCs/>
                <w:color w:val="000000"/>
                <w:lang w:eastAsia="uk-UA"/>
              </w:rPr>
              <w:t>Коефіцієнт загальної ліквідності (y</w:t>
            </w:r>
            <w:r w:rsidRPr="0040509C">
              <w:rPr>
                <w:rFonts w:ascii="Times New Roman" w:eastAsia="Times New Roman" w:hAnsi="Times New Roman"/>
                <w:b/>
                <w:i/>
                <w:iCs/>
                <w:color w:val="000000"/>
                <w:vertAlign w:val="subscript"/>
                <w:lang w:eastAsia="uk-UA"/>
              </w:rPr>
              <w:t>1</w:t>
            </w:r>
            <w:r w:rsidRPr="0040509C">
              <w:rPr>
                <w:rFonts w:ascii="Times New Roman" w:eastAsia="Times New Roman" w:hAnsi="Times New Roman"/>
                <w:b/>
                <w:i/>
                <w:iCs/>
                <w:color w:val="000000"/>
                <w:lang w:eastAsia="uk-UA"/>
              </w:rPr>
              <w:t>)</w:t>
            </w:r>
          </w:p>
        </w:tc>
      </w:tr>
      <w:tr w:rsidR="0040509C" w:rsidRPr="0040509C" w:rsidTr="00626CE8">
        <w:trPr>
          <w:trHeight w:val="397"/>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х</w:t>
            </w:r>
            <w:r w:rsidRPr="0040509C">
              <w:rPr>
                <w:rFonts w:ascii="Times New Roman" w:eastAsia="Times New Roman" w:hAnsi="Times New Roman"/>
                <w:i/>
                <w:color w:val="000000"/>
                <w:vertAlign w:val="subscript"/>
                <w:lang w:eastAsia="uk-UA"/>
              </w:rPr>
              <w:t>2</w:t>
            </w:r>
          </w:p>
        </w:tc>
        <w:tc>
          <w:tcPr>
            <w:tcW w:w="234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у</w:t>
            </w:r>
            <w:r w:rsidRPr="0040509C">
              <w:rPr>
                <w:rFonts w:ascii="Times New Roman" w:eastAsia="Times New Roman" w:hAnsi="Times New Roman"/>
                <w:i/>
                <w:color w:val="000000"/>
                <w:vertAlign w:val="subscript"/>
                <w:lang w:eastAsia="uk-UA"/>
              </w:rPr>
              <w:t>1</w:t>
            </w:r>
            <w:r w:rsidRPr="0040509C">
              <w:rPr>
                <w:rFonts w:ascii="Times New Roman" w:eastAsia="Times New Roman" w:hAnsi="Times New Roman"/>
                <w:i/>
                <w:color w:val="000000"/>
                <w:lang w:eastAsia="uk-UA"/>
              </w:rPr>
              <w:t>=-0,145+0,018х</w:t>
            </w:r>
            <w:r w:rsidRPr="0040509C">
              <w:rPr>
                <w:rFonts w:ascii="Times New Roman" w:eastAsia="Times New Roman" w:hAnsi="Times New Roman"/>
                <w:i/>
                <w:color w:val="000000"/>
                <w:vertAlign w:val="subscript"/>
                <w:lang w:eastAsia="uk-UA"/>
              </w:rPr>
              <w:t>2</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0,765</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0,586</w:t>
            </w:r>
          </w:p>
        </w:tc>
        <w:tc>
          <w:tcPr>
            <w:tcW w:w="12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4,246</w:t>
            </w:r>
          </w:p>
        </w:tc>
        <w:tc>
          <w:tcPr>
            <w:tcW w:w="138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2,061</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0,005</w:t>
            </w:r>
          </w:p>
        </w:tc>
      </w:tr>
      <w:tr w:rsidR="0040509C" w:rsidRPr="0040509C" w:rsidTr="00626CE8">
        <w:trPr>
          <w:trHeight w:val="397"/>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х</w:t>
            </w:r>
            <w:r w:rsidRPr="0040509C">
              <w:rPr>
                <w:rFonts w:ascii="Times New Roman" w:eastAsia="Times New Roman" w:hAnsi="Times New Roman"/>
                <w:i/>
                <w:color w:val="000000"/>
                <w:vertAlign w:val="subscript"/>
                <w:lang w:eastAsia="uk-UA"/>
              </w:rPr>
              <w:t>3</w:t>
            </w:r>
          </w:p>
        </w:tc>
        <w:tc>
          <w:tcPr>
            <w:tcW w:w="234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у</w:t>
            </w:r>
            <w:r w:rsidRPr="0040509C">
              <w:rPr>
                <w:rFonts w:ascii="Times New Roman" w:eastAsia="Times New Roman" w:hAnsi="Times New Roman"/>
                <w:i/>
                <w:color w:val="000000"/>
                <w:vertAlign w:val="subscript"/>
                <w:lang w:eastAsia="uk-UA"/>
              </w:rPr>
              <w:t>1</w:t>
            </w:r>
            <w:r w:rsidRPr="0040509C">
              <w:rPr>
                <w:rFonts w:ascii="Times New Roman" w:eastAsia="Times New Roman" w:hAnsi="Times New Roman"/>
                <w:i/>
                <w:color w:val="000000"/>
                <w:lang w:eastAsia="uk-UA"/>
              </w:rPr>
              <w:t>=1,314-0,023х</w:t>
            </w:r>
            <w:r w:rsidRPr="0040509C">
              <w:rPr>
                <w:rFonts w:ascii="Times New Roman" w:eastAsia="Times New Roman" w:hAnsi="Times New Roman"/>
                <w:i/>
                <w:color w:val="000000"/>
                <w:vertAlign w:val="subscript"/>
                <w:lang w:eastAsia="uk-UA"/>
              </w:rPr>
              <w:t>3</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0,842</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0,708</w:t>
            </w:r>
          </w:p>
        </w:tc>
        <w:tc>
          <w:tcPr>
            <w:tcW w:w="12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7,291</w:t>
            </w:r>
          </w:p>
        </w:tc>
        <w:tc>
          <w:tcPr>
            <w:tcW w:w="138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2,700</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0,050</w:t>
            </w:r>
          </w:p>
        </w:tc>
      </w:tr>
      <w:tr w:rsidR="0040509C" w:rsidRPr="0040509C" w:rsidTr="00626CE8">
        <w:trPr>
          <w:trHeight w:val="397"/>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х</w:t>
            </w:r>
            <w:r w:rsidRPr="0040509C">
              <w:rPr>
                <w:rFonts w:ascii="Times New Roman" w:eastAsia="Times New Roman" w:hAnsi="Times New Roman"/>
                <w:i/>
                <w:color w:val="000000"/>
                <w:vertAlign w:val="subscript"/>
                <w:lang w:eastAsia="uk-UA"/>
              </w:rPr>
              <w:t>8</w:t>
            </w:r>
          </w:p>
        </w:tc>
        <w:tc>
          <w:tcPr>
            <w:tcW w:w="234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у</w:t>
            </w:r>
            <w:r w:rsidRPr="0040509C">
              <w:rPr>
                <w:rFonts w:ascii="Times New Roman" w:eastAsia="Times New Roman" w:hAnsi="Times New Roman"/>
                <w:i/>
                <w:color w:val="000000"/>
                <w:vertAlign w:val="subscript"/>
                <w:lang w:eastAsia="uk-UA"/>
              </w:rPr>
              <w:t>1</w:t>
            </w:r>
            <w:r w:rsidRPr="0040509C">
              <w:rPr>
                <w:rFonts w:ascii="Times New Roman" w:eastAsia="Times New Roman" w:hAnsi="Times New Roman"/>
                <w:i/>
                <w:color w:val="000000"/>
                <w:lang w:eastAsia="uk-UA"/>
              </w:rPr>
              <w:t>=0,697+0,202х</w:t>
            </w:r>
            <w:r w:rsidRPr="0040509C">
              <w:rPr>
                <w:rFonts w:ascii="Times New Roman" w:eastAsia="Times New Roman" w:hAnsi="Times New Roman"/>
                <w:i/>
                <w:color w:val="000000"/>
                <w:vertAlign w:val="subscript"/>
                <w:lang w:eastAsia="uk-UA"/>
              </w:rPr>
              <w:t>8</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0,964</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0,928</w:t>
            </w:r>
          </w:p>
        </w:tc>
        <w:tc>
          <w:tcPr>
            <w:tcW w:w="12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38,941</w:t>
            </w:r>
          </w:p>
        </w:tc>
        <w:tc>
          <w:tcPr>
            <w:tcW w:w="138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6,240</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0,008</w:t>
            </w:r>
          </w:p>
        </w:tc>
      </w:tr>
      <w:tr w:rsidR="0040509C" w:rsidRPr="0040509C" w:rsidTr="00626CE8">
        <w:trPr>
          <w:trHeight w:val="397"/>
        </w:trPr>
        <w:tc>
          <w:tcPr>
            <w:tcW w:w="9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0509C" w:rsidRPr="0040509C" w:rsidRDefault="0040509C" w:rsidP="0040509C">
            <w:pPr>
              <w:spacing w:after="0" w:line="240" w:lineRule="auto"/>
              <w:jc w:val="center"/>
              <w:rPr>
                <w:rFonts w:ascii="Times New Roman" w:eastAsia="Times New Roman" w:hAnsi="Times New Roman"/>
                <w:b/>
                <w:i/>
                <w:iCs/>
                <w:color w:val="000000"/>
                <w:lang w:eastAsia="uk-UA"/>
              </w:rPr>
            </w:pPr>
            <w:r w:rsidRPr="0040509C">
              <w:rPr>
                <w:rFonts w:ascii="Times New Roman" w:eastAsia="Times New Roman" w:hAnsi="Times New Roman"/>
                <w:b/>
                <w:i/>
                <w:iCs/>
                <w:color w:val="000000"/>
                <w:lang w:eastAsia="uk-UA"/>
              </w:rPr>
              <w:t>Коефіцієнт генеральної ліквідності зобов’язань (y</w:t>
            </w:r>
            <w:r w:rsidRPr="0040509C">
              <w:rPr>
                <w:rFonts w:ascii="Times New Roman" w:eastAsia="Times New Roman" w:hAnsi="Times New Roman"/>
                <w:b/>
                <w:i/>
                <w:iCs/>
                <w:color w:val="000000"/>
                <w:vertAlign w:val="subscript"/>
                <w:lang w:eastAsia="uk-UA"/>
              </w:rPr>
              <w:t>2</w:t>
            </w:r>
            <w:r w:rsidRPr="0040509C">
              <w:rPr>
                <w:rFonts w:ascii="Times New Roman" w:eastAsia="Times New Roman" w:hAnsi="Times New Roman"/>
                <w:b/>
                <w:i/>
                <w:iCs/>
                <w:color w:val="000000"/>
                <w:lang w:eastAsia="uk-UA"/>
              </w:rPr>
              <w:t>)</w:t>
            </w:r>
          </w:p>
        </w:tc>
      </w:tr>
      <w:tr w:rsidR="0040509C" w:rsidRPr="0040509C" w:rsidTr="00626CE8">
        <w:trPr>
          <w:trHeight w:val="397"/>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х</w:t>
            </w:r>
            <w:r w:rsidRPr="0040509C">
              <w:rPr>
                <w:rFonts w:ascii="Times New Roman" w:eastAsia="Times New Roman" w:hAnsi="Times New Roman"/>
                <w:i/>
                <w:color w:val="000000"/>
                <w:vertAlign w:val="subscript"/>
                <w:lang w:eastAsia="uk-UA"/>
              </w:rPr>
              <w:t>1</w:t>
            </w:r>
          </w:p>
        </w:tc>
        <w:tc>
          <w:tcPr>
            <w:tcW w:w="234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у</w:t>
            </w:r>
            <w:r w:rsidRPr="0040509C">
              <w:rPr>
                <w:rFonts w:ascii="Times New Roman" w:eastAsia="Times New Roman" w:hAnsi="Times New Roman"/>
                <w:i/>
                <w:color w:val="000000"/>
                <w:vertAlign w:val="subscript"/>
                <w:lang w:eastAsia="uk-UA"/>
              </w:rPr>
              <w:t>2</w:t>
            </w:r>
            <w:r w:rsidRPr="0040509C">
              <w:rPr>
                <w:rFonts w:ascii="Times New Roman" w:eastAsia="Times New Roman" w:hAnsi="Times New Roman"/>
                <w:i/>
                <w:color w:val="000000"/>
                <w:lang w:eastAsia="uk-UA"/>
              </w:rPr>
              <w:t>=0,022+0,014х</w:t>
            </w:r>
            <w:r w:rsidRPr="0040509C">
              <w:rPr>
                <w:rFonts w:ascii="Times New Roman" w:eastAsia="Times New Roman" w:hAnsi="Times New Roman"/>
                <w:i/>
                <w:color w:val="000000"/>
                <w:vertAlign w:val="subscript"/>
                <w:lang w:eastAsia="uk-UA"/>
              </w:rPr>
              <w:t>1</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0,944</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0,891</w:t>
            </w:r>
          </w:p>
        </w:tc>
        <w:tc>
          <w:tcPr>
            <w:tcW w:w="12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24,508</w:t>
            </w:r>
          </w:p>
        </w:tc>
        <w:tc>
          <w:tcPr>
            <w:tcW w:w="138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4,951</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0,050</w:t>
            </w:r>
          </w:p>
        </w:tc>
      </w:tr>
      <w:tr w:rsidR="0040509C" w:rsidRPr="0040509C" w:rsidTr="00626CE8">
        <w:trPr>
          <w:trHeight w:val="397"/>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х</w:t>
            </w:r>
            <w:r w:rsidRPr="0040509C">
              <w:rPr>
                <w:rFonts w:ascii="Times New Roman" w:eastAsia="Times New Roman" w:hAnsi="Times New Roman"/>
                <w:i/>
                <w:color w:val="000000"/>
                <w:vertAlign w:val="subscript"/>
                <w:lang w:eastAsia="uk-UA"/>
              </w:rPr>
              <w:t>3</w:t>
            </w:r>
          </w:p>
        </w:tc>
        <w:tc>
          <w:tcPr>
            <w:tcW w:w="234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у</w:t>
            </w:r>
            <w:r w:rsidRPr="0040509C">
              <w:rPr>
                <w:rFonts w:ascii="Times New Roman" w:eastAsia="Times New Roman" w:hAnsi="Times New Roman"/>
                <w:i/>
                <w:color w:val="000000"/>
                <w:vertAlign w:val="subscript"/>
                <w:lang w:eastAsia="uk-UA"/>
              </w:rPr>
              <w:t>2</w:t>
            </w:r>
            <w:r w:rsidRPr="0040509C">
              <w:rPr>
                <w:rFonts w:ascii="Times New Roman" w:eastAsia="Times New Roman" w:hAnsi="Times New Roman"/>
                <w:i/>
                <w:color w:val="000000"/>
                <w:lang w:eastAsia="uk-UA"/>
              </w:rPr>
              <w:t>=0,25-0,014х</w:t>
            </w:r>
            <w:r w:rsidRPr="0040509C">
              <w:rPr>
                <w:rFonts w:ascii="Times New Roman" w:eastAsia="Times New Roman" w:hAnsi="Times New Roman"/>
                <w:i/>
                <w:color w:val="000000"/>
                <w:vertAlign w:val="subscript"/>
                <w:lang w:eastAsia="uk-UA"/>
              </w:rPr>
              <w:t>3</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0,917</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0,841</w:t>
            </w:r>
          </w:p>
        </w:tc>
        <w:tc>
          <w:tcPr>
            <w:tcW w:w="12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15,866</w:t>
            </w:r>
          </w:p>
        </w:tc>
        <w:tc>
          <w:tcPr>
            <w:tcW w:w="138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3,983</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0,005</w:t>
            </w:r>
          </w:p>
        </w:tc>
      </w:tr>
      <w:tr w:rsidR="0040509C" w:rsidRPr="0040509C" w:rsidTr="00626CE8">
        <w:trPr>
          <w:trHeight w:val="397"/>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х</w:t>
            </w:r>
            <w:r w:rsidRPr="0040509C">
              <w:rPr>
                <w:rFonts w:ascii="Times New Roman" w:eastAsia="Times New Roman" w:hAnsi="Times New Roman"/>
                <w:i/>
                <w:color w:val="000000"/>
                <w:vertAlign w:val="subscript"/>
                <w:lang w:eastAsia="uk-UA"/>
              </w:rPr>
              <w:t>4</w:t>
            </w:r>
          </w:p>
        </w:tc>
        <w:tc>
          <w:tcPr>
            <w:tcW w:w="234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у</w:t>
            </w:r>
            <w:r w:rsidRPr="0040509C">
              <w:rPr>
                <w:rFonts w:ascii="Times New Roman" w:eastAsia="Times New Roman" w:hAnsi="Times New Roman"/>
                <w:i/>
                <w:color w:val="000000"/>
                <w:vertAlign w:val="subscript"/>
                <w:lang w:eastAsia="uk-UA"/>
              </w:rPr>
              <w:t>2</w:t>
            </w:r>
            <w:r w:rsidRPr="0040509C">
              <w:rPr>
                <w:rFonts w:ascii="Times New Roman" w:eastAsia="Times New Roman" w:hAnsi="Times New Roman"/>
                <w:i/>
                <w:color w:val="000000"/>
                <w:lang w:eastAsia="uk-UA"/>
              </w:rPr>
              <w:t>=-0,085+0,07х</w:t>
            </w:r>
            <w:r w:rsidRPr="0040509C">
              <w:rPr>
                <w:rFonts w:ascii="Times New Roman" w:eastAsia="Times New Roman" w:hAnsi="Times New Roman"/>
                <w:i/>
                <w:color w:val="000000"/>
                <w:vertAlign w:val="subscript"/>
                <w:lang w:eastAsia="uk-UA"/>
              </w:rPr>
              <w:t>4</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0,835</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0,697</w:t>
            </w:r>
          </w:p>
        </w:tc>
        <w:tc>
          <w:tcPr>
            <w:tcW w:w="12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6,912</w:t>
            </w:r>
          </w:p>
        </w:tc>
        <w:tc>
          <w:tcPr>
            <w:tcW w:w="138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2,629</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0,050</w:t>
            </w:r>
          </w:p>
        </w:tc>
      </w:tr>
      <w:tr w:rsidR="0040509C" w:rsidRPr="0040509C" w:rsidTr="00626CE8">
        <w:trPr>
          <w:trHeight w:val="397"/>
        </w:trPr>
        <w:tc>
          <w:tcPr>
            <w:tcW w:w="9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0509C" w:rsidRPr="0040509C" w:rsidRDefault="0040509C" w:rsidP="0040509C">
            <w:pPr>
              <w:spacing w:after="0" w:line="240" w:lineRule="auto"/>
              <w:jc w:val="center"/>
              <w:rPr>
                <w:rFonts w:ascii="Times New Roman" w:eastAsia="Times New Roman" w:hAnsi="Times New Roman"/>
                <w:b/>
                <w:i/>
                <w:iCs/>
                <w:color w:val="000000"/>
                <w:lang w:eastAsia="uk-UA"/>
              </w:rPr>
            </w:pPr>
            <w:r w:rsidRPr="0040509C">
              <w:rPr>
                <w:rFonts w:ascii="Times New Roman" w:eastAsia="Times New Roman" w:hAnsi="Times New Roman"/>
                <w:b/>
                <w:i/>
                <w:iCs/>
                <w:color w:val="000000"/>
                <w:lang w:eastAsia="uk-UA"/>
              </w:rPr>
              <w:t>Коефіцієнт співвідношення</w:t>
            </w:r>
            <w:r w:rsidRPr="0040509C">
              <w:rPr>
                <w:rFonts w:ascii="Times New Roman" w:eastAsia="Times New Roman" w:hAnsi="Times New Roman"/>
                <w:b/>
                <w:i/>
                <w:iCs/>
                <w:color w:val="000000"/>
                <w:lang w:eastAsia="uk-UA"/>
              </w:rPr>
              <w:br/>
              <w:t>високоліквідних активів до робочих активів банку (у</w:t>
            </w:r>
            <w:r w:rsidRPr="0040509C">
              <w:rPr>
                <w:rFonts w:ascii="Times New Roman" w:eastAsia="Times New Roman" w:hAnsi="Times New Roman"/>
                <w:b/>
                <w:i/>
                <w:iCs/>
                <w:color w:val="000000"/>
                <w:vertAlign w:val="subscript"/>
                <w:lang w:eastAsia="uk-UA"/>
              </w:rPr>
              <w:t>3</w:t>
            </w:r>
            <w:r w:rsidRPr="0040509C">
              <w:rPr>
                <w:rFonts w:ascii="Times New Roman" w:eastAsia="Times New Roman" w:hAnsi="Times New Roman"/>
                <w:b/>
                <w:i/>
                <w:iCs/>
                <w:color w:val="000000"/>
                <w:lang w:eastAsia="uk-UA"/>
              </w:rPr>
              <w:t>)</w:t>
            </w:r>
          </w:p>
        </w:tc>
      </w:tr>
      <w:tr w:rsidR="0040509C" w:rsidRPr="0040509C" w:rsidTr="00626CE8">
        <w:trPr>
          <w:trHeight w:val="397"/>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х</w:t>
            </w:r>
            <w:r w:rsidRPr="0040509C">
              <w:rPr>
                <w:rFonts w:ascii="Times New Roman" w:eastAsia="Times New Roman" w:hAnsi="Times New Roman"/>
                <w:i/>
                <w:color w:val="000000"/>
                <w:vertAlign w:val="subscript"/>
                <w:lang w:eastAsia="uk-UA"/>
              </w:rPr>
              <w:t>1</w:t>
            </w:r>
          </w:p>
        </w:tc>
        <w:tc>
          <w:tcPr>
            <w:tcW w:w="234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у</w:t>
            </w:r>
            <w:r w:rsidRPr="0040509C">
              <w:rPr>
                <w:rFonts w:ascii="Times New Roman" w:eastAsia="Times New Roman" w:hAnsi="Times New Roman"/>
                <w:i/>
                <w:color w:val="000000"/>
                <w:vertAlign w:val="subscript"/>
                <w:lang w:eastAsia="uk-UA"/>
              </w:rPr>
              <w:t>3</w:t>
            </w:r>
            <w:r w:rsidRPr="0040509C">
              <w:rPr>
                <w:rFonts w:ascii="Times New Roman" w:eastAsia="Times New Roman" w:hAnsi="Times New Roman"/>
                <w:i/>
                <w:color w:val="000000"/>
                <w:lang w:eastAsia="uk-UA"/>
              </w:rPr>
              <w:t>=-0,027+0,014х</w:t>
            </w:r>
            <w:r w:rsidRPr="0040509C">
              <w:rPr>
                <w:rFonts w:ascii="Times New Roman" w:eastAsia="Times New Roman" w:hAnsi="Times New Roman"/>
                <w:i/>
                <w:color w:val="000000"/>
                <w:vertAlign w:val="subscript"/>
                <w:lang w:eastAsia="uk-UA"/>
              </w:rPr>
              <w:t>1</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0,990</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0,980</w:t>
            </w:r>
          </w:p>
        </w:tc>
        <w:tc>
          <w:tcPr>
            <w:tcW w:w="12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147,754</w:t>
            </w:r>
          </w:p>
        </w:tc>
        <w:tc>
          <w:tcPr>
            <w:tcW w:w="138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12,155</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0,000</w:t>
            </w:r>
          </w:p>
        </w:tc>
      </w:tr>
      <w:tr w:rsidR="0040509C" w:rsidRPr="0040509C" w:rsidTr="00626CE8">
        <w:trPr>
          <w:trHeight w:val="397"/>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х</w:t>
            </w:r>
            <w:r w:rsidRPr="0040509C">
              <w:rPr>
                <w:rFonts w:ascii="Times New Roman" w:eastAsia="Times New Roman" w:hAnsi="Times New Roman"/>
                <w:i/>
                <w:color w:val="000000"/>
                <w:vertAlign w:val="subscript"/>
                <w:lang w:eastAsia="uk-UA"/>
              </w:rPr>
              <w:t>3</w:t>
            </w:r>
          </w:p>
        </w:tc>
        <w:tc>
          <w:tcPr>
            <w:tcW w:w="2340" w:type="dxa"/>
            <w:tcBorders>
              <w:top w:val="nil"/>
              <w:left w:val="nil"/>
              <w:bottom w:val="single" w:sz="4" w:space="0" w:color="auto"/>
              <w:right w:val="single" w:sz="4" w:space="0" w:color="auto"/>
            </w:tcBorders>
            <w:shd w:val="clear" w:color="000000" w:fill="FFFFFF"/>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у</w:t>
            </w:r>
            <w:r w:rsidRPr="0040509C">
              <w:rPr>
                <w:rFonts w:ascii="Times New Roman" w:eastAsia="Times New Roman" w:hAnsi="Times New Roman"/>
                <w:i/>
                <w:color w:val="000000"/>
                <w:vertAlign w:val="subscript"/>
                <w:lang w:eastAsia="uk-UA"/>
              </w:rPr>
              <w:t>3</w:t>
            </w:r>
            <w:r w:rsidRPr="0040509C">
              <w:rPr>
                <w:rFonts w:ascii="Times New Roman" w:eastAsia="Times New Roman" w:hAnsi="Times New Roman"/>
                <w:i/>
                <w:color w:val="000000"/>
                <w:lang w:eastAsia="uk-UA"/>
              </w:rPr>
              <w:t>=0,185+0,011х</w:t>
            </w:r>
            <w:r w:rsidRPr="0040509C">
              <w:rPr>
                <w:rFonts w:ascii="Times New Roman" w:eastAsia="Times New Roman" w:hAnsi="Times New Roman"/>
                <w:i/>
                <w:color w:val="000000"/>
                <w:vertAlign w:val="subscript"/>
                <w:lang w:eastAsia="uk-UA"/>
              </w:rPr>
              <w:t>3</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0,782</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0,611</w:t>
            </w:r>
          </w:p>
        </w:tc>
        <w:tc>
          <w:tcPr>
            <w:tcW w:w="12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4,718</w:t>
            </w:r>
          </w:p>
        </w:tc>
        <w:tc>
          <w:tcPr>
            <w:tcW w:w="138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2,172</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0,050</w:t>
            </w:r>
          </w:p>
        </w:tc>
      </w:tr>
      <w:tr w:rsidR="0040509C" w:rsidRPr="0040509C" w:rsidTr="00626CE8">
        <w:trPr>
          <w:trHeight w:val="397"/>
        </w:trPr>
        <w:tc>
          <w:tcPr>
            <w:tcW w:w="9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0509C" w:rsidRPr="0040509C" w:rsidRDefault="0040509C" w:rsidP="0040509C">
            <w:pPr>
              <w:spacing w:after="0" w:line="240" w:lineRule="auto"/>
              <w:jc w:val="center"/>
              <w:rPr>
                <w:rFonts w:ascii="Times New Roman" w:eastAsia="Times New Roman" w:hAnsi="Times New Roman"/>
                <w:b/>
                <w:i/>
                <w:iCs/>
                <w:color w:val="000000"/>
                <w:lang w:eastAsia="uk-UA"/>
              </w:rPr>
            </w:pPr>
            <w:r w:rsidRPr="0040509C">
              <w:rPr>
                <w:rFonts w:ascii="Times New Roman" w:eastAsia="Times New Roman" w:hAnsi="Times New Roman"/>
                <w:b/>
                <w:i/>
                <w:iCs/>
                <w:color w:val="000000"/>
                <w:lang w:eastAsia="uk-UA"/>
              </w:rPr>
              <w:t>Коефіцієнт ліквідного співвідношення виданих кредитів і залучених депозитів (для визначення незбалансованої ліквідності) (y</w:t>
            </w:r>
            <w:r w:rsidRPr="0040509C">
              <w:rPr>
                <w:rFonts w:ascii="Times New Roman" w:eastAsia="Times New Roman" w:hAnsi="Times New Roman"/>
                <w:b/>
                <w:i/>
                <w:iCs/>
                <w:color w:val="000000"/>
                <w:vertAlign w:val="subscript"/>
                <w:lang w:eastAsia="uk-UA"/>
              </w:rPr>
              <w:t>4</w:t>
            </w:r>
            <w:r w:rsidRPr="0040509C">
              <w:rPr>
                <w:rFonts w:ascii="Times New Roman" w:eastAsia="Times New Roman" w:hAnsi="Times New Roman"/>
                <w:b/>
                <w:i/>
                <w:iCs/>
                <w:color w:val="000000"/>
                <w:lang w:eastAsia="uk-UA"/>
              </w:rPr>
              <w:t>)</w:t>
            </w:r>
          </w:p>
        </w:tc>
      </w:tr>
      <w:tr w:rsidR="0040509C" w:rsidRPr="0040509C" w:rsidTr="00626CE8">
        <w:trPr>
          <w:trHeight w:val="397"/>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х</w:t>
            </w:r>
            <w:r w:rsidRPr="0040509C">
              <w:rPr>
                <w:rFonts w:ascii="Times New Roman" w:eastAsia="Times New Roman" w:hAnsi="Times New Roman"/>
                <w:i/>
                <w:color w:val="000000"/>
                <w:vertAlign w:val="subscript"/>
                <w:lang w:eastAsia="uk-UA"/>
              </w:rPr>
              <w:t>2</w:t>
            </w:r>
          </w:p>
        </w:tc>
        <w:tc>
          <w:tcPr>
            <w:tcW w:w="234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у</w:t>
            </w:r>
            <w:r w:rsidRPr="0040509C">
              <w:rPr>
                <w:rFonts w:ascii="Times New Roman" w:eastAsia="Times New Roman" w:hAnsi="Times New Roman"/>
                <w:i/>
                <w:color w:val="000000"/>
                <w:vertAlign w:val="subscript"/>
                <w:lang w:eastAsia="uk-UA"/>
              </w:rPr>
              <w:t>4</w:t>
            </w:r>
            <w:r w:rsidRPr="0040509C">
              <w:rPr>
                <w:rFonts w:ascii="Times New Roman" w:eastAsia="Times New Roman" w:hAnsi="Times New Roman"/>
                <w:i/>
                <w:color w:val="000000"/>
                <w:lang w:eastAsia="uk-UA"/>
              </w:rPr>
              <w:t>=-1,203+0,029х</w:t>
            </w:r>
            <w:r w:rsidRPr="0040509C">
              <w:rPr>
                <w:rFonts w:ascii="Times New Roman" w:eastAsia="Times New Roman" w:hAnsi="Times New Roman"/>
                <w:i/>
                <w:color w:val="000000"/>
                <w:vertAlign w:val="subscript"/>
                <w:lang w:eastAsia="uk-UA"/>
              </w:rPr>
              <w:t>2</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0,868</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0,753</w:t>
            </w:r>
          </w:p>
        </w:tc>
        <w:tc>
          <w:tcPr>
            <w:tcW w:w="12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9,145</w:t>
            </w:r>
          </w:p>
        </w:tc>
        <w:tc>
          <w:tcPr>
            <w:tcW w:w="138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3,024</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0,005</w:t>
            </w:r>
          </w:p>
        </w:tc>
      </w:tr>
      <w:tr w:rsidR="0040509C" w:rsidRPr="0040509C" w:rsidTr="00626CE8">
        <w:trPr>
          <w:trHeight w:val="397"/>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х</w:t>
            </w:r>
            <w:r w:rsidRPr="0040509C">
              <w:rPr>
                <w:rFonts w:ascii="Times New Roman" w:eastAsia="Times New Roman" w:hAnsi="Times New Roman"/>
                <w:i/>
                <w:color w:val="000000"/>
                <w:vertAlign w:val="subscript"/>
                <w:lang w:eastAsia="uk-UA"/>
              </w:rPr>
              <w:t>8</w:t>
            </w:r>
          </w:p>
        </w:tc>
        <w:tc>
          <w:tcPr>
            <w:tcW w:w="234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у</w:t>
            </w:r>
            <w:r w:rsidRPr="0040509C">
              <w:rPr>
                <w:rFonts w:ascii="Times New Roman" w:eastAsia="Times New Roman" w:hAnsi="Times New Roman"/>
                <w:i/>
                <w:color w:val="000000"/>
                <w:vertAlign w:val="subscript"/>
                <w:lang w:eastAsia="uk-UA"/>
              </w:rPr>
              <w:t>4</w:t>
            </w:r>
            <w:r w:rsidRPr="0040509C">
              <w:rPr>
                <w:rFonts w:ascii="Times New Roman" w:eastAsia="Times New Roman" w:hAnsi="Times New Roman"/>
                <w:i/>
                <w:color w:val="000000"/>
                <w:lang w:eastAsia="uk-UA"/>
              </w:rPr>
              <w:t>=0,238+0,294х</w:t>
            </w:r>
            <w:r w:rsidRPr="0040509C">
              <w:rPr>
                <w:rFonts w:ascii="Times New Roman" w:eastAsia="Times New Roman" w:hAnsi="Times New Roman"/>
                <w:i/>
                <w:color w:val="000000"/>
                <w:vertAlign w:val="subscript"/>
                <w:lang w:eastAsia="uk-UA"/>
              </w:rPr>
              <w:t>8</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0,987</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0,975</w:t>
            </w:r>
          </w:p>
        </w:tc>
        <w:tc>
          <w:tcPr>
            <w:tcW w:w="12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117,390</w:t>
            </w:r>
          </w:p>
        </w:tc>
        <w:tc>
          <w:tcPr>
            <w:tcW w:w="138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10,835</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0,000</w:t>
            </w:r>
          </w:p>
        </w:tc>
      </w:tr>
      <w:tr w:rsidR="0040509C" w:rsidRPr="0040509C" w:rsidTr="00626CE8">
        <w:trPr>
          <w:trHeight w:val="397"/>
        </w:trPr>
        <w:tc>
          <w:tcPr>
            <w:tcW w:w="9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0509C" w:rsidRPr="0040509C" w:rsidRDefault="0040509C" w:rsidP="0040509C">
            <w:pPr>
              <w:spacing w:after="0" w:line="240" w:lineRule="auto"/>
              <w:jc w:val="center"/>
              <w:rPr>
                <w:rFonts w:ascii="Times New Roman" w:eastAsia="Times New Roman" w:hAnsi="Times New Roman"/>
                <w:b/>
                <w:i/>
                <w:iCs/>
                <w:color w:val="000000"/>
                <w:lang w:eastAsia="uk-UA"/>
              </w:rPr>
            </w:pPr>
            <w:r w:rsidRPr="0040509C">
              <w:rPr>
                <w:rFonts w:ascii="Times New Roman" w:eastAsia="Times New Roman" w:hAnsi="Times New Roman"/>
                <w:b/>
                <w:i/>
                <w:iCs/>
                <w:color w:val="000000"/>
                <w:lang w:eastAsia="uk-UA"/>
              </w:rPr>
              <w:t xml:space="preserve">Норматив </w:t>
            </w:r>
            <w:r w:rsidRPr="00626CE8">
              <w:rPr>
                <w:rFonts w:ascii="Times New Roman" w:eastAsia="Times New Roman" w:hAnsi="Times New Roman"/>
                <w:b/>
                <w:i/>
                <w:iCs/>
                <w:color w:val="000000"/>
                <w:lang w:eastAsia="uk-UA"/>
              </w:rPr>
              <w:t>короткострокової</w:t>
            </w:r>
            <w:r w:rsidRPr="0040509C">
              <w:rPr>
                <w:rFonts w:ascii="Times New Roman" w:eastAsia="Times New Roman" w:hAnsi="Times New Roman"/>
                <w:b/>
                <w:i/>
                <w:iCs/>
                <w:color w:val="000000"/>
                <w:lang w:eastAsia="uk-UA"/>
              </w:rPr>
              <w:t xml:space="preserve"> ліквідності (у</w:t>
            </w:r>
            <w:r w:rsidRPr="0040509C">
              <w:rPr>
                <w:rFonts w:ascii="Times New Roman" w:eastAsia="Times New Roman" w:hAnsi="Times New Roman"/>
                <w:b/>
                <w:i/>
                <w:iCs/>
                <w:color w:val="000000"/>
                <w:vertAlign w:val="subscript"/>
                <w:lang w:eastAsia="uk-UA"/>
              </w:rPr>
              <w:t>5</w:t>
            </w:r>
            <w:r w:rsidRPr="0040509C">
              <w:rPr>
                <w:rFonts w:ascii="Times New Roman" w:eastAsia="Times New Roman" w:hAnsi="Times New Roman"/>
                <w:b/>
                <w:i/>
                <w:iCs/>
                <w:color w:val="000000"/>
                <w:lang w:eastAsia="uk-UA"/>
              </w:rPr>
              <w:t>)</w:t>
            </w:r>
          </w:p>
        </w:tc>
      </w:tr>
      <w:tr w:rsidR="0040509C" w:rsidRPr="0040509C" w:rsidTr="00626CE8">
        <w:trPr>
          <w:trHeight w:val="397"/>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х</w:t>
            </w:r>
            <w:r w:rsidRPr="0040509C">
              <w:rPr>
                <w:rFonts w:ascii="Times New Roman" w:eastAsia="Times New Roman" w:hAnsi="Times New Roman"/>
                <w:i/>
                <w:color w:val="000000"/>
                <w:vertAlign w:val="subscript"/>
                <w:lang w:eastAsia="uk-UA"/>
              </w:rPr>
              <w:t>4</w:t>
            </w:r>
          </w:p>
        </w:tc>
        <w:tc>
          <w:tcPr>
            <w:tcW w:w="234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у</w:t>
            </w:r>
            <w:r w:rsidRPr="0040509C">
              <w:rPr>
                <w:rFonts w:ascii="Times New Roman" w:eastAsia="Times New Roman" w:hAnsi="Times New Roman"/>
                <w:i/>
                <w:color w:val="000000"/>
                <w:vertAlign w:val="subscript"/>
                <w:lang w:eastAsia="uk-UA"/>
              </w:rPr>
              <w:t>5</w:t>
            </w:r>
            <w:r w:rsidRPr="0040509C">
              <w:rPr>
                <w:rFonts w:ascii="Times New Roman" w:eastAsia="Times New Roman" w:hAnsi="Times New Roman"/>
                <w:i/>
                <w:color w:val="000000"/>
                <w:lang w:eastAsia="uk-UA"/>
              </w:rPr>
              <w:t>=-3,224+0,961х</w:t>
            </w:r>
            <w:r w:rsidRPr="0040509C">
              <w:rPr>
                <w:rFonts w:ascii="Times New Roman" w:eastAsia="Times New Roman" w:hAnsi="Times New Roman"/>
                <w:i/>
                <w:color w:val="000000"/>
                <w:vertAlign w:val="subscript"/>
                <w:lang w:eastAsia="uk-UA"/>
              </w:rPr>
              <w:t>4</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0,904</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0,816</w:t>
            </w:r>
          </w:p>
        </w:tc>
        <w:tc>
          <w:tcPr>
            <w:tcW w:w="12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13,348</w:t>
            </w:r>
          </w:p>
        </w:tc>
        <w:tc>
          <w:tcPr>
            <w:tcW w:w="138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3,654</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0,005</w:t>
            </w:r>
          </w:p>
        </w:tc>
      </w:tr>
      <w:tr w:rsidR="0040509C" w:rsidRPr="0040509C" w:rsidTr="00626CE8">
        <w:trPr>
          <w:trHeight w:val="397"/>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х</w:t>
            </w:r>
            <w:r w:rsidRPr="0040509C">
              <w:rPr>
                <w:rFonts w:ascii="Times New Roman" w:eastAsia="Times New Roman" w:hAnsi="Times New Roman"/>
                <w:i/>
                <w:color w:val="000000"/>
                <w:vertAlign w:val="subscript"/>
                <w:lang w:eastAsia="uk-UA"/>
              </w:rPr>
              <w:t>6</w:t>
            </w:r>
          </w:p>
        </w:tc>
        <w:tc>
          <w:tcPr>
            <w:tcW w:w="234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i/>
                <w:color w:val="000000"/>
                <w:lang w:eastAsia="uk-UA"/>
              </w:rPr>
            </w:pPr>
            <w:r w:rsidRPr="0040509C">
              <w:rPr>
                <w:rFonts w:ascii="Times New Roman" w:eastAsia="Times New Roman" w:hAnsi="Times New Roman"/>
                <w:i/>
                <w:color w:val="000000"/>
                <w:lang w:eastAsia="uk-UA"/>
              </w:rPr>
              <w:t>у</w:t>
            </w:r>
            <w:r w:rsidRPr="0040509C">
              <w:rPr>
                <w:rFonts w:ascii="Times New Roman" w:eastAsia="Times New Roman" w:hAnsi="Times New Roman"/>
                <w:i/>
                <w:color w:val="000000"/>
                <w:vertAlign w:val="subscript"/>
                <w:lang w:eastAsia="uk-UA"/>
              </w:rPr>
              <w:t>5</w:t>
            </w:r>
            <w:r w:rsidRPr="0040509C">
              <w:rPr>
                <w:rFonts w:ascii="Times New Roman" w:eastAsia="Times New Roman" w:hAnsi="Times New Roman"/>
                <w:i/>
                <w:color w:val="000000"/>
                <w:lang w:eastAsia="uk-UA"/>
              </w:rPr>
              <w:t>=1,248+0,061х</w:t>
            </w:r>
            <w:r w:rsidRPr="0040509C">
              <w:rPr>
                <w:rFonts w:ascii="Times New Roman" w:eastAsia="Times New Roman" w:hAnsi="Times New Roman"/>
                <w:i/>
                <w:color w:val="000000"/>
                <w:vertAlign w:val="subscript"/>
                <w:lang w:eastAsia="uk-UA"/>
              </w:rPr>
              <w:t>6</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0,838</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0,703</w:t>
            </w:r>
          </w:p>
        </w:tc>
        <w:tc>
          <w:tcPr>
            <w:tcW w:w="12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7,095</w:t>
            </w:r>
          </w:p>
        </w:tc>
        <w:tc>
          <w:tcPr>
            <w:tcW w:w="138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2,664</w:t>
            </w:r>
          </w:p>
        </w:tc>
        <w:tc>
          <w:tcPr>
            <w:tcW w:w="960" w:type="dxa"/>
            <w:tcBorders>
              <w:top w:val="nil"/>
              <w:left w:val="nil"/>
              <w:bottom w:val="single" w:sz="4" w:space="0" w:color="auto"/>
              <w:right w:val="single" w:sz="4" w:space="0" w:color="auto"/>
            </w:tcBorders>
            <w:shd w:val="clear" w:color="auto" w:fill="auto"/>
            <w:noWrap/>
            <w:vAlign w:val="center"/>
            <w:hideMark/>
          </w:tcPr>
          <w:p w:rsidR="0040509C" w:rsidRPr="0040509C" w:rsidRDefault="0040509C" w:rsidP="0040509C">
            <w:pPr>
              <w:spacing w:after="0" w:line="240" w:lineRule="auto"/>
              <w:jc w:val="center"/>
              <w:rPr>
                <w:rFonts w:ascii="Times New Roman" w:eastAsia="Times New Roman" w:hAnsi="Times New Roman"/>
                <w:color w:val="000000"/>
                <w:lang w:eastAsia="uk-UA"/>
              </w:rPr>
            </w:pPr>
            <w:r w:rsidRPr="0040509C">
              <w:rPr>
                <w:rFonts w:ascii="Times New Roman" w:eastAsia="Times New Roman" w:hAnsi="Times New Roman"/>
                <w:color w:val="000000"/>
                <w:lang w:eastAsia="uk-UA"/>
              </w:rPr>
              <w:t>0,050</w:t>
            </w:r>
          </w:p>
        </w:tc>
      </w:tr>
    </w:tbl>
    <w:p w:rsidR="000756F3" w:rsidRDefault="000756F3" w:rsidP="000756F3">
      <w:pPr>
        <w:spacing w:before="240" w:after="0" w:line="360" w:lineRule="auto"/>
        <w:ind w:firstLine="709"/>
        <w:jc w:val="both"/>
        <w:rPr>
          <w:rFonts w:ascii="Times New Roman" w:hAnsi="Times New Roman"/>
          <w:sz w:val="28"/>
          <w:szCs w:val="28"/>
        </w:rPr>
      </w:pPr>
      <w:r>
        <w:rPr>
          <w:rFonts w:ascii="Times New Roman" w:hAnsi="Times New Roman"/>
          <w:sz w:val="28"/>
          <w:szCs w:val="28"/>
        </w:rPr>
        <w:t>Наступним кроком на основі проведеного кореляційно-регресійного аналізу здійснено прогнозування методом екстраполяції за середнім темпом зростання за наступною формулою</w:t>
      </w:r>
      <w:r w:rsidR="000D0DE1">
        <w:rPr>
          <w:rFonts w:ascii="Times New Roman" w:hAnsi="Times New Roman"/>
          <w:sz w:val="28"/>
          <w:szCs w:val="28"/>
          <w:lang w:val="ru-RU"/>
        </w:rPr>
        <w:t xml:space="preserve"> </w:t>
      </w:r>
      <w:r w:rsidR="000D0DE1" w:rsidRPr="000D0DE1">
        <w:rPr>
          <w:rFonts w:ascii="Times New Roman" w:hAnsi="Times New Roman"/>
          <w:sz w:val="28"/>
          <w:szCs w:val="28"/>
          <w:lang w:val="ru-RU"/>
        </w:rPr>
        <w:t>[78]</w:t>
      </w:r>
      <w:r>
        <w:rPr>
          <w:rFonts w:ascii="Times New Roman" w:hAnsi="Times New Roman"/>
          <w:sz w:val="28"/>
          <w:szCs w:val="28"/>
        </w:rPr>
        <w:t>:</w:t>
      </w: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3"/>
      </w:tblGrid>
      <w:tr w:rsidR="000756F3" w:rsidTr="004560C3">
        <w:tc>
          <w:tcPr>
            <w:tcW w:w="8784" w:type="dxa"/>
          </w:tcPr>
          <w:p w:rsidR="000756F3" w:rsidRPr="000756F3" w:rsidRDefault="008377E3" w:rsidP="004560C3">
            <w:pPr>
              <w:spacing w:line="360" w:lineRule="auto"/>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lang w:val="en-US"/>
                      </w:rPr>
                      <m:t>n</m:t>
                    </m:r>
                  </m:sub>
                </m:sSub>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n</m:t>
                    </m:r>
                  </m:sub>
                </m:sSub>
                <m:r>
                  <w:rPr>
                    <w:rFonts w:ascii="Cambria Math" w:hAnsi="Cambria Math"/>
                    <w:sz w:val="28"/>
                    <w:szCs w:val="28"/>
                  </w:rPr>
                  <m:t xml:space="preserve"> x </m:t>
                </m:r>
                <m:sSubSup>
                  <m:sSubSupPr>
                    <m:ctrlPr>
                      <w:rPr>
                        <w:rFonts w:ascii="Cambria Math" w:hAnsi="Cambria Math"/>
                        <w:i/>
                        <w:sz w:val="28"/>
                        <w:szCs w:val="28"/>
                      </w:rPr>
                    </m:ctrlPr>
                  </m:sSubSupPr>
                  <m:e>
                    <m:r>
                      <m:rPr>
                        <m:sty m:val="p"/>
                      </m:rPr>
                      <w:rPr>
                        <w:rFonts w:ascii="Cambria Math" w:hAnsi="Cambria Math"/>
                        <w:sz w:val="28"/>
                        <w:szCs w:val="28"/>
                      </w:rPr>
                      <m:t>Τ</m:t>
                    </m:r>
                  </m:e>
                  <m:sub>
                    <m:r>
                      <w:rPr>
                        <w:rFonts w:ascii="Cambria Math" w:hAnsi="Cambria Math"/>
                        <w:sz w:val="28"/>
                        <w:szCs w:val="28"/>
                      </w:rPr>
                      <m:t>зр</m:t>
                    </m:r>
                  </m:sub>
                  <m:sup>
                    <m:r>
                      <w:rPr>
                        <w:rFonts w:ascii="Cambria Math" w:hAnsi="Cambria Math"/>
                        <w:sz w:val="28"/>
                        <w:szCs w:val="28"/>
                      </w:rPr>
                      <m:t>τ</m:t>
                    </m:r>
                  </m:sup>
                </m:sSubSup>
              </m:oMath>
            </m:oMathPara>
          </w:p>
          <w:p w:rsidR="004560C3" w:rsidRPr="004560C3" w:rsidRDefault="00581F20" w:rsidP="004560C3">
            <w:pPr>
              <w:spacing w:line="360" w:lineRule="auto"/>
              <w:jc w:val="both"/>
              <w:rPr>
                <w:rFonts w:ascii="Times New Roman" w:hAnsi="Times New Roman"/>
                <w:sz w:val="28"/>
                <w:szCs w:val="28"/>
              </w:rPr>
            </w:pPr>
            <w:r w:rsidRPr="004560C3">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n</m:t>
                  </m:r>
                </m:sub>
              </m:sSub>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τ</m:t>
                  </m:r>
                </m:e>
              </m:d>
            </m:oMath>
            <w:r w:rsidR="004560C3" w:rsidRPr="004560C3">
              <w:rPr>
                <w:rFonts w:ascii="Times New Roman" w:hAnsi="Times New Roman"/>
                <w:sz w:val="28"/>
                <w:szCs w:val="28"/>
              </w:rPr>
              <w:t xml:space="preserve"> - прогнозоване значення залежної змінної;</w:t>
            </w:r>
          </w:p>
          <w:p w:rsidR="004560C3" w:rsidRPr="004560C3" w:rsidRDefault="004560C3" w:rsidP="004560C3">
            <w:pPr>
              <w:spacing w:line="360" w:lineRule="auto"/>
              <w:jc w:val="both"/>
              <w:rPr>
                <w:rFonts w:ascii="Times New Roman" w:hAnsi="Times New Roman"/>
                <w:sz w:val="28"/>
                <w:szCs w:val="28"/>
                <w:lang w:val="ru-RU"/>
              </w:rPr>
            </w:pPr>
            <w:r w:rsidRPr="004560C3">
              <w:rPr>
                <w:rFonts w:ascii="Times New Roman" w:hAnsi="Times New Roman"/>
                <w:sz w:val="28"/>
                <w:szCs w:val="28"/>
              </w:rPr>
              <w:t xml:space="preserve">     </w:t>
            </w:r>
            <m:oMath>
              <m:sSubSup>
                <m:sSubSupPr>
                  <m:ctrlPr>
                    <w:rPr>
                      <w:rFonts w:ascii="Cambria Math" w:hAnsi="Cambria Math"/>
                      <w:i/>
                      <w:sz w:val="28"/>
                      <w:szCs w:val="28"/>
                    </w:rPr>
                  </m:ctrlPr>
                </m:sSubSupPr>
                <m:e>
                  <m:r>
                    <m:rPr>
                      <m:sty m:val="p"/>
                    </m:rPr>
                    <w:rPr>
                      <w:rFonts w:ascii="Cambria Math" w:hAnsi="Cambria Math"/>
                      <w:sz w:val="28"/>
                      <w:szCs w:val="28"/>
                    </w:rPr>
                    <m:t>Τ</m:t>
                  </m:r>
                </m:e>
                <m:sub>
                  <m:r>
                    <w:rPr>
                      <w:rFonts w:ascii="Cambria Math" w:hAnsi="Cambria Math"/>
                      <w:sz w:val="28"/>
                      <w:szCs w:val="28"/>
                    </w:rPr>
                    <m:t>зр</m:t>
                  </m:r>
                </m:sub>
                <m:sup>
                  <m:r>
                    <w:rPr>
                      <w:rFonts w:ascii="Cambria Math" w:hAnsi="Cambria Math"/>
                      <w:sz w:val="28"/>
                      <w:szCs w:val="28"/>
                    </w:rPr>
                    <m:t>τ</m:t>
                  </m:r>
                </m:sup>
              </m:sSubSup>
            </m:oMath>
            <w:r w:rsidRPr="004560C3">
              <w:rPr>
                <w:rFonts w:ascii="Times New Roman" w:hAnsi="Times New Roman"/>
                <w:sz w:val="28"/>
                <w:szCs w:val="28"/>
              </w:rPr>
              <w:t xml:space="preserve"> - середній темп зростання</w:t>
            </w:r>
            <w:r>
              <w:rPr>
                <w:rFonts w:ascii="Times New Roman" w:hAnsi="Times New Roman"/>
                <w:sz w:val="28"/>
                <w:szCs w:val="28"/>
                <w:lang w:val="ru-RU"/>
              </w:rPr>
              <w:t>.</w:t>
            </w:r>
          </w:p>
        </w:tc>
        <w:tc>
          <w:tcPr>
            <w:tcW w:w="843" w:type="dxa"/>
          </w:tcPr>
          <w:p w:rsidR="000756F3" w:rsidRDefault="000756F3" w:rsidP="004560C3">
            <w:pPr>
              <w:spacing w:line="360" w:lineRule="auto"/>
              <w:jc w:val="both"/>
              <w:rPr>
                <w:rFonts w:ascii="Times New Roman" w:hAnsi="Times New Roman"/>
                <w:sz w:val="28"/>
                <w:szCs w:val="28"/>
              </w:rPr>
            </w:pPr>
            <w:r>
              <w:rPr>
                <w:rFonts w:ascii="Times New Roman" w:hAnsi="Times New Roman"/>
                <w:sz w:val="28"/>
                <w:szCs w:val="28"/>
              </w:rPr>
              <w:t>(3.2.)</w:t>
            </w:r>
          </w:p>
        </w:tc>
      </w:tr>
    </w:tbl>
    <w:p w:rsidR="00700D93" w:rsidRDefault="00700D93" w:rsidP="00367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здійснення прогнозування </w:t>
      </w:r>
      <w:r w:rsidRPr="00700D93">
        <w:rPr>
          <w:rFonts w:ascii="Times New Roman" w:hAnsi="Times New Roman"/>
          <w:sz w:val="28"/>
          <w:szCs w:val="28"/>
        </w:rPr>
        <w:t>методом екстраполяції за середнім темпом зростання</w:t>
      </w:r>
      <w:r>
        <w:rPr>
          <w:rFonts w:ascii="Times New Roman" w:hAnsi="Times New Roman"/>
          <w:sz w:val="28"/>
          <w:szCs w:val="28"/>
        </w:rPr>
        <w:t xml:space="preserve"> буде використано програмний комплекс </w:t>
      </w:r>
      <w:r>
        <w:rPr>
          <w:rFonts w:ascii="Times New Roman" w:hAnsi="Times New Roman"/>
          <w:sz w:val="28"/>
          <w:szCs w:val="28"/>
          <w:lang w:val="en-US"/>
        </w:rPr>
        <w:t>STATISTIKA</w:t>
      </w:r>
      <w:r w:rsidRPr="00700D93">
        <w:rPr>
          <w:rFonts w:ascii="Times New Roman" w:hAnsi="Times New Roman"/>
          <w:sz w:val="28"/>
          <w:szCs w:val="28"/>
          <w:lang w:val="ru-RU"/>
        </w:rPr>
        <w:t xml:space="preserve"> 13.0</w:t>
      </w:r>
      <w:r>
        <w:rPr>
          <w:rFonts w:ascii="Times New Roman" w:hAnsi="Times New Roman"/>
          <w:sz w:val="28"/>
          <w:szCs w:val="28"/>
          <w:lang w:val="ru-RU"/>
        </w:rPr>
        <w:t xml:space="preserve">. </w:t>
      </w:r>
      <w:r w:rsidR="00154960">
        <w:rPr>
          <w:rFonts w:ascii="Times New Roman" w:hAnsi="Times New Roman"/>
          <w:sz w:val="28"/>
          <w:szCs w:val="28"/>
          <w:lang w:val="ru-RU"/>
        </w:rPr>
        <w:t xml:space="preserve">За результатами </w:t>
      </w:r>
      <w:r w:rsidR="00154960" w:rsidRPr="00154960">
        <w:rPr>
          <w:rFonts w:ascii="Times New Roman" w:hAnsi="Times New Roman"/>
          <w:sz w:val="28"/>
          <w:szCs w:val="28"/>
        </w:rPr>
        <w:t xml:space="preserve">розрахунків </w:t>
      </w:r>
      <w:r w:rsidR="00154960">
        <w:rPr>
          <w:rFonts w:ascii="Times New Roman" w:hAnsi="Times New Roman"/>
          <w:sz w:val="28"/>
          <w:szCs w:val="28"/>
        </w:rPr>
        <w:t>отримали прогноз на 2022-2024 рок</w:t>
      </w:r>
      <w:r w:rsidR="003676D0">
        <w:rPr>
          <w:rFonts w:ascii="Times New Roman" w:hAnsi="Times New Roman"/>
          <w:sz w:val="28"/>
          <w:szCs w:val="28"/>
        </w:rPr>
        <w:t>и</w:t>
      </w:r>
      <w:r w:rsidR="00154960">
        <w:rPr>
          <w:rFonts w:ascii="Times New Roman" w:hAnsi="Times New Roman"/>
          <w:sz w:val="28"/>
          <w:szCs w:val="28"/>
        </w:rPr>
        <w:t xml:space="preserve"> коефіцієнтів ліквідності (див. </w:t>
      </w:r>
      <w:r w:rsidR="00F56E4F">
        <w:rPr>
          <w:rFonts w:ascii="Times New Roman" w:hAnsi="Times New Roman"/>
          <w:sz w:val="28"/>
          <w:szCs w:val="28"/>
        </w:rPr>
        <w:t xml:space="preserve">тал. </w:t>
      </w:r>
      <w:r w:rsidR="001272A6">
        <w:rPr>
          <w:rFonts w:ascii="Times New Roman" w:hAnsi="Times New Roman"/>
          <w:sz w:val="28"/>
          <w:szCs w:val="28"/>
        </w:rPr>
        <w:t>3.8, 3.9, 3.10, 3.11, 3.12, рис. 3.2</w:t>
      </w:r>
      <w:r w:rsidR="00154960">
        <w:rPr>
          <w:rFonts w:ascii="Times New Roman" w:hAnsi="Times New Roman"/>
          <w:sz w:val="28"/>
          <w:szCs w:val="28"/>
        </w:rPr>
        <w:t xml:space="preserve">). </w:t>
      </w:r>
      <w:r w:rsidR="00BF1C20">
        <w:rPr>
          <w:rFonts w:ascii="Times New Roman" w:hAnsi="Times New Roman"/>
          <w:sz w:val="28"/>
          <w:szCs w:val="28"/>
        </w:rPr>
        <w:t xml:space="preserve">Отримані результати розраховані на основі залежностей, які наведені у табл. 3.7. </w:t>
      </w:r>
      <w:r w:rsidR="00D059CD">
        <w:rPr>
          <w:rFonts w:ascii="Times New Roman" w:hAnsi="Times New Roman"/>
          <w:sz w:val="28"/>
          <w:szCs w:val="28"/>
        </w:rPr>
        <w:t xml:space="preserve">Аналізуючи данні, </w:t>
      </w:r>
      <w:r w:rsidR="00D059CD">
        <w:rPr>
          <w:rFonts w:ascii="Times New Roman" w:hAnsi="Times New Roman"/>
          <w:sz w:val="28"/>
          <w:szCs w:val="28"/>
        </w:rPr>
        <w:lastRenderedPageBreak/>
        <w:t xml:space="preserve">які викладені у таблиці, зауважимо, що у графі «Прогноз» розраховане прогнозоване реалістичне значення коефіцієнтів ліквідності. В наступних графах інтервал з 95% достовірністю вірогідністю, в межах якого можуть коливатися коефіцієнти ліквідності під впливом як зовнішніх, так і внутрішніх факторів </w:t>
      </w:r>
    </w:p>
    <w:p w:rsidR="000756F3" w:rsidRDefault="001272A6" w:rsidP="00241E22">
      <w:pPr>
        <w:spacing w:after="0" w:line="360" w:lineRule="auto"/>
        <w:ind w:firstLine="709"/>
        <w:jc w:val="right"/>
        <w:rPr>
          <w:rFonts w:ascii="Times New Roman" w:hAnsi="Times New Roman"/>
          <w:sz w:val="28"/>
          <w:szCs w:val="28"/>
        </w:rPr>
      </w:pPr>
      <w:r>
        <w:rPr>
          <w:rFonts w:ascii="Times New Roman" w:hAnsi="Times New Roman"/>
          <w:sz w:val="28"/>
          <w:szCs w:val="28"/>
        </w:rPr>
        <w:t>Таблиця 3.8</w:t>
      </w:r>
    </w:p>
    <w:p w:rsidR="00F56E4F" w:rsidRDefault="00241E22" w:rsidP="00241E22">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Результати прогнозування </w:t>
      </w:r>
      <w:r w:rsidR="00F56E4F">
        <w:rPr>
          <w:rFonts w:ascii="Times New Roman" w:hAnsi="Times New Roman"/>
          <w:sz w:val="28"/>
          <w:szCs w:val="28"/>
        </w:rPr>
        <w:t>для к</w:t>
      </w:r>
      <w:r w:rsidR="00F56E4F" w:rsidRPr="00F56E4F">
        <w:rPr>
          <w:rFonts w:ascii="Times New Roman" w:hAnsi="Times New Roman"/>
          <w:sz w:val="28"/>
          <w:szCs w:val="28"/>
        </w:rPr>
        <w:t>оефіцієнт</w:t>
      </w:r>
      <w:r w:rsidR="00F56E4F">
        <w:rPr>
          <w:rFonts w:ascii="Times New Roman" w:hAnsi="Times New Roman"/>
          <w:sz w:val="28"/>
          <w:szCs w:val="28"/>
        </w:rPr>
        <w:t>у</w:t>
      </w:r>
      <w:r w:rsidR="00F56E4F" w:rsidRPr="00F56E4F">
        <w:rPr>
          <w:rFonts w:ascii="Times New Roman" w:hAnsi="Times New Roman"/>
          <w:sz w:val="28"/>
          <w:szCs w:val="28"/>
        </w:rPr>
        <w:t xml:space="preserve"> загальної ліквідності</w:t>
      </w:r>
    </w:p>
    <w:p w:rsidR="00241E22" w:rsidRDefault="00241E22" w:rsidP="00241E22">
      <w:pPr>
        <w:spacing w:after="0" w:line="360" w:lineRule="auto"/>
        <w:ind w:firstLine="709"/>
        <w:jc w:val="center"/>
        <w:rPr>
          <w:rFonts w:ascii="Times New Roman" w:hAnsi="Times New Roman"/>
          <w:sz w:val="28"/>
          <w:szCs w:val="28"/>
        </w:rPr>
      </w:pPr>
      <w:r>
        <w:rPr>
          <w:rFonts w:ascii="Times New Roman" w:hAnsi="Times New Roman"/>
          <w:sz w:val="28"/>
          <w:szCs w:val="28"/>
        </w:rPr>
        <w:t>АТ «Ідея Банк» на 2022-20244 роки</w:t>
      </w:r>
    </w:p>
    <w:tbl>
      <w:tblPr>
        <w:tblW w:w="9634" w:type="dxa"/>
        <w:tblLook w:val="04A0" w:firstRow="1" w:lastRow="0" w:firstColumn="1" w:lastColumn="0" w:noHBand="0" w:noVBand="1"/>
      </w:tblPr>
      <w:tblGrid>
        <w:gridCol w:w="2122"/>
        <w:gridCol w:w="2693"/>
        <w:gridCol w:w="2268"/>
        <w:gridCol w:w="2551"/>
      </w:tblGrid>
      <w:tr w:rsidR="00BF1C20" w:rsidRPr="00BF1C20" w:rsidTr="00F56E4F">
        <w:trPr>
          <w:trHeight w:val="288"/>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b/>
                <w:bCs/>
                <w:color w:val="000000"/>
                <w:lang w:eastAsia="uk-UA"/>
              </w:rPr>
            </w:pPr>
            <w:r w:rsidRPr="00BF1C20">
              <w:rPr>
                <w:rFonts w:ascii="Times New Roman" w:eastAsia="Times New Roman" w:hAnsi="Times New Roman"/>
                <w:b/>
                <w:bCs/>
                <w:color w:val="000000"/>
                <w:lang w:eastAsia="uk-UA"/>
              </w:rPr>
              <w:t>Показники</w:t>
            </w:r>
          </w:p>
        </w:tc>
        <w:tc>
          <w:tcPr>
            <w:tcW w:w="7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b/>
                <w:bCs/>
                <w:color w:val="000000"/>
                <w:lang w:eastAsia="uk-UA"/>
              </w:rPr>
            </w:pPr>
            <w:r w:rsidRPr="00BF1C20">
              <w:rPr>
                <w:rFonts w:ascii="Times New Roman" w:eastAsia="Times New Roman" w:hAnsi="Times New Roman"/>
                <w:b/>
                <w:bCs/>
                <w:color w:val="000000"/>
                <w:lang w:eastAsia="uk-UA"/>
              </w:rPr>
              <w:t xml:space="preserve">Значення </w:t>
            </w:r>
          </w:p>
        </w:tc>
      </w:tr>
      <w:tr w:rsidR="00BF1C20" w:rsidRPr="00BF1C20" w:rsidTr="00F56E4F">
        <w:trPr>
          <w:trHeight w:val="288"/>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BF1C20" w:rsidRPr="00BF1C20" w:rsidRDefault="00BF1C20" w:rsidP="00BF1C20">
            <w:pPr>
              <w:spacing w:after="0" w:line="240" w:lineRule="auto"/>
              <w:rPr>
                <w:rFonts w:ascii="Times New Roman" w:eastAsia="Times New Roman" w:hAnsi="Times New Roman"/>
                <w:b/>
                <w:bCs/>
                <w:color w:val="000000"/>
                <w:lang w:eastAsia="uk-UA"/>
              </w:rPr>
            </w:pPr>
          </w:p>
        </w:tc>
        <w:tc>
          <w:tcPr>
            <w:tcW w:w="2693" w:type="dxa"/>
            <w:tcBorders>
              <w:top w:val="nil"/>
              <w:left w:val="nil"/>
              <w:bottom w:val="single" w:sz="4" w:space="0" w:color="auto"/>
              <w:right w:val="single" w:sz="4" w:space="0" w:color="auto"/>
            </w:tcBorders>
            <w:shd w:val="clear" w:color="auto" w:fill="auto"/>
            <w:noWrap/>
            <w:vAlign w:val="center"/>
            <w:hideMark/>
          </w:tcPr>
          <w:p w:rsidR="00BF1C20" w:rsidRPr="00383D5C" w:rsidRDefault="00BF1C20" w:rsidP="00BF1C20">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2022</w:t>
            </w:r>
          </w:p>
        </w:tc>
        <w:tc>
          <w:tcPr>
            <w:tcW w:w="2268" w:type="dxa"/>
            <w:tcBorders>
              <w:top w:val="nil"/>
              <w:left w:val="nil"/>
              <w:bottom w:val="single" w:sz="4" w:space="0" w:color="auto"/>
              <w:right w:val="single" w:sz="4" w:space="0" w:color="auto"/>
            </w:tcBorders>
            <w:shd w:val="clear" w:color="auto" w:fill="auto"/>
            <w:noWrap/>
            <w:vAlign w:val="center"/>
            <w:hideMark/>
          </w:tcPr>
          <w:p w:rsidR="00BF1C20" w:rsidRPr="00383D5C" w:rsidRDefault="00BF1C20" w:rsidP="00BF1C20">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2023</w:t>
            </w:r>
          </w:p>
        </w:tc>
        <w:tc>
          <w:tcPr>
            <w:tcW w:w="2551" w:type="dxa"/>
            <w:tcBorders>
              <w:top w:val="nil"/>
              <w:left w:val="nil"/>
              <w:bottom w:val="single" w:sz="4" w:space="0" w:color="auto"/>
              <w:right w:val="single" w:sz="4" w:space="0" w:color="auto"/>
            </w:tcBorders>
            <w:shd w:val="clear" w:color="auto" w:fill="auto"/>
            <w:noWrap/>
            <w:vAlign w:val="center"/>
            <w:hideMark/>
          </w:tcPr>
          <w:p w:rsidR="00BF1C20" w:rsidRPr="00383D5C" w:rsidRDefault="00BF1C20" w:rsidP="00BF1C20">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2024</w:t>
            </w:r>
          </w:p>
        </w:tc>
      </w:tr>
      <w:tr w:rsidR="00BF1C20" w:rsidRPr="00BF1C20" w:rsidTr="00F56E4F">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i/>
                <w:iCs/>
                <w:color w:val="000000"/>
                <w:lang w:eastAsia="uk-UA"/>
              </w:rPr>
            </w:pPr>
            <w:r w:rsidRPr="00BF1C20">
              <w:rPr>
                <w:rFonts w:ascii="Times New Roman" w:eastAsia="Times New Roman" w:hAnsi="Times New Roman"/>
                <w:i/>
                <w:iCs/>
                <w:color w:val="000000"/>
                <w:lang w:eastAsia="uk-UA"/>
              </w:rPr>
              <w:t>Коефіцієнт загальної ліквідності (y</w:t>
            </w:r>
            <w:r w:rsidRPr="00BF1C20">
              <w:rPr>
                <w:rFonts w:ascii="Times New Roman" w:eastAsia="Times New Roman" w:hAnsi="Times New Roman"/>
                <w:i/>
                <w:iCs/>
                <w:color w:val="000000"/>
                <w:vertAlign w:val="subscript"/>
                <w:lang w:eastAsia="uk-UA"/>
              </w:rPr>
              <w:t>1</w:t>
            </w:r>
            <w:r w:rsidRPr="00BF1C20">
              <w:rPr>
                <w:rFonts w:ascii="Times New Roman" w:eastAsia="Times New Roman" w:hAnsi="Times New Roman"/>
                <w:i/>
                <w:iCs/>
                <w:color w:val="000000"/>
                <w:lang w:eastAsia="uk-UA"/>
              </w:rPr>
              <w:t>)</w:t>
            </w:r>
          </w:p>
        </w:tc>
      </w:tr>
      <w:tr w:rsidR="00BF1C20" w:rsidRPr="00BF1C20" w:rsidTr="00F56E4F">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Х</w:t>
            </w:r>
            <w:r w:rsidRPr="00BF1C20">
              <w:rPr>
                <w:rFonts w:ascii="Times New Roman" w:eastAsia="Times New Roman" w:hAnsi="Times New Roman"/>
                <w:color w:val="000000"/>
                <w:vertAlign w:val="subscript"/>
                <w:lang w:eastAsia="uk-UA"/>
              </w:rPr>
              <w:t>2</w:t>
            </w:r>
          </w:p>
        </w:tc>
      </w:tr>
      <w:tr w:rsidR="00BF1C20"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Прогноз</w:t>
            </w:r>
          </w:p>
        </w:tc>
        <w:tc>
          <w:tcPr>
            <w:tcW w:w="2693"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1,219</w:t>
            </w:r>
          </w:p>
        </w:tc>
        <w:tc>
          <w:tcPr>
            <w:tcW w:w="2268"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1,237</w:t>
            </w:r>
          </w:p>
        </w:tc>
        <w:tc>
          <w:tcPr>
            <w:tcW w:w="2551"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1,256</w:t>
            </w:r>
          </w:p>
        </w:tc>
      </w:tr>
      <w:tr w:rsidR="00BF1C20"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1,158</w:t>
            </w:r>
          </w:p>
        </w:tc>
        <w:tc>
          <w:tcPr>
            <w:tcW w:w="2268"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1,163</w:t>
            </w:r>
          </w:p>
        </w:tc>
        <w:tc>
          <w:tcPr>
            <w:tcW w:w="2551"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1,167</w:t>
            </w:r>
          </w:p>
        </w:tc>
      </w:tr>
      <w:tr w:rsidR="00BF1C20"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1,280</w:t>
            </w:r>
          </w:p>
        </w:tc>
        <w:tc>
          <w:tcPr>
            <w:tcW w:w="2268"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1,312</w:t>
            </w:r>
          </w:p>
        </w:tc>
        <w:tc>
          <w:tcPr>
            <w:tcW w:w="2551"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1,345</w:t>
            </w:r>
          </w:p>
        </w:tc>
      </w:tr>
      <w:tr w:rsidR="00BF1C20" w:rsidRPr="00BF1C20" w:rsidTr="00F56E4F">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Х</w:t>
            </w:r>
            <w:r w:rsidRPr="00BF1C20">
              <w:rPr>
                <w:rFonts w:ascii="Times New Roman" w:eastAsia="Times New Roman" w:hAnsi="Times New Roman"/>
                <w:color w:val="000000"/>
                <w:vertAlign w:val="subscript"/>
                <w:lang w:eastAsia="uk-UA"/>
              </w:rPr>
              <w:t>3</w:t>
            </w:r>
          </w:p>
        </w:tc>
      </w:tr>
      <w:tr w:rsidR="00BF1C20"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Прогноз</w:t>
            </w:r>
          </w:p>
        </w:tc>
        <w:tc>
          <w:tcPr>
            <w:tcW w:w="2693"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1,193</w:t>
            </w:r>
          </w:p>
        </w:tc>
        <w:tc>
          <w:tcPr>
            <w:tcW w:w="2268"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1,205</w:t>
            </w:r>
          </w:p>
        </w:tc>
        <w:tc>
          <w:tcPr>
            <w:tcW w:w="2551"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1,218</w:t>
            </w:r>
          </w:p>
        </w:tc>
      </w:tr>
      <w:tr w:rsidR="00BF1C20"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1,123</w:t>
            </w:r>
          </w:p>
        </w:tc>
        <w:tc>
          <w:tcPr>
            <w:tcW w:w="2268"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1,121</w:t>
            </w:r>
          </w:p>
        </w:tc>
        <w:tc>
          <w:tcPr>
            <w:tcW w:w="2551" w:type="dxa"/>
            <w:tcBorders>
              <w:top w:val="nil"/>
              <w:left w:val="nil"/>
              <w:bottom w:val="single" w:sz="4" w:space="0" w:color="auto"/>
              <w:right w:val="single" w:sz="4" w:space="0" w:color="auto"/>
            </w:tcBorders>
            <w:shd w:val="clear" w:color="auto" w:fill="auto"/>
            <w:noWrap/>
            <w:vAlign w:val="center"/>
            <w:hideMark/>
          </w:tcPr>
          <w:p w:rsidR="00BF1C20" w:rsidRPr="00383D5C" w:rsidRDefault="00BF1C20" w:rsidP="00BF1C20">
            <w:pPr>
              <w:spacing w:after="0" w:line="240" w:lineRule="auto"/>
              <w:jc w:val="center"/>
              <w:rPr>
                <w:rFonts w:ascii="Times New Roman" w:eastAsia="Times New Roman" w:hAnsi="Times New Roman"/>
                <w:color w:val="000000"/>
                <w:lang w:eastAsia="uk-UA"/>
              </w:rPr>
            </w:pPr>
            <w:r w:rsidRPr="00383D5C">
              <w:rPr>
                <w:rFonts w:ascii="Times New Roman" w:eastAsia="Times New Roman" w:hAnsi="Times New Roman"/>
                <w:color w:val="000000"/>
                <w:lang w:eastAsia="uk-UA"/>
              </w:rPr>
              <w:t>1,119</w:t>
            </w:r>
          </w:p>
        </w:tc>
      </w:tr>
      <w:tr w:rsidR="00BF1C20"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1,262</w:t>
            </w:r>
          </w:p>
        </w:tc>
        <w:tc>
          <w:tcPr>
            <w:tcW w:w="2268"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1,290</w:t>
            </w:r>
          </w:p>
        </w:tc>
        <w:tc>
          <w:tcPr>
            <w:tcW w:w="2551" w:type="dxa"/>
            <w:tcBorders>
              <w:top w:val="nil"/>
              <w:left w:val="nil"/>
              <w:bottom w:val="single" w:sz="4" w:space="0" w:color="auto"/>
              <w:right w:val="single" w:sz="4" w:space="0" w:color="auto"/>
            </w:tcBorders>
            <w:shd w:val="clear" w:color="auto" w:fill="auto"/>
            <w:noWrap/>
            <w:vAlign w:val="center"/>
            <w:hideMark/>
          </w:tcPr>
          <w:p w:rsidR="00BF1C20" w:rsidRPr="00383D5C" w:rsidRDefault="00BF1C20" w:rsidP="00BF1C20">
            <w:pPr>
              <w:spacing w:after="0" w:line="240" w:lineRule="auto"/>
              <w:jc w:val="center"/>
              <w:rPr>
                <w:rFonts w:ascii="Times New Roman" w:eastAsia="Times New Roman" w:hAnsi="Times New Roman"/>
                <w:color w:val="000000"/>
                <w:lang w:eastAsia="uk-UA"/>
              </w:rPr>
            </w:pPr>
            <w:r w:rsidRPr="00383D5C">
              <w:rPr>
                <w:rFonts w:ascii="Times New Roman" w:eastAsia="Times New Roman" w:hAnsi="Times New Roman"/>
                <w:color w:val="000000"/>
                <w:lang w:eastAsia="uk-UA"/>
              </w:rPr>
              <w:t>1,318</w:t>
            </w:r>
          </w:p>
        </w:tc>
      </w:tr>
      <w:tr w:rsidR="00BF1C20" w:rsidRPr="00BF1C20" w:rsidTr="00F56E4F">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1C20" w:rsidRPr="00383D5C" w:rsidRDefault="00BF1C20" w:rsidP="00BF1C20">
            <w:pPr>
              <w:spacing w:after="0" w:line="240" w:lineRule="auto"/>
              <w:jc w:val="center"/>
              <w:rPr>
                <w:rFonts w:ascii="Times New Roman" w:eastAsia="Times New Roman" w:hAnsi="Times New Roman"/>
                <w:color w:val="000000"/>
                <w:lang w:eastAsia="uk-UA"/>
              </w:rPr>
            </w:pPr>
            <w:r w:rsidRPr="00383D5C">
              <w:rPr>
                <w:rFonts w:ascii="Times New Roman" w:eastAsia="Times New Roman" w:hAnsi="Times New Roman"/>
                <w:color w:val="000000"/>
                <w:lang w:eastAsia="uk-UA"/>
              </w:rPr>
              <w:t>Х</w:t>
            </w:r>
            <w:r w:rsidRPr="00383D5C">
              <w:rPr>
                <w:rFonts w:ascii="Times New Roman" w:eastAsia="Times New Roman" w:hAnsi="Times New Roman"/>
                <w:color w:val="000000"/>
                <w:vertAlign w:val="subscript"/>
                <w:lang w:eastAsia="uk-UA"/>
              </w:rPr>
              <w:t>8</w:t>
            </w:r>
          </w:p>
        </w:tc>
      </w:tr>
      <w:tr w:rsidR="00BF1C20"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Прогноз</w:t>
            </w:r>
          </w:p>
        </w:tc>
        <w:tc>
          <w:tcPr>
            <w:tcW w:w="2693"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1,212</w:t>
            </w:r>
          </w:p>
        </w:tc>
        <w:tc>
          <w:tcPr>
            <w:tcW w:w="2268"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1,229</w:t>
            </w:r>
          </w:p>
        </w:tc>
        <w:tc>
          <w:tcPr>
            <w:tcW w:w="2551" w:type="dxa"/>
            <w:tcBorders>
              <w:top w:val="nil"/>
              <w:left w:val="nil"/>
              <w:bottom w:val="single" w:sz="4" w:space="0" w:color="auto"/>
              <w:right w:val="single" w:sz="4" w:space="0" w:color="auto"/>
            </w:tcBorders>
            <w:shd w:val="clear" w:color="auto" w:fill="auto"/>
            <w:noWrap/>
            <w:vAlign w:val="center"/>
            <w:hideMark/>
          </w:tcPr>
          <w:p w:rsidR="00BF1C20" w:rsidRPr="00383D5C" w:rsidRDefault="00BF1C20" w:rsidP="00BF1C20">
            <w:pPr>
              <w:spacing w:after="0" w:line="240" w:lineRule="auto"/>
              <w:jc w:val="center"/>
              <w:rPr>
                <w:rFonts w:ascii="Times New Roman" w:eastAsia="Times New Roman" w:hAnsi="Times New Roman"/>
                <w:color w:val="000000"/>
                <w:lang w:eastAsia="uk-UA"/>
              </w:rPr>
            </w:pPr>
            <w:r w:rsidRPr="00383D5C">
              <w:rPr>
                <w:rFonts w:ascii="Times New Roman" w:eastAsia="Times New Roman" w:hAnsi="Times New Roman"/>
                <w:color w:val="000000"/>
                <w:lang w:eastAsia="uk-UA"/>
              </w:rPr>
              <w:t>1,247</w:t>
            </w:r>
          </w:p>
        </w:tc>
      </w:tr>
      <w:tr w:rsidR="00BF1C20"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1,123</w:t>
            </w:r>
          </w:p>
        </w:tc>
        <w:tc>
          <w:tcPr>
            <w:tcW w:w="2268"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1,121</w:t>
            </w:r>
          </w:p>
        </w:tc>
        <w:tc>
          <w:tcPr>
            <w:tcW w:w="2551" w:type="dxa"/>
            <w:tcBorders>
              <w:top w:val="nil"/>
              <w:left w:val="nil"/>
              <w:bottom w:val="single" w:sz="4" w:space="0" w:color="auto"/>
              <w:right w:val="single" w:sz="4" w:space="0" w:color="auto"/>
            </w:tcBorders>
            <w:shd w:val="clear" w:color="auto" w:fill="auto"/>
            <w:noWrap/>
            <w:vAlign w:val="center"/>
            <w:hideMark/>
          </w:tcPr>
          <w:p w:rsidR="00BF1C20" w:rsidRPr="00383D5C" w:rsidRDefault="00BF1C20" w:rsidP="00BF1C20">
            <w:pPr>
              <w:spacing w:after="0" w:line="240" w:lineRule="auto"/>
              <w:jc w:val="center"/>
              <w:rPr>
                <w:rFonts w:ascii="Times New Roman" w:eastAsia="Times New Roman" w:hAnsi="Times New Roman"/>
                <w:color w:val="000000"/>
                <w:lang w:eastAsia="uk-UA"/>
              </w:rPr>
            </w:pPr>
            <w:r w:rsidRPr="00383D5C">
              <w:rPr>
                <w:rFonts w:ascii="Times New Roman" w:eastAsia="Times New Roman" w:hAnsi="Times New Roman"/>
                <w:color w:val="000000"/>
                <w:lang w:eastAsia="uk-UA"/>
              </w:rPr>
              <w:t>1,119</w:t>
            </w:r>
          </w:p>
        </w:tc>
      </w:tr>
      <w:tr w:rsidR="00BF1C20"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1,301</w:t>
            </w:r>
          </w:p>
        </w:tc>
        <w:tc>
          <w:tcPr>
            <w:tcW w:w="2268" w:type="dxa"/>
            <w:tcBorders>
              <w:top w:val="nil"/>
              <w:left w:val="nil"/>
              <w:bottom w:val="single" w:sz="4" w:space="0" w:color="auto"/>
              <w:right w:val="single" w:sz="4" w:space="0" w:color="auto"/>
            </w:tcBorders>
            <w:shd w:val="clear" w:color="auto" w:fill="auto"/>
            <w:noWrap/>
            <w:vAlign w:val="center"/>
            <w:hideMark/>
          </w:tcPr>
          <w:p w:rsidR="00BF1C20" w:rsidRPr="00BF1C20" w:rsidRDefault="00BF1C20" w:rsidP="00BF1C20">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1,337</w:t>
            </w:r>
          </w:p>
        </w:tc>
        <w:tc>
          <w:tcPr>
            <w:tcW w:w="2551" w:type="dxa"/>
            <w:tcBorders>
              <w:top w:val="nil"/>
              <w:left w:val="nil"/>
              <w:bottom w:val="single" w:sz="4" w:space="0" w:color="auto"/>
              <w:right w:val="single" w:sz="4" w:space="0" w:color="auto"/>
            </w:tcBorders>
            <w:shd w:val="clear" w:color="auto" w:fill="auto"/>
            <w:noWrap/>
            <w:vAlign w:val="center"/>
            <w:hideMark/>
          </w:tcPr>
          <w:p w:rsidR="00BF1C20" w:rsidRPr="00383D5C" w:rsidRDefault="00BF1C20" w:rsidP="00BF1C20">
            <w:pPr>
              <w:spacing w:after="0" w:line="240" w:lineRule="auto"/>
              <w:jc w:val="center"/>
              <w:rPr>
                <w:rFonts w:ascii="Times New Roman" w:eastAsia="Times New Roman" w:hAnsi="Times New Roman"/>
                <w:color w:val="000000"/>
                <w:lang w:eastAsia="uk-UA"/>
              </w:rPr>
            </w:pPr>
            <w:r w:rsidRPr="00383D5C">
              <w:rPr>
                <w:rFonts w:ascii="Times New Roman" w:eastAsia="Times New Roman" w:hAnsi="Times New Roman"/>
                <w:color w:val="000000"/>
                <w:lang w:eastAsia="uk-UA"/>
              </w:rPr>
              <w:t>1,375</w:t>
            </w:r>
          </w:p>
        </w:tc>
      </w:tr>
    </w:tbl>
    <w:p w:rsidR="00F56E4F" w:rsidRDefault="00427DDA" w:rsidP="00D74D37">
      <w:pPr>
        <w:spacing w:before="120" w:after="0" w:line="360" w:lineRule="auto"/>
        <w:ind w:firstLine="709"/>
        <w:jc w:val="both"/>
        <w:rPr>
          <w:rFonts w:ascii="Times New Roman" w:hAnsi="Times New Roman"/>
          <w:sz w:val="28"/>
          <w:szCs w:val="28"/>
        </w:rPr>
      </w:pPr>
      <w:r>
        <w:rPr>
          <w:rFonts w:ascii="Times New Roman" w:hAnsi="Times New Roman"/>
          <w:sz w:val="28"/>
          <w:szCs w:val="28"/>
        </w:rPr>
        <w:t>П</w:t>
      </w:r>
      <w:r w:rsidR="00F56E4F">
        <w:rPr>
          <w:rFonts w:ascii="Times New Roman" w:hAnsi="Times New Roman"/>
          <w:sz w:val="28"/>
          <w:szCs w:val="28"/>
        </w:rPr>
        <w:t>рогнозування</w:t>
      </w:r>
      <w:r>
        <w:rPr>
          <w:rFonts w:ascii="Times New Roman" w:hAnsi="Times New Roman"/>
          <w:sz w:val="28"/>
          <w:szCs w:val="28"/>
        </w:rPr>
        <w:t>м</w:t>
      </w:r>
      <w:r w:rsidR="00F56E4F">
        <w:rPr>
          <w:rFonts w:ascii="Times New Roman" w:hAnsi="Times New Roman"/>
          <w:sz w:val="28"/>
          <w:szCs w:val="28"/>
        </w:rPr>
        <w:t xml:space="preserve"> встановлено, що коефіцієнт загальної ліквідності може як знизитися</w:t>
      </w:r>
      <w:r w:rsidR="003676D0">
        <w:rPr>
          <w:rFonts w:ascii="Times New Roman" w:hAnsi="Times New Roman"/>
          <w:sz w:val="28"/>
          <w:szCs w:val="28"/>
        </w:rPr>
        <w:t>,</w:t>
      </w:r>
      <w:r w:rsidR="00F56E4F">
        <w:rPr>
          <w:rFonts w:ascii="Times New Roman" w:hAnsi="Times New Roman"/>
          <w:sz w:val="28"/>
          <w:szCs w:val="28"/>
        </w:rPr>
        <w:t xml:space="preserve"> так і зрости. Зниження коефіцієнту може відбутися за рахунок зміни інвестицій в цінні папери та ін</w:t>
      </w:r>
      <w:r w:rsidR="00672309">
        <w:rPr>
          <w:rFonts w:ascii="Times New Roman" w:hAnsi="Times New Roman"/>
          <w:sz w:val="28"/>
          <w:szCs w:val="28"/>
        </w:rPr>
        <w:t>ших зобов’язань мінімально до 111,9 %. Збільшення коефіцієнту загальної ліквідності може відбутися за рахунок інших зобов’язань максимум до 137,5 %. Акцентуємо, що прогнозовані зміни не виходять за межі оптимальних значень коефіцієнта загальної ліквідності, а тому не загрожують зміні ліквідності Банку.</w:t>
      </w:r>
      <w:r w:rsidR="00F56E4F">
        <w:rPr>
          <w:rFonts w:ascii="Times New Roman" w:hAnsi="Times New Roman"/>
          <w:sz w:val="28"/>
          <w:szCs w:val="28"/>
        </w:rPr>
        <w:t xml:space="preserve"> </w:t>
      </w:r>
    </w:p>
    <w:p w:rsidR="00F56E4F" w:rsidRDefault="001272A6" w:rsidP="00383D5C">
      <w:pPr>
        <w:spacing w:after="0" w:line="360" w:lineRule="auto"/>
        <w:ind w:firstLine="709"/>
        <w:jc w:val="right"/>
        <w:rPr>
          <w:rFonts w:ascii="Times New Roman" w:hAnsi="Times New Roman"/>
          <w:sz w:val="28"/>
          <w:szCs w:val="28"/>
        </w:rPr>
      </w:pPr>
      <w:r>
        <w:rPr>
          <w:rFonts w:ascii="Times New Roman" w:hAnsi="Times New Roman"/>
          <w:sz w:val="28"/>
          <w:szCs w:val="28"/>
        </w:rPr>
        <w:t>Таблиця 3.9</w:t>
      </w:r>
    </w:p>
    <w:p w:rsidR="00383D5C" w:rsidRDefault="00383D5C" w:rsidP="00383D5C">
      <w:pPr>
        <w:spacing w:after="0" w:line="360" w:lineRule="auto"/>
        <w:ind w:firstLine="709"/>
        <w:jc w:val="center"/>
        <w:rPr>
          <w:rFonts w:ascii="Times New Roman" w:hAnsi="Times New Roman"/>
          <w:sz w:val="28"/>
          <w:szCs w:val="28"/>
        </w:rPr>
      </w:pPr>
      <w:r>
        <w:rPr>
          <w:rFonts w:ascii="Times New Roman" w:hAnsi="Times New Roman"/>
          <w:sz w:val="28"/>
          <w:szCs w:val="28"/>
        </w:rPr>
        <w:t>Результати прогнозування для ко</w:t>
      </w:r>
      <w:r w:rsidRPr="00383D5C">
        <w:rPr>
          <w:rFonts w:ascii="Times New Roman" w:hAnsi="Times New Roman"/>
          <w:sz w:val="28"/>
          <w:szCs w:val="28"/>
        </w:rPr>
        <w:t>ефіцієнту генеральної ліквідності зобов’язань</w:t>
      </w:r>
      <w:r>
        <w:rPr>
          <w:rFonts w:ascii="Times New Roman" w:hAnsi="Times New Roman"/>
          <w:sz w:val="28"/>
          <w:szCs w:val="28"/>
        </w:rPr>
        <w:t xml:space="preserve"> АТ «Ідея Банк» на 2022-20244 </w:t>
      </w:r>
      <w:r w:rsidR="001272A6">
        <w:rPr>
          <w:rFonts w:ascii="Times New Roman" w:hAnsi="Times New Roman"/>
          <w:sz w:val="28"/>
          <w:szCs w:val="28"/>
        </w:rPr>
        <w:t>роки</w:t>
      </w:r>
    </w:p>
    <w:tbl>
      <w:tblPr>
        <w:tblW w:w="9634" w:type="dxa"/>
        <w:tblLook w:val="04A0" w:firstRow="1" w:lastRow="0" w:firstColumn="1" w:lastColumn="0" w:noHBand="0" w:noVBand="1"/>
      </w:tblPr>
      <w:tblGrid>
        <w:gridCol w:w="2122"/>
        <w:gridCol w:w="2693"/>
        <w:gridCol w:w="2268"/>
        <w:gridCol w:w="2551"/>
      </w:tblGrid>
      <w:tr w:rsidR="00F56E4F" w:rsidRPr="00BF1C20" w:rsidTr="00F56E4F">
        <w:trPr>
          <w:trHeight w:val="288"/>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D5C" w:rsidRPr="00BF1C20" w:rsidRDefault="00F56E4F" w:rsidP="00383D5C">
            <w:pPr>
              <w:spacing w:after="0" w:line="240" w:lineRule="auto"/>
              <w:jc w:val="center"/>
              <w:rPr>
                <w:rFonts w:ascii="Times New Roman" w:eastAsia="Times New Roman" w:hAnsi="Times New Roman"/>
                <w:b/>
                <w:bCs/>
                <w:color w:val="000000"/>
                <w:lang w:eastAsia="uk-UA"/>
              </w:rPr>
            </w:pPr>
            <w:r w:rsidRPr="00BF1C20">
              <w:rPr>
                <w:rFonts w:ascii="Times New Roman" w:eastAsia="Times New Roman" w:hAnsi="Times New Roman"/>
                <w:b/>
                <w:bCs/>
                <w:color w:val="000000"/>
                <w:lang w:eastAsia="uk-UA"/>
              </w:rPr>
              <w:t>Показники</w:t>
            </w:r>
          </w:p>
        </w:tc>
        <w:tc>
          <w:tcPr>
            <w:tcW w:w="7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b/>
                <w:bCs/>
                <w:color w:val="000000"/>
                <w:lang w:eastAsia="uk-UA"/>
              </w:rPr>
            </w:pPr>
            <w:r w:rsidRPr="00BF1C20">
              <w:rPr>
                <w:rFonts w:ascii="Times New Roman" w:eastAsia="Times New Roman" w:hAnsi="Times New Roman"/>
                <w:b/>
                <w:bCs/>
                <w:color w:val="000000"/>
                <w:lang w:eastAsia="uk-UA"/>
              </w:rPr>
              <w:t xml:space="preserve">Значення </w:t>
            </w:r>
          </w:p>
        </w:tc>
      </w:tr>
      <w:tr w:rsidR="00F56E4F" w:rsidRPr="00BF1C20" w:rsidTr="00F56E4F">
        <w:trPr>
          <w:trHeight w:val="288"/>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F56E4F" w:rsidRPr="00BF1C20" w:rsidRDefault="00F56E4F" w:rsidP="00F56E4F">
            <w:pPr>
              <w:spacing w:after="0" w:line="240" w:lineRule="auto"/>
              <w:rPr>
                <w:rFonts w:ascii="Times New Roman" w:eastAsia="Times New Roman" w:hAnsi="Times New Roman"/>
                <w:b/>
                <w:bCs/>
                <w:color w:val="000000"/>
                <w:lang w:eastAsia="uk-UA"/>
              </w:rPr>
            </w:pP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383D5C" w:rsidRDefault="00F56E4F" w:rsidP="00F56E4F">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2022</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383D5C" w:rsidRDefault="00F56E4F" w:rsidP="00F56E4F">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2023</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383D5C" w:rsidRDefault="00F56E4F" w:rsidP="00F56E4F">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2024</w:t>
            </w:r>
          </w:p>
        </w:tc>
      </w:tr>
      <w:tr w:rsidR="00F56E4F" w:rsidRPr="00BF1C20" w:rsidTr="00F56E4F">
        <w:trPr>
          <w:trHeight w:val="247"/>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56E4F" w:rsidRPr="00BF1C20" w:rsidRDefault="00F56E4F" w:rsidP="00F56E4F">
            <w:pPr>
              <w:spacing w:after="0" w:line="240" w:lineRule="auto"/>
              <w:jc w:val="center"/>
              <w:rPr>
                <w:rFonts w:ascii="Times New Roman" w:eastAsia="Times New Roman" w:hAnsi="Times New Roman"/>
                <w:i/>
                <w:iCs/>
                <w:color w:val="000000"/>
                <w:lang w:eastAsia="uk-UA"/>
              </w:rPr>
            </w:pPr>
            <w:r w:rsidRPr="00BF1C20">
              <w:rPr>
                <w:rFonts w:ascii="Times New Roman" w:eastAsia="Times New Roman" w:hAnsi="Times New Roman"/>
                <w:i/>
                <w:iCs/>
                <w:color w:val="000000"/>
                <w:lang w:eastAsia="uk-UA"/>
              </w:rPr>
              <w:t>Коефіцієнт генеральної ліквідності зобов’язань (y</w:t>
            </w:r>
            <w:r w:rsidRPr="00BF1C20">
              <w:rPr>
                <w:rFonts w:ascii="Times New Roman" w:eastAsia="Times New Roman" w:hAnsi="Times New Roman"/>
                <w:i/>
                <w:iCs/>
                <w:color w:val="000000"/>
                <w:vertAlign w:val="subscript"/>
                <w:lang w:eastAsia="uk-UA"/>
              </w:rPr>
              <w:t>2</w:t>
            </w:r>
            <w:r w:rsidRPr="00BF1C20">
              <w:rPr>
                <w:rFonts w:ascii="Times New Roman" w:eastAsia="Times New Roman" w:hAnsi="Times New Roman"/>
                <w:i/>
                <w:iCs/>
                <w:color w:val="000000"/>
                <w:lang w:eastAsia="uk-UA"/>
              </w:rPr>
              <w:t>)</w:t>
            </w:r>
          </w:p>
        </w:tc>
      </w:tr>
      <w:tr w:rsidR="00F56E4F" w:rsidRPr="00BF1C20" w:rsidTr="00F56E4F">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Х</w:t>
            </w:r>
            <w:r w:rsidRPr="00BF1C20">
              <w:rPr>
                <w:rFonts w:ascii="Times New Roman" w:eastAsia="Times New Roman" w:hAnsi="Times New Roman"/>
                <w:color w:val="000000"/>
                <w:vertAlign w:val="subscript"/>
                <w:lang w:eastAsia="uk-UA"/>
              </w:rPr>
              <w:t>1</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Прогноз</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0,180</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0,185</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0,190</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0,138</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0,146</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0,155</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0,222</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0,223</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0,225</w:t>
            </w:r>
          </w:p>
        </w:tc>
      </w:tr>
    </w:tbl>
    <w:p w:rsidR="00F56E4F" w:rsidRDefault="00383D5C" w:rsidP="00392457">
      <w:pPr>
        <w:spacing w:before="240" w:after="0" w:line="360" w:lineRule="auto"/>
        <w:ind w:firstLine="709"/>
        <w:jc w:val="right"/>
        <w:rPr>
          <w:rFonts w:ascii="Times New Roman" w:hAnsi="Times New Roman"/>
          <w:sz w:val="28"/>
          <w:szCs w:val="28"/>
        </w:rPr>
      </w:pPr>
      <w:r>
        <w:rPr>
          <w:rFonts w:ascii="Times New Roman" w:hAnsi="Times New Roman"/>
          <w:sz w:val="28"/>
          <w:szCs w:val="28"/>
        </w:rPr>
        <w:lastRenderedPageBreak/>
        <w:t>Продовження т</w:t>
      </w:r>
      <w:r w:rsidR="001272A6">
        <w:rPr>
          <w:rFonts w:ascii="Times New Roman" w:hAnsi="Times New Roman"/>
          <w:sz w:val="28"/>
          <w:szCs w:val="28"/>
        </w:rPr>
        <w:t>аблиці 3.9</w:t>
      </w:r>
    </w:p>
    <w:tbl>
      <w:tblPr>
        <w:tblW w:w="9634" w:type="dxa"/>
        <w:tblLook w:val="04A0" w:firstRow="1" w:lastRow="0" w:firstColumn="1" w:lastColumn="0" w:noHBand="0" w:noVBand="1"/>
      </w:tblPr>
      <w:tblGrid>
        <w:gridCol w:w="2122"/>
        <w:gridCol w:w="2693"/>
        <w:gridCol w:w="2268"/>
        <w:gridCol w:w="2551"/>
      </w:tblGrid>
      <w:tr w:rsidR="00383D5C" w:rsidRPr="00BF1C20" w:rsidTr="00CD7402">
        <w:trPr>
          <w:trHeight w:val="288"/>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b/>
                <w:bCs/>
                <w:color w:val="000000"/>
                <w:lang w:eastAsia="uk-UA"/>
              </w:rPr>
            </w:pPr>
            <w:r w:rsidRPr="00BF1C20">
              <w:rPr>
                <w:rFonts w:ascii="Times New Roman" w:eastAsia="Times New Roman" w:hAnsi="Times New Roman"/>
                <w:b/>
                <w:bCs/>
                <w:color w:val="000000"/>
                <w:lang w:eastAsia="uk-UA"/>
              </w:rPr>
              <w:t>Показники</w:t>
            </w:r>
          </w:p>
        </w:tc>
        <w:tc>
          <w:tcPr>
            <w:tcW w:w="7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b/>
                <w:bCs/>
                <w:color w:val="000000"/>
                <w:lang w:eastAsia="uk-UA"/>
              </w:rPr>
            </w:pPr>
            <w:r w:rsidRPr="00BF1C20">
              <w:rPr>
                <w:rFonts w:ascii="Times New Roman" w:eastAsia="Times New Roman" w:hAnsi="Times New Roman"/>
                <w:b/>
                <w:bCs/>
                <w:color w:val="000000"/>
                <w:lang w:eastAsia="uk-UA"/>
              </w:rPr>
              <w:t xml:space="preserve">Значення </w:t>
            </w:r>
          </w:p>
        </w:tc>
      </w:tr>
      <w:tr w:rsidR="00383D5C" w:rsidRPr="00BF1C20" w:rsidTr="00CD7402">
        <w:trPr>
          <w:trHeight w:val="288"/>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383D5C" w:rsidRPr="00BF1C20" w:rsidRDefault="00383D5C" w:rsidP="00CD7402">
            <w:pPr>
              <w:spacing w:after="0" w:line="240" w:lineRule="auto"/>
              <w:rPr>
                <w:rFonts w:ascii="Times New Roman" w:eastAsia="Times New Roman" w:hAnsi="Times New Roman"/>
                <w:b/>
                <w:bCs/>
                <w:color w:val="000000"/>
                <w:lang w:eastAsia="uk-UA"/>
              </w:rPr>
            </w:pP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383D5C" w:rsidRDefault="00383D5C" w:rsidP="00CD7402">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2022</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383D5C" w:rsidRDefault="00383D5C" w:rsidP="00CD7402">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2023</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383D5C" w:rsidRDefault="00383D5C" w:rsidP="00CD7402">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2024</w:t>
            </w:r>
          </w:p>
        </w:tc>
      </w:tr>
      <w:tr w:rsidR="00383D5C" w:rsidRPr="00BF1C20" w:rsidTr="00CD7402">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Х</w:t>
            </w:r>
            <w:r w:rsidRPr="00BF1C20">
              <w:rPr>
                <w:rFonts w:ascii="Times New Roman" w:eastAsia="Times New Roman" w:hAnsi="Times New Roman"/>
                <w:color w:val="000000"/>
                <w:vertAlign w:val="subscript"/>
                <w:lang w:eastAsia="uk-UA"/>
              </w:rPr>
              <w:t>3</w:t>
            </w:r>
          </w:p>
        </w:tc>
      </w:tr>
      <w:tr w:rsidR="00383D5C" w:rsidRPr="00BF1C20" w:rsidTr="00CD7402">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Прогноз</w:t>
            </w: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0,176</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0,244</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0,199</w:t>
            </w:r>
          </w:p>
        </w:tc>
      </w:tr>
      <w:tr w:rsidR="00383D5C" w:rsidRPr="00BF1C20" w:rsidTr="00CD7402">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0,134</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0,134</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0,134</w:t>
            </w:r>
          </w:p>
        </w:tc>
      </w:tr>
      <w:tr w:rsidR="00383D5C" w:rsidRPr="00BF1C20" w:rsidTr="00CD7402">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0,218</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0,355</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0,265</w:t>
            </w:r>
          </w:p>
        </w:tc>
      </w:tr>
      <w:tr w:rsidR="00383D5C" w:rsidRPr="00BF1C20" w:rsidTr="00CD7402">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Х</w:t>
            </w:r>
            <w:r w:rsidRPr="002A1791">
              <w:rPr>
                <w:rFonts w:ascii="Times New Roman" w:eastAsia="Times New Roman" w:hAnsi="Times New Roman"/>
                <w:color w:val="000000"/>
                <w:vertAlign w:val="subscript"/>
                <w:lang w:eastAsia="uk-UA"/>
              </w:rPr>
              <w:t>4</w:t>
            </w:r>
          </w:p>
        </w:tc>
      </w:tr>
      <w:tr w:rsidR="00383D5C" w:rsidRPr="00BF1C20" w:rsidTr="00CD7402">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Прогноз</w:t>
            </w: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0,193</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0,208</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0,224</w:t>
            </w:r>
          </w:p>
        </w:tc>
      </w:tr>
      <w:tr w:rsidR="00383D5C" w:rsidRPr="00BF1C20" w:rsidTr="00CD7402">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0,159</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0,165</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0,171</w:t>
            </w:r>
          </w:p>
        </w:tc>
      </w:tr>
      <w:tr w:rsidR="00383D5C" w:rsidRPr="00BF1C20" w:rsidTr="00CD7402">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0,226</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0,251</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2A1791" w:rsidRDefault="00383D5C" w:rsidP="00CD7402">
            <w:pPr>
              <w:spacing w:after="0" w:line="240" w:lineRule="auto"/>
              <w:jc w:val="center"/>
              <w:rPr>
                <w:rFonts w:ascii="Times New Roman" w:eastAsia="Times New Roman" w:hAnsi="Times New Roman"/>
                <w:color w:val="000000"/>
                <w:lang w:eastAsia="uk-UA"/>
              </w:rPr>
            </w:pPr>
            <w:r w:rsidRPr="002A1791">
              <w:rPr>
                <w:rFonts w:ascii="Times New Roman" w:eastAsia="Times New Roman" w:hAnsi="Times New Roman"/>
                <w:color w:val="000000"/>
                <w:lang w:eastAsia="uk-UA"/>
              </w:rPr>
              <w:t>0,278</w:t>
            </w:r>
          </w:p>
        </w:tc>
      </w:tr>
    </w:tbl>
    <w:p w:rsidR="00D74D37" w:rsidRDefault="00D74D37" w:rsidP="00D74D37">
      <w:pPr>
        <w:spacing w:before="240" w:after="0" w:line="360" w:lineRule="auto"/>
        <w:ind w:firstLine="709"/>
        <w:jc w:val="both"/>
        <w:rPr>
          <w:rFonts w:ascii="Times New Roman" w:hAnsi="Times New Roman"/>
          <w:sz w:val="28"/>
          <w:szCs w:val="28"/>
        </w:rPr>
      </w:pPr>
      <w:r>
        <w:rPr>
          <w:rFonts w:ascii="Times New Roman" w:hAnsi="Times New Roman"/>
          <w:sz w:val="28"/>
          <w:szCs w:val="28"/>
        </w:rPr>
        <w:t xml:space="preserve">За результатами прогнозування встановлено, що в межах </w:t>
      </w:r>
      <w:r w:rsidR="00427DDA">
        <w:rPr>
          <w:rFonts w:ascii="Times New Roman" w:hAnsi="Times New Roman"/>
          <w:sz w:val="28"/>
          <w:szCs w:val="28"/>
        </w:rPr>
        <w:t xml:space="preserve">зазначеного </w:t>
      </w:r>
      <w:r>
        <w:rPr>
          <w:rFonts w:ascii="Times New Roman" w:hAnsi="Times New Roman"/>
          <w:sz w:val="28"/>
          <w:szCs w:val="28"/>
        </w:rPr>
        <w:t>періоду к</w:t>
      </w:r>
      <w:r w:rsidRPr="00D74D37">
        <w:rPr>
          <w:rFonts w:ascii="Times New Roman" w:hAnsi="Times New Roman"/>
          <w:sz w:val="28"/>
          <w:szCs w:val="28"/>
        </w:rPr>
        <w:t xml:space="preserve">оефіцієнт генеральної ліквідності зобов’язань </w:t>
      </w:r>
      <w:r>
        <w:rPr>
          <w:rFonts w:ascii="Times New Roman" w:hAnsi="Times New Roman"/>
          <w:sz w:val="28"/>
          <w:szCs w:val="28"/>
        </w:rPr>
        <w:t>може як знизитися так і зрости. Зниження коефіцієнту може відбутися за рахунок зміни інвестицій в цінні папери мінімально до 13,4 %. Збільшення к</w:t>
      </w:r>
      <w:r w:rsidRPr="00D74D37">
        <w:rPr>
          <w:rFonts w:ascii="Times New Roman" w:hAnsi="Times New Roman"/>
          <w:sz w:val="28"/>
          <w:szCs w:val="28"/>
        </w:rPr>
        <w:t xml:space="preserve">оефіцієнт генеральної ліквідності зобов’язань </w:t>
      </w:r>
      <w:r>
        <w:rPr>
          <w:rFonts w:ascii="Times New Roman" w:hAnsi="Times New Roman"/>
          <w:sz w:val="28"/>
          <w:szCs w:val="28"/>
        </w:rPr>
        <w:t xml:space="preserve">може відбутися за рахунок основних засобів та нематеріальних активів максимум до 27,8 %. Акцентуємо, що зазначені показники є критичними, а тому Банку необхідно застосувати міри управлінського характеру щодо покращення ситуації. </w:t>
      </w:r>
    </w:p>
    <w:p w:rsidR="00D44194" w:rsidRDefault="001272A6" w:rsidP="00D44194">
      <w:pPr>
        <w:spacing w:after="0" w:line="360" w:lineRule="auto"/>
        <w:ind w:firstLine="709"/>
        <w:jc w:val="right"/>
        <w:rPr>
          <w:rFonts w:ascii="Times New Roman" w:hAnsi="Times New Roman"/>
          <w:sz w:val="28"/>
          <w:szCs w:val="28"/>
        </w:rPr>
      </w:pPr>
      <w:r>
        <w:rPr>
          <w:rFonts w:ascii="Times New Roman" w:hAnsi="Times New Roman"/>
          <w:sz w:val="28"/>
          <w:szCs w:val="28"/>
        </w:rPr>
        <w:t>Таблиця 3.10</w:t>
      </w:r>
    </w:p>
    <w:p w:rsidR="00D44194" w:rsidRDefault="00D44194" w:rsidP="00D44194">
      <w:pPr>
        <w:spacing w:after="0" w:line="360" w:lineRule="auto"/>
        <w:ind w:firstLine="709"/>
        <w:jc w:val="center"/>
        <w:rPr>
          <w:rFonts w:ascii="Times New Roman" w:hAnsi="Times New Roman"/>
          <w:sz w:val="28"/>
          <w:szCs w:val="28"/>
        </w:rPr>
      </w:pPr>
      <w:r>
        <w:rPr>
          <w:rFonts w:ascii="Times New Roman" w:hAnsi="Times New Roman"/>
          <w:sz w:val="28"/>
          <w:szCs w:val="28"/>
        </w:rPr>
        <w:t>Результати прогнозування для ко</w:t>
      </w:r>
      <w:r w:rsidRPr="00383D5C">
        <w:rPr>
          <w:rFonts w:ascii="Times New Roman" w:hAnsi="Times New Roman"/>
          <w:sz w:val="28"/>
          <w:szCs w:val="28"/>
        </w:rPr>
        <w:t xml:space="preserve">ефіцієнту </w:t>
      </w:r>
      <w:r>
        <w:rPr>
          <w:rFonts w:ascii="Times New Roman" w:hAnsi="Times New Roman"/>
          <w:sz w:val="28"/>
          <w:szCs w:val="28"/>
        </w:rPr>
        <w:t xml:space="preserve">співвідношення </w:t>
      </w:r>
      <w:r w:rsidRPr="00D44194">
        <w:rPr>
          <w:rFonts w:ascii="Times New Roman" w:hAnsi="Times New Roman"/>
          <w:sz w:val="28"/>
          <w:szCs w:val="28"/>
        </w:rPr>
        <w:t xml:space="preserve">високоліквідних активів до робочих активів банку </w:t>
      </w:r>
      <w:r>
        <w:rPr>
          <w:rFonts w:ascii="Times New Roman" w:hAnsi="Times New Roman"/>
          <w:sz w:val="28"/>
          <w:szCs w:val="28"/>
        </w:rPr>
        <w:t>АТ «Ідея Банк»</w:t>
      </w:r>
    </w:p>
    <w:p w:rsidR="00D44194" w:rsidRDefault="00D44194" w:rsidP="00D44194">
      <w:pPr>
        <w:spacing w:after="0" w:line="360" w:lineRule="auto"/>
        <w:ind w:firstLine="709"/>
        <w:jc w:val="center"/>
        <w:rPr>
          <w:rFonts w:ascii="Times New Roman" w:hAnsi="Times New Roman"/>
          <w:sz w:val="28"/>
          <w:szCs w:val="28"/>
        </w:rPr>
      </w:pPr>
      <w:r>
        <w:rPr>
          <w:rFonts w:ascii="Times New Roman" w:hAnsi="Times New Roman"/>
          <w:sz w:val="28"/>
          <w:szCs w:val="28"/>
        </w:rPr>
        <w:t xml:space="preserve"> на 2022-20244 </w:t>
      </w:r>
      <w:r w:rsidR="001272A6">
        <w:rPr>
          <w:rFonts w:ascii="Times New Roman" w:hAnsi="Times New Roman"/>
          <w:sz w:val="28"/>
          <w:szCs w:val="28"/>
        </w:rPr>
        <w:t>роки</w:t>
      </w:r>
    </w:p>
    <w:tbl>
      <w:tblPr>
        <w:tblW w:w="9634" w:type="dxa"/>
        <w:tblLook w:val="04A0" w:firstRow="1" w:lastRow="0" w:firstColumn="1" w:lastColumn="0" w:noHBand="0" w:noVBand="1"/>
      </w:tblPr>
      <w:tblGrid>
        <w:gridCol w:w="2122"/>
        <w:gridCol w:w="2693"/>
        <w:gridCol w:w="2268"/>
        <w:gridCol w:w="2551"/>
      </w:tblGrid>
      <w:tr w:rsidR="00383D5C" w:rsidRPr="00BF1C20" w:rsidTr="00CD7402">
        <w:trPr>
          <w:trHeight w:val="288"/>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b/>
                <w:bCs/>
                <w:color w:val="000000"/>
                <w:lang w:eastAsia="uk-UA"/>
              </w:rPr>
            </w:pPr>
            <w:r w:rsidRPr="00BF1C20">
              <w:rPr>
                <w:rFonts w:ascii="Times New Roman" w:eastAsia="Times New Roman" w:hAnsi="Times New Roman"/>
                <w:b/>
                <w:bCs/>
                <w:color w:val="000000"/>
                <w:lang w:eastAsia="uk-UA"/>
              </w:rPr>
              <w:t>Показники</w:t>
            </w:r>
          </w:p>
        </w:tc>
        <w:tc>
          <w:tcPr>
            <w:tcW w:w="7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b/>
                <w:bCs/>
                <w:color w:val="000000"/>
                <w:lang w:eastAsia="uk-UA"/>
              </w:rPr>
            </w:pPr>
            <w:r w:rsidRPr="00BF1C20">
              <w:rPr>
                <w:rFonts w:ascii="Times New Roman" w:eastAsia="Times New Roman" w:hAnsi="Times New Roman"/>
                <w:b/>
                <w:bCs/>
                <w:color w:val="000000"/>
                <w:lang w:eastAsia="uk-UA"/>
              </w:rPr>
              <w:t xml:space="preserve">Значення </w:t>
            </w:r>
          </w:p>
        </w:tc>
      </w:tr>
      <w:tr w:rsidR="00383D5C" w:rsidRPr="00BF1C20" w:rsidTr="00CD7402">
        <w:trPr>
          <w:trHeight w:val="288"/>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383D5C" w:rsidRPr="00BF1C20" w:rsidRDefault="00383D5C" w:rsidP="00CD7402">
            <w:pPr>
              <w:spacing w:after="0" w:line="240" w:lineRule="auto"/>
              <w:rPr>
                <w:rFonts w:ascii="Times New Roman" w:eastAsia="Times New Roman" w:hAnsi="Times New Roman"/>
                <w:b/>
                <w:bCs/>
                <w:color w:val="000000"/>
                <w:lang w:eastAsia="uk-UA"/>
              </w:rPr>
            </w:pP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383D5C" w:rsidRDefault="00383D5C" w:rsidP="00CD7402">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2022</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383D5C" w:rsidRDefault="00383D5C" w:rsidP="00CD7402">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2023</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383D5C" w:rsidRDefault="00383D5C" w:rsidP="00CD7402">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2024</w:t>
            </w:r>
          </w:p>
        </w:tc>
      </w:tr>
      <w:tr w:rsidR="00383D5C" w:rsidRPr="00BF1C20" w:rsidTr="00CD7402">
        <w:trPr>
          <w:trHeight w:val="231"/>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3D5C" w:rsidRPr="00BF1C20" w:rsidRDefault="00383D5C" w:rsidP="00CD7402">
            <w:pPr>
              <w:spacing w:after="0" w:line="240" w:lineRule="auto"/>
              <w:jc w:val="center"/>
              <w:rPr>
                <w:rFonts w:ascii="Times New Roman" w:eastAsia="Times New Roman" w:hAnsi="Times New Roman"/>
                <w:i/>
                <w:iCs/>
                <w:color w:val="000000"/>
                <w:lang w:eastAsia="uk-UA"/>
              </w:rPr>
            </w:pPr>
            <w:r>
              <w:rPr>
                <w:rFonts w:ascii="Times New Roman" w:eastAsia="Times New Roman" w:hAnsi="Times New Roman"/>
                <w:i/>
                <w:iCs/>
                <w:color w:val="000000"/>
                <w:lang w:eastAsia="uk-UA"/>
              </w:rPr>
              <w:t xml:space="preserve">Коефіцієнт співвідношення </w:t>
            </w:r>
            <w:r w:rsidRPr="00BF1C20">
              <w:rPr>
                <w:rFonts w:ascii="Times New Roman" w:eastAsia="Times New Roman" w:hAnsi="Times New Roman"/>
                <w:i/>
                <w:iCs/>
                <w:color w:val="000000"/>
                <w:lang w:eastAsia="uk-UA"/>
              </w:rPr>
              <w:t>високоліквідних активів до робочих активів банку (у</w:t>
            </w:r>
            <w:r w:rsidRPr="00BF1C20">
              <w:rPr>
                <w:rFonts w:ascii="Times New Roman" w:eastAsia="Times New Roman" w:hAnsi="Times New Roman"/>
                <w:i/>
                <w:iCs/>
                <w:color w:val="000000"/>
                <w:vertAlign w:val="subscript"/>
                <w:lang w:eastAsia="uk-UA"/>
              </w:rPr>
              <w:t>3</w:t>
            </w:r>
            <w:r w:rsidRPr="00BF1C20">
              <w:rPr>
                <w:rFonts w:ascii="Times New Roman" w:eastAsia="Times New Roman" w:hAnsi="Times New Roman"/>
                <w:i/>
                <w:iCs/>
                <w:color w:val="000000"/>
                <w:lang w:eastAsia="uk-UA"/>
              </w:rPr>
              <w:t>)</w:t>
            </w:r>
          </w:p>
        </w:tc>
      </w:tr>
      <w:tr w:rsidR="00383D5C" w:rsidRPr="00BF1C20" w:rsidTr="00CD7402">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Х</w:t>
            </w:r>
            <w:r w:rsidRPr="00BF1C20">
              <w:rPr>
                <w:rFonts w:ascii="Times New Roman" w:eastAsia="Times New Roman" w:hAnsi="Times New Roman"/>
                <w:color w:val="000000"/>
                <w:vertAlign w:val="subscript"/>
                <w:lang w:eastAsia="uk-UA"/>
              </w:rPr>
              <w:t>1</w:t>
            </w:r>
          </w:p>
        </w:tc>
      </w:tr>
      <w:tr w:rsidR="00383D5C" w:rsidRPr="00BF1C20" w:rsidTr="00CD7402">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Прогноз</w:t>
            </w: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0,131</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0,142</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0,155</w:t>
            </w:r>
          </w:p>
        </w:tc>
      </w:tr>
      <w:tr w:rsidR="00383D5C" w:rsidRPr="00BF1C20" w:rsidTr="00CD7402">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0,089</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0,089</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0,088</w:t>
            </w:r>
          </w:p>
        </w:tc>
      </w:tr>
      <w:tr w:rsidR="00383D5C" w:rsidRPr="00BF1C20" w:rsidTr="00CD7402">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0,173</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0,196</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680D4A" w:rsidRDefault="00383D5C" w:rsidP="00CD7402">
            <w:pPr>
              <w:spacing w:after="0" w:line="240" w:lineRule="auto"/>
              <w:jc w:val="center"/>
              <w:rPr>
                <w:rFonts w:ascii="Times New Roman" w:eastAsia="Times New Roman" w:hAnsi="Times New Roman"/>
                <w:color w:val="000000"/>
                <w:lang w:eastAsia="uk-UA"/>
              </w:rPr>
            </w:pPr>
            <w:r w:rsidRPr="00680D4A">
              <w:rPr>
                <w:rFonts w:ascii="Times New Roman" w:eastAsia="Times New Roman" w:hAnsi="Times New Roman"/>
                <w:color w:val="000000"/>
                <w:lang w:eastAsia="uk-UA"/>
              </w:rPr>
              <w:t>0,223</w:t>
            </w:r>
          </w:p>
        </w:tc>
      </w:tr>
      <w:tr w:rsidR="00383D5C" w:rsidRPr="00BF1C20" w:rsidTr="00CD7402">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D5C" w:rsidRPr="00680D4A" w:rsidRDefault="00383D5C" w:rsidP="00CD7402">
            <w:pPr>
              <w:spacing w:after="0" w:line="240" w:lineRule="auto"/>
              <w:jc w:val="center"/>
              <w:rPr>
                <w:rFonts w:ascii="Times New Roman" w:eastAsia="Times New Roman" w:hAnsi="Times New Roman"/>
                <w:color w:val="000000"/>
                <w:lang w:eastAsia="uk-UA"/>
              </w:rPr>
            </w:pPr>
            <w:r w:rsidRPr="00680D4A">
              <w:rPr>
                <w:rFonts w:ascii="Times New Roman" w:eastAsia="Times New Roman" w:hAnsi="Times New Roman"/>
                <w:color w:val="000000"/>
                <w:lang w:eastAsia="uk-UA"/>
              </w:rPr>
              <w:t>Х</w:t>
            </w:r>
            <w:r w:rsidRPr="00680D4A">
              <w:rPr>
                <w:rFonts w:ascii="Times New Roman" w:eastAsia="Times New Roman" w:hAnsi="Times New Roman"/>
                <w:color w:val="000000"/>
                <w:vertAlign w:val="subscript"/>
                <w:lang w:eastAsia="uk-UA"/>
              </w:rPr>
              <w:t>3</w:t>
            </w:r>
          </w:p>
        </w:tc>
      </w:tr>
      <w:tr w:rsidR="00383D5C" w:rsidRPr="00BF1C20" w:rsidTr="00CD7402">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Прогноз</w:t>
            </w: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0,077</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0,076</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680D4A" w:rsidRDefault="00383D5C" w:rsidP="00CD7402">
            <w:pPr>
              <w:spacing w:after="0" w:line="240" w:lineRule="auto"/>
              <w:jc w:val="center"/>
              <w:rPr>
                <w:rFonts w:ascii="Times New Roman" w:eastAsia="Times New Roman" w:hAnsi="Times New Roman"/>
                <w:color w:val="000000"/>
                <w:lang w:eastAsia="uk-UA"/>
              </w:rPr>
            </w:pPr>
            <w:r w:rsidRPr="00680D4A">
              <w:rPr>
                <w:rFonts w:ascii="Times New Roman" w:eastAsia="Times New Roman" w:hAnsi="Times New Roman"/>
                <w:color w:val="000000"/>
                <w:lang w:eastAsia="uk-UA"/>
              </w:rPr>
              <w:t>0,075</w:t>
            </w:r>
          </w:p>
        </w:tc>
      </w:tr>
      <w:tr w:rsidR="00383D5C" w:rsidRPr="00BF1C20" w:rsidTr="00CD7402">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0,044</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0,038</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680D4A" w:rsidRDefault="00383D5C" w:rsidP="00CD7402">
            <w:pPr>
              <w:spacing w:after="0" w:line="240" w:lineRule="auto"/>
              <w:jc w:val="center"/>
              <w:rPr>
                <w:rFonts w:ascii="Times New Roman" w:eastAsia="Times New Roman" w:hAnsi="Times New Roman"/>
                <w:color w:val="000000"/>
                <w:lang w:eastAsia="uk-UA"/>
              </w:rPr>
            </w:pPr>
            <w:r w:rsidRPr="00680D4A">
              <w:rPr>
                <w:rFonts w:ascii="Times New Roman" w:eastAsia="Times New Roman" w:hAnsi="Times New Roman"/>
                <w:color w:val="000000"/>
                <w:lang w:eastAsia="uk-UA"/>
              </w:rPr>
              <w:t>0,032</w:t>
            </w:r>
          </w:p>
        </w:tc>
      </w:tr>
      <w:tr w:rsidR="00383D5C" w:rsidRPr="00BF1C20" w:rsidTr="00CD7402">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0,110</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0,114</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680D4A" w:rsidRDefault="00383D5C" w:rsidP="00CD7402">
            <w:pPr>
              <w:spacing w:after="0" w:line="240" w:lineRule="auto"/>
              <w:jc w:val="center"/>
              <w:rPr>
                <w:rFonts w:ascii="Times New Roman" w:eastAsia="Times New Roman" w:hAnsi="Times New Roman"/>
                <w:color w:val="000000"/>
                <w:lang w:eastAsia="uk-UA"/>
              </w:rPr>
            </w:pPr>
            <w:r w:rsidRPr="00680D4A">
              <w:rPr>
                <w:rFonts w:ascii="Times New Roman" w:eastAsia="Times New Roman" w:hAnsi="Times New Roman"/>
                <w:color w:val="000000"/>
                <w:lang w:eastAsia="uk-UA"/>
              </w:rPr>
              <w:t>0,118</w:t>
            </w:r>
          </w:p>
        </w:tc>
      </w:tr>
    </w:tbl>
    <w:p w:rsidR="00383D5C" w:rsidRDefault="00680D4A" w:rsidP="006A4B83">
      <w:pPr>
        <w:spacing w:before="120" w:after="0" w:line="360" w:lineRule="auto"/>
        <w:ind w:firstLine="708"/>
        <w:jc w:val="both"/>
        <w:rPr>
          <w:rFonts w:ascii="Times New Roman" w:hAnsi="Times New Roman"/>
          <w:sz w:val="28"/>
          <w:szCs w:val="28"/>
        </w:rPr>
      </w:pPr>
      <w:r>
        <w:rPr>
          <w:rFonts w:ascii="Times New Roman" w:hAnsi="Times New Roman"/>
          <w:sz w:val="28"/>
          <w:szCs w:val="28"/>
        </w:rPr>
        <w:t xml:space="preserve">В ході прогнозу </w:t>
      </w:r>
      <w:r w:rsidRPr="00680D4A">
        <w:rPr>
          <w:rFonts w:ascii="Times New Roman" w:hAnsi="Times New Roman"/>
          <w:sz w:val="28"/>
          <w:szCs w:val="28"/>
        </w:rPr>
        <w:t>коефіцієнту співвідношення високоліквідних активів до робочих активів</w:t>
      </w:r>
      <w:r>
        <w:rPr>
          <w:rFonts w:ascii="Times New Roman" w:hAnsi="Times New Roman"/>
          <w:sz w:val="28"/>
          <w:szCs w:val="28"/>
        </w:rPr>
        <w:t xml:space="preserve"> було </w:t>
      </w:r>
      <w:r w:rsidR="00BE2C44">
        <w:rPr>
          <w:rFonts w:ascii="Times New Roman" w:hAnsi="Times New Roman"/>
          <w:sz w:val="28"/>
          <w:szCs w:val="28"/>
        </w:rPr>
        <w:t>с</w:t>
      </w:r>
      <w:r>
        <w:rPr>
          <w:rFonts w:ascii="Times New Roman" w:hAnsi="Times New Roman"/>
          <w:sz w:val="28"/>
          <w:szCs w:val="28"/>
        </w:rPr>
        <w:t xml:space="preserve">формовано діапазон його коливань, який становить від 3,2% за рахунок зміни в складі інвестицій у цінні папери до 22,3% за рахунок грошових коштів та їх еквівалентів. </w:t>
      </w:r>
      <w:r w:rsidRPr="00680D4A">
        <w:rPr>
          <w:rFonts w:ascii="Times New Roman" w:hAnsi="Times New Roman"/>
          <w:sz w:val="28"/>
          <w:szCs w:val="28"/>
        </w:rPr>
        <w:t xml:space="preserve">Цей показник дає змогу оцінити частку </w:t>
      </w:r>
      <w:r w:rsidRPr="00680D4A">
        <w:rPr>
          <w:rFonts w:ascii="Times New Roman" w:hAnsi="Times New Roman"/>
          <w:sz w:val="28"/>
          <w:szCs w:val="28"/>
        </w:rPr>
        <w:lastRenderedPageBreak/>
        <w:t>високоліквідної частини активів</w:t>
      </w:r>
      <w:r>
        <w:rPr>
          <w:rFonts w:ascii="Times New Roman" w:hAnsi="Times New Roman"/>
          <w:sz w:val="28"/>
          <w:szCs w:val="28"/>
        </w:rPr>
        <w:t>, а тому</w:t>
      </w:r>
      <w:r w:rsidRPr="00680D4A">
        <w:rPr>
          <w:rFonts w:ascii="Times New Roman" w:hAnsi="Times New Roman"/>
          <w:sz w:val="28"/>
          <w:szCs w:val="28"/>
        </w:rPr>
        <w:t xml:space="preserve"> чим він більший</w:t>
      </w:r>
      <w:r>
        <w:rPr>
          <w:rFonts w:ascii="Times New Roman" w:hAnsi="Times New Roman"/>
          <w:sz w:val="28"/>
          <w:szCs w:val="28"/>
        </w:rPr>
        <w:t>,</w:t>
      </w:r>
      <w:r w:rsidRPr="00680D4A">
        <w:rPr>
          <w:rFonts w:ascii="Times New Roman" w:hAnsi="Times New Roman"/>
          <w:sz w:val="28"/>
          <w:szCs w:val="28"/>
        </w:rPr>
        <w:t xml:space="preserve"> тим більший запас ліквідності банку</w:t>
      </w:r>
      <w:r>
        <w:rPr>
          <w:rFonts w:ascii="Times New Roman" w:hAnsi="Times New Roman"/>
          <w:sz w:val="28"/>
          <w:szCs w:val="28"/>
        </w:rPr>
        <w:t>. Проте</w:t>
      </w:r>
      <w:r w:rsidRPr="00680D4A">
        <w:rPr>
          <w:rFonts w:ascii="Times New Roman" w:hAnsi="Times New Roman"/>
          <w:sz w:val="28"/>
          <w:szCs w:val="28"/>
        </w:rPr>
        <w:t xml:space="preserve"> високоліквідні активи майже не приносять доходу, </w:t>
      </w:r>
      <w:r>
        <w:rPr>
          <w:rFonts w:ascii="Times New Roman" w:hAnsi="Times New Roman"/>
          <w:sz w:val="28"/>
          <w:szCs w:val="28"/>
        </w:rPr>
        <w:t xml:space="preserve">а </w:t>
      </w:r>
      <w:r w:rsidRPr="00680D4A">
        <w:rPr>
          <w:rFonts w:ascii="Times New Roman" w:hAnsi="Times New Roman"/>
          <w:sz w:val="28"/>
          <w:szCs w:val="28"/>
        </w:rPr>
        <w:t xml:space="preserve">тому підтримання високого значення </w:t>
      </w:r>
      <w:r>
        <w:rPr>
          <w:rFonts w:ascii="Times New Roman" w:hAnsi="Times New Roman"/>
          <w:sz w:val="28"/>
          <w:szCs w:val="28"/>
        </w:rPr>
        <w:t xml:space="preserve">коефіцієнту </w:t>
      </w:r>
      <w:r w:rsidRPr="00680D4A">
        <w:rPr>
          <w:rFonts w:ascii="Times New Roman" w:hAnsi="Times New Roman"/>
          <w:sz w:val="28"/>
          <w:szCs w:val="28"/>
        </w:rPr>
        <w:t xml:space="preserve">неодмінно позначається на прибутковості </w:t>
      </w:r>
      <w:r>
        <w:rPr>
          <w:rFonts w:ascii="Times New Roman" w:hAnsi="Times New Roman"/>
          <w:sz w:val="28"/>
          <w:szCs w:val="28"/>
        </w:rPr>
        <w:t>Б</w:t>
      </w:r>
      <w:r w:rsidRPr="00680D4A">
        <w:rPr>
          <w:rFonts w:ascii="Times New Roman" w:hAnsi="Times New Roman"/>
          <w:sz w:val="28"/>
          <w:szCs w:val="28"/>
        </w:rPr>
        <w:t xml:space="preserve">анку. </w:t>
      </w:r>
      <w:r w:rsidR="006A4B83">
        <w:rPr>
          <w:rFonts w:ascii="Times New Roman" w:hAnsi="Times New Roman"/>
          <w:sz w:val="28"/>
          <w:szCs w:val="28"/>
        </w:rPr>
        <w:t>А отже д</w:t>
      </w:r>
      <w:r w:rsidRPr="00680D4A">
        <w:rPr>
          <w:rFonts w:ascii="Times New Roman" w:hAnsi="Times New Roman"/>
          <w:sz w:val="28"/>
          <w:szCs w:val="28"/>
        </w:rPr>
        <w:t xml:space="preserve">оцільним є підтримання </w:t>
      </w:r>
      <w:r w:rsidR="006A4B83">
        <w:rPr>
          <w:rFonts w:ascii="Times New Roman" w:hAnsi="Times New Roman"/>
          <w:sz w:val="28"/>
          <w:szCs w:val="28"/>
        </w:rPr>
        <w:t xml:space="preserve">коефіцієнту </w:t>
      </w:r>
      <w:r w:rsidR="006A4B83" w:rsidRPr="006A4B83">
        <w:rPr>
          <w:rFonts w:ascii="Times New Roman" w:hAnsi="Times New Roman"/>
          <w:sz w:val="28"/>
          <w:szCs w:val="28"/>
        </w:rPr>
        <w:t>співвідношення високоліквідних активів до робочих активів</w:t>
      </w:r>
      <w:r w:rsidRPr="00680D4A">
        <w:rPr>
          <w:rFonts w:ascii="Times New Roman" w:hAnsi="Times New Roman"/>
          <w:sz w:val="28"/>
          <w:szCs w:val="28"/>
        </w:rPr>
        <w:t xml:space="preserve"> </w:t>
      </w:r>
      <w:r w:rsidR="006A4B83">
        <w:rPr>
          <w:rFonts w:ascii="Times New Roman" w:hAnsi="Times New Roman"/>
          <w:sz w:val="28"/>
          <w:szCs w:val="28"/>
        </w:rPr>
        <w:t>на рівні 20-</w:t>
      </w:r>
      <w:r w:rsidRPr="00680D4A">
        <w:rPr>
          <w:rFonts w:ascii="Times New Roman" w:hAnsi="Times New Roman"/>
          <w:sz w:val="28"/>
          <w:szCs w:val="28"/>
        </w:rPr>
        <w:t>25 %, щоб</w:t>
      </w:r>
      <w:r w:rsidR="006A4B83">
        <w:rPr>
          <w:rFonts w:ascii="Times New Roman" w:hAnsi="Times New Roman"/>
          <w:sz w:val="28"/>
          <w:szCs w:val="28"/>
        </w:rPr>
        <w:t xml:space="preserve"> забезпечити</w:t>
      </w:r>
      <w:r w:rsidRPr="00680D4A">
        <w:rPr>
          <w:rFonts w:ascii="Times New Roman" w:hAnsi="Times New Roman"/>
          <w:sz w:val="28"/>
          <w:szCs w:val="28"/>
        </w:rPr>
        <w:t xml:space="preserve"> достатню ліквідність,</w:t>
      </w:r>
      <w:r w:rsidR="006A4B83">
        <w:rPr>
          <w:rFonts w:ascii="Times New Roman" w:hAnsi="Times New Roman"/>
          <w:sz w:val="28"/>
          <w:szCs w:val="28"/>
        </w:rPr>
        <w:t xml:space="preserve"> та </w:t>
      </w:r>
      <w:r w:rsidRPr="00680D4A">
        <w:rPr>
          <w:rFonts w:ascii="Times New Roman" w:hAnsi="Times New Roman"/>
          <w:sz w:val="28"/>
          <w:szCs w:val="28"/>
        </w:rPr>
        <w:t>не знижувати</w:t>
      </w:r>
      <w:r w:rsidR="00B36075">
        <w:rPr>
          <w:rFonts w:ascii="Times New Roman" w:hAnsi="Times New Roman"/>
          <w:sz w:val="28"/>
          <w:szCs w:val="28"/>
        </w:rPr>
        <w:t>ме</w:t>
      </w:r>
      <w:r w:rsidRPr="00680D4A">
        <w:rPr>
          <w:rFonts w:ascii="Times New Roman" w:hAnsi="Times New Roman"/>
          <w:sz w:val="28"/>
          <w:szCs w:val="28"/>
        </w:rPr>
        <w:t xml:space="preserve"> прибутков</w:t>
      </w:r>
      <w:r w:rsidR="006A4B83">
        <w:rPr>
          <w:rFonts w:ascii="Times New Roman" w:hAnsi="Times New Roman"/>
          <w:sz w:val="28"/>
          <w:szCs w:val="28"/>
        </w:rPr>
        <w:t>ість Банку</w:t>
      </w:r>
      <w:r w:rsidRPr="00680D4A">
        <w:rPr>
          <w:rFonts w:ascii="Times New Roman" w:hAnsi="Times New Roman"/>
          <w:sz w:val="28"/>
          <w:szCs w:val="28"/>
        </w:rPr>
        <w:t>.</w:t>
      </w:r>
    </w:p>
    <w:p w:rsidR="00AE795B" w:rsidRDefault="001272A6" w:rsidP="00AE795B">
      <w:pPr>
        <w:spacing w:after="0" w:line="360" w:lineRule="auto"/>
        <w:ind w:firstLine="709"/>
        <w:jc w:val="right"/>
        <w:rPr>
          <w:rFonts w:ascii="Times New Roman" w:hAnsi="Times New Roman"/>
          <w:sz w:val="28"/>
          <w:szCs w:val="28"/>
        </w:rPr>
      </w:pPr>
      <w:r>
        <w:rPr>
          <w:rFonts w:ascii="Times New Roman" w:hAnsi="Times New Roman"/>
          <w:sz w:val="28"/>
          <w:szCs w:val="28"/>
        </w:rPr>
        <w:t>Таблиця 3.11</w:t>
      </w:r>
    </w:p>
    <w:p w:rsidR="00AE795B" w:rsidRDefault="00AE795B" w:rsidP="00AE795B">
      <w:pPr>
        <w:spacing w:after="0" w:line="360" w:lineRule="auto"/>
        <w:ind w:firstLine="709"/>
        <w:jc w:val="center"/>
        <w:rPr>
          <w:rFonts w:ascii="Times New Roman" w:hAnsi="Times New Roman"/>
          <w:sz w:val="28"/>
          <w:szCs w:val="28"/>
        </w:rPr>
      </w:pPr>
      <w:r>
        <w:rPr>
          <w:rFonts w:ascii="Times New Roman" w:hAnsi="Times New Roman"/>
          <w:sz w:val="28"/>
          <w:szCs w:val="28"/>
        </w:rPr>
        <w:t>Результати прогнозування для ко</w:t>
      </w:r>
      <w:r w:rsidRPr="00383D5C">
        <w:rPr>
          <w:rFonts w:ascii="Times New Roman" w:hAnsi="Times New Roman"/>
          <w:sz w:val="28"/>
          <w:szCs w:val="28"/>
        </w:rPr>
        <w:t xml:space="preserve">ефіцієнту </w:t>
      </w:r>
      <w:r w:rsidRPr="00AE795B">
        <w:rPr>
          <w:rFonts w:ascii="Times New Roman" w:hAnsi="Times New Roman"/>
          <w:sz w:val="28"/>
          <w:szCs w:val="28"/>
        </w:rPr>
        <w:t>ліквідного співвідношення виданих</w:t>
      </w:r>
      <w:r w:rsidR="00D07ED1">
        <w:rPr>
          <w:rFonts w:ascii="Times New Roman" w:hAnsi="Times New Roman"/>
          <w:sz w:val="28"/>
          <w:szCs w:val="28"/>
        </w:rPr>
        <w:t xml:space="preserve"> кредитів і залучених депозитів</w:t>
      </w:r>
      <w:r w:rsidRPr="00D44194">
        <w:rPr>
          <w:rFonts w:ascii="Times New Roman" w:hAnsi="Times New Roman"/>
          <w:sz w:val="28"/>
          <w:szCs w:val="28"/>
        </w:rPr>
        <w:t xml:space="preserve"> банку </w:t>
      </w:r>
      <w:r>
        <w:rPr>
          <w:rFonts w:ascii="Times New Roman" w:hAnsi="Times New Roman"/>
          <w:sz w:val="28"/>
          <w:szCs w:val="28"/>
        </w:rPr>
        <w:t xml:space="preserve">АТ «Ідея Банк» на 2022-20244 </w:t>
      </w:r>
      <w:r w:rsidR="001272A6">
        <w:rPr>
          <w:rFonts w:ascii="Times New Roman" w:hAnsi="Times New Roman"/>
          <w:sz w:val="28"/>
          <w:szCs w:val="28"/>
        </w:rPr>
        <w:t>роки</w:t>
      </w:r>
    </w:p>
    <w:tbl>
      <w:tblPr>
        <w:tblW w:w="9634" w:type="dxa"/>
        <w:tblLook w:val="04A0" w:firstRow="1" w:lastRow="0" w:firstColumn="1" w:lastColumn="0" w:noHBand="0" w:noVBand="1"/>
      </w:tblPr>
      <w:tblGrid>
        <w:gridCol w:w="2122"/>
        <w:gridCol w:w="2693"/>
        <w:gridCol w:w="2268"/>
        <w:gridCol w:w="2551"/>
      </w:tblGrid>
      <w:tr w:rsidR="00383D5C" w:rsidRPr="00BF1C20" w:rsidTr="00CD7402">
        <w:trPr>
          <w:trHeight w:val="288"/>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b/>
                <w:bCs/>
                <w:color w:val="000000"/>
                <w:lang w:eastAsia="uk-UA"/>
              </w:rPr>
            </w:pPr>
            <w:r w:rsidRPr="00BF1C20">
              <w:rPr>
                <w:rFonts w:ascii="Times New Roman" w:eastAsia="Times New Roman" w:hAnsi="Times New Roman"/>
                <w:b/>
                <w:bCs/>
                <w:color w:val="000000"/>
                <w:lang w:eastAsia="uk-UA"/>
              </w:rPr>
              <w:t>Показники</w:t>
            </w:r>
          </w:p>
        </w:tc>
        <w:tc>
          <w:tcPr>
            <w:tcW w:w="7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b/>
                <w:bCs/>
                <w:color w:val="000000"/>
                <w:lang w:eastAsia="uk-UA"/>
              </w:rPr>
            </w:pPr>
            <w:r w:rsidRPr="00BF1C20">
              <w:rPr>
                <w:rFonts w:ascii="Times New Roman" w:eastAsia="Times New Roman" w:hAnsi="Times New Roman"/>
                <w:b/>
                <w:bCs/>
                <w:color w:val="000000"/>
                <w:lang w:eastAsia="uk-UA"/>
              </w:rPr>
              <w:t xml:space="preserve">Значення </w:t>
            </w:r>
          </w:p>
        </w:tc>
      </w:tr>
      <w:tr w:rsidR="00383D5C" w:rsidRPr="00BF1C20" w:rsidTr="00CD7402">
        <w:trPr>
          <w:trHeight w:val="288"/>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383D5C" w:rsidRPr="00BF1C20" w:rsidRDefault="00383D5C" w:rsidP="00CD7402">
            <w:pPr>
              <w:spacing w:after="0" w:line="240" w:lineRule="auto"/>
              <w:rPr>
                <w:rFonts w:ascii="Times New Roman" w:eastAsia="Times New Roman" w:hAnsi="Times New Roman"/>
                <w:b/>
                <w:bCs/>
                <w:color w:val="000000"/>
                <w:lang w:eastAsia="uk-UA"/>
              </w:rPr>
            </w:pP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383D5C" w:rsidRDefault="00383D5C" w:rsidP="00CD7402">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2022</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383D5C" w:rsidRDefault="00383D5C" w:rsidP="00CD7402">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2023</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383D5C" w:rsidRDefault="00383D5C" w:rsidP="00CD7402">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2024</w:t>
            </w:r>
          </w:p>
        </w:tc>
      </w:tr>
      <w:tr w:rsidR="00F56E4F" w:rsidRPr="00BF1C20" w:rsidTr="0032262B">
        <w:trPr>
          <w:trHeight w:val="241"/>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56E4F" w:rsidRPr="00BF1C20" w:rsidRDefault="00F56E4F" w:rsidP="0032262B">
            <w:pPr>
              <w:spacing w:after="0" w:line="240" w:lineRule="auto"/>
              <w:jc w:val="center"/>
              <w:rPr>
                <w:rFonts w:ascii="Times New Roman" w:eastAsia="Times New Roman" w:hAnsi="Times New Roman"/>
                <w:i/>
                <w:iCs/>
                <w:color w:val="000000"/>
                <w:lang w:eastAsia="uk-UA"/>
              </w:rPr>
            </w:pPr>
            <w:r w:rsidRPr="00BF1C20">
              <w:rPr>
                <w:rFonts w:ascii="Times New Roman" w:eastAsia="Times New Roman" w:hAnsi="Times New Roman"/>
                <w:i/>
                <w:iCs/>
                <w:color w:val="000000"/>
                <w:lang w:eastAsia="uk-UA"/>
              </w:rPr>
              <w:t>Коефіцієнт визначен</w:t>
            </w:r>
            <w:r w:rsidR="0032262B">
              <w:rPr>
                <w:rFonts w:ascii="Times New Roman" w:eastAsia="Times New Roman" w:hAnsi="Times New Roman"/>
                <w:i/>
                <w:iCs/>
                <w:color w:val="000000"/>
                <w:lang w:eastAsia="uk-UA"/>
              </w:rPr>
              <w:t xml:space="preserve">ня незбалансованої ліквідності </w:t>
            </w:r>
            <w:r w:rsidRPr="00BF1C20">
              <w:rPr>
                <w:rFonts w:ascii="Times New Roman" w:eastAsia="Times New Roman" w:hAnsi="Times New Roman"/>
                <w:i/>
                <w:iCs/>
                <w:color w:val="000000"/>
                <w:lang w:eastAsia="uk-UA"/>
              </w:rPr>
              <w:t>(y</w:t>
            </w:r>
            <w:r w:rsidRPr="00BF1C20">
              <w:rPr>
                <w:rFonts w:ascii="Times New Roman" w:eastAsia="Times New Roman" w:hAnsi="Times New Roman"/>
                <w:i/>
                <w:iCs/>
                <w:color w:val="000000"/>
                <w:vertAlign w:val="subscript"/>
                <w:lang w:eastAsia="uk-UA"/>
              </w:rPr>
              <w:t>4</w:t>
            </w:r>
            <w:r w:rsidRPr="00BF1C20">
              <w:rPr>
                <w:rFonts w:ascii="Times New Roman" w:eastAsia="Times New Roman" w:hAnsi="Times New Roman"/>
                <w:i/>
                <w:iCs/>
                <w:color w:val="000000"/>
                <w:lang w:eastAsia="uk-UA"/>
              </w:rPr>
              <w:t>)</w:t>
            </w:r>
          </w:p>
        </w:tc>
      </w:tr>
      <w:tr w:rsidR="00F56E4F" w:rsidRPr="00BF1C20" w:rsidTr="00F56E4F">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Х2</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Прогноз</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0,994</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1,022</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1,051</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0,897</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0,902</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0,908</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1,091</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1,141</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1,194</w:t>
            </w:r>
          </w:p>
        </w:tc>
      </w:tr>
      <w:tr w:rsidR="00F56E4F" w:rsidRPr="00BF1C20" w:rsidTr="00F56E4F">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Х8</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Прогноз</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0,988</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1,015</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1,043</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0,858</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0,855</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D07ED1" w:rsidRDefault="00F56E4F" w:rsidP="00F56E4F">
            <w:pPr>
              <w:spacing w:after="0" w:line="240" w:lineRule="auto"/>
              <w:jc w:val="center"/>
              <w:rPr>
                <w:rFonts w:ascii="Times New Roman" w:eastAsia="Times New Roman" w:hAnsi="Times New Roman"/>
                <w:color w:val="000000"/>
                <w:lang w:eastAsia="uk-UA"/>
              </w:rPr>
            </w:pPr>
            <w:r w:rsidRPr="00D07ED1">
              <w:rPr>
                <w:rFonts w:ascii="Times New Roman" w:eastAsia="Times New Roman" w:hAnsi="Times New Roman"/>
                <w:color w:val="000000"/>
                <w:lang w:eastAsia="uk-UA"/>
              </w:rPr>
              <w:t>0,853</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1,117</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1,174</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D07ED1" w:rsidRDefault="00F56E4F" w:rsidP="00F56E4F">
            <w:pPr>
              <w:spacing w:after="0" w:line="240" w:lineRule="auto"/>
              <w:jc w:val="center"/>
              <w:rPr>
                <w:rFonts w:ascii="Times New Roman" w:eastAsia="Times New Roman" w:hAnsi="Times New Roman"/>
                <w:color w:val="000000"/>
                <w:lang w:eastAsia="uk-UA"/>
              </w:rPr>
            </w:pPr>
            <w:r w:rsidRPr="00D07ED1">
              <w:rPr>
                <w:rFonts w:ascii="Times New Roman" w:eastAsia="Times New Roman" w:hAnsi="Times New Roman"/>
                <w:color w:val="000000"/>
                <w:lang w:eastAsia="uk-UA"/>
              </w:rPr>
              <w:t>1,234</w:t>
            </w:r>
          </w:p>
        </w:tc>
      </w:tr>
    </w:tbl>
    <w:p w:rsidR="00AE795B" w:rsidRDefault="00D16843" w:rsidP="00D16843">
      <w:pPr>
        <w:spacing w:before="240" w:after="0" w:line="360" w:lineRule="auto"/>
        <w:ind w:firstLine="709"/>
        <w:jc w:val="both"/>
        <w:rPr>
          <w:rFonts w:ascii="Times New Roman" w:hAnsi="Times New Roman"/>
          <w:sz w:val="28"/>
          <w:szCs w:val="28"/>
        </w:rPr>
      </w:pPr>
      <w:r>
        <w:rPr>
          <w:rFonts w:ascii="Times New Roman" w:hAnsi="Times New Roman"/>
          <w:sz w:val="28"/>
          <w:szCs w:val="28"/>
        </w:rPr>
        <w:t xml:space="preserve">Виявлені залежності для </w:t>
      </w:r>
      <w:r w:rsidRPr="00D16843">
        <w:rPr>
          <w:rFonts w:ascii="Times New Roman" w:hAnsi="Times New Roman"/>
          <w:sz w:val="28"/>
          <w:szCs w:val="28"/>
        </w:rPr>
        <w:t>коефіцієнту ліквідного співвідношення виданих кредитів і залучених депозитів</w:t>
      </w:r>
      <w:r>
        <w:rPr>
          <w:rFonts w:ascii="Times New Roman" w:hAnsi="Times New Roman"/>
          <w:sz w:val="28"/>
          <w:szCs w:val="28"/>
        </w:rPr>
        <w:t xml:space="preserve"> показують, що коефіцієнт може коливатися у межах від 85,3% до 123,4%. Оптимальним значення коефіцієнту вважається 70-80%, а отже Банк проблем з незбалансованою ліквідністю не має.</w:t>
      </w:r>
    </w:p>
    <w:p w:rsidR="00D07ED1" w:rsidRDefault="001272A6" w:rsidP="00D07ED1">
      <w:pPr>
        <w:spacing w:after="0" w:line="360" w:lineRule="auto"/>
        <w:ind w:firstLine="709"/>
        <w:jc w:val="right"/>
        <w:rPr>
          <w:rFonts w:ascii="Times New Roman" w:hAnsi="Times New Roman"/>
          <w:sz w:val="28"/>
          <w:szCs w:val="28"/>
        </w:rPr>
      </w:pPr>
      <w:r>
        <w:rPr>
          <w:rFonts w:ascii="Times New Roman" w:hAnsi="Times New Roman"/>
          <w:sz w:val="28"/>
          <w:szCs w:val="28"/>
        </w:rPr>
        <w:t>Таблиця 3.12</w:t>
      </w:r>
    </w:p>
    <w:p w:rsidR="00AE795B" w:rsidRDefault="00D07ED1" w:rsidP="00D07ED1">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Результати прогнозування для </w:t>
      </w:r>
      <w:r w:rsidR="00633CB0">
        <w:rPr>
          <w:rFonts w:ascii="Times New Roman" w:hAnsi="Times New Roman"/>
          <w:sz w:val="28"/>
          <w:szCs w:val="28"/>
        </w:rPr>
        <w:t>нормативу</w:t>
      </w:r>
      <w:r w:rsidRPr="00383D5C">
        <w:rPr>
          <w:rFonts w:ascii="Times New Roman" w:hAnsi="Times New Roman"/>
          <w:sz w:val="28"/>
          <w:szCs w:val="28"/>
        </w:rPr>
        <w:t xml:space="preserve"> </w:t>
      </w:r>
      <w:r w:rsidRPr="00D07ED1">
        <w:rPr>
          <w:rFonts w:ascii="Times New Roman" w:hAnsi="Times New Roman"/>
          <w:sz w:val="28"/>
          <w:szCs w:val="28"/>
        </w:rPr>
        <w:t>к</w:t>
      </w:r>
      <w:r>
        <w:rPr>
          <w:rFonts w:ascii="Times New Roman" w:hAnsi="Times New Roman"/>
          <w:sz w:val="28"/>
          <w:szCs w:val="28"/>
        </w:rPr>
        <w:t xml:space="preserve">ороткострокової ліквідності </w:t>
      </w:r>
      <w:r w:rsidRPr="00D44194">
        <w:rPr>
          <w:rFonts w:ascii="Times New Roman" w:hAnsi="Times New Roman"/>
          <w:sz w:val="28"/>
          <w:szCs w:val="28"/>
        </w:rPr>
        <w:t xml:space="preserve">банку </w:t>
      </w:r>
      <w:r>
        <w:rPr>
          <w:rFonts w:ascii="Times New Roman" w:hAnsi="Times New Roman"/>
          <w:sz w:val="28"/>
          <w:szCs w:val="28"/>
        </w:rPr>
        <w:t xml:space="preserve">АТ «Ідея Банк»  на 2022-20244 </w:t>
      </w:r>
      <w:r w:rsidR="001272A6">
        <w:rPr>
          <w:rFonts w:ascii="Times New Roman" w:hAnsi="Times New Roman"/>
          <w:sz w:val="28"/>
          <w:szCs w:val="28"/>
        </w:rPr>
        <w:t>року</w:t>
      </w:r>
    </w:p>
    <w:tbl>
      <w:tblPr>
        <w:tblW w:w="9634" w:type="dxa"/>
        <w:tblLook w:val="04A0" w:firstRow="1" w:lastRow="0" w:firstColumn="1" w:lastColumn="0" w:noHBand="0" w:noVBand="1"/>
      </w:tblPr>
      <w:tblGrid>
        <w:gridCol w:w="2122"/>
        <w:gridCol w:w="2693"/>
        <w:gridCol w:w="2268"/>
        <w:gridCol w:w="2551"/>
      </w:tblGrid>
      <w:tr w:rsidR="00383D5C" w:rsidRPr="00BF1C20" w:rsidTr="00CD7402">
        <w:trPr>
          <w:trHeight w:val="288"/>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b/>
                <w:bCs/>
                <w:color w:val="000000"/>
                <w:lang w:eastAsia="uk-UA"/>
              </w:rPr>
            </w:pPr>
            <w:r w:rsidRPr="00BF1C20">
              <w:rPr>
                <w:rFonts w:ascii="Times New Roman" w:eastAsia="Times New Roman" w:hAnsi="Times New Roman"/>
                <w:b/>
                <w:bCs/>
                <w:color w:val="000000"/>
                <w:lang w:eastAsia="uk-UA"/>
              </w:rPr>
              <w:t>Показники</w:t>
            </w:r>
          </w:p>
        </w:tc>
        <w:tc>
          <w:tcPr>
            <w:tcW w:w="7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383D5C" w:rsidRPr="00BF1C20" w:rsidRDefault="00383D5C" w:rsidP="00CD7402">
            <w:pPr>
              <w:spacing w:after="0" w:line="240" w:lineRule="auto"/>
              <w:jc w:val="center"/>
              <w:rPr>
                <w:rFonts w:ascii="Times New Roman" w:eastAsia="Times New Roman" w:hAnsi="Times New Roman"/>
                <w:b/>
                <w:bCs/>
                <w:color w:val="000000"/>
                <w:lang w:eastAsia="uk-UA"/>
              </w:rPr>
            </w:pPr>
            <w:r w:rsidRPr="00BF1C20">
              <w:rPr>
                <w:rFonts w:ascii="Times New Roman" w:eastAsia="Times New Roman" w:hAnsi="Times New Roman"/>
                <w:b/>
                <w:bCs/>
                <w:color w:val="000000"/>
                <w:lang w:eastAsia="uk-UA"/>
              </w:rPr>
              <w:t xml:space="preserve">Значення </w:t>
            </w:r>
          </w:p>
        </w:tc>
      </w:tr>
      <w:tr w:rsidR="00383D5C" w:rsidRPr="00BF1C20" w:rsidTr="00CD7402">
        <w:trPr>
          <w:trHeight w:val="288"/>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383D5C" w:rsidRPr="00BF1C20" w:rsidRDefault="00383D5C" w:rsidP="00CD7402">
            <w:pPr>
              <w:spacing w:after="0" w:line="240" w:lineRule="auto"/>
              <w:rPr>
                <w:rFonts w:ascii="Times New Roman" w:eastAsia="Times New Roman" w:hAnsi="Times New Roman"/>
                <w:b/>
                <w:bCs/>
                <w:color w:val="000000"/>
                <w:lang w:eastAsia="uk-UA"/>
              </w:rPr>
            </w:pPr>
          </w:p>
        </w:tc>
        <w:tc>
          <w:tcPr>
            <w:tcW w:w="2693" w:type="dxa"/>
            <w:tcBorders>
              <w:top w:val="nil"/>
              <w:left w:val="nil"/>
              <w:bottom w:val="single" w:sz="4" w:space="0" w:color="auto"/>
              <w:right w:val="single" w:sz="4" w:space="0" w:color="auto"/>
            </w:tcBorders>
            <w:shd w:val="clear" w:color="auto" w:fill="auto"/>
            <w:noWrap/>
            <w:vAlign w:val="center"/>
            <w:hideMark/>
          </w:tcPr>
          <w:p w:rsidR="00383D5C" w:rsidRPr="00383D5C" w:rsidRDefault="00383D5C" w:rsidP="00CD7402">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2022</w:t>
            </w:r>
          </w:p>
        </w:tc>
        <w:tc>
          <w:tcPr>
            <w:tcW w:w="2268" w:type="dxa"/>
            <w:tcBorders>
              <w:top w:val="nil"/>
              <w:left w:val="nil"/>
              <w:bottom w:val="single" w:sz="4" w:space="0" w:color="auto"/>
              <w:right w:val="single" w:sz="4" w:space="0" w:color="auto"/>
            </w:tcBorders>
            <w:shd w:val="clear" w:color="auto" w:fill="auto"/>
            <w:noWrap/>
            <w:vAlign w:val="center"/>
            <w:hideMark/>
          </w:tcPr>
          <w:p w:rsidR="00383D5C" w:rsidRPr="00383D5C" w:rsidRDefault="00383D5C" w:rsidP="00CD7402">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2023</w:t>
            </w:r>
          </w:p>
        </w:tc>
        <w:tc>
          <w:tcPr>
            <w:tcW w:w="2551" w:type="dxa"/>
            <w:tcBorders>
              <w:top w:val="nil"/>
              <w:left w:val="nil"/>
              <w:bottom w:val="single" w:sz="4" w:space="0" w:color="auto"/>
              <w:right w:val="single" w:sz="4" w:space="0" w:color="auto"/>
            </w:tcBorders>
            <w:shd w:val="clear" w:color="auto" w:fill="auto"/>
            <w:noWrap/>
            <w:vAlign w:val="center"/>
            <w:hideMark/>
          </w:tcPr>
          <w:p w:rsidR="00383D5C" w:rsidRPr="00383D5C" w:rsidRDefault="00383D5C" w:rsidP="00CD7402">
            <w:pPr>
              <w:spacing w:after="0" w:line="240" w:lineRule="auto"/>
              <w:jc w:val="center"/>
              <w:rPr>
                <w:rFonts w:ascii="Times New Roman" w:eastAsia="Times New Roman" w:hAnsi="Times New Roman"/>
                <w:b/>
                <w:color w:val="000000"/>
                <w:lang w:eastAsia="uk-UA"/>
              </w:rPr>
            </w:pPr>
            <w:r w:rsidRPr="00383D5C">
              <w:rPr>
                <w:rFonts w:ascii="Times New Roman" w:eastAsia="Times New Roman" w:hAnsi="Times New Roman"/>
                <w:b/>
                <w:color w:val="000000"/>
                <w:lang w:eastAsia="uk-UA"/>
              </w:rPr>
              <w:t>2024</w:t>
            </w:r>
          </w:p>
        </w:tc>
      </w:tr>
      <w:tr w:rsidR="00F56E4F" w:rsidRPr="00BF1C20" w:rsidTr="00F56E4F">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56E4F" w:rsidRPr="00BF1C20" w:rsidRDefault="00F56E4F" w:rsidP="00F56E4F">
            <w:pPr>
              <w:spacing w:after="0" w:line="240" w:lineRule="auto"/>
              <w:jc w:val="center"/>
              <w:rPr>
                <w:rFonts w:ascii="Times New Roman" w:eastAsia="Times New Roman" w:hAnsi="Times New Roman"/>
                <w:i/>
                <w:iCs/>
                <w:color w:val="000000"/>
                <w:lang w:eastAsia="uk-UA"/>
              </w:rPr>
            </w:pPr>
            <w:r w:rsidRPr="00BF1C20">
              <w:rPr>
                <w:rFonts w:ascii="Times New Roman" w:eastAsia="Times New Roman" w:hAnsi="Times New Roman"/>
                <w:i/>
                <w:iCs/>
                <w:color w:val="000000"/>
                <w:lang w:eastAsia="uk-UA"/>
              </w:rPr>
              <w:t xml:space="preserve">Норматив </w:t>
            </w:r>
            <w:r w:rsidR="00383D5C" w:rsidRPr="00BF1C20">
              <w:rPr>
                <w:rFonts w:ascii="Times New Roman" w:eastAsia="Times New Roman" w:hAnsi="Times New Roman"/>
                <w:i/>
                <w:iCs/>
                <w:color w:val="000000"/>
                <w:lang w:eastAsia="uk-UA"/>
              </w:rPr>
              <w:t>короткострокової</w:t>
            </w:r>
            <w:r w:rsidRPr="00BF1C20">
              <w:rPr>
                <w:rFonts w:ascii="Times New Roman" w:eastAsia="Times New Roman" w:hAnsi="Times New Roman"/>
                <w:i/>
                <w:iCs/>
                <w:color w:val="000000"/>
                <w:lang w:eastAsia="uk-UA"/>
              </w:rPr>
              <w:t xml:space="preserve"> ліквідності (у5)</w:t>
            </w:r>
          </w:p>
        </w:tc>
      </w:tr>
      <w:tr w:rsidR="00F56E4F" w:rsidRPr="00BF1C20" w:rsidTr="00F56E4F">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Х4</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Прогноз</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0,341</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0,260</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0,201</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0,552</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0,443</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0,355</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1</w:t>
            </w:r>
            <w:r w:rsidR="00633CB0" w:rsidRPr="00C03F44">
              <w:rPr>
                <w:rFonts w:ascii="Times New Roman" w:eastAsia="Times New Roman" w:hAnsi="Times New Roman"/>
                <w:color w:val="000000"/>
                <w:lang w:eastAsia="uk-UA"/>
              </w:rPr>
              <w:t>,</w:t>
            </w:r>
            <w:r w:rsidRPr="00C03F44">
              <w:rPr>
                <w:rFonts w:ascii="Times New Roman" w:eastAsia="Times New Roman" w:hAnsi="Times New Roman"/>
                <w:color w:val="000000"/>
                <w:lang w:eastAsia="uk-UA"/>
              </w:rPr>
              <w:t>29</w:t>
            </w:r>
            <w:r w:rsidR="00633CB0" w:rsidRPr="00C03F44">
              <w:rPr>
                <w:rFonts w:ascii="Times New Roman" w:eastAsia="Times New Roman" w:hAnsi="Times New Roman"/>
                <w:color w:val="000000"/>
                <w:lang w:eastAsia="uk-UA"/>
              </w:rPr>
              <w:t>4</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C03F44" w:rsidRDefault="00633CB0"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0,</w:t>
            </w:r>
            <w:r w:rsidR="00F56E4F" w:rsidRPr="00C03F44">
              <w:rPr>
                <w:rFonts w:ascii="Times New Roman" w:eastAsia="Times New Roman" w:hAnsi="Times New Roman"/>
                <w:color w:val="000000"/>
                <w:lang w:eastAsia="uk-UA"/>
              </w:rPr>
              <w:t>77</w:t>
            </w:r>
            <w:r w:rsidRPr="00C03F44">
              <w:rPr>
                <w:rFonts w:ascii="Times New Roman" w:eastAsia="Times New Roman" w:hAnsi="Times New Roman"/>
                <w:color w:val="000000"/>
                <w:lang w:eastAsia="uk-UA"/>
              </w:rPr>
              <w:t>9</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C03F44" w:rsidRDefault="00633CB0"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0,</w:t>
            </w:r>
            <w:r w:rsidR="00F56E4F" w:rsidRPr="00C03F44">
              <w:rPr>
                <w:rFonts w:ascii="Times New Roman" w:eastAsia="Times New Roman" w:hAnsi="Times New Roman"/>
                <w:color w:val="000000"/>
                <w:lang w:eastAsia="uk-UA"/>
              </w:rPr>
              <w:t>46</w:t>
            </w:r>
            <w:r w:rsidRPr="00C03F44">
              <w:rPr>
                <w:rFonts w:ascii="Times New Roman" w:eastAsia="Times New Roman" w:hAnsi="Times New Roman"/>
                <w:color w:val="000000"/>
                <w:lang w:eastAsia="uk-UA"/>
              </w:rPr>
              <w:t>3</w:t>
            </w:r>
          </w:p>
        </w:tc>
      </w:tr>
      <w:tr w:rsidR="00F56E4F" w:rsidRPr="00BF1C20" w:rsidTr="00F56E4F">
        <w:trPr>
          <w:trHeight w:val="288"/>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Х6</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Прогноз</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1,685</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1,627</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1,572</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1,253</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1,256</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1,258</w:t>
            </w:r>
          </w:p>
        </w:tc>
      </w:tr>
      <w:tr w:rsidR="00F56E4F" w:rsidRPr="00BF1C20" w:rsidTr="00F56E4F">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F56E4F" w:rsidRPr="00BF1C20" w:rsidRDefault="00F56E4F" w:rsidP="00F56E4F">
            <w:pPr>
              <w:spacing w:after="0" w:line="240" w:lineRule="auto"/>
              <w:jc w:val="center"/>
              <w:rPr>
                <w:rFonts w:ascii="Times New Roman" w:eastAsia="Times New Roman" w:hAnsi="Times New Roman"/>
                <w:color w:val="000000"/>
                <w:lang w:eastAsia="uk-UA"/>
              </w:rPr>
            </w:pPr>
            <w:r w:rsidRPr="00BF1C20">
              <w:rPr>
                <w:rFonts w:ascii="Times New Roman" w:eastAsia="Times New Roman" w:hAnsi="Times New Roman"/>
                <w:color w:val="000000"/>
                <w:lang w:eastAsia="uk-UA"/>
              </w:rPr>
              <w:t>+ 95,0% ІС</w:t>
            </w:r>
          </w:p>
        </w:tc>
        <w:tc>
          <w:tcPr>
            <w:tcW w:w="2693"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2,117</w:t>
            </w:r>
          </w:p>
        </w:tc>
        <w:tc>
          <w:tcPr>
            <w:tcW w:w="2268"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1,998</w:t>
            </w:r>
          </w:p>
        </w:tc>
        <w:tc>
          <w:tcPr>
            <w:tcW w:w="2551" w:type="dxa"/>
            <w:tcBorders>
              <w:top w:val="nil"/>
              <w:left w:val="nil"/>
              <w:bottom w:val="single" w:sz="4" w:space="0" w:color="auto"/>
              <w:right w:val="single" w:sz="4" w:space="0" w:color="auto"/>
            </w:tcBorders>
            <w:shd w:val="clear" w:color="auto" w:fill="auto"/>
            <w:noWrap/>
            <w:vAlign w:val="center"/>
            <w:hideMark/>
          </w:tcPr>
          <w:p w:rsidR="00F56E4F" w:rsidRPr="00C03F44" w:rsidRDefault="00F56E4F" w:rsidP="00F56E4F">
            <w:pPr>
              <w:spacing w:after="0" w:line="240" w:lineRule="auto"/>
              <w:jc w:val="center"/>
              <w:rPr>
                <w:rFonts w:ascii="Times New Roman" w:eastAsia="Times New Roman" w:hAnsi="Times New Roman"/>
                <w:color w:val="000000"/>
                <w:lang w:eastAsia="uk-UA"/>
              </w:rPr>
            </w:pPr>
            <w:r w:rsidRPr="00C03F44">
              <w:rPr>
                <w:rFonts w:ascii="Times New Roman" w:eastAsia="Times New Roman" w:hAnsi="Times New Roman"/>
                <w:color w:val="000000"/>
                <w:lang w:eastAsia="uk-UA"/>
              </w:rPr>
              <w:t>1,887</w:t>
            </w:r>
          </w:p>
        </w:tc>
      </w:tr>
    </w:tbl>
    <w:p w:rsidR="00236C45" w:rsidRDefault="00633CB0" w:rsidP="00236C45">
      <w:pPr>
        <w:spacing w:before="240" w:after="0" w:line="360" w:lineRule="auto"/>
        <w:ind w:firstLine="709"/>
        <w:jc w:val="both"/>
        <w:rPr>
          <w:rFonts w:ascii="Times New Roman" w:hAnsi="Times New Roman"/>
          <w:sz w:val="28"/>
          <w:szCs w:val="28"/>
        </w:rPr>
      </w:pPr>
      <w:r>
        <w:rPr>
          <w:rFonts w:ascii="Times New Roman" w:hAnsi="Times New Roman"/>
          <w:sz w:val="28"/>
          <w:szCs w:val="28"/>
        </w:rPr>
        <w:lastRenderedPageBreak/>
        <w:t>І на останок</w:t>
      </w:r>
      <w:r w:rsidR="00BE2C44">
        <w:rPr>
          <w:rFonts w:ascii="Times New Roman" w:hAnsi="Times New Roman"/>
          <w:sz w:val="28"/>
          <w:szCs w:val="28"/>
        </w:rPr>
        <w:t>,</w:t>
      </w:r>
      <w:r>
        <w:rPr>
          <w:rFonts w:ascii="Times New Roman" w:hAnsi="Times New Roman"/>
          <w:sz w:val="28"/>
          <w:szCs w:val="28"/>
        </w:rPr>
        <w:t xml:space="preserve"> прогноз щодо нормативу</w:t>
      </w:r>
      <w:r w:rsidRPr="00633CB0">
        <w:rPr>
          <w:rFonts w:ascii="Times New Roman" w:hAnsi="Times New Roman"/>
          <w:sz w:val="28"/>
          <w:szCs w:val="28"/>
        </w:rPr>
        <w:t xml:space="preserve"> короткострокової ліквідності</w:t>
      </w:r>
      <w:r>
        <w:rPr>
          <w:rFonts w:ascii="Times New Roman" w:hAnsi="Times New Roman"/>
          <w:sz w:val="28"/>
          <w:szCs w:val="28"/>
        </w:rPr>
        <w:t xml:space="preserve"> під час якого було встановлено діапазон коливань його значень </w:t>
      </w:r>
      <w:r w:rsidR="00E47246">
        <w:rPr>
          <w:rFonts w:ascii="Times New Roman" w:hAnsi="Times New Roman"/>
          <w:sz w:val="28"/>
          <w:szCs w:val="28"/>
        </w:rPr>
        <w:t>від</w:t>
      </w:r>
      <w:r>
        <w:rPr>
          <w:rFonts w:ascii="Times New Roman" w:hAnsi="Times New Roman"/>
          <w:sz w:val="28"/>
          <w:szCs w:val="28"/>
        </w:rPr>
        <w:t xml:space="preserve"> 35,5,% до 211,7%. Акцентуємо, </w:t>
      </w:r>
      <w:r w:rsidR="00102385">
        <w:rPr>
          <w:rFonts w:ascii="Times New Roman" w:hAnsi="Times New Roman"/>
          <w:sz w:val="28"/>
          <w:szCs w:val="28"/>
        </w:rPr>
        <w:t xml:space="preserve">що </w:t>
      </w:r>
      <w:r>
        <w:rPr>
          <w:rFonts w:ascii="Times New Roman" w:hAnsi="Times New Roman"/>
          <w:sz w:val="28"/>
          <w:szCs w:val="28"/>
        </w:rPr>
        <w:t xml:space="preserve">за рахунок зміни основних засобів та нематеріальних активів норматив </w:t>
      </w:r>
      <w:r w:rsidR="00236C45">
        <w:rPr>
          <w:rFonts w:ascii="Times New Roman" w:hAnsi="Times New Roman"/>
          <w:sz w:val="28"/>
          <w:szCs w:val="28"/>
        </w:rPr>
        <w:t xml:space="preserve">можливо </w:t>
      </w:r>
      <w:r>
        <w:rPr>
          <w:rFonts w:ascii="Times New Roman" w:hAnsi="Times New Roman"/>
          <w:sz w:val="28"/>
          <w:szCs w:val="28"/>
        </w:rPr>
        <w:t>набуде значення нижчого</w:t>
      </w:r>
      <w:r w:rsidR="00236C45">
        <w:rPr>
          <w:rFonts w:ascii="Times New Roman" w:hAnsi="Times New Roman"/>
          <w:sz w:val="28"/>
          <w:szCs w:val="28"/>
        </w:rPr>
        <w:t>,</w:t>
      </w:r>
      <w:r>
        <w:rPr>
          <w:rFonts w:ascii="Times New Roman" w:hAnsi="Times New Roman"/>
          <w:sz w:val="28"/>
          <w:szCs w:val="28"/>
        </w:rPr>
        <w:t xml:space="preserve"> ніж встановлено регулятором </w:t>
      </w:r>
      <w:r w:rsidR="00236C45">
        <w:rPr>
          <w:rFonts w:ascii="Times New Roman" w:hAnsi="Times New Roman"/>
          <w:sz w:val="28"/>
          <w:szCs w:val="28"/>
        </w:rPr>
        <w:t>у</w:t>
      </w:r>
      <w:r>
        <w:rPr>
          <w:rFonts w:ascii="Times New Roman" w:hAnsi="Times New Roman"/>
          <w:sz w:val="28"/>
          <w:szCs w:val="28"/>
        </w:rPr>
        <w:t xml:space="preserve"> 60%.</w:t>
      </w:r>
      <w:r w:rsidR="00236C45">
        <w:rPr>
          <w:rFonts w:ascii="Times New Roman" w:hAnsi="Times New Roman"/>
          <w:sz w:val="28"/>
          <w:szCs w:val="28"/>
        </w:rPr>
        <w:t xml:space="preserve"> Досягнення нормативу короткострокової ліквідності 211,7%, яке можливе за рахунок зміни коштів банків, говорить про можливий надлишок ліквідних коштів </w:t>
      </w:r>
      <w:r w:rsidR="00236C45" w:rsidRPr="00236C45">
        <w:rPr>
          <w:rFonts w:ascii="Times New Roman" w:hAnsi="Times New Roman"/>
          <w:sz w:val="28"/>
          <w:szCs w:val="28"/>
        </w:rPr>
        <w:t>та незбалансованість ресурсної бази</w:t>
      </w:r>
      <w:r w:rsidR="00236C45">
        <w:rPr>
          <w:rFonts w:ascii="Times New Roman" w:hAnsi="Times New Roman"/>
          <w:sz w:val="28"/>
          <w:szCs w:val="28"/>
        </w:rPr>
        <w:t>, що</w:t>
      </w:r>
      <w:r w:rsidR="00236C45" w:rsidRPr="00236C45">
        <w:rPr>
          <w:rFonts w:ascii="Times New Roman" w:hAnsi="Times New Roman"/>
          <w:sz w:val="28"/>
          <w:szCs w:val="28"/>
        </w:rPr>
        <w:t xml:space="preserve"> негативно впли</w:t>
      </w:r>
      <w:r w:rsidR="00236C45">
        <w:rPr>
          <w:rFonts w:ascii="Times New Roman" w:hAnsi="Times New Roman"/>
          <w:sz w:val="28"/>
          <w:szCs w:val="28"/>
        </w:rPr>
        <w:t xml:space="preserve">не на </w:t>
      </w:r>
      <w:r w:rsidR="00236C45" w:rsidRPr="00236C45">
        <w:rPr>
          <w:rFonts w:ascii="Times New Roman" w:hAnsi="Times New Roman"/>
          <w:sz w:val="28"/>
          <w:szCs w:val="28"/>
        </w:rPr>
        <w:t xml:space="preserve">формування фінансового результату </w:t>
      </w:r>
      <w:r w:rsidR="00236C45">
        <w:rPr>
          <w:rFonts w:ascii="Times New Roman" w:hAnsi="Times New Roman"/>
          <w:sz w:val="28"/>
          <w:szCs w:val="28"/>
        </w:rPr>
        <w:t>Б</w:t>
      </w:r>
      <w:r w:rsidR="00236C45" w:rsidRPr="00236C45">
        <w:rPr>
          <w:rFonts w:ascii="Times New Roman" w:hAnsi="Times New Roman"/>
          <w:sz w:val="28"/>
          <w:szCs w:val="28"/>
        </w:rPr>
        <w:t>анк</w:t>
      </w:r>
      <w:r w:rsidR="00236C45">
        <w:rPr>
          <w:rFonts w:ascii="Times New Roman" w:hAnsi="Times New Roman"/>
          <w:sz w:val="28"/>
          <w:szCs w:val="28"/>
        </w:rPr>
        <w:t>у.</w:t>
      </w:r>
      <w:r w:rsidR="00236C45" w:rsidRPr="00236C45">
        <w:rPr>
          <w:rFonts w:ascii="Times New Roman" w:hAnsi="Times New Roman"/>
          <w:sz w:val="28"/>
          <w:szCs w:val="28"/>
        </w:rPr>
        <w:t xml:space="preserve"> </w:t>
      </w:r>
    </w:p>
    <w:p w:rsidR="00A7283C" w:rsidRDefault="00A7283C" w:rsidP="00A7283C">
      <w:pPr>
        <w:spacing w:before="240" w:after="0" w:line="360" w:lineRule="auto"/>
        <w:ind w:firstLine="709"/>
        <w:jc w:val="center"/>
        <w:rPr>
          <w:rFonts w:ascii="Times New Roman" w:hAnsi="Times New Roman"/>
          <w:sz w:val="28"/>
          <w:szCs w:val="28"/>
        </w:rPr>
      </w:pPr>
      <w:r>
        <w:rPr>
          <w:noProof/>
          <w:lang w:eastAsia="uk-UA"/>
        </w:rPr>
        <w:drawing>
          <wp:inline distT="0" distB="0" distL="0" distR="0" wp14:anchorId="4820A87E" wp14:editId="4221A3CF">
            <wp:extent cx="4572000" cy="2743200"/>
            <wp:effectExtent l="0" t="0" r="0" b="0"/>
            <wp:docPr id="310" name="Диаграмма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36C45" w:rsidRDefault="00A7283C" w:rsidP="00A7283C">
      <w:pPr>
        <w:spacing w:after="0" w:line="360" w:lineRule="auto"/>
        <w:ind w:firstLine="709"/>
        <w:jc w:val="both"/>
        <w:rPr>
          <w:rFonts w:ascii="Times New Roman" w:hAnsi="Times New Roman"/>
          <w:sz w:val="28"/>
          <w:szCs w:val="28"/>
        </w:rPr>
      </w:pPr>
      <w:r>
        <w:rPr>
          <w:rFonts w:ascii="Times New Roman" w:hAnsi="Times New Roman"/>
          <w:sz w:val="28"/>
          <w:szCs w:val="28"/>
        </w:rPr>
        <w:t>де Ряд 2 - м</w:t>
      </w:r>
      <w:r w:rsidRPr="00A7283C">
        <w:rPr>
          <w:rFonts w:ascii="Times New Roman" w:hAnsi="Times New Roman"/>
          <w:sz w:val="28"/>
          <w:szCs w:val="28"/>
        </w:rPr>
        <w:t>аксимальне значення</w:t>
      </w:r>
      <w:r>
        <w:rPr>
          <w:rFonts w:ascii="Times New Roman" w:hAnsi="Times New Roman"/>
          <w:sz w:val="28"/>
          <w:szCs w:val="28"/>
        </w:rPr>
        <w:t xml:space="preserve"> у </w:t>
      </w:r>
      <w:r w:rsidRPr="00A7283C">
        <w:rPr>
          <w:rFonts w:ascii="Times New Roman" w:hAnsi="Times New Roman"/>
          <w:sz w:val="28"/>
          <w:szCs w:val="28"/>
        </w:rPr>
        <w:t>%</w:t>
      </w:r>
      <w:r>
        <w:rPr>
          <w:rFonts w:ascii="Times New Roman" w:hAnsi="Times New Roman"/>
          <w:sz w:val="28"/>
          <w:szCs w:val="28"/>
        </w:rPr>
        <w:t>;</w:t>
      </w:r>
    </w:p>
    <w:p w:rsidR="00A7283C" w:rsidRDefault="00A7283C" w:rsidP="00A7283C">
      <w:pPr>
        <w:spacing w:after="0" w:line="360" w:lineRule="auto"/>
        <w:ind w:firstLine="709"/>
        <w:jc w:val="both"/>
        <w:rPr>
          <w:rFonts w:ascii="Times New Roman" w:hAnsi="Times New Roman"/>
          <w:sz w:val="28"/>
          <w:szCs w:val="28"/>
        </w:rPr>
      </w:pPr>
      <w:r>
        <w:rPr>
          <w:rFonts w:ascii="Times New Roman" w:hAnsi="Times New Roman"/>
          <w:sz w:val="28"/>
          <w:szCs w:val="28"/>
        </w:rPr>
        <w:t xml:space="preserve">     Ряд 1 - м</w:t>
      </w:r>
      <w:r w:rsidRPr="00A7283C">
        <w:rPr>
          <w:rFonts w:ascii="Times New Roman" w:hAnsi="Times New Roman"/>
          <w:sz w:val="28"/>
          <w:szCs w:val="28"/>
        </w:rPr>
        <w:t>інімальне значення</w:t>
      </w:r>
      <w:r>
        <w:rPr>
          <w:rFonts w:ascii="Times New Roman" w:hAnsi="Times New Roman"/>
          <w:sz w:val="28"/>
          <w:szCs w:val="28"/>
        </w:rPr>
        <w:t xml:space="preserve"> у</w:t>
      </w:r>
      <w:r w:rsidRPr="00A7283C">
        <w:rPr>
          <w:rFonts w:ascii="Times New Roman" w:hAnsi="Times New Roman"/>
          <w:sz w:val="28"/>
          <w:szCs w:val="28"/>
        </w:rPr>
        <w:t xml:space="preserve"> %</w:t>
      </w:r>
      <w:r>
        <w:rPr>
          <w:rFonts w:ascii="Times New Roman" w:hAnsi="Times New Roman"/>
          <w:sz w:val="28"/>
          <w:szCs w:val="28"/>
        </w:rPr>
        <w:t>.</w:t>
      </w:r>
    </w:p>
    <w:p w:rsidR="008733F4" w:rsidRDefault="008733F4" w:rsidP="00683B8A">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 3.2. </w:t>
      </w:r>
      <w:r w:rsidR="00683B8A">
        <w:rPr>
          <w:rFonts w:ascii="Times New Roman" w:hAnsi="Times New Roman"/>
          <w:sz w:val="28"/>
          <w:szCs w:val="28"/>
        </w:rPr>
        <w:t>Мінімальні та максимальні прогнозні значення коефіцієнтів ліквідності АТ «Ідея Банк»</w:t>
      </w:r>
    </w:p>
    <w:p w:rsidR="00236C45" w:rsidRDefault="00BE2C44" w:rsidP="00BE2C44">
      <w:pPr>
        <w:spacing w:after="0" w:line="360" w:lineRule="auto"/>
        <w:ind w:firstLine="709"/>
        <w:jc w:val="both"/>
        <w:rPr>
          <w:rFonts w:ascii="Times New Roman" w:hAnsi="Times New Roman"/>
          <w:sz w:val="28"/>
          <w:szCs w:val="28"/>
        </w:rPr>
      </w:pPr>
      <w:r w:rsidRPr="00BE2C44">
        <w:rPr>
          <w:rFonts w:ascii="Times New Roman" w:hAnsi="Times New Roman"/>
          <w:sz w:val="28"/>
          <w:szCs w:val="28"/>
        </w:rPr>
        <w:t>Узагальнюючи</w:t>
      </w:r>
      <w:r w:rsidR="008733F4" w:rsidRPr="00BE2C44">
        <w:rPr>
          <w:rFonts w:ascii="Times New Roman" w:hAnsi="Times New Roman"/>
          <w:sz w:val="28"/>
          <w:szCs w:val="28"/>
        </w:rPr>
        <w:t xml:space="preserve"> </w:t>
      </w:r>
      <w:r w:rsidRPr="00BE2C44">
        <w:rPr>
          <w:rFonts w:ascii="Times New Roman" w:hAnsi="Times New Roman"/>
          <w:sz w:val="28"/>
          <w:szCs w:val="28"/>
        </w:rPr>
        <w:t>результати проведеного дослідження</w:t>
      </w:r>
      <w:r w:rsidR="008733F4" w:rsidRPr="00BE2C44">
        <w:rPr>
          <w:rFonts w:ascii="Times New Roman" w:hAnsi="Times New Roman"/>
          <w:sz w:val="28"/>
          <w:szCs w:val="28"/>
        </w:rPr>
        <w:t xml:space="preserve">, </w:t>
      </w:r>
      <w:r w:rsidRPr="00BE2C44">
        <w:rPr>
          <w:rFonts w:ascii="Times New Roman" w:hAnsi="Times New Roman"/>
          <w:sz w:val="28"/>
          <w:szCs w:val="28"/>
        </w:rPr>
        <w:t xml:space="preserve">зауважимо, </w:t>
      </w:r>
      <w:r w:rsidR="008733F4" w:rsidRPr="00BE2C44">
        <w:rPr>
          <w:rFonts w:ascii="Times New Roman" w:hAnsi="Times New Roman"/>
          <w:sz w:val="28"/>
          <w:szCs w:val="28"/>
        </w:rPr>
        <w:t>що використання наведених вище розрахунків та прогнозів допоможуть АТ «</w:t>
      </w:r>
      <w:r w:rsidRPr="00BE2C44">
        <w:rPr>
          <w:rFonts w:ascii="Times New Roman" w:hAnsi="Times New Roman"/>
          <w:sz w:val="28"/>
          <w:szCs w:val="28"/>
        </w:rPr>
        <w:t>Ідея Банк</w:t>
      </w:r>
      <w:r w:rsidR="008733F4" w:rsidRPr="00BE2C44">
        <w:rPr>
          <w:rFonts w:ascii="Times New Roman" w:hAnsi="Times New Roman"/>
          <w:sz w:val="28"/>
          <w:szCs w:val="28"/>
        </w:rPr>
        <w:t xml:space="preserve">» </w:t>
      </w:r>
      <w:r w:rsidRPr="00BE2C44">
        <w:rPr>
          <w:rFonts w:ascii="Times New Roman" w:hAnsi="Times New Roman"/>
          <w:sz w:val="28"/>
          <w:szCs w:val="28"/>
        </w:rPr>
        <w:t>в управлінні та регулюванні</w:t>
      </w:r>
      <w:r w:rsidR="008733F4" w:rsidRPr="00BE2C44">
        <w:rPr>
          <w:rFonts w:ascii="Times New Roman" w:hAnsi="Times New Roman"/>
          <w:sz w:val="28"/>
          <w:szCs w:val="28"/>
        </w:rPr>
        <w:t xml:space="preserve"> рівня ліквідності</w:t>
      </w:r>
      <w:r w:rsidRPr="00BE2C44">
        <w:rPr>
          <w:rFonts w:ascii="Times New Roman" w:hAnsi="Times New Roman"/>
          <w:sz w:val="28"/>
          <w:szCs w:val="28"/>
        </w:rPr>
        <w:t>, який можна здійснювати</w:t>
      </w:r>
      <w:r w:rsidR="008733F4" w:rsidRPr="00BE2C44">
        <w:rPr>
          <w:rFonts w:ascii="Times New Roman" w:hAnsi="Times New Roman"/>
          <w:sz w:val="28"/>
          <w:szCs w:val="28"/>
        </w:rPr>
        <w:t xml:space="preserve"> за рахунок окремих складових активів та зобов’язань </w:t>
      </w:r>
      <w:r w:rsidRPr="00BE2C44">
        <w:rPr>
          <w:rFonts w:ascii="Times New Roman" w:hAnsi="Times New Roman"/>
          <w:sz w:val="28"/>
          <w:szCs w:val="28"/>
        </w:rPr>
        <w:t>Б</w:t>
      </w:r>
      <w:r w:rsidR="008733F4" w:rsidRPr="00BE2C44">
        <w:rPr>
          <w:rFonts w:ascii="Times New Roman" w:hAnsi="Times New Roman"/>
          <w:sz w:val="28"/>
          <w:szCs w:val="28"/>
        </w:rPr>
        <w:t>анку.</w:t>
      </w:r>
      <w:r>
        <w:rPr>
          <w:rFonts w:ascii="Times New Roman" w:hAnsi="Times New Roman"/>
          <w:sz w:val="28"/>
          <w:szCs w:val="28"/>
        </w:rPr>
        <w:t xml:space="preserve"> </w:t>
      </w:r>
      <w:r w:rsidR="00236C45" w:rsidRPr="00BE2C44">
        <w:rPr>
          <w:rFonts w:ascii="Times New Roman" w:hAnsi="Times New Roman"/>
          <w:sz w:val="28"/>
          <w:szCs w:val="28"/>
        </w:rPr>
        <w:t xml:space="preserve">Механічне </w:t>
      </w:r>
      <w:r w:rsidR="005641BA">
        <w:rPr>
          <w:rFonts w:ascii="Times New Roman" w:hAnsi="Times New Roman"/>
          <w:sz w:val="28"/>
          <w:szCs w:val="28"/>
        </w:rPr>
        <w:t xml:space="preserve">ж </w:t>
      </w:r>
      <w:r w:rsidR="00236C45" w:rsidRPr="00BE2C44">
        <w:rPr>
          <w:rFonts w:ascii="Times New Roman" w:hAnsi="Times New Roman"/>
          <w:sz w:val="28"/>
          <w:szCs w:val="28"/>
        </w:rPr>
        <w:t xml:space="preserve">дотримання нормативів без прогнозування, без </w:t>
      </w:r>
      <w:r>
        <w:rPr>
          <w:rFonts w:ascii="Times New Roman" w:hAnsi="Times New Roman"/>
          <w:sz w:val="28"/>
          <w:szCs w:val="28"/>
        </w:rPr>
        <w:t>ефективного</w:t>
      </w:r>
      <w:r w:rsidR="00236C45" w:rsidRPr="00BE2C44">
        <w:rPr>
          <w:rFonts w:ascii="Times New Roman" w:hAnsi="Times New Roman"/>
          <w:sz w:val="28"/>
          <w:szCs w:val="28"/>
        </w:rPr>
        <w:t xml:space="preserve"> управління ліквідністю зменшує прибутковість </w:t>
      </w:r>
      <w:r>
        <w:rPr>
          <w:rFonts w:ascii="Times New Roman" w:hAnsi="Times New Roman"/>
          <w:sz w:val="28"/>
          <w:szCs w:val="28"/>
        </w:rPr>
        <w:t>Б</w:t>
      </w:r>
      <w:r w:rsidR="00236C45" w:rsidRPr="00BE2C44">
        <w:rPr>
          <w:rFonts w:ascii="Times New Roman" w:hAnsi="Times New Roman"/>
          <w:sz w:val="28"/>
          <w:szCs w:val="28"/>
        </w:rPr>
        <w:t xml:space="preserve">анку та не гарантує </w:t>
      </w:r>
      <w:r>
        <w:rPr>
          <w:rFonts w:ascii="Times New Roman" w:hAnsi="Times New Roman"/>
          <w:sz w:val="28"/>
          <w:szCs w:val="28"/>
        </w:rPr>
        <w:t xml:space="preserve">його </w:t>
      </w:r>
      <w:r w:rsidR="00236C45" w:rsidRPr="00BE2C44">
        <w:rPr>
          <w:rFonts w:ascii="Times New Roman" w:hAnsi="Times New Roman"/>
          <w:sz w:val="28"/>
          <w:szCs w:val="28"/>
        </w:rPr>
        <w:t>фінансової стійкості в майбутньому.</w:t>
      </w:r>
    </w:p>
    <w:p w:rsidR="00A976E8" w:rsidRDefault="00A976E8">
      <w:pPr>
        <w:spacing w:line="259" w:lineRule="auto"/>
        <w:rPr>
          <w:rFonts w:ascii="Times New Roman" w:hAnsi="Times New Roman"/>
          <w:sz w:val="28"/>
          <w:szCs w:val="28"/>
        </w:rPr>
      </w:pPr>
      <w:r>
        <w:rPr>
          <w:rFonts w:ascii="Times New Roman" w:hAnsi="Times New Roman"/>
          <w:sz w:val="28"/>
          <w:szCs w:val="28"/>
        </w:rPr>
        <w:br w:type="page"/>
      </w:r>
    </w:p>
    <w:p w:rsidR="00A9642B" w:rsidRPr="00A9642B" w:rsidRDefault="00A9642B" w:rsidP="00A9642B">
      <w:pPr>
        <w:spacing w:after="0" w:line="360" w:lineRule="auto"/>
        <w:ind w:firstLine="708"/>
        <w:jc w:val="both"/>
        <w:rPr>
          <w:rFonts w:ascii="Times New Roman" w:eastAsiaTheme="minorHAnsi" w:hAnsi="Times New Roman"/>
          <w:sz w:val="28"/>
          <w:szCs w:val="28"/>
        </w:rPr>
      </w:pPr>
      <w:r w:rsidRPr="00A9642B">
        <w:rPr>
          <w:rFonts w:ascii="Times New Roman" w:eastAsiaTheme="minorHAnsi" w:hAnsi="Times New Roman"/>
          <w:sz w:val="28"/>
          <w:szCs w:val="28"/>
        </w:rPr>
        <w:lastRenderedPageBreak/>
        <w:t>3.3. Розробка моделі управління ліквідністю комерційного банку в умовах системної фінансової кризи</w:t>
      </w:r>
    </w:p>
    <w:p w:rsidR="001C5451" w:rsidRDefault="001C5451" w:rsidP="001C5451">
      <w:pPr>
        <w:spacing w:after="0" w:line="360" w:lineRule="auto"/>
        <w:ind w:firstLine="709"/>
        <w:jc w:val="both"/>
        <w:rPr>
          <w:rFonts w:ascii="Times New Roman" w:eastAsiaTheme="minorHAnsi" w:hAnsi="Times New Roman"/>
          <w:sz w:val="28"/>
          <w:szCs w:val="28"/>
        </w:rPr>
      </w:pPr>
    </w:p>
    <w:p w:rsidR="001C5451" w:rsidRDefault="001C5451" w:rsidP="00251EB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Розробка та п</w:t>
      </w:r>
      <w:r w:rsidRPr="001C5451">
        <w:rPr>
          <w:rFonts w:ascii="Times New Roman" w:eastAsiaTheme="minorHAnsi" w:hAnsi="Times New Roman"/>
          <w:sz w:val="28"/>
          <w:szCs w:val="28"/>
        </w:rPr>
        <w:t xml:space="preserve">обудова моделі управління ліквідністю комерційного банку </w:t>
      </w:r>
      <w:r w:rsidR="00DE0BAE">
        <w:rPr>
          <w:rFonts w:ascii="Times New Roman" w:eastAsiaTheme="minorHAnsi" w:hAnsi="Times New Roman"/>
          <w:sz w:val="28"/>
          <w:szCs w:val="28"/>
        </w:rPr>
        <w:t>майже не</w:t>
      </w:r>
      <w:r w:rsidRPr="001C5451">
        <w:rPr>
          <w:rFonts w:ascii="Times New Roman" w:eastAsiaTheme="minorHAnsi" w:hAnsi="Times New Roman"/>
          <w:sz w:val="28"/>
          <w:szCs w:val="28"/>
        </w:rPr>
        <w:t>можлива без зміни «культури» управління</w:t>
      </w:r>
      <w:r w:rsidR="00251EB8">
        <w:rPr>
          <w:rFonts w:ascii="Times New Roman" w:eastAsiaTheme="minorHAnsi" w:hAnsi="Times New Roman"/>
          <w:sz w:val="28"/>
          <w:szCs w:val="28"/>
        </w:rPr>
        <w:t xml:space="preserve"> банківською установою</w:t>
      </w:r>
      <w:r w:rsidRPr="001C5451">
        <w:rPr>
          <w:rFonts w:ascii="Times New Roman" w:eastAsiaTheme="minorHAnsi" w:hAnsi="Times New Roman"/>
          <w:sz w:val="28"/>
          <w:szCs w:val="28"/>
        </w:rPr>
        <w:t>. Зміна «культури» управління</w:t>
      </w:r>
      <w:r w:rsidR="00DE0BAE">
        <w:rPr>
          <w:rFonts w:ascii="Times New Roman" w:eastAsiaTheme="minorHAnsi" w:hAnsi="Times New Roman"/>
          <w:sz w:val="28"/>
          <w:szCs w:val="28"/>
        </w:rPr>
        <w:t>,</w:t>
      </w:r>
      <w:r w:rsidRPr="001C5451">
        <w:rPr>
          <w:rFonts w:ascii="Times New Roman" w:eastAsiaTheme="minorHAnsi" w:hAnsi="Times New Roman"/>
          <w:sz w:val="28"/>
          <w:szCs w:val="28"/>
        </w:rPr>
        <w:t xml:space="preserve"> перш за все</w:t>
      </w:r>
      <w:r w:rsidR="00DE0BAE">
        <w:rPr>
          <w:rFonts w:ascii="Times New Roman" w:eastAsiaTheme="minorHAnsi" w:hAnsi="Times New Roman"/>
          <w:sz w:val="28"/>
          <w:szCs w:val="28"/>
        </w:rPr>
        <w:t>,</w:t>
      </w:r>
      <w:r w:rsidRPr="001C5451">
        <w:rPr>
          <w:rFonts w:ascii="Times New Roman" w:eastAsiaTheme="minorHAnsi" w:hAnsi="Times New Roman"/>
          <w:sz w:val="28"/>
          <w:szCs w:val="28"/>
        </w:rPr>
        <w:t xml:space="preserve"> потребує значної політичної волі від керівництва комерційного банку. </w:t>
      </w:r>
      <w:r w:rsidR="00251EB8">
        <w:rPr>
          <w:rFonts w:ascii="Times New Roman" w:eastAsiaTheme="minorHAnsi" w:hAnsi="Times New Roman"/>
          <w:sz w:val="28"/>
          <w:szCs w:val="28"/>
        </w:rPr>
        <w:t>У</w:t>
      </w:r>
      <w:r w:rsidRPr="001C5451">
        <w:rPr>
          <w:rFonts w:ascii="Times New Roman" w:eastAsiaTheme="minorHAnsi" w:hAnsi="Times New Roman"/>
          <w:sz w:val="28"/>
          <w:szCs w:val="28"/>
        </w:rPr>
        <w:t xml:space="preserve">правління ліквідністю </w:t>
      </w:r>
      <w:r w:rsidR="00251EB8">
        <w:rPr>
          <w:rFonts w:ascii="Times New Roman" w:eastAsiaTheme="minorHAnsi" w:hAnsi="Times New Roman"/>
          <w:sz w:val="28"/>
          <w:szCs w:val="28"/>
        </w:rPr>
        <w:t xml:space="preserve">комерційного </w:t>
      </w:r>
      <w:r w:rsidRPr="001C5451">
        <w:rPr>
          <w:rFonts w:ascii="Times New Roman" w:eastAsiaTheme="minorHAnsi" w:hAnsi="Times New Roman"/>
          <w:sz w:val="28"/>
          <w:szCs w:val="28"/>
        </w:rPr>
        <w:t xml:space="preserve">банку </w:t>
      </w:r>
      <w:r w:rsidR="00251EB8">
        <w:rPr>
          <w:rFonts w:ascii="Times New Roman" w:eastAsiaTheme="minorHAnsi" w:hAnsi="Times New Roman"/>
          <w:sz w:val="28"/>
          <w:szCs w:val="28"/>
        </w:rPr>
        <w:t>-</w:t>
      </w:r>
      <w:r w:rsidRPr="001C5451">
        <w:rPr>
          <w:rFonts w:ascii="Times New Roman" w:eastAsiaTheme="minorHAnsi" w:hAnsi="Times New Roman"/>
          <w:sz w:val="28"/>
          <w:szCs w:val="28"/>
        </w:rPr>
        <w:t xml:space="preserve">це складний </w:t>
      </w:r>
      <w:r w:rsidR="00251EB8">
        <w:rPr>
          <w:rFonts w:ascii="Times New Roman" w:eastAsiaTheme="minorHAnsi" w:hAnsi="Times New Roman"/>
          <w:sz w:val="28"/>
          <w:szCs w:val="28"/>
        </w:rPr>
        <w:t xml:space="preserve">вид управлінської діяльності, </w:t>
      </w:r>
      <w:r w:rsidRPr="001C5451">
        <w:rPr>
          <w:rFonts w:ascii="Times New Roman" w:eastAsiaTheme="minorHAnsi" w:hAnsi="Times New Roman"/>
          <w:sz w:val="28"/>
          <w:szCs w:val="28"/>
        </w:rPr>
        <w:t xml:space="preserve">внутрішній процес, який </w:t>
      </w:r>
      <w:r w:rsidR="00251EB8" w:rsidRPr="001C5451">
        <w:rPr>
          <w:rFonts w:ascii="Times New Roman" w:eastAsiaTheme="minorHAnsi" w:hAnsi="Times New Roman"/>
          <w:sz w:val="28"/>
          <w:szCs w:val="28"/>
        </w:rPr>
        <w:t>потребує</w:t>
      </w:r>
      <w:r w:rsidRPr="001C5451">
        <w:rPr>
          <w:rFonts w:ascii="Times New Roman" w:eastAsiaTheme="minorHAnsi" w:hAnsi="Times New Roman"/>
          <w:sz w:val="28"/>
          <w:szCs w:val="28"/>
        </w:rPr>
        <w:t xml:space="preserve"> значних зусиль не лише керівництва банку, а й усіх його </w:t>
      </w:r>
      <w:r w:rsidR="00251EB8">
        <w:rPr>
          <w:rFonts w:ascii="Times New Roman" w:eastAsiaTheme="minorHAnsi" w:hAnsi="Times New Roman"/>
          <w:sz w:val="28"/>
          <w:szCs w:val="28"/>
        </w:rPr>
        <w:t>структурних підрозділів, працівників</w:t>
      </w:r>
      <w:r w:rsidRPr="001C5451">
        <w:rPr>
          <w:rFonts w:ascii="Times New Roman" w:eastAsiaTheme="minorHAnsi" w:hAnsi="Times New Roman"/>
          <w:sz w:val="28"/>
          <w:szCs w:val="28"/>
        </w:rPr>
        <w:t xml:space="preserve">. </w:t>
      </w:r>
    </w:p>
    <w:p w:rsidR="00251EB8" w:rsidRPr="00EA51CA" w:rsidRDefault="00251EB8" w:rsidP="00251EB8">
      <w:pPr>
        <w:spacing w:after="0" w:line="360" w:lineRule="auto"/>
        <w:ind w:firstLine="709"/>
        <w:jc w:val="both"/>
        <w:rPr>
          <w:rFonts w:ascii="Times New Roman" w:hAnsi="Times New Roman"/>
          <w:sz w:val="28"/>
          <w:szCs w:val="28"/>
        </w:rPr>
      </w:pPr>
      <w:r>
        <w:rPr>
          <w:rFonts w:ascii="Times New Roman" w:hAnsi="Times New Roman"/>
          <w:sz w:val="28"/>
          <w:szCs w:val="28"/>
        </w:rPr>
        <w:t>На сьогодні в теорії банківського менеджменту виділяють три основні підходи до управління</w:t>
      </w:r>
      <w:r w:rsidRPr="00EA51CA">
        <w:rPr>
          <w:rFonts w:ascii="Times New Roman" w:hAnsi="Times New Roman"/>
          <w:sz w:val="28"/>
          <w:szCs w:val="28"/>
        </w:rPr>
        <w:t xml:space="preserve">, які доцільно використовувати </w:t>
      </w:r>
      <w:r>
        <w:rPr>
          <w:rFonts w:ascii="Times New Roman" w:hAnsi="Times New Roman"/>
          <w:sz w:val="28"/>
          <w:szCs w:val="28"/>
        </w:rPr>
        <w:t xml:space="preserve">й </w:t>
      </w:r>
      <w:r w:rsidRPr="00EA51CA">
        <w:rPr>
          <w:rFonts w:ascii="Times New Roman" w:hAnsi="Times New Roman"/>
          <w:sz w:val="28"/>
          <w:szCs w:val="28"/>
        </w:rPr>
        <w:t>по відношенню до управління ліквідністю</w:t>
      </w:r>
      <w:r>
        <w:rPr>
          <w:rFonts w:ascii="Times New Roman" w:hAnsi="Times New Roman"/>
          <w:sz w:val="28"/>
          <w:szCs w:val="28"/>
        </w:rPr>
        <w:t>, а саме: процесний, системний, ситуаційний підходи.</w:t>
      </w:r>
    </w:p>
    <w:p w:rsidR="001E63B4" w:rsidRDefault="001E63B4" w:rsidP="001E63B4">
      <w:pPr>
        <w:spacing w:after="0" w:line="360" w:lineRule="auto"/>
        <w:ind w:firstLine="709"/>
        <w:jc w:val="both"/>
        <w:rPr>
          <w:rFonts w:ascii="Times New Roman" w:hAnsi="Times New Roman"/>
          <w:sz w:val="28"/>
          <w:szCs w:val="28"/>
        </w:rPr>
      </w:pPr>
      <w:r>
        <w:rPr>
          <w:rFonts w:ascii="Times New Roman" w:hAnsi="Times New Roman"/>
          <w:sz w:val="28"/>
          <w:szCs w:val="28"/>
        </w:rPr>
        <w:t>Базуючись на результатах аналізу наукової економічної літератури констатуємо, що б</w:t>
      </w:r>
      <w:r w:rsidRPr="001E63B4">
        <w:rPr>
          <w:rFonts w:ascii="Times New Roman" w:hAnsi="Times New Roman"/>
          <w:sz w:val="28"/>
          <w:szCs w:val="28"/>
        </w:rPr>
        <w:t xml:space="preserve">ільшість </w:t>
      </w:r>
      <w:r>
        <w:rPr>
          <w:rFonts w:ascii="Times New Roman" w:hAnsi="Times New Roman"/>
          <w:sz w:val="28"/>
          <w:szCs w:val="28"/>
        </w:rPr>
        <w:t>вчених</w:t>
      </w:r>
      <w:r w:rsidRPr="001E63B4">
        <w:rPr>
          <w:rFonts w:ascii="Times New Roman" w:hAnsi="Times New Roman"/>
          <w:sz w:val="28"/>
          <w:szCs w:val="28"/>
        </w:rPr>
        <w:t xml:space="preserve"> при дослідженні управління ліквідністю </w:t>
      </w:r>
      <w:r>
        <w:rPr>
          <w:rFonts w:ascii="Times New Roman" w:hAnsi="Times New Roman"/>
          <w:sz w:val="28"/>
          <w:szCs w:val="28"/>
        </w:rPr>
        <w:t xml:space="preserve">комерційного </w:t>
      </w:r>
      <w:r w:rsidRPr="001E63B4">
        <w:rPr>
          <w:rFonts w:ascii="Times New Roman" w:hAnsi="Times New Roman"/>
          <w:sz w:val="28"/>
          <w:szCs w:val="28"/>
        </w:rPr>
        <w:t xml:space="preserve">банку розглядають її за процесним підходом як: </w:t>
      </w:r>
    </w:p>
    <w:p w:rsidR="001E63B4" w:rsidRDefault="001E63B4" w:rsidP="001E63B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6C0A23">
        <w:rPr>
          <w:rFonts w:ascii="Times New Roman" w:hAnsi="Times New Roman"/>
          <w:sz w:val="28"/>
          <w:szCs w:val="28"/>
        </w:rPr>
        <w:t>«…</w:t>
      </w:r>
      <w:r w:rsidRPr="001E63B4">
        <w:rPr>
          <w:rFonts w:ascii="Times New Roman" w:hAnsi="Times New Roman"/>
          <w:sz w:val="28"/>
          <w:szCs w:val="28"/>
        </w:rPr>
        <w:t>процес управління активами та зобов’язаннями з то</w:t>
      </w:r>
      <w:r>
        <w:rPr>
          <w:rFonts w:ascii="Times New Roman" w:hAnsi="Times New Roman"/>
          <w:sz w:val="28"/>
          <w:szCs w:val="28"/>
        </w:rPr>
        <w:t>чки зору управління ліквідністю</w:t>
      </w:r>
      <w:r w:rsidR="006C0A23">
        <w:rPr>
          <w:rFonts w:ascii="Times New Roman" w:hAnsi="Times New Roman"/>
          <w:sz w:val="28"/>
          <w:szCs w:val="28"/>
        </w:rPr>
        <w:t>…»</w:t>
      </w:r>
      <w:r w:rsidRPr="001E63B4">
        <w:rPr>
          <w:rFonts w:ascii="Times New Roman" w:hAnsi="Times New Roman"/>
          <w:sz w:val="28"/>
          <w:szCs w:val="28"/>
        </w:rPr>
        <w:t xml:space="preserve"> [</w:t>
      </w:r>
      <w:r w:rsidR="00683F74">
        <w:rPr>
          <w:rFonts w:ascii="Times New Roman" w:hAnsi="Times New Roman"/>
          <w:sz w:val="28"/>
          <w:szCs w:val="28"/>
        </w:rPr>
        <w:t>49</w:t>
      </w:r>
      <w:r w:rsidRPr="001E63B4">
        <w:rPr>
          <w:rFonts w:ascii="Times New Roman" w:hAnsi="Times New Roman"/>
          <w:sz w:val="28"/>
          <w:szCs w:val="28"/>
        </w:rPr>
        <w:t xml:space="preserve">]; </w:t>
      </w:r>
    </w:p>
    <w:p w:rsidR="001E63B4" w:rsidRDefault="001E63B4" w:rsidP="001E63B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6C0A23">
        <w:rPr>
          <w:rFonts w:ascii="Times New Roman" w:hAnsi="Times New Roman"/>
          <w:sz w:val="28"/>
          <w:szCs w:val="28"/>
        </w:rPr>
        <w:t>«…</w:t>
      </w:r>
      <w:r w:rsidRPr="001E63B4">
        <w:rPr>
          <w:rFonts w:ascii="Times New Roman" w:hAnsi="Times New Roman"/>
          <w:sz w:val="28"/>
          <w:szCs w:val="28"/>
        </w:rPr>
        <w:t>складний багатоетапний та безперервний процес, що є сукупністю підходів і методів, за допомогою яких здійснюють діагностику та планування ліквідності, що дає змогу банкам обмежити рівень риз</w:t>
      </w:r>
      <w:r>
        <w:rPr>
          <w:rFonts w:ascii="Times New Roman" w:hAnsi="Times New Roman"/>
          <w:sz w:val="28"/>
          <w:szCs w:val="28"/>
        </w:rPr>
        <w:t>ику незбалансованої ліквідності</w:t>
      </w:r>
      <w:r w:rsidR="006C0A23">
        <w:rPr>
          <w:rFonts w:ascii="Times New Roman" w:hAnsi="Times New Roman"/>
          <w:sz w:val="28"/>
          <w:szCs w:val="28"/>
        </w:rPr>
        <w:t>…»</w:t>
      </w:r>
      <w:r w:rsidRPr="001E63B4">
        <w:rPr>
          <w:rFonts w:ascii="Times New Roman" w:hAnsi="Times New Roman"/>
          <w:sz w:val="28"/>
          <w:szCs w:val="28"/>
        </w:rPr>
        <w:t xml:space="preserve"> [</w:t>
      </w:r>
      <w:r w:rsidR="00683F74">
        <w:rPr>
          <w:rFonts w:ascii="Times New Roman" w:hAnsi="Times New Roman"/>
          <w:sz w:val="28"/>
          <w:szCs w:val="28"/>
        </w:rPr>
        <w:t>66</w:t>
      </w:r>
      <w:r w:rsidRPr="001E63B4">
        <w:rPr>
          <w:rFonts w:ascii="Times New Roman" w:hAnsi="Times New Roman"/>
          <w:sz w:val="28"/>
          <w:szCs w:val="28"/>
        </w:rPr>
        <w:t xml:space="preserve">]; </w:t>
      </w:r>
    </w:p>
    <w:p w:rsidR="00251EB8" w:rsidRPr="001E63B4" w:rsidRDefault="001E63B4" w:rsidP="001E63B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6C0A23">
        <w:rPr>
          <w:rFonts w:ascii="Times New Roman" w:hAnsi="Times New Roman"/>
          <w:sz w:val="28"/>
          <w:szCs w:val="28"/>
        </w:rPr>
        <w:t>«…</w:t>
      </w:r>
      <w:r w:rsidRPr="001E63B4">
        <w:rPr>
          <w:rFonts w:ascii="Times New Roman" w:hAnsi="Times New Roman"/>
          <w:sz w:val="28"/>
          <w:szCs w:val="28"/>
        </w:rPr>
        <w:t>процес аналізу, планування, регулювання та контролю рівня ліквідності банку на основі застосування визначеного інструментарію з метою поєднання максимізації прибутковості та обов’язкового додержання норм ліквідності</w:t>
      </w:r>
      <w:r w:rsidR="006C0A23">
        <w:rPr>
          <w:rFonts w:ascii="Times New Roman" w:hAnsi="Times New Roman"/>
          <w:sz w:val="28"/>
          <w:szCs w:val="28"/>
        </w:rPr>
        <w:t>…»</w:t>
      </w:r>
      <w:r w:rsidRPr="001E63B4">
        <w:rPr>
          <w:rFonts w:ascii="Times New Roman" w:hAnsi="Times New Roman"/>
          <w:sz w:val="28"/>
          <w:szCs w:val="28"/>
        </w:rPr>
        <w:t xml:space="preserve"> [</w:t>
      </w:r>
      <w:r w:rsidR="00683F74">
        <w:rPr>
          <w:rFonts w:ascii="Times New Roman" w:hAnsi="Times New Roman"/>
          <w:sz w:val="28"/>
          <w:szCs w:val="28"/>
        </w:rPr>
        <w:t>67</w:t>
      </w:r>
      <w:r w:rsidRPr="001E63B4">
        <w:rPr>
          <w:rFonts w:ascii="Times New Roman" w:hAnsi="Times New Roman"/>
          <w:sz w:val="28"/>
          <w:szCs w:val="28"/>
        </w:rPr>
        <w:t>].</w:t>
      </w:r>
    </w:p>
    <w:p w:rsidR="001E63B4" w:rsidRDefault="006C0A23" w:rsidP="006C0A23">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Узагальнюючи думки вчених щодо </w:t>
      </w:r>
      <w:r w:rsidRPr="006C0A23">
        <w:rPr>
          <w:rFonts w:ascii="Times New Roman" w:hAnsi="Times New Roman"/>
          <w:sz w:val="28"/>
          <w:szCs w:val="28"/>
        </w:rPr>
        <w:t>управління ліквідністю комерційного банку</w:t>
      </w:r>
      <w:r>
        <w:rPr>
          <w:rFonts w:ascii="Times New Roman" w:hAnsi="Times New Roman"/>
          <w:sz w:val="28"/>
          <w:szCs w:val="28"/>
        </w:rPr>
        <w:t xml:space="preserve"> за системним підходом зазначимо, що це «…</w:t>
      </w:r>
      <w:r w:rsidRPr="006C0A23">
        <w:rPr>
          <w:rFonts w:ascii="Times New Roman" w:hAnsi="Times New Roman"/>
          <w:sz w:val="28"/>
          <w:szCs w:val="28"/>
        </w:rPr>
        <w:t>цілеспрямов</w:t>
      </w:r>
      <w:r>
        <w:rPr>
          <w:rFonts w:ascii="Times New Roman" w:hAnsi="Times New Roman"/>
          <w:sz w:val="28"/>
          <w:szCs w:val="28"/>
        </w:rPr>
        <w:t xml:space="preserve">ана діяльність, що базується на </w:t>
      </w:r>
      <w:r w:rsidRPr="006C0A23">
        <w:rPr>
          <w:rFonts w:ascii="Times New Roman" w:hAnsi="Times New Roman"/>
          <w:sz w:val="28"/>
          <w:szCs w:val="28"/>
        </w:rPr>
        <w:t>загальноприйнятих принципах управління та передбачає взаємоузгоджене поєднання окремих елементів системи в</w:t>
      </w:r>
      <w:r>
        <w:rPr>
          <w:rFonts w:ascii="Times New Roman" w:hAnsi="Times New Roman"/>
          <w:sz w:val="28"/>
          <w:szCs w:val="28"/>
        </w:rPr>
        <w:t xml:space="preserve"> </w:t>
      </w:r>
      <w:r w:rsidRPr="006C0A23">
        <w:rPr>
          <w:rFonts w:ascii="Times New Roman" w:hAnsi="Times New Roman"/>
          <w:sz w:val="28"/>
          <w:szCs w:val="28"/>
        </w:rPr>
        <w:t xml:space="preserve">межах наявного </w:t>
      </w:r>
      <w:r w:rsidRPr="006C0A23">
        <w:rPr>
          <w:rFonts w:ascii="Times New Roman" w:hAnsi="Times New Roman"/>
          <w:sz w:val="28"/>
          <w:szCs w:val="28"/>
        </w:rPr>
        <w:lastRenderedPageBreak/>
        <w:t>забезпечення з метою отримання максимального ефекту синергії під час їх взаємодії</w:t>
      </w:r>
      <w:r>
        <w:rPr>
          <w:rFonts w:ascii="Times New Roman" w:hAnsi="Times New Roman"/>
          <w:sz w:val="28"/>
          <w:szCs w:val="28"/>
        </w:rPr>
        <w:t xml:space="preserve">…» </w:t>
      </w:r>
      <w:r w:rsidRPr="001E63B4">
        <w:rPr>
          <w:rFonts w:ascii="Times New Roman" w:hAnsi="Times New Roman"/>
          <w:sz w:val="28"/>
          <w:szCs w:val="28"/>
        </w:rPr>
        <w:t>[</w:t>
      </w:r>
      <w:r>
        <w:rPr>
          <w:rFonts w:ascii="Times New Roman" w:hAnsi="Times New Roman"/>
          <w:sz w:val="28"/>
          <w:szCs w:val="28"/>
        </w:rPr>
        <w:t>79, с. 104</w:t>
      </w:r>
      <w:r w:rsidRPr="001E63B4">
        <w:rPr>
          <w:rFonts w:ascii="Times New Roman" w:hAnsi="Times New Roman"/>
          <w:sz w:val="28"/>
          <w:szCs w:val="28"/>
        </w:rPr>
        <w:t>].</w:t>
      </w:r>
    </w:p>
    <w:p w:rsidR="001E63B4" w:rsidRDefault="00CE3A9E" w:rsidP="001C545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умовах </w:t>
      </w:r>
      <w:r w:rsidRPr="00CE3A9E">
        <w:rPr>
          <w:rFonts w:ascii="Times New Roman" w:hAnsi="Times New Roman"/>
          <w:sz w:val="28"/>
          <w:szCs w:val="28"/>
        </w:rPr>
        <w:t>системної фінансової кризи</w:t>
      </w:r>
      <w:r>
        <w:rPr>
          <w:rFonts w:ascii="Times New Roman" w:hAnsi="Times New Roman"/>
          <w:sz w:val="28"/>
          <w:szCs w:val="28"/>
        </w:rPr>
        <w:t xml:space="preserve"> особлива увага приділяється саме системному підходу до </w:t>
      </w:r>
      <w:r w:rsidRPr="00CE3A9E">
        <w:rPr>
          <w:rFonts w:ascii="Times New Roman" w:hAnsi="Times New Roman"/>
          <w:sz w:val="28"/>
          <w:szCs w:val="28"/>
        </w:rPr>
        <w:t>управління ліквідністю комерційного банку</w:t>
      </w:r>
      <w:r>
        <w:rPr>
          <w:rFonts w:ascii="Times New Roman" w:hAnsi="Times New Roman"/>
          <w:sz w:val="28"/>
          <w:szCs w:val="28"/>
        </w:rPr>
        <w:t xml:space="preserve">. В основу зазначеного підходу покладено базові принципи управління ліквідністю. Системний підхід до </w:t>
      </w:r>
      <w:r w:rsidRPr="00CE3A9E">
        <w:rPr>
          <w:rFonts w:ascii="Times New Roman" w:hAnsi="Times New Roman"/>
          <w:sz w:val="28"/>
          <w:szCs w:val="28"/>
        </w:rPr>
        <w:t>управління ліквідністю комерційного банку</w:t>
      </w:r>
      <w:r>
        <w:rPr>
          <w:rFonts w:ascii="Times New Roman" w:hAnsi="Times New Roman"/>
          <w:sz w:val="28"/>
          <w:szCs w:val="28"/>
        </w:rPr>
        <w:t xml:space="preserve"> враховує вплив зовнішніх та внутрішніх факторів на ліквідність з метою найефективнішого досягнення цілей банку. </w:t>
      </w:r>
    </w:p>
    <w:p w:rsidR="001E63B4" w:rsidRDefault="00051CC9" w:rsidP="00051CC9">
      <w:pPr>
        <w:spacing w:after="0" w:line="360" w:lineRule="auto"/>
        <w:ind w:firstLine="709"/>
        <w:jc w:val="both"/>
        <w:rPr>
          <w:rFonts w:ascii="Times New Roman" w:hAnsi="Times New Roman"/>
          <w:sz w:val="28"/>
          <w:szCs w:val="28"/>
        </w:rPr>
      </w:pPr>
      <w:r>
        <w:rPr>
          <w:rFonts w:ascii="Times New Roman" w:hAnsi="Times New Roman"/>
          <w:sz w:val="28"/>
          <w:szCs w:val="28"/>
        </w:rPr>
        <w:t>Аналізуючи систему управління ризиками АТ «Ідея Банк» необхідно зазначити, що функціонує вона</w:t>
      </w:r>
      <w:r w:rsidRPr="00051CC9">
        <w:rPr>
          <w:rFonts w:ascii="Times New Roman" w:hAnsi="Times New Roman"/>
          <w:sz w:val="28"/>
          <w:szCs w:val="28"/>
        </w:rPr>
        <w:t xml:space="preserve"> </w:t>
      </w:r>
      <w:r>
        <w:rPr>
          <w:rFonts w:ascii="Times New Roman" w:hAnsi="Times New Roman"/>
          <w:sz w:val="28"/>
          <w:szCs w:val="28"/>
        </w:rPr>
        <w:t xml:space="preserve">стосовно фінансових, кредитних, </w:t>
      </w:r>
      <w:r w:rsidRPr="00051CC9">
        <w:rPr>
          <w:rFonts w:ascii="Times New Roman" w:hAnsi="Times New Roman"/>
          <w:sz w:val="28"/>
          <w:szCs w:val="28"/>
        </w:rPr>
        <w:t xml:space="preserve">операційних ризиків, </w:t>
      </w:r>
      <w:proofErr w:type="spellStart"/>
      <w:r w:rsidRPr="00051CC9">
        <w:rPr>
          <w:rFonts w:ascii="Times New Roman" w:hAnsi="Times New Roman"/>
          <w:sz w:val="28"/>
          <w:szCs w:val="28"/>
        </w:rPr>
        <w:t>комплаєнс</w:t>
      </w:r>
      <w:proofErr w:type="spellEnd"/>
      <w:r w:rsidRPr="00051CC9">
        <w:rPr>
          <w:rFonts w:ascii="Times New Roman" w:hAnsi="Times New Roman"/>
          <w:sz w:val="28"/>
          <w:szCs w:val="28"/>
        </w:rPr>
        <w:t>-ризику</w:t>
      </w:r>
      <w:r>
        <w:rPr>
          <w:rFonts w:ascii="Times New Roman" w:hAnsi="Times New Roman"/>
          <w:sz w:val="28"/>
          <w:szCs w:val="28"/>
        </w:rPr>
        <w:t>,</w:t>
      </w:r>
      <w:r w:rsidRPr="00051CC9">
        <w:rPr>
          <w:rFonts w:ascii="Times New Roman" w:hAnsi="Times New Roman"/>
          <w:sz w:val="28"/>
          <w:szCs w:val="28"/>
        </w:rPr>
        <w:t xml:space="preserve"> а також інших суттєвих ризиків. Фінансові ризики</w:t>
      </w:r>
      <w:r>
        <w:rPr>
          <w:rFonts w:ascii="Times New Roman" w:hAnsi="Times New Roman"/>
          <w:sz w:val="28"/>
          <w:szCs w:val="28"/>
        </w:rPr>
        <w:t xml:space="preserve"> </w:t>
      </w:r>
      <w:r w:rsidRPr="00051CC9">
        <w:rPr>
          <w:rFonts w:ascii="Times New Roman" w:hAnsi="Times New Roman"/>
          <w:sz w:val="28"/>
          <w:szCs w:val="28"/>
        </w:rPr>
        <w:t>складаються з ринкового ризику (який включає валютний ризик, процентний ризик та інший</w:t>
      </w:r>
      <w:r>
        <w:rPr>
          <w:rFonts w:ascii="Times New Roman" w:hAnsi="Times New Roman"/>
          <w:sz w:val="28"/>
          <w:szCs w:val="28"/>
        </w:rPr>
        <w:t xml:space="preserve"> </w:t>
      </w:r>
      <w:r w:rsidRPr="00051CC9">
        <w:rPr>
          <w:rFonts w:ascii="Times New Roman" w:hAnsi="Times New Roman"/>
          <w:sz w:val="28"/>
          <w:szCs w:val="28"/>
        </w:rPr>
        <w:t>ціновий ризик) та ризик ліквідності</w:t>
      </w:r>
      <w:r>
        <w:rPr>
          <w:rFonts w:ascii="Times New Roman" w:hAnsi="Times New Roman"/>
          <w:sz w:val="28"/>
          <w:szCs w:val="28"/>
        </w:rPr>
        <w:t xml:space="preserve"> </w:t>
      </w:r>
      <w:r w:rsidRPr="00051CC9">
        <w:rPr>
          <w:rFonts w:ascii="Times New Roman" w:hAnsi="Times New Roman"/>
          <w:sz w:val="28"/>
          <w:szCs w:val="28"/>
        </w:rPr>
        <w:t>[</w:t>
      </w:r>
      <w:r>
        <w:rPr>
          <w:rFonts w:ascii="Times New Roman" w:hAnsi="Times New Roman"/>
          <w:sz w:val="28"/>
          <w:szCs w:val="28"/>
        </w:rPr>
        <w:t>51</w:t>
      </w:r>
      <w:r w:rsidRPr="00051CC9">
        <w:rPr>
          <w:rFonts w:ascii="Times New Roman" w:hAnsi="Times New Roman"/>
          <w:sz w:val="28"/>
          <w:szCs w:val="28"/>
        </w:rPr>
        <w:t>].</w:t>
      </w:r>
      <w:r w:rsidR="00592E7E">
        <w:rPr>
          <w:rFonts w:ascii="Times New Roman" w:hAnsi="Times New Roman"/>
          <w:sz w:val="28"/>
          <w:szCs w:val="28"/>
        </w:rPr>
        <w:t xml:space="preserve"> </w:t>
      </w:r>
    </w:p>
    <w:p w:rsidR="00A26D1D" w:rsidRDefault="00592E7E" w:rsidP="00A26D1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Відповідно до інформації, яка розміщена на офіційному сайті АТ «Ідея Банк», управління ризиком ліквідності передбачає </w:t>
      </w:r>
      <w:r w:rsidRPr="00592E7E">
        <w:rPr>
          <w:rFonts w:ascii="Times New Roman" w:hAnsi="Times New Roman"/>
          <w:sz w:val="28"/>
          <w:szCs w:val="28"/>
        </w:rPr>
        <w:t xml:space="preserve">їх ідентифікацію, оцінку, аналіз, моніторинг та управління. Управління ризиком ліквідності реалізується через упровадження засобів контролю за ризиками, встановлення лімітів їхнього допустимого рівня, здійснення постійного моніторингу та контролю за дотриманням установлених тригерів та </w:t>
      </w:r>
      <w:proofErr w:type="spellStart"/>
      <w:r w:rsidRPr="00592E7E">
        <w:rPr>
          <w:rFonts w:ascii="Times New Roman" w:hAnsi="Times New Roman"/>
          <w:sz w:val="28"/>
          <w:szCs w:val="28"/>
        </w:rPr>
        <w:t>бенчмарків</w:t>
      </w:r>
      <w:proofErr w:type="spellEnd"/>
      <w:r w:rsidRPr="00592E7E">
        <w:rPr>
          <w:rFonts w:ascii="Times New Roman" w:hAnsi="Times New Roman"/>
          <w:sz w:val="28"/>
          <w:szCs w:val="28"/>
        </w:rPr>
        <w:t>, а також через проведення періодичного стрес-тестування [51].</w:t>
      </w:r>
      <w:r w:rsidR="00A26D1D" w:rsidRPr="00A26D1D">
        <w:rPr>
          <w:rFonts w:ascii="Times New Roman" w:hAnsi="Times New Roman"/>
          <w:sz w:val="28"/>
          <w:szCs w:val="28"/>
        </w:rPr>
        <w:t xml:space="preserve"> </w:t>
      </w:r>
    </w:p>
    <w:p w:rsidR="00A26D1D" w:rsidRDefault="00A26D1D" w:rsidP="00A26D1D">
      <w:pPr>
        <w:spacing w:after="0" w:line="360" w:lineRule="auto"/>
        <w:ind w:firstLine="709"/>
        <w:jc w:val="both"/>
        <w:rPr>
          <w:rFonts w:ascii="Times New Roman" w:hAnsi="Times New Roman"/>
          <w:sz w:val="28"/>
          <w:szCs w:val="28"/>
        </w:rPr>
      </w:pPr>
      <w:r w:rsidRPr="00BA0A65">
        <w:rPr>
          <w:rFonts w:ascii="Times New Roman" w:hAnsi="Times New Roman"/>
          <w:sz w:val="28"/>
          <w:szCs w:val="28"/>
        </w:rPr>
        <w:t>Процес управління ризиком ліквідності АТ «Ідея Банк» передбачає:</w:t>
      </w:r>
    </w:p>
    <w:p w:rsidR="00A26D1D" w:rsidRPr="00E24E88" w:rsidRDefault="00A26D1D" w:rsidP="00A26D1D">
      <w:pPr>
        <w:spacing w:after="0" w:line="360" w:lineRule="auto"/>
        <w:ind w:firstLine="709"/>
        <w:jc w:val="both"/>
        <w:rPr>
          <w:rFonts w:ascii="Times New Roman" w:hAnsi="Times New Roman"/>
          <w:sz w:val="28"/>
          <w:szCs w:val="28"/>
        </w:rPr>
      </w:pPr>
      <w:r>
        <w:rPr>
          <w:rFonts w:ascii="Times New Roman" w:hAnsi="Times New Roman"/>
          <w:sz w:val="28"/>
          <w:szCs w:val="28"/>
        </w:rPr>
        <w:t>-</w:t>
      </w:r>
      <w:r w:rsidRPr="00E24E88">
        <w:rPr>
          <w:rFonts w:ascii="Times New Roman" w:hAnsi="Times New Roman"/>
          <w:sz w:val="28"/>
          <w:szCs w:val="28"/>
        </w:rPr>
        <w:t xml:space="preserve"> ідентифікацію ризику, яка полягає у визначенні актуальних та потенційних джерел ризику; </w:t>
      </w:r>
    </w:p>
    <w:p w:rsidR="00A26D1D" w:rsidRPr="00E24E88" w:rsidRDefault="00A26D1D" w:rsidP="00A26D1D">
      <w:pPr>
        <w:spacing w:after="0" w:line="360" w:lineRule="auto"/>
        <w:ind w:firstLine="709"/>
        <w:jc w:val="both"/>
        <w:rPr>
          <w:rFonts w:ascii="Times New Roman" w:hAnsi="Times New Roman"/>
          <w:sz w:val="28"/>
          <w:szCs w:val="28"/>
        </w:rPr>
      </w:pPr>
      <w:r w:rsidRPr="00E24E88">
        <w:rPr>
          <w:rFonts w:ascii="Times New Roman" w:hAnsi="Times New Roman"/>
          <w:sz w:val="28"/>
          <w:szCs w:val="28"/>
        </w:rPr>
        <w:t xml:space="preserve">- кількісну оцінку (вимірювання) ризику; </w:t>
      </w:r>
    </w:p>
    <w:p w:rsidR="00A26D1D" w:rsidRPr="00E24E88" w:rsidRDefault="00A26D1D" w:rsidP="00A26D1D">
      <w:pPr>
        <w:spacing w:after="0" w:line="360" w:lineRule="auto"/>
        <w:ind w:firstLine="709"/>
        <w:jc w:val="both"/>
        <w:rPr>
          <w:rFonts w:ascii="Times New Roman" w:hAnsi="Times New Roman"/>
          <w:sz w:val="28"/>
          <w:szCs w:val="28"/>
        </w:rPr>
      </w:pPr>
      <w:r w:rsidRPr="00E24E88">
        <w:rPr>
          <w:rFonts w:ascii="Times New Roman" w:hAnsi="Times New Roman"/>
          <w:sz w:val="28"/>
          <w:szCs w:val="28"/>
        </w:rPr>
        <w:t xml:space="preserve">- аналіз впливу ризику на діяльність Банку; </w:t>
      </w:r>
    </w:p>
    <w:p w:rsidR="00A26D1D" w:rsidRPr="00E24E88" w:rsidRDefault="00A26D1D" w:rsidP="00A26D1D">
      <w:pPr>
        <w:spacing w:after="0" w:line="360" w:lineRule="auto"/>
        <w:ind w:firstLine="709"/>
        <w:jc w:val="both"/>
        <w:rPr>
          <w:rFonts w:ascii="Times New Roman" w:hAnsi="Times New Roman"/>
          <w:sz w:val="28"/>
          <w:szCs w:val="28"/>
        </w:rPr>
      </w:pPr>
      <w:r w:rsidRPr="00E24E88">
        <w:rPr>
          <w:rFonts w:ascii="Times New Roman" w:hAnsi="Times New Roman"/>
          <w:sz w:val="28"/>
          <w:szCs w:val="28"/>
        </w:rPr>
        <w:t xml:space="preserve">- управління ризиком, яке, зокрема, полягає у встановленні допустимого (прийнятного) рівня ризику, плануванні діяльності, наданні рекомендацій, розпоряджень, створенні процедур та інших внутрішніх нормативно-правових документів; </w:t>
      </w:r>
    </w:p>
    <w:p w:rsidR="00A26D1D" w:rsidRPr="00E24E88" w:rsidRDefault="00A26D1D" w:rsidP="00A26D1D">
      <w:pPr>
        <w:spacing w:after="0" w:line="360" w:lineRule="auto"/>
        <w:ind w:firstLine="709"/>
        <w:jc w:val="both"/>
        <w:rPr>
          <w:rFonts w:ascii="Times New Roman" w:hAnsi="Times New Roman"/>
          <w:sz w:val="28"/>
          <w:szCs w:val="28"/>
        </w:rPr>
      </w:pPr>
      <w:r w:rsidRPr="00E24E88">
        <w:rPr>
          <w:rFonts w:ascii="Times New Roman" w:hAnsi="Times New Roman"/>
          <w:sz w:val="28"/>
          <w:szCs w:val="28"/>
        </w:rPr>
        <w:t xml:space="preserve">- моніторинг ризику, що полягає у постійному нагляді за рівнем ризику відповідно до прийнятих Банком методів вимірювання ризику; </w:t>
      </w:r>
    </w:p>
    <w:p w:rsidR="00A26D1D" w:rsidRDefault="00A26D1D" w:rsidP="00A26D1D">
      <w:pPr>
        <w:spacing w:after="0" w:line="360" w:lineRule="auto"/>
        <w:ind w:firstLine="709"/>
        <w:jc w:val="both"/>
        <w:rPr>
          <w:rFonts w:ascii="Times New Roman" w:hAnsi="Times New Roman"/>
          <w:sz w:val="28"/>
          <w:szCs w:val="28"/>
        </w:rPr>
      </w:pPr>
      <w:r w:rsidRPr="00E24E88">
        <w:rPr>
          <w:rFonts w:ascii="Times New Roman" w:hAnsi="Times New Roman"/>
          <w:sz w:val="28"/>
          <w:szCs w:val="28"/>
        </w:rPr>
        <w:lastRenderedPageBreak/>
        <w:t>- звітування, яке передбачає періодичне інформування керівництва Банку про розмір ризику та вжиті Банком заходи щодо утримання ризику під контролем [51].</w:t>
      </w:r>
    </w:p>
    <w:p w:rsidR="00A26D1D" w:rsidRDefault="00A26D1D" w:rsidP="00A26D1D">
      <w:pPr>
        <w:spacing w:after="0" w:line="360" w:lineRule="auto"/>
        <w:ind w:firstLine="709"/>
        <w:jc w:val="both"/>
        <w:rPr>
          <w:rFonts w:ascii="Times New Roman" w:hAnsi="Times New Roman"/>
          <w:sz w:val="28"/>
          <w:szCs w:val="28"/>
        </w:rPr>
      </w:pPr>
      <w:r w:rsidRPr="00A26D1D">
        <w:rPr>
          <w:rFonts w:ascii="Times New Roman" w:hAnsi="Times New Roman"/>
          <w:sz w:val="28"/>
          <w:szCs w:val="28"/>
        </w:rPr>
        <w:t>АТ «Ідея Банк» організовує систему управління ризиками, яка ґрунтується на розподілі обов’язків між підрозділами Банку із застосуванням моделі трь</w:t>
      </w:r>
      <w:r w:rsidR="00745225">
        <w:rPr>
          <w:rFonts w:ascii="Times New Roman" w:hAnsi="Times New Roman"/>
          <w:sz w:val="28"/>
          <w:szCs w:val="28"/>
        </w:rPr>
        <w:t>ох ліній захисту (див. рис. 3.3</w:t>
      </w:r>
      <w:r w:rsidRPr="00A26D1D">
        <w:rPr>
          <w:rFonts w:ascii="Times New Roman" w:hAnsi="Times New Roman"/>
          <w:sz w:val="28"/>
          <w:szCs w:val="28"/>
        </w:rPr>
        <w:t>)</w:t>
      </w:r>
      <w:r>
        <w:rPr>
          <w:rFonts w:ascii="Times New Roman" w:hAnsi="Times New Roman"/>
          <w:sz w:val="28"/>
          <w:szCs w:val="28"/>
        </w:rPr>
        <w:t>.</w:t>
      </w:r>
    </w:p>
    <w:p w:rsidR="00A26D1D" w:rsidRDefault="00A26D1D" w:rsidP="00A26D1D">
      <w:pPr>
        <w:spacing w:after="0" w:line="360" w:lineRule="auto"/>
        <w:jc w:val="both"/>
        <w:rPr>
          <w:rFonts w:ascii="Times New Roman" w:hAnsi="Times New Roman"/>
          <w:sz w:val="28"/>
          <w:szCs w:val="28"/>
        </w:rPr>
      </w:pPr>
      <w:r>
        <w:rPr>
          <w:rFonts w:ascii="Times New Roman" w:hAnsi="Times New Roman"/>
          <w:noProof/>
          <w:sz w:val="28"/>
          <w:szCs w:val="28"/>
          <w:lang w:eastAsia="uk-UA"/>
        </w:rPr>
        <mc:AlternateContent>
          <mc:Choice Requires="wpc">
            <w:drawing>
              <wp:inline distT="0" distB="0" distL="0" distR="0">
                <wp:extent cx="6149340" cy="3726180"/>
                <wp:effectExtent l="0" t="0" r="0" b="0"/>
                <wp:docPr id="346" name="Полотно 3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7" name="Прямоугольник 347"/>
                        <wps:cNvSpPr/>
                        <wps:spPr>
                          <a:xfrm>
                            <a:off x="1021080" y="213360"/>
                            <a:ext cx="3185160" cy="4419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DB272F" w:rsidRDefault="00F821E3" w:rsidP="00DB272F">
                              <w:pPr>
                                <w:jc w:val="center"/>
                                <w:rPr>
                                  <w:rFonts w:ascii="Times New Roman" w:hAnsi="Times New Roman"/>
                                  <w:color w:val="000000" w:themeColor="text1"/>
                                  <w:sz w:val="24"/>
                                  <w:szCs w:val="24"/>
                                </w:rPr>
                              </w:pPr>
                              <w:r w:rsidRPr="00DB272F">
                                <w:rPr>
                                  <w:rFonts w:ascii="Times New Roman" w:hAnsi="Times New Roman"/>
                                  <w:color w:val="000000" w:themeColor="text1"/>
                                  <w:sz w:val="24"/>
                                  <w:szCs w:val="24"/>
                                </w:rPr>
                                <w:t>Модел</w:t>
                              </w:r>
                              <w:r>
                                <w:rPr>
                                  <w:rFonts w:ascii="Times New Roman" w:hAnsi="Times New Roman"/>
                                  <w:color w:val="000000" w:themeColor="text1"/>
                                  <w:sz w:val="24"/>
                                  <w:szCs w:val="24"/>
                                </w:rPr>
                                <w:t>і</w:t>
                              </w:r>
                              <w:r w:rsidRPr="00DB272F">
                                <w:rPr>
                                  <w:rFonts w:ascii="Times New Roman" w:hAnsi="Times New Roman"/>
                                  <w:color w:val="000000" w:themeColor="text1"/>
                                  <w:sz w:val="24"/>
                                  <w:szCs w:val="24"/>
                                </w:rPr>
                                <w:t xml:space="preserve"> трьох ліній 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Прямоугольник 351"/>
                        <wps:cNvSpPr/>
                        <wps:spPr>
                          <a:xfrm>
                            <a:off x="2141220" y="769620"/>
                            <a:ext cx="3787140" cy="914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DB272F" w:rsidRDefault="00F821E3" w:rsidP="00DB272F">
                              <w:pPr>
                                <w:jc w:val="both"/>
                                <w:rPr>
                                  <w:rFonts w:ascii="Times New Roman" w:hAnsi="Times New Roman"/>
                                  <w:color w:val="000000" w:themeColor="text1"/>
                                  <w:sz w:val="24"/>
                                  <w:szCs w:val="24"/>
                                </w:rPr>
                              </w:pPr>
                              <w:r w:rsidRPr="00DB272F">
                                <w:rPr>
                                  <w:rFonts w:ascii="Times New Roman" w:hAnsi="Times New Roman"/>
                                  <w:color w:val="000000" w:themeColor="text1"/>
                                  <w:sz w:val="24"/>
                                  <w:szCs w:val="24"/>
                                </w:rPr>
                                <w:t>на рівні бізнес-підрозділів Банку та підрозділів підтримки діяльності Банку, які приймають на себе ризики та несуть відповідальність за них, а також подають звіти щодо поточного управління ризиками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Прямоугольник 352"/>
                        <wps:cNvSpPr/>
                        <wps:spPr>
                          <a:xfrm>
                            <a:off x="1021080" y="982980"/>
                            <a:ext cx="1028700" cy="4724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DB272F" w:rsidRDefault="00F821E3" w:rsidP="00DB272F">
                              <w:pPr>
                                <w:jc w:val="center"/>
                                <w:rPr>
                                  <w:rFonts w:ascii="Times New Roman" w:hAnsi="Times New Roman"/>
                                  <w:color w:val="000000" w:themeColor="text1"/>
                                  <w:sz w:val="24"/>
                                  <w:szCs w:val="24"/>
                                </w:rPr>
                              </w:pPr>
                              <w:r w:rsidRPr="00DB272F">
                                <w:rPr>
                                  <w:rFonts w:ascii="Times New Roman" w:hAnsi="Times New Roman"/>
                                  <w:color w:val="000000" w:themeColor="text1"/>
                                  <w:sz w:val="24"/>
                                  <w:szCs w:val="24"/>
                                </w:rPr>
                                <w:t>Перша лінія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Прямая соединительная линия 354"/>
                        <wps:cNvCnPr>
                          <a:stCxn id="352" idx="3"/>
                          <a:endCxn id="351" idx="1"/>
                        </wps:cNvCnPr>
                        <wps:spPr>
                          <a:xfrm>
                            <a:off x="2049780" y="1219200"/>
                            <a:ext cx="9144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355" name="Прямоугольник 355"/>
                        <wps:cNvSpPr/>
                        <wps:spPr>
                          <a:xfrm>
                            <a:off x="1021080" y="1981200"/>
                            <a:ext cx="1028700" cy="5105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DB272F" w:rsidRDefault="00F821E3" w:rsidP="00DB272F">
                              <w:pPr>
                                <w:jc w:val="center"/>
                                <w:rPr>
                                  <w:rFonts w:ascii="Times New Roman" w:hAnsi="Times New Roman"/>
                                  <w:color w:val="000000" w:themeColor="text1"/>
                                  <w:sz w:val="24"/>
                                  <w:szCs w:val="24"/>
                                </w:rPr>
                              </w:pPr>
                              <w:r w:rsidRPr="00DB272F">
                                <w:rPr>
                                  <w:rFonts w:ascii="Times New Roman" w:hAnsi="Times New Roman"/>
                                  <w:color w:val="000000" w:themeColor="text1"/>
                                  <w:sz w:val="24"/>
                                  <w:szCs w:val="24"/>
                                </w:rPr>
                                <w:t>Друга лінія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Прямоугольник 356"/>
                        <wps:cNvSpPr/>
                        <wps:spPr>
                          <a:xfrm>
                            <a:off x="2141220" y="1973580"/>
                            <a:ext cx="3787140" cy="548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DB272F" w:rsidRDefault="00F821E3" w:rsidP="00DB272F">
                              <w:pPr>
                                <w:jc w:val="center"/>
                                <w:rPr>
                                  <w:rFonts w:ascii="Times New Roman" w:hAnsi="Times New Roman"/>
                                  <w:color w:val="000000" w:themeColor="text1"/>
                                  <w:sz w:val="24"/>
                                  <w:szCs w:val="24"/>
                                </w:rPr>
                              </w:pPr>
                              <w:r w:rsidRPr="00DB272F">
                                <w:rPr>
                                  <w:rFonts w:ascii="Times New Roman" w:hAnsi="Times New Roman"/>
                                  <w:color w:val="000000" w:themeColor="text1"/>
                                  <w:sz w:val="24"/>
                                  <w:szCs w:val="24"/>
                                </w:rPr>
                                <w:t>на рівні підрозділ</w:t>
                              </w:r>
                              <w:r>
                                <w:rPr>
                                  <w:rFonts w:ascii="Times New Roman" w:hAnsi="Times New Roman"/>
                                  <w:color w:val="000000" w:themeColor="text1"/>
                                  <w:sz w:val="24"/>
                                  <w:szCs w:val="24"/>
                                </w:rPr>
                                <w:t>у</w:t>
                              </w:r>
                              <w:r w:rsidRPr="00DB272F">
                                <w:rPr>
                                  <w:rFonts w:ascii="Times New Roman" w:hAnsi="Times New Roman"/>
                                  <w:color w:val="000000" w:themeColor="text1"/>
                                  <w:sz w:val="24"/>
                                  <w:szCs w:val="24"/>
                                </w:rPr>
                                <w:t xml:space="preserve"> з управління ризиками, як</w:t>
                              </w:r>
                              <w:r>
                                <w:rPr>
                                  <w:rFonts w:ascii="Times New Roman" w:hAnsi="Times New Roman"/>
                                  <w:color w:val="000000" w:themeColor="text1"/>
                                  <w:sz w:val="24"/>
                                  <w:szCs w:val="24"/>
                                </w:rPr>
                                <w:t>ий</w:t>
                              </w:r>
                              <w:r w:rsidRPr="00DB272F">
                                <w:rPr>
                                  <w:rFonts w:ascii="Times New Roman" w:hAnsi="Times New Roman"/>
                                  <w:color w:val="000000" w:themeColor="text1"/>
                                  <w:sz w:val="24"/>
                                  <w:szCs w:val="24"/>
                                </w:rPr>
                                <w:t xml:space="preserve"> здійснюють контроль та управління ризиками в Банку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Прямая соединительная линия 357"/>
                        <wps:cNvCnPr>
                          <a:endCxn id="356" idx="1"/>
                        </wps:cNvCnPr>
                        <wps:spPr>
                          <a:xfrm>
                            <a:off x="2049780" y="2240280"/>
                            <a:ext cx="9144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358" name="Прямоугольник 358"/>
                        <wps:cNvSpPr/>
                        <wps:spPr>
                          <a:xfrm>
                            <a:off x="1021080" y="2834640"/>
                            <a:ext cx="1028700" cy="495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FC3D63" w:rsidRDefault="00F821E3" w:rsidP="00DB272F">
                              <w:pPr>
                                <w:jc w:val="center"/>
                                <w:rPr>
                                  <w:rFonts w:ascii="Times New Roman" w:hAnsi="Times New Roman"/>
                                  <w:color w:val="000000" w:themeColor="text1"/>
                                  <w:sz w:val="24"/>
                                  <w:szCs w:val="24"/>
                                </w:rPr>
                              </w:pPr>
                              <w:r w:rsidRPr="00FC3D63">
                                <w:rPr>
                                  <w:rFonts w:ascii="Times New Roman" w:hAnsi="Times New Roman"/>
                                  <w:color w:val="000000" w:themeColor="text1"/>
                                  <w:sz w:val="24"/>
                                  <w:szCs w:val="24"/>
                                </w:rPr>
                                <w:t>Третя лінія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Прямоугольник 359"/>
                        <wps:cNvSpPr/>
                        <wps:spPr>
                          <a:xfrm>
                            <a:off x="2141220" y="2697480"/>
                            <a:ext cx="3787140" cy="769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FC3D63" w:rsidRDefault="00F821E3" w:rsidP="00FC3D63">
                              <w:pPr>
                                <w:jc w:val="both"/>
                                <w:rPr>
                                  <w:rFonts w:ascii="Times New Roman" w:hAnsi="Times New Roman"/>
                                  <w:color w:val="000000" w:themeColor="text1"/>
                                </w:rPr>
                              </w:pPr>
                              <w:r w:rsidRPr="00FC3D63">
                                <w:rPr>
                                  <w:rFonts w:ascii="Times New Roman" w:hAnsi="Times New Roman"/>
                                  <w:color w:val="000000" w:themeColor="text1"/>
                                </w:rPr>
                                <w:t>на рівні Служби внутрішнього аудиту, яка здійснює перевірку та оцінку ефективності функціонування системи управління ризиками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Прямая соединительная линия 360"/>
                        <wps:cNvCnPr>
                          <a:stCxn id="358" idx="3"/>
                          <a:endCxn id="359" idx="1"/>
                        </wps:cNvCnPr>
                        <wps:spPr>
                          <a:xfrm>
                            <a:off x="2049780" y="3082290"/>
                            <a:ext cx="91440" cy="0"/>
                          </a:xfrm>
                          <a:prstGeom prst="line">
                            <a:avLst/>
                          </a:prstGeom>
                        </wps:spPr>
                        <wps:style>
                          <a:lnRef idx="1">
                            <a:schemeClr val="dk1"/>
                          </a:lnRef>
                          <a:fillRef idx="0">
                            <a:schemeClr val="dk1"/>
                          </a:fillRef>
                          <a:effectRef idx="0">
                            <a:schemeClr val="dk1"/>
                          </a:effectRef>
                          <a:fontRef idx="minor">
                            <a:schemeClr val="tx1"/>
                          </a:fontRef>
                        </wps:style>
                        <wps:bodyPr/>
                      </wps:wsp>
                      <wps:wsp>
                        <wps:cNvPr id="361" name="Выгнутая влево стрелка 361"/>
                        <wps:cNvSpPr/>
                        <wps:spPr>
                          <a:xfrm>
                            <a:off x="251460" y="2148840"/>
                            <a:ext cx="769620" cy="112014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Выгнутая влево стрелка 363"/>
                        <wps:cNvSpPr/>
                        <wps:spPr>
                          <a:xfrm>
                            <a:off x="289560" y="1104900"/>
                            <a:ext cx="731520" cy="131064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Выгнутая влево стрелка 364"/>
                        <wps:cNvSpPr/>
                        <wps:spPr>
                          <a:xfrm>
                            <a:off x="289560" y="340020"/>
                            <a:ext cx="731520" cy="103632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346" o:spid="_x0000_s1342" editas="canvas" style="width:484.2pt;height:293.4pt;mso-position-horizontal-relative:char;mso-position-vertical-relative:line" coordsize="61493,3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">
                <v:shape id="_x0000_s1343" type="#_x0000_t75" style="position:absolute;width:61493;height:37261;visibility:visible;mso-wrap-style:square">
                  <v:fill o:detectmouseclick="t"/>
                  <v:path o:connecttype="none"/>
                </v:shape>
                <v:rect id="Прямоугольник 347" o:spid="_x0000_s1344" style="position:absolute;left:10210;top:2133;width:31852;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" fillcolor="white [3212]" strokecolor="black [3213]" strokeweight="1pt">
                  <v:textbox>
                    <w:txbxContent>
                      <w:p w:rsidR="00F821E3" w:rsidRPr="00DB272F" w:rsidRDefault="00F821E3" w:rsidP="00DB272F">
                        <w:pPr>
                          <w:jc w:val="center"/>
                          <w:rPr>
                            <w:rFonts w:ascii="Times New Roman" w:hAnsi="Times New Roman"/>
                            <w:color w:val="000000" w:themeColor="text1"/>
                            <w:sz w:val="24"/>
                            <w:szCs w:val="24"/>
                          </w:rPr>
                        </w:pPr>
                        <w:r w:rsidRPr="00DB272F">
                          <w:rPr>
                            <w:rFonts w:ascii="Times New Roman" w:hAnsi="Times New Roman"/>
                            <w:color w:val="000000" w:themeColor="text1"/>
                            <w:sz w:val="24"/>
                            <w:szCs w:val="24"/>
                          </w:rPr>
                          <w:t>Модел</w:t>
                        </w:r>
                        <w:r>
                          <w:rPr>
                            <w:rFonts w:ascii="Times New Roman" w:hAnsi="Times New Roman"/>
                            <w:color w:val="000000" w:themeColor="text1"/>
                            <w:sz w:val="24"/>
                            <w:szCs w:val="24"/>
                          </w:rPr>
                          <w:t>і</w:t>
                        </w:r>
                        <w:r w:rsidRPr="00DB272F">
                          <w:rPr>
                            <w:rFonts w:ascii="Times New Roman" w:hAnsi="Times New Roman"/>
                            <w:color w:val="000000" w:themeColor="text1"/>
                            <w:sz w:val="24"/>
                            <w:szCs w:val="24"/>
                          </w:rPr>
                          <w:t xml:space="preserve"> трьох ліній захисту</w:t>
                        </w:r>
                      </w:p>
                    </w:txbxContent>
                  </v:textbox>
                </v:rect>
                <v:rect id="Прямоугольник 351" o:spid="_x0000_s1345" style="position:absolute;left:21412;top:7696;width:3787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" fillcolor="white [3212]" strokecolor="black [3213]" strokeweight="1pt">
                  <v:textbox>
                    <w:txbxContent>
                      <w:p w:rsidR="00F821E3" w:rsidRPr="00DB272F" w:rsidRDefault="00F821E3" w:rsidP="00DB272F">
                        <w:pPr>
                          <w:jc w:val="both"/>
                          <w:rPr>
                            <w:rFonts w:ascii="Times New Roman" w:hAnsi="Times New Roman"/>
                            <w:color w:val="000000" w:themeColor="text1"/>
                            <w:sz w:val="24"/>
                            <w:szCs w:val="24"/>
                          </w:rPr>
                        </w:pPr>
                        <w:r w:rsidRPr="00DB272F">
                          <w:rPr>
                            <w:rFonts w:ascii="Times New Roman" w:hAnsi="Times New Roman"/>
                            <w:color w:val="000000" w:themeColor="text1"/>
                            <w:sz w:val="24"/>
                            <w:szCs w:val="24"/>
                          </w:rPr>
                          <w:t>на рівні бізнес-підрозділів Банку та підрозділів підтримки діяльності Банку, які приймають на себе ризики та несуть відповідальність за них, а також подають звіти щодо поточного управління ризиками</w:t>
                        </w:r>
                      </w:p>
                    </w:txbxContent>
                  </v:textbox>
                </v:rect>
                <v:rect id="Прямоугольник 352" o:spid="_x0000_s1346" style="position:absolute;left:10210;top:9829;width:10287;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" fillcolor="white [3212]" strokecolor="black [3213]" strokeweight="1pt">
                  <v:textbox>
                    <w:txbxContent>
                      <w:p w:rsidR="00F821E3" w:rsidRPr="00DB272F" w:rsidRDefault="00F821E3" w:rsidP="00DB272F">
                        <w:pPr>
                          <w:jc w:val="center"/>
                          <w:rPr>
                            <w:rFonts w:ascii="Times New Roman" w:hAnsi="Times New Roman"/>
                            <w:color w:val="000000" w:themeColor="text1"/>
                            <w:sz w:val="24"/>
                            <w:szCs w:val="24"/>
                          </w:rPr>
                        </w:pPr>
                        <w:r w:rsidRPr="00DB272F">
                          <w:rPr>
                            <w:rFonts w:ascii="Times New Roman" w:hAnsi="Times New Roman"/>
                            <w:color w:val="000000" w:themeColor="text1"/>
                            <w:sz w:val="24"/>
                            <w:szCs w:val="24"/>
                          </w:rPr>
                          <w:t>Перша лінія</w:t>
                        </w:r>
                      </w:p>
                    </w:txbxContent>
                  </v:textbox>
                </v:rect>
                <v:line id="Прямая соединительная линия 354" o:spid="_x0000_s1347" style="position:absolute;visibility:visible;mso-wrap-style:square" from="20497,12192" to="21412,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8X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7G/yeiUdAzn8AAAD//wMAUEsBAi0AFAAGAAgAAAAhANvh9svuAAAAhQEAABMAAAAAAAAA&#10;AAAAAAAAAAAAAFtDb250ZW50X1R5cGVzXS54bWxQSwECLQAUAAYACAAAACEAWvQsW78AAAAVAQAA&#10;CwAAAAAAAAAAAAAAAAAfAQAAX3JlbHMvLnJlbHNQSwECLQAUAAYACAAAACEAQYt/F8YAAADcAAAA&#10;DwAAAAAAAAAAAAAAAAAHAgAAZHJzL2Rvd25yZXYueG1sUEsFBgAAAAADAAMAtwAAAPoCAAAAAA==&#10;" strokecolor="black [3200]" strokeweight=".5pt">
                  <v:stroke joinstyle="miter"/>
                </v:line>
                <v:rect id="Прямоугольник 355" o:spid="_x0000_s1348" style="position:absolute;left:10210;top:19812;width:10287;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" fillcolor="white [3212]" strokecolor="black [3213]" strokeweight="1pt">
                  <v:textbox>
                    <w:txbxContent>
                      <w:p w:rsidR="00F821E3" w:rsidRPr="00DB272F" w:rsidRDefault="00F821E3" w:rsidP="00DB272F">
                        <w:pPr>
                          <w:jc w:val="center"/>
                          <w:rPr>
                            <w:rFonts w:ascii="Times New Roman" w:hAnsi="Times New Roman"/>
                            <w:color w:val="000000" w:themeColor="text1"/>
                            <w:sz w:val="24"/>
                            <w:szCs w:val="24"/>
                          </w:rPr>
                        </w:pPr>
                        <w:r w:rsidRPr="00DB272F">
                          <w:rPr>
                            <w:rFonts w:ascii="Times New Roman" w:hAnsi="Times New Roman"/>
                            <w:color w:val="000000" w:themeColor="text1"/>
                            <w:sz w:val="24"/>
                            <w:szCs w:val="24"/>
                          </w:rPr>
                          <w:t>Друга лінія</w:t>
                        </w:r>
                      </w:p>
                    </w:txbxContent>
                  </v:textbox>
                </v:rect>
                <v:rect id="Прямоугольник 356" o:spid="_x0000_s1349" style="position:absolute;left:21412;top:19735;width:37871;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" fillcolor="white [3212]" strokecolor="black [3213]" strokeweight="1pt">
                  <v:textbox>
                    <w:txbxContent>
                      <w:p w:rsidR="00F821E3" w:rsidRPr="00DB272F" w:rsidRDefault="00F821E3" w:rsidP="00DB272F">
                        <w:pPr>
                          <w:jc w:val="center"/>
                          <w:rPr>
                            <w:rFonts w:ascii="Times New Roman" w:hAnsi="Times New Roman"/>
                            <w:color w:val="000000" w:themeColor="text1"/>
                            <w:sz w:val="24"/>
                            <w:szCs w:val="24"/>
                          </w:rPr>
                        </w:pPr>
                        <w:r w:rsidRPr="00DB272F">
                          <w:rPr>
                            <w:rFonts w:ascii="Times New Roman" w:hAnsi="Times New Roman"/>
                            <w:color w:val="000000" w:themeColor="text1"/>
                            <w:sz w:val="24"/>
                            <w:szCs w:val="24"/>
                          </w:rPr>
                          <w:t>на рівні підрозділ</w:t>
                        </w:r>
                        <w:r>
                          <w:rPr>
                            <w:rFonts w:ascii="Times New Roman" w:hAnsi="Times New Roman"/>
                            <w:color w:val="000000" w:themeColor="text1"/>
                            <w:sz w:val="24"/>
                            <w:szCs w:val="24"/>
                          </w:rPr>
                          <w:t>у</w:t>
                        </w:r>
                        <w:r w:rsidRPr="00DB272F">
                          <w:rPr>
                            <w:rFonts w:ascii="Times New Roman" w:hAnsi="Times New Roman"/>
                            <w:color w:val="000000" w:themeColor="text1"/>
                            <w:sz w:val="24"/>
                            <w:szCs w:val="24"/>
                          </w:rPr>
                          <w:t xml:space="preserve"> з управління ризиками, як</w:t>
                        </w:r>
                        <w:r>
                          <w:rPr>
                            <w:rFonts w:ascii="Times New Roman" w:hAnsi="Times New Roman"/>
                            <w:color w:val="000000" w:themeColor="text1"/>
                            <w:sz w:val="24"/>
                            <w:szCs w:val="24"/>
                          </w:rPr>
                          <w:t>ий</w:t>
                        </w:r>
                        <w:r w:rsidRPr="00DB272F">
                          <w:rPr>
                            <w:rFonts w:ascii="Times New Roman" w:hAnsi="Times New Roman"/>
                            <w:color w:val="000000" w:themeColor="text1"/>
                            <w:sz w:val="24"/>
                            <w:szCs w:val="24"/>
                          </w:rPr>
                          <w:t xml:space="preserve"> здійснюють контроль та управління ризиками в Банку</w:t>
                        </w:r>
                      </w:p>
                    </w:txbxContent>
                  </v:textbox>
                </v:rect>
                <v:line id="Прямая соединительная линия 357" o:spid="_x0000_s1350" style="position:absolute;visibility:visible;mso-wrap-style:square" from="20497,22402" to="21412,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Fg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O3EfyeiUdAzn8AAAD//wMAUEsBAi0AFAAGAAgAAAAhANvh9svuAAAAhQEAABMAAAAAAAAA&#10;AAAAAAAAAAAAAFtDb250ZW50X1R5cGVzXS54bWxQSwECLQAUAAYACAAAACEAWvQsW78AAAAVAQAA&#10;CwAAAAAAAAAAAAAAAAAfAQAAX3JlbHMvLnJlbHNQSwECLQAUAAYACAAAACEAsVnhYMYAAADcAAAA&#10;DwAAAAAAAAAAAAAAAAAHAgAAZHJzL2Rvd25yZXYueG1sUEsFBgAAAAADAAMAtwAAAPoCAAAAAA==&#10;" strokecolor="black [3200]" strokeweight=".5pt">
                  <v:stroke joinstyle="miter"/>
                </v:line>
                <v:rect id="Прямоугольник 358" o:spid="_x0000_s1351" style="position:absolute;left:10210;top:28346;width:1028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" fillcolor="white [3212]" strokecolor="black [3213]" strokeweight="1pt">
                  <v:textbox>
                    <w:txbxContent>
                      <w:p w:rsidR="00F821E3" w:rsidRPr="00FC3D63" w:rsidRDefault="00F821E3" w:rsidP="00DB272F">
                        <w:pPr>
                          <w:jc w:val="center"/>
                          <w:rPr>
                            <w:rFonts w:ascii="Times New Roman" w:hAnsi="Times New Roman"/>
                            <w:color w:val="000000" w:themeColor="text1"/>
                            <w:sz w:val="24"/>
                            <w:szCs w:val="24"/>
                          </w:rPr>
                        </w:pPr>
                        <w:r w:rsidRPr="00FC3D63">
                          <w:rPr>
                            <w:rFonts w:ascii="Times New Roman" w:hAnsi="Times New Roman"/>
                            <w:color w:val="000000" w:themeColor="text1"/>
                            <w:sz w:val="24"/>
                            <w:szCs w:val="24"/>
                          </w:rPr>
                          <w:t>Третя лінія</w:t>
                        </w:r>
                      </w:p>
                    </w:txbxContent>
                  </v:textbox>
                </v:rect>
                <v:rect id="Прямоугольник 359" o:spid="_x0000_s1352" style="position:absolute;left:21412;top:26974;width:37871;height:7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" fillcolor="white [3212]" strokecolor="black [3213]" strokeweight="1pt">
                  <v:textbox>
                    <w:txbxContent>
                      <w:p w:rsidR="00F821E3" w:rsidRPr="00FC3D63" w:rsidRDefault="00F821E3" w:rsidP="00FC3D63">
                        <w:pPr>
                          <w:jc w:val="both"/>
                          <w:rPr>
                            <w:rFonts w:ascii="Times New Roman" w:hAnsi="Times New Roman"/>
                            <w:color w:val="000000" w:themeColor="text1"/>
                          </w:rPr>
                        </w:pPr>
                        <w:r w:rsidRPr="00FC3D63">
                          <w:rPr>
                            <w:rFonts w:ascii="Times New Roman" w:hAnsi="Times New Roman"/>
                            <w:color w:val="000000" w:themeColor="text1"/>
                          </w:rPr>
                          <w:t>на рівні Служби внутрішнього аудиту, яка здійснює перевірку та оцінку ефективності функціонування системи управління ризиками</w:t>
                        </w:r>
                      </w:p>
                    </w:txbxContent>
                  </v:textbox>
                </v:rect>
                <v:line id="Прямая соединительная линия 360" o:spid="_x0000_s1353" style="position:absolute;visibility:visible;mso-wrap-style:square" from="20497,30822" to="21412,3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" strokecolor="black [3200]" strokeweight=".5pt">
                  <v:stroke joinstyle="miter"/>
                </v:line>
                <v:shape id="Выгнутая влево стрелка 361" o:spid="_x0000_s1354" type="#_x0000_t102" style="position:absolute;left:2514;top:21488;width:7696;height:1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" adj="14180,19745,16200" fillcolor="white [3212]" strokecolor="black [3213]" strokeweight="1pt"/>
                <v:shape id="Выгнутая влево стрелка 363" o:spid="_x0000_s1355" type="#_x0000_t102" style="position:absolute;left:2895;top:11049;width:7315;height:1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" adj="15572,20093,16200" fillcolor="white [3212]" strokecolor="black [3213]" strokeweight="1pt"/>
                <v:shape id="Выгнутая влево стрелка 364" o:spid="_x0000_s1356" type="#_x0000_t102" style="position:absolute;left:2895;top:3400;width:7315;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" adj="13976,19694,16200" fillcolor="white [3212]" strokecolor="black [3213]" strokeweight="1pt"/>
                <w10:anchorlock/>
              </v:group>
            </w:pict>
          </mc:Fallback>
        </mc:AlternateContent>
      </w:r>
    </w:p>
    <w:p w:rsidR="00592E7E" w:rsidRPr="00592E7E" w:rsidRDefault="00FC3D63" w:rsidP="00FC3D63">
      <w:pPr>
        <w:spacing w:after="0" w:line="360" w:lineRule="auto"/>
        <w:ind w:firstLine="709"/>
        <w:jc w:val="center"/>
        <w:rPr>
          <w:rFonts w:ascii="Times New Roman" w:hAnsi="Times New Roman"/>
          <w:sz w:val="28"/>
          <w:szCs w:val="28"/>
        </w:rPr>
      </w:pPr>
      <w:r>
        <w:rPr>
          <w:rFonts w:ascii="Times New Roman" w:hAnsi="Times New Roman"/>
          <w:sz w:val="28"/>
          <w:szCs w:val="28"/>
        </w:rPr>
        <w:t>Рис. 3.3. С</w:t>
      </w:r>
      <w:r w:rsidRPr="00FC3D63">
        <w:rPr>
          <w:rFonts w:ascii="Times New Roman" w:hAnsi="Times New Roman"/>
          <w:sz w:val="28"/>
          <w:szCs w:val="28"/>
        </w:rPr>
        <w:t>истем</w:t>
      </w:r>
      <w:r>
        <w:rPr>
          <w:rFonts w:ascii="Times New Roman" w:hAnsi="Times New Roman"/>
          <w:sz w:val="28"/>
          <w:szCs w:val="28"/>
        </w:rPr>
        <w:t>а</w:t>
      </w:r>
      <w:r w:rsidRPr="00FC3D63">
        <w:rPr>
          <w:rFonts w:ascii="Times New Roman" w:hAnsi="Times New Roman"/>
          <w:sz w:val="28"/>
          <w:szCs w:val="28"/>
        </w:rPr>
        <w:t xml:space="preserve"> управління ризиками</w:t>
      </w:r>
      <w:r>
        <w:rPr>
          <w:rFonts w:ascii="Times New Roman" w:hAnsi="Times New Roman"/>
          <w:sz w:val="28"/>
          <w:szCs w:val="28"/>
        </w:rPr>
        <w:t xml:space="preserve"> АТ «Ідея Банк» </w:t>
      </w:r>
      <w:r w:rsidRPr="00FC3D63">
        <w:rPr>
          <w:rFonts w:ascii="Times New Roman" w:hAnsi="Times New Roman"/>
          <w:sz w:val="28"/>
          <w:szCs w:val="28"/>
        </w:rPr>
        <w:t>із застосуванням моделі трьох ліній захисту</w:t>
      </w:r>
      <w:r w:rsidR="000B21B5">
        <w:rPr>
          <w:rFonts w:ascii="Times New Roman" w:hAnsi="Times New Roman"/>
          <w:sz w:val="28"/>
          <w:szCs w:val="28"/>
        </w:rPr>
        <w:t xml:space="preserve"> [51]</w:t>
      </w:r>
    </w:p>
    <w:p w:rsidR="00BA0A65" w:rsidRDefault="000B58F7" w:rsidP="000A7A5C">
      <w:pPr>
        <w:spacing w:after="0" w:line="360" w:lineRule="auto"/>
        <w:ind w:firstLine="709"/>
        <w:jc w:val="both"/>
        <w:rPr>
          <w:rFonts w:ascii="Times New Roman" w:hAnsi="Times New Roman"/>
          <w:sz w:val="28"/>
          <w:szCs w:val="28"/>
        </w:rPr>
      </w:pPr>
      <w:r>
        <w:rPr>
          <w:rFonts w:ascii="Times New Roman" w:hAnsi="Times New Roman"/>
          <w:sz w:val="28"/>
          <w:szCs w:val="28"/>
        </w:rPr>
        <w:t>Отже доходимо висновку, що в основу управління ліквідністю АТ «Ідея Банк» покладено саме системний підхід</w:t>
      </w:r>
      <w:r w:rsidR="000A7A5C">
        <w:rPr>
          <w:rFonts w:ascii="Times New Roman" w:hAnsi="Times New Roman"/>
          <w:sz w:val="28"/>
          <w:szCs w:val="28"/>
        </w:rPr>
        <w:t xml:space="preserve">, який має </w:t>
      </w:r>
      <w:r w:rsidR="000A7A5C" w:rsidRPr="000A7A5C">
        <w:rPr>
          <w:rFonts w:ascii="Times New Roman" w:hAnsi="Times New Roman"/>
          <w:sz w:val="28"/>
          <w:szCs w:val="28"/>
        </w:rPr>
        <w:t>структурно</w:t>
      </w:r>
      <w:r w:rsidR="000A7A5C">
        <w:rPr>
          <w:rFonts w:ascii="Times New Roman" w:hAnsi="Times New Roman"/>
          <w:sz w:val="28"/>
          <w:szCs w:val="28"/>
        </w:rPr>
        <w:t>-</w:t>
      </w:r>
      <w:r w:rsidR="000A7A5C" w:rsidRPr="000A7A5C">
        <w:rPr>
          <w:rFonts w:ascii="Times New Roman" w:hAnsi="Times New Roman"/>
          <w:sz w:val="28"/>
          <w:szCs w:val="28"/>
        </w:rPr>
        <w:t>функціональну цілісність елементів системи, а саме: об’єкт, суб’єкт, механізм управління</w:t>
      </w:r>
      <w:r w:rsidR="000A7A5C">
        <w:rPr>
          <w:rFonts w:ascii="Times New Roman" w:hAnsi="Times New Roman"/>
          <w:sz w:val="28"/>
          <w:szCs w:val="28"/>
        </w:rPr>
        <w:t xml:space="preserve"> та</w:t>
      </w:r>
      <w:r w:rsidR="008D04E5">
        <w:rPr>
          <w:rFonts w:ascii="Times New Roman" w:hAnsi="Times New Roman"/>
          <w:sz w:val="28"/>
          <w:szCs w:val="28"/>
        </w:rPr>
        <w:t xml:space="preserve"> результатом</w:t>
      </w:r>
      <w:r w:rsidR="000A7A5C" w:rsidRPr="000A7A5C">
        <w:rPr>
          <w:rFonts w:ascii="Times New Roman" w:hAnsi="Times New Roman"/>
          <w:sz w:val="28"/>
          <w:szCs w:val="28"/>
        </w:rPr>
        <w:t xml:space="preserve"> </w:t>
      </w:r>
      <w:r w:rsidR="000A7A5C">
        <w:rPr>
          <w:rFonts w:ascii="Times New Roman" w:hAnsi="Times New Roman"/>
          <w:sz w:val="28"/>
          <w:szCs w:val="28"/>
        </w:rPr>
        <w:t xml:space="preserve">їх </w:t>
      </w:r>
      <w:r w:rsidR="000A7A5C" w:rsidRPr="000A7A5C">
        <w:rPr>
          <w:rFonts w:ascii="Times New Roman" w:hAnsi="Times New Roman"/>
          <w:sz w:val="28"/>
          <w:szCs w:val="28"/>
        </w:rPr>
        <w:t xml:space="preserve">взаємодії </w:t>
      </w:r>
      <w:r w:rsidR="0072415C">
        <w:rPr>
          <w:rFonts w:ascii="Times New Roman" w:hAnsi="Times New Roman"/>
          <w:sz w:val="28"/>
          <w:szCs w:val="28"/>
        </w:rPr>
        <w:t xml:space="preserve">є </w:t>
      </w:r>
      <w:r w:rsidR="000A7A5C" w:rsidRPr="000A7A5C">
        <w:rPr>
          <w:rFonts w:ascii="Times New Roman" w:hAnsi="Times New Roman"/>
          <w:sz w:val="28"/>
          <w:szCs w:val="28"/>
        </w:rPr>
        <w:t>досягнення поставлених цілей управління ліквідністю</w:t>
      </w:r>
      <w:r>
        <w:rPr>
          <w:rFonts w:ascii="Times New Roman" w:hAnsi="Times New Roman"/>
          <w:sz w:val="28"/>
          <w:szCs w:val="28"/>
        </w:rPr>
        <w:t xml:space="preserve">. </w:t>
      </w:r>
    </w:p>
    <w:p w:rsidR="001E63B4" w:rsidRDefault="000A7A5C" w:rsidP="000A7A5C">
      <w:pPr>
        <w:spacing w:after="0" w:line="360" w:lineRule="auto"/>
        <w:ind w:firstLine="709"/>
        <w:jc w:val="both"/>
        <w:rPr>
          <w:rFonts w:ascii="Times New Roman" w:hAnsi="Times New Roman"/>
          <w:sz w:val="28"/>
          <w:szCs w:val="28"/>
        </w:rPr>
      </w:pPr>
      <w:r>
        <w:rPr>
          <w:rFonts w:ascii="Times New Roman" w:hAnsi="Times New Roman"/>
          <w:sz w:val="28"/>
          <w:szCs w:val="28"/>
        </w:rPr>
        <w:t xml:space="preserve">І на справді, як зазначалося раніше, АТ «Ідея Банк» </w:t>
      </w:r>
      <w:r w:rsidR="0072415C" w:rsidRPr="0072415C">
        <w:rPr>
          <w:rFonts w:ascii="Times New Roman" w:hAnsi="Times New Roman"/>
          <w:sz w:val="28"/>
          <w:szCs w:val="28"/>
        </w:rPr>
        <w:t>проводить досить ефективне управління ліквідністю</w:t>
      </w:r>
      <w:r w:rsidR="0072415C">
        <w:rPr>
          <w:rFonts w:ascii="Times New Roman" w:hAnsi="Times New Roman"/>
          <w:sz w:val="28"/>
          <w:szCs w:val="28"/>
        </w:rPr>
        <w:t>. Проте в умовах нестабільного зовнішнього середовища найбільш ефективною, на нашу думку, вбачається модель управління ліквідністю, яка побудована на основі ситуаційного підходу.</w:t>
      </w:r>
    </w:p>
    <w:p w:rsidR="00A9642B" w:rsidRDefault="00CD7402" w:rsidP="001C545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Процес побудови </w:t>
      </w:r>
      <w:r w:rsidRPr="00CD7402">
        <w:rPr>
          <w:rFonts w:ascii="Times New Roman" w:hAnsi="Times New Roman"/>
          <w:sz w:val="28"/>
          <w:szCs w:val="28"/>
        </w:rPr>
        <w:t>моделі управління ліквідністю комерційного банку</w:t>
      </w:r>
      <w:r w:rsidRPr="00CD7402">
        <w:t xml:space="preserve"> </w:t>
      </w:r>
      <w:r w:rsidRPr="00CD7402">
        <w:rPr>
          <w:rFonts w:ascii="Times New Roman" w:hAnsi="Times New Roman"/>
          <w:sz w:val="28"/>
          <w:szCs w:val="28"/>
        </w:rPr>
        <w:t xml:space="preserve">повинен проводитись </w:t>
      </w:r>
      <w:r w:rsidR="00DE581C">
        <w:rPr>
          <w:rFonts w:ascii="Times New Roman" w:hAnsi="Times New Roman"/>
          <w:sz w:val="28"/>
          <w:szCs w:val="28"/>
        </w:rPr>
        <w:t>з огляду на</w:t>
      </w:r>
      <w:r w:rsidRPr="00CD7402">
        <w:rPr>
          <w:rFonts w:ascii="Times New Roman" w:hAnsi="Times New Roman"/>
          <w:sz w:val="28"/>
          <w:szCs w:val="28"/>
        </w:rPr>
        <w:t xml:space="preserve"> </w:t>
      </w:r>
      <w:r>
        <w:rPr>
          <w:rFonts w:ascii="Times New Roman" w:hAnsi="Times New Roman"/>
          <w:sz w:val="28"/>
          <w:szCs w:val="28"/>
        </w:rPr>
        <w:t xml:space="preserve">його </w:t>
      </w:r>
      <w:r w:rsidRPr="00CD7402">
        <w:rPr>
          <w:rFonts w:ascii="Times New Roman" w:hAnsi="Times New Roman"/>
          <w:sz w:val="28"/>
          <w:szCs w:val="28"/>
        </w:rPr>
        <w:t>особливост</w:t>
      </w:r>
      <w:r w:rsidR="00DE581C">
        <w:rPr>
          <w:rFonts w:ascii="Times New Roman" w:hAnsi="Times New Roman"/>
          <w:sz w:val="28"/>
          <w:szCs w:val="28"/>
        </w:rPr>
        <w:t>і, а у</w:t>
      </w:r>
      <w:r w:rsidRPr="00CD7402">
        <w:rPr>
          <w:rFonts w:ascii="Times New Roman" w:hAnsi="Times New Roman"/>
          <w:sz w:val="28"/>
          <w:szCs w:val="28"/>
        </w:rPr>
        <w:t xml:space="preserve"> загальному вигляді </w:t>
      </w:r>
      <w:r w:rsidR="00DE581C">
        <w:rPr>
          <w:rFonts w:ascii="Times New Roman" w:hAnsi="Times New Roman"/>
          <w:sz w:val="28"/>
          <w:szCs w:val="28"/>
        </w:rPr>
        <w:t>має</w:t>
      </w:r>
      <w:r>
        <w:rPr>
          <w:rFonts w:ascii="Times New Roman" w:hAnsi="Times New Roman"/>
          <w:sz w:val="28"/>
          <w:szCs w:val="28"/>
        </w:rPr>
        <w:t xml:space="preserve"> включати </w:t>
      </w:r>
      <w:r w:rsidRPr="00CD7402">
        <w:rPr>
          <w:rFonts w:ascii="Times New Roman" w:hAnsi="Times New Roman"/>
          <w:sz w:val="28"/>
          <w:szCs w:val="28"/>
        </w:rPr>
        <w:t xml:space="preserve">в себе </w:t>
      </w:r>
      <w:r w:rsidR="00DE581C">
        <w:rPr>
          <w:rFonts w:ascii="Times New Roman" w:hAnsi="Times New Roman"/>
          <w:sz w:val="28"/>
          <w:szCs w:val="28"/>
        </w:rPr>
        <w:t xml:space="preserve">наступні </w:t>
      </w:r>
      <w:r w:rsidRPr="00CD7402">
        <w:rPr>
          <w:rFonts w:ascii="Times New Roman" w:hAnsi="Times New Roman"/>
          <w:sz w:val="28"/>
          <w:szCs w:val="28"/>
        </w:rPr>
        <w:t>основні етапи</w:t>
      </w:r>
      <w:r w:rsidR="00DE581C">
        <w:rPr>
          <w:rFonts w:ascii="Times New Roman" w:hAnsi="Times New Roman"/>
          <w:sz w:val="28"/>
          <w:szCs w:val="28"/>
        </w:rPr>
        <w:t xml:space="preserve"> (див. </w:t>
      </w:r>
      <w:r>
        <w:rPr>
          <w:rFonts w:ascii="Times New Roman" w:hAnsi="Times New Roman"/>
          <w:sz w:val="28"/>
          <w:szCs w:val="28"/>
        </w:rPr>
        <w:t>рис. 3.</w:t>
      </w:r>
      <w:r w:rsidR="0049103B">
        <w:rPr>
          <w:rFonts w:ascii="Times New Roman" w:hAnsi="Times New Roman"/>
          <w:sz w:val="28"/>
          <w:szCs w:val="28"/>
        </w:rPr>
        <w:t>4</w:t>
      </w:r>
      <w:r w:rsidR="00DE581C">
        <w:rPr>
          <w:rFonts w:ascii="Times New Roman" w:hAnsi="Times New Roman"/>
          <w:sz w:val="28"/>
          <w:szCs w:val="28"/>
        </w:rPr>
        <w:t>).</w:t>
      </w:r>
    </w:p>
    <w:p w:rsidR="00DE581C" w:rsidRDefault="001843EB" w:rsidP="002830DC">
      <w:pPr>
        <w:spacing w:after="0" w:line="360" w:lineRule="auto"/>
        <w:jc w:val="both"/>
        <w:rPr>
          <w:rFonts w:ascii="Times New Roman" w:hAnsi="Times New Roman"/>
          <w:sz w:val="28"/>
          <w:szCs w:val="28"/>
        </w:rPr>
      </w:pPr>
      <w:r>
        <w:rPr>
          <w:rFonts w:ascii="Times New Roman" w:hAnsi="Times New Roman"/>
          <w:noProof/>
          <w:sz w:val="28"/>
          <w:szCs w:val="28"/>
          <w:lang w:eastAsia="uk-UA"/>
        </w:rPr>
        <mc:AlternateContent>
          <mc:Choice Requires="wpc">
            <w:drawing>
              <wp:inline distT="0" distB="0" distL="0" distR="0">
                <wp:extent cx="6080760" cy="4259580"/>
                <wp:effectExtent l="0" t="0" r="15240" b="0"/>
                <wp:docPr id="308" name="Полотно 3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9" name="Прямоугольник 309"/>
                        <wps:cNvSpPr/>
                        <wps:spPr>
                          <a:xfrm>
                            <a:off x="1074420" y="281940"/>
                            <a:ext cx="4983480" cy="3733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6D6430" w:rsidRDefault="00F821E3" w:rsidP="006D6430">
                              <w:pPr>
                                <w:jc w:val="center"/>
                                <w:rPr>
                                  <w:rFonts w:ascii="Times New Roman" w:hAnsi="Times New Roman"/>
                                  <w:color w:val="000000" w:themeColor="text1"/>
                                  <w:sz w:val="24"/>
                                  <w:szCs w:val="24"/>
                                </w:rPr>
                              </w:pPr>
                              <w:r w:rsidRPr="006D6430">
                                <w:rPr>
                                  <w:rFonts w:ascii="Times New Roman" w:hAnsi="Times New Roman"/>
                                  <w:color w:val="000000" w:themeColor="text1"/>
                                  <w:sz w:val="24"/>
                                  <w:szCs w:val="24"/>
                                </w:rPr>
                                <w:t>Етапи розробки моделі управління ліквідності комерційного банку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Прямоугольник 316"/>
                        <wps:cNvSpPr/>
                        <wps:spPr>
                          <a:xfrm>
                            <a:off x="1402080" y="883920"/>
                            <a:ext cx="1485900" cy="7543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2830DC" w:rsidRDefault="00F821E3" w:rsidP="006D6430">
                              <w:pPr>
                                <w:jc w:val="center"/>
                                <w:rPr>
                                  <w:rFonts w:ascii="Times New Roman" w:hAnsi="Times New Roman"/>
                                  <w:color w:val="000000" w:themeColor="text1"/>
                                  <w:sz w:val="20"/>
                                  <w:szCs w:val="20"/>
                                </w:rPr>
                              </w:pPr>
                              <w:r w:rsidRPr="002830DC">
                                <w:rPr>
                                  <w:rFonts w:ascii="Times New Roman" w:hAnsi="Times New Roman"/>
                                  <w:color w:val="000000" w:themeColor="text1"/>
                                  <w:sz w:val="20"/>
                                  <w:szCs w:val="20"/>
                                </w:rPr>
                                <w:t>аналіз організаційно-економічних аспектів наявної системи управління ліквідністю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Прямая соединительная линия 317"/>
                        <wps:cNvCnPr/>
                        <wps:spPr>
                          <a:xfrm flipH="1">
                            <a:off x="114300" y="464820"/>
                            <a:ext cx="960120" cy="0"/>
                          </a:xfrm>
                          <a:prstGeom prst="line">
                            <a:avLst/>
                          </a:prstGeom>
                        </wps:spPr>
                        <wps:style>
                          <a:lnRef idx="1">
                            <a:schemeClr val="dk1"/>
                          </a:lnRef>
                          <a:fillRef idx="0">
                            <a:schemeClr val="dk1"/>
                          </a:fillRef>
                          <a:effectRef idx="0">
                            <a:schemeClr val="dk1"/>
                          </a:effectRef>
                          <a:fontRef idx="minor">
                            <a:schemeClr val="tx1"/>
                          </a:fontRef>
                        </wps:style>
                        <wps:bodyPr/>
                      </wps:wsp>
                      <wps:wsp>
                        <wps:cNvPr id="318" name="Прямая соединительная линия 318"/>
                        <wps:cNvCnPr/>
                        <wps:spPr>
                          <a:xfrm>
                            <a:off x="114300" y="464820"/>
                            <a:ext cx="0" cy="784860"/>
                          </a:xfrm>
                          <a:prstGeom prst="line">
                            <a:avLst/>
                          </a:prstGeom>
                        </wps:spPr>
                        <wps:style>
                          <a:lnRef idx="1">
                            <a:schemeClr val="dk1"/>
                          </a:lnRef>
                          <a:fillRef idx="0">
                            <a:schemeClr val="dk1"/>
                          </a:fillRef>
                          <a:effectRef idx="0">
                            <a:schemeClr val="dk1"/>
                          </a:effectRef>
                          <a:fontRef idx="minor">
                            <a:schemeClr val="tx1"/>
                          </a:fontRef>
                        </wps:style>
                        <wps:bodyPr/>
                      </wps:wsp>
                      <wps:wsp>
                        <wps:cNvPr id="319" name="Прямоугольник 319"/>
                        <wps:cNvSpPr/>
                        <wps:spPr>
                          <a:xfrm>
                            <a:off x="320040" y="1051560"/>
                            <a:ext cx="914400" cy="3962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6D6430" w:rsidRDefault="00F821E3" w:rsidP="006D6430">
                              <w:pPr>
                                <w:jc w:val="center"/>
                                <w:rPr>
                                  <w:rFonts w:ascii="Times New Roman" w:hAnsi="Times New Roman"/>
                                  <w:color w:val="000000" w:themeColor="text1"/>
                                  <w:sz w:val="24"/>
                                  <w:szCs w:val="24"/>
                                </w:rPr>
                              </w:pPr>
                              <w:r w:rsidRPr="006D6430">
                                <w:rPr>
                                  <w:rFonts w:ascii="Times New Roman" w:hAnsi="Times New Roman"/>
                                  <w:color w:val="000000" w:themeColor="text1"/>
                                  <w:sz w:val="24"/>
                                  <w:szCs w:val="24"/>
                                </w:rPr>
                                <w:t>1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Прямая соединительная линия 320"/>
                        <wps:cNvCnPr/>
                        <wps:spPr>
                          <a:xfrm>
                            <a:off x="114300" y="1249680"/>
                            <a:ext cx="205740" cy="0"/>
                          </a:xfrm>
                          <a:prstGeom prst="line">
                            <a:avLst/>
                          </a:prstGeom>
                        </wps:spPr>
                        <wps:style>
                          <a:lnRef idx="1">
                            <a:schemeClr val="dk1"/>
                          </a:lnRef>
                          <a:fillRef idx="0">
                            <a:schemeClr val="dk1"/>
                          </a:fillRef>
                          <a:effectRef idx="0">
                            <a:schemeClr val="dk1"/>
                          </a:effectRef>
                          <a:fontRef idx="minor">
                            <a:schemeClr val="tx1"/>
                          </a:fontRef>
                        </wps:style>
                        <wps:bodyPr/>
                      </wps:wsp>
                      <wps:wsp>
                        <wps:cNvPr id="321" name="Прямая соединительная линия 321"/>
                        <wps:cNvCnPr/>
                        <wps:spPr>
                          <a:xfrm>
                            <a:off x="1234440" y="1261110"/>
                            <a:ext cx="167640" cy="0"/>
                          </a:xfrm>
                          <a:prstGeom prst="line">
                            <a:avLst/>
                          </a:prstGeom>
                        </wps:spPr>
                        <wps:style>
                          <a:lnRef idx="1">
                            <a:schemeClr val="dk1"/>
                          </a:lnRef>
                          <a:fillRef idx="0">
                            <a:schemeClr val="dk1"/>
                          </a:fillRef>
                          <a:effectRef idx="0">
                            <a:schemeClr val="dk1"/>
                          </a:effectRef>
                          <a:fontRef idx="minor">
                            <a:schemeClr val="tx1"/>
                          </a:fontRef>
                        </wps:style>
                        <wps:bodyPr/>
                      </wps:wsp>
                      <wps:wsp>
                        <wps:cNvPr id="322" name="Прямая соединительная линия 322"/>
                        <wps:cNvCnPr/>
                        <wps:spPr>
                          <a:xfrm>
                            <a:off x="2887980" y="1261110"/>
                            <a:ext cx="137160" cy="0"/>
                          </a:xfrm>
                          <a:prstGeom prst="line">
                            <a:avLst/>
                          </a:prstGeom>
                        </wps:spPr>
                        <wps:style>
                          <a:lnRef idx="1">
                            <a:schemeClr val="dk1"/>
                          </a:lnRef>
                          <a:fillRef idx="0">
                            <a:schemeClr val="dk1"/>
                          </a:fillRef>
                          <a:effectRef idx="0">
                            <a:schemeClr val="dk1"/>
                          </a:effectRef>
                          <a:fontRef idx="minor">
                            <a:schemeClr val="tx1"/>
                          </a:fontRef>
                        </wps:style>
                        <wps:bodyPr/>
                      </wps:wsp>
                      <wps:wsp>
                        <wps:cNvPr id="323" name="Прямоугольник 323"/>
                        <wps:cNvSpPr/>
                        <wps:spPr>
                          <a:xfrm>
                            <a:off x="3025140" y="693420"/>
                            <a:ext cx="3032760" cy="1257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2830DC">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аналіз</w:t>
                              </w:r>
                              <w:r w:rsidRPr="002830DC">
                                <w:rPr>
                                  <w:rFonts w:ascii="Times New Roman" w:hAnsi="Times New Roman"/>
                                  <w:color w:val="000000" w:themeColor="text1"/>
                                  <w:sz w:val="20"/>
                                  <w:szCs w:val="20"/>
                                </w:rPr>
                                <w:t xml:space="preserve"> загальної характеристики та стану; </w:t>
                              </w:r>
                            </w:p>
                            <w:p w:rsidR="00F821E3" w:rsidRDefault="00F821E3" w:rsidP="002830DC">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аналіз</w:t>
                              </w:r>
                              <w:r w:rsidRPr="002830DC">
                                <w:rPr>
                                  <w:rFonts w:ascii="Times New Roman" w:hAnsi="Times New Roman"/>
                                  <w:color w:val="000000" w:themeColor="text1"/>
                                  <w:sz w:val="20"/>
                                  <w:szCs w:val="20"/>
                                </w:rPr>
                                <w:t xml:space="preserve"> організаційної структури;</w:t>
                              </w:r>
                            </w:p>
                            <w:p w:rsidR="00F821E3" w:rsidRDefault="00F821E3" w:rsidP="002830DC">
                              <w:pPr>
                                <w:spacing w:after="0" w:line="240" w:lineRule="auto"/>
                                <w:jc w:val="both"/>
                                <w:rPr>
                                  <w:rFonts w:ascii="Times New Roman" w:hAnsi="Times New Roman"/>
                                  <w:color w:val="000000" w:themeColor="text1"/>
                                  <w:sz w:val="20"/>
                                  <w:szCs w:val="20"/>
                                </w:rPr>
                              </w:pPr>
                              <w:r w:rsidRPr="002830DC">
                                <w:rPr>
                                  <w:rFonts w:ascii="Times New Roman" w:hAnsi="Times New Roman"/>
                                  <w:color w:val="000000" w:themeColor="text1"/>
                                  <w:sz w:val="20"/>
                                  <w:szCs w:val="20"/>
                                </w:rPr>
                                <w:t xml:space="preserve">- </w:t>
                              </w:r>
                              <w:r>
                                <w:rPr>
                                  <w:rFonts w:ascii="Times New Roman" w:hAnsi="Times New Roman"/>
                                  <w:color w:val="000000" w:themeColor="text1"/>
                                  <w:sz w:val="20"/>
                                  <w:szCs w:val="20"/>
                                </w:rPr>
                                <w:t>аналіз</w:t>
                              </w:r>
                              <w:r w:rsidRPr="002830DC">
                                <w:rPr>
                                  <w:rFonts w:ascii="Times New Roman" w:hAnsi="Times New Roman"/>
                                  <w:color w:val="000000" w:themeColor="text1"/>
                                  <w:sz w:val="20"/>
                                  <w:szCs w:val="20"/>
                                </w:rPr>
                                <w:t xml:space="preserve"> повноважень та обов’язків підрозділів та </w:t>
                              </w:r>
                              <w:r w:rsidRPr="00112862">
                                <w:rPr>
                                  <w:rFonts w:ascii="Times New Roman" w:hAnsi="Times New Roman"/>
                                  <w:color w:val="000000" w:themeColor="text1"/>
                                  <w:sz w:val="20"/>
                                  <w:szCs w:val="20"/>
                                </w:rPr>
                                <w:t>в</w:t>
                              </w:r>
                              <w:r>
                                <w:rPr>
                                  <w:rFonts w:ascii="Times New Roman" w:hAnsi="Times New Roman"/>
                                  <w:color w:val="000000" w:themeColor="text1"/>
                                  <w:sz w:val="20"/>
                                  <w:szCs w:val="20"/>
                                </w:rPr>
                                <w:t>і</w:t>
                              </w:r>
                              <w:r w:rsidRPr="00112862">
                                <w:rPr>
                                  <w:rFonts w:ascii="Times New Roman" w:hAnsi="Times New Roman"/>
                                  <w:color w:val="000000" w:themeColor="text1"/>
                                  <w:sz w:val="20"/>
                                  <w:szCs w:val="20"/>
                                </w:rPr>
                                <w:t>дпов</w:t>
                              </w:r>
                              <w:r>
                                <w:rPr>
                                  <w:rFonts w:ascii="Times New Roman" w:hAnsi="Times New Roman"/>
                                  <w:color w:val="000000" w:themeColor="text1"/>
                                  <w:sz w:val="20"/>
                                  <w:szCs w:val="20"/>
                                </w:rPr>
                                <w:t>і</w:t>
                              </w:r>
                              <w:r w:rsidRPr="00112862">
                                <w:rPr>
                                  <w:rFonts w:ascii="Times New Roman" w:hAnsi="Times New Roman"/>
                                  <w:color w:val="000000" w:themeColor="text1"/>
                                  <w:sz w:val="20"/>
                                  <w:szCs w:val="20"/>
                                </w:rPr>
                                <w:t>дальних</w:t>
                              </w:r>
                              <w:r w:rsidRPr="002830DC">
                                <w:rPr>
                                  <w:rFonts w:ascii="Times New Roman" w:hAnsi="Times New Roman"/>
                                  <w:color w:val="000000" w:themeColor="text1"/>
                                  <w:sz w:val="20"/>
                                  <w:szCs w:val="20"/>
                                </w:rPr>
                                <w:t xml:space="preserve"> працівників; </w:t>
                              </w:r>
                            </w:p>
                            <w:p w:rsidR="00F821E3" w:rsidRDefault="00F821E3" w:rsidP="002830DC">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Pr="002830DC">
                                <w:rPr>
                                  <w:rFonts w:ascii="Times New Roman" w:hAnsi="Times New Roman"/>
                                  <w:color w:val="000000" w:themeColor="text1"/>
                                  <w:sz w:val="20"/>
                                  <w:szCs w:val="20"/>
                                </w:rPr>
                                <w:t xml:space="preserve"> а</w:t>
                              </w:r>
                              <w:r>
                                <w:rPr>
                                  <w:rFonts w:ascii="Times New Roman" w:hAnsi="Times New Roman"/>
                                  <w:color w:val="000000" w:themeColor="text1"/>
                                  <w:sz w:val="20"/>
                                  <w:szCs w:val="20"/>
                                </w:rPr>
                                <w:t>наліз</w:t>
                              </w:r>
                              <w:r w:rsidRPr="002830DC">
                                <w:rPr>
                                  <w:rFonts w:ascii="Times New Roman" w:hAnsi="Times New Roman"/>
                                  <w:color w:val="000000" w:themeColor="text1"/>
                                  <w:sz w:val="20"/>
                                  <w:szCs w:val="20"/>
                                </w:rPr>
                                <w:t xml:space="preserve"> політики банку щодо управління ліквідністю</w:t>
                              </w:r>
                              <w:r>
                                <w:rPr>
                                  <w:rFonts w:ascii="Times New Roman" w:hAnsi="Times New Roman"/>
                                  <w:color w:val="000000" w:themeColor="text1"/>
                                  <w:sz w:val="20"/>
                                  <w:szCs w:val="20"/>
                                </w:rPr>
                                <w:t>;</w:t>
                              </w:r>
                              <w:r w:rsidRPr="002830DC">
                                <w:rPr>
                                  <w:rFonts w:ascii="Times New Roman" w:hAnsi="Times New Roman"/>
                                  <w:color w:val="000000" w:themeColor="text1"/>
                                  <w:sz w:val="20"/>
                                  <w:szCs w:val="20"/>
                                </w:rPr>
                                <w:t xml:space="preserve"> </w:t>
                              </w:r>
                            </w:p>
                            <w:p w:rsidR="00F821E3" w:rsidRPr="002830DC" w:rsidRDefault="00F821E3" w:rsidP="002830DC">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аналіз</w:t>
                              </w:r>
                              <w:r w:rsidRPr="002830DC">
                                <w:rPr>
                                  <w:rFonts w:ascii="Times New Roman" w:hAnsi="Times New Roman"/>
                                  <w:color w:val="000000" w:themeColor="text1"/>
                                  <w:sz w:val="20"/>
                                  <w:szCs w:val="20"/>
                                </w:rPr>
                                <w:t xml:space="preserve"> фінансових і технічних можливостей щодо впровадження нових ІТ-технологій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Прямая соединительная линия 324"/>
                        <wps:cNvCnPr/>
                        <wps:spPr>
                          <a:xfrm>
                            <a:off x="114300" y="1203960"/>
                            <a:ext cx="0" cy="1455420"/>
                          </a:xfrm>
                          <a:prstGeom prst="line">
                            <a:avLst/>
                          </a:prstGeom>
                        </wps:spPr>
                        <wps:style>
                          <a:lnRef idx="1">
                            <a:schemeClr val="dk1"/>
                          </a:lnRef>
                          <a:fillRef idx="0">
                            <a:schemeClr val="dk1"/>
                          </a:fillRef>
                          <a:effectRef idx="0">
                            <a:schemeClr val="dk1"/>
                          </a:effectRef>
                          <a:fontRef idx="minor">
                            <a:schemeClr val="tx1"/>
                          </a:fontRef>
                        </wps:style>
                        <wps:bodyPr/>
                      </wps:wsp>
                      <wps:wsp>
                        <wps:cNvPr id="325" name="Прямая соединительная линия 325"/>
                        <wps:cNvCnPr/>
                        <wps:spPr>
                          <a:xfrm>
                            <a:off x="114300" y="2453640"/>
                            <a:ext cx="205740" cy="0"/>
                          </a:xfrm>
                          <a:prstGeom prst="line">
                            <a:avLst/>
                          </a:prstGeom>
                        </wps:spPr>
                        <wps:style>
                          <a:lnRef idx="1">
                            <a:schemeClr val="dk1"/>
                          </a:lnRef>
                          <a:fillRef idx="0">
                            <a:schemeClr val="dk1"/>
                          </a:fillRef>
                          <a:effectRef idx="0">
                            <a:schemeClr val="dk1"/>
                          </a:effectRef>
                          <a:fontRef idx="minor">
                            <a:schemeClr val="tx1"/>
                          </a:fontRef>
                        </wps:style>
                        <wps:bodyPr/>
                      </wps:wsp>
                      <wps:wsp>
                        <wps:cNvPr id="326" name="Прямоугольник 326"/>
                        <wps:cNvSpPr/>
                        <wps:spPr>
                          <a:xfrm>
                            <a:off x="320040" y="2209800"/>
                            <a:ext cx="914400" cy="449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2830DC" w:rsidRDefault="00F821E3" w:rsidP="002830DC">
                              <w:pPr>
                                <w:jc w:val="center"/>
                                <w:rPr>
                                  <w:rFonts w:ascii="Times New Roman" w:hAnsi="Times New Roman"/>
                                  <w:color w:val="000000" w:themeColor="text1"/>
                                  <w:sz w:val="24"/>
                                  <w:szCs w:val="24"/>
                                </w:rPr>
                              </w:pPr>
                              <w:r w:rsidRPr="002830DC">
                                <w:rPr>
                                  <w:rFonts w:ascii="Times New Roman" w:hAnsi="Times New Roman"/>
                                  <w:color w:val="000000" w:themeColor="text1"/>
                                  <w:sz w:val="24"/>
                                  <w:szCs w:val="24"/>
                                </w:rPr>
                                <w:t>2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Прямая соединительная линия 327"/>
                        <wps:cNvCnPr/>
                        <wps:spPr>
                          <a:xfrm>
                            <a:off x="1234440" y="2453640"/>
                            <a:ext cx="167640" cy="0"/>
                          </a:xfrm>
                          <a:prstGeom prst="line">
                            <a:avLst/>
                          </a:prstGeom>
                        </wps:spPr>
                        <wps:style>
                          <a:lnRef idx="1">
                            <a:schemeClr val="dk1"/>
                          </a:lnRef>
                          <a:fillRef idx="0">
                            <a:schemeClr val="dk1"/>
                          </a:fillRef>
                          <a:effectRef idx="0">
                            <a:schemeClr val="dk1"/>
                          </a:effectRef>
                          <a:fontRef idx="minor">
                            <a:schemeClr val="tx1"/>
                          </a:fontRef>
                        </wps:style>
                        <wps:bodyPr/>
                      </wps:wsp>
                      <wps:wsp>
                        <wps:cNvPr id="328" name="Прямоугольник 328"/>
                        <wps:cNvSpPr/>
                        <wps:spPr>
                          <a:xfrm>
                            <a:off x="1402080" y="2164080"/>
                            <a:ext cx="4655820" cy="5562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41374C" w:rsidRDefault="00F821E3" w:rsidP="0041374C">
                              <w:pPr>
                                <w:jc w:val="both"/>
                                <w:rPr>
                                  <w:rFonts w:ascii="Times New Roman" w:hAnsi="Times New Roman"/>
                                  <w:color w:val="000000" w:themeColor="text1"/>
                                </w:rPr>
                              </w:pPr>
                              <w:r w:rsidRPr="0041374C">
                                <w:rPr>
                                  <w:rFonts w:ascii="Times New Roman" w:hAnsi="Times New Roman"/>
                                  <w:color w:val="000000" w:themeColor="text1"/>
                                </w:rPr>
                                <w:t>оцінка ефективності управління ліквідністю у вигляді його техніко-економічного обґрунтування та розробка регламенту впровадження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Прямая соединительная линия 329"/>
                        <wps:cNvCnPr/>
                        <wps:spPr>
                          <a:xfrm>
                            <a:off x="114300" y="2659380"/>
                            <a:ext cx="0" cy="769620"/>
                          </a:xfrm>
                          <a:prstGeom prst="line">
                            <a:avLst/>
                          </a:prstGeom>
                        </wps:spPr>
                        <wps:style>
                          <a:lnRef idx="1">
                            <a:schemeClr val="dk1"/>
                          </a:lnRef>
                          <a:fillRef idx="0">
                            <a:schemeClr val="dk1"/>
                          </a:fillRef>
                          <a:effectRef idx="0">
                            <a:schemeClr val="dk1"/>
                          </a:effectRef>
                          <a:fontRef idx="minor">
                            <a:schemeClr val="tx1"/>
                          </a:fontRef>
                        </wps:style>
                        <wps:bodyPr/>
                      </wps:wsp>
                      <wps:wsp>
                        <wps:cNvPr id="330" name="Прямая соединительная линия 330"/>
                        <wps:cNvCnPr/>
                        <wps:spPr>
                          <a:xfrm>
                            <a:off x="114300" y="3429000"/>
                            <a:ext cx="205740" cy="0"/>
                          </a:xfrm>
                          <a:prstGeom prst="line">
                            <a:avLst/>
                          </a:prstGeom>
                        </wps:spPr>
                        <wps:style>
                          <a:lnRef idx="1">
                            <a:schemeClr val="dk1"/>
                          </a:lnRef>
                          <a:fillRef idx="0">
                            <a:schemeClr val="dk1"/>
                          </a:fillRef>
                          <a:effectRef idx="0">
                            <a:schemeClr val="dk1"/>
                          </a:effectRef>
                          <a:fontRef idx="minor">
                            <a:schemeClr val="tx1"/>
                          </a:fontRef>
                        </wps:style>
                        <wps:bodyPr/>
                      </wps:wsp>
                      <wps:wsp>
                        <wps:cNvPr id="331" name="Прямоугольник 331"/>
                        <wps:cNvSpPr/>
                        <wps:spPr>
                          <a:xfrm>
                            <a:off x="320040" y="3208020"/>
                            <a:ext cx="914400" cy="449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3C1D21" w:rsidRDefault="00F821E3" w:rsidP="003C1D21">
                              <w:pPr>
                                <w:jc w:val="center"/>
                                <w:rPr>
                                  <w:rFonts w:ascii="Times New Roman" w:hAnsi="Times New Roman"/>
                                  <w:color w:val="000000" w:themeColor="text1"/>
                                  <w:sz w:val="24"/>
                                  <w:szCs w:val="24"/>
                                </w:rPr>
                              </w:pPr>
                              <w:r w:rsidRPr="003C1D21">
                                <w:rPr>
                                  <w:rFonts w:ascii="Times New Roman" w:hAnsi="Times New Roman"/>
                                  <w:color w:val="000000" w:themeColor="text1"/>
                                  <w:sz w:val="24"/>
                                  <w:szCs w:val="24"/>
                                </w:rPr>
                                <w:t>3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Прямая соединительная линия 332"/>
                        <wps:cNvCnPr/>
                        <wps:spPr>
                          <a:xfrm>
                            <a:off x="1234440" y="3429000"/>
                            <a:ext cx="167640" cy="0"/>
                          </a:xfrm>
                          <a:prstGeom prst="line">
                            <a:avLst/>
                          </a:prstGeom>
                        </wps:spPr>
                        <wps:style>
                          <a:lnRef idx="1">
                            <a:schemeClr val="dk1"/>
                          </a:lnRef>
                          <a:fillRef idx="0">
                            <a:schemeClr val="dk1"/>
                          </a:fillRef>
                          <a:effectRef idx="0">
                            <a:schemeClr val="dk1"/>
                          </a:effectRef>
                          <a:fontRef idx="minor">
                            <a:schemeClr val="tx1"/>
                          </a:fontRef>
                        </wps:style>
                        <wps:bodyPr/>
                      </wps:wsp>
                      <wps:wsp>
                        <wps:cNvPr id="333" name="Прямоугольник 333"/>
                        <wps:cNvSpPr/>
                        <wps:spPr>
                          <a:xfrm>
                            <a:off x="1402080" y="2987040"/>
                            <a:ext cx="1325880" cy="929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3C1D21" w:rsidRDefault="00F821E3" w:rsidP="003C1D21">
                              <w:pPr>
                                <w:spacing w:after="0" w:line="240" w:lineRule="auto"/>
                                <w:jc w:val="center"/>
                                <w:rPr>
                                  <w:rFonts w:ascii="Times New Roman" w:hAnsi="Times New Roman"/>
                                  <w:color w:val="000000" w:themeColor="text1"/>
                                </w:rPr>
                              </w:pPr>
                              <w:r w:rsidRPr="003C1D21">
                                <w:rPr>
                                  <w:rFonts w:ascii="Times New Roman" w:hAnsi="Times New Roman"/>
                                  <w:color w:val="000000" w:themeColor="text1"/>
                                </w:rPr>
                                <w:t>підготов</w:t>
                              </w:r>
                              <w:r>
                                <w:rPr>
                                  <w:rFonts w:ascii="Times New Roman" w:hAnsi="Times New Roman"/>
                                  <w:color w:val="000000" w:themeColor="text1"/>
                                </w:rPr>
                                <w:t>ка</w:t>
                              </w:r>
                              <w:r w:rsidRPr="003C1D21">
                                <w:rPr>
                                  <w:rFonts w:ascii="Times New Roman" w:hAnsi="Times New Roman"/>
                                  <w:color w:val="000000" w:themeColor="text1"/>
                                </w:rPr>
                                <w:t xml:space="preserve"> підґрунтя</w:t>
                              </w:r>
                            </w:p>
                            <w:p w:rsidR="00F821E3" w:rsidRPr="003C1D21" w:rsidRDefault="00F821E3" w:rsidP="003C1D21">
                              <w:pPr>
                                <w:spacing w:after="0" w:line="240" w:lineRule="auto"/>
                                <w:jc w:val="center"/>
                                <w:rPr>
                                  <w:rFonts w:ascii="Times New Roman" w:hAnsi="Times New Roman"/>
                                  <w:color w:val="000000" w:themeColor="text1"/>
                                </w:rPr>
                              </w:pPr>
                              <w:r w:rsidRPr="003C1D21">
                                <w:rPr>
                                  <w:rFonts w:ascii="Times New Roman" w:hAnsi="Times New Roman"/>
                                  <w:color w:val="000000" w:themeColor="text1"/>
                                </w:rPr>
                                <w:t xml:space="preserve">для </w:t>
                              </w:r>
                              <w:r>
                                <w:rPr>
                                  <w:rFonts w:ascii="Times New Roman" w:hAnsi="Times New Roman"/>
                                  <w:color w:val="000000" w:themeColor="text1"/>
                                </w:rPr>
                                <w:t>розробки моделі</w:t>
                              </w:r>
                              <w:r w:rsidRPr="003C1D21">
                                <w:rPr>
                                  <w:rFonts w:ascii="Times New Roman" w:hAnsi="Times New Roman"/>
                                  <w:color w:val="000000" w:themeColor="text1"/>
                                </w:rPr>
                                <w:t xml:space="preserve"> управління ліквідністю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Прямая соединительная линия 334"/>
                        <wps:cNvCnPr>
                          <a:endCxn id="333" idx="3"/>
                        </wps:cNvCnPr>
                        <wps:spPr>
                          <a:xfrm flipH="1">
                            <a:off x="2727960" y="3451860"/>
                            <a:ext cx="160020" cy="0"/>
                          </a:xfrm>
                          <a:prstGeom prst="line">
                            <a:avLst/>
                          </a:prstGeom>
                        </wps:spPr>
                        <wps:style>
                          <a:lnRef idx="1">
                            <a:schemeClr val="dk1"/>
                          </a:lnRef>
                          <a:fillRef idx="0">
                            <a:schemeClr val="dk1"/>
                          </a:fillRef>
                          <a:effectRef idx="0">
                            <a:schemeClr val="dk1"/>
                          </a:effectRef>
                          <a:fontRef idx="minor">
                            <a:schemeClr val="tx1"/>
                          </a:fontRef>
                        </wps:style>
                        <wps:bodyPr/>
                      </wps:wsp>
                      <wps:wsp>
                        <wps:cNvPr id="335" name="Прямоугольник 335"/>
                        <wps:cNvSpPr/>
                        <wps:spPr>
                          <a:xfrm>
                            <a:off x="2887980" y="2834640"/>
                            <a:ext cx="3192780" cy="1211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AE4AC2" w:rsidRDefault="00F821E3" w:rsidP="00AE4AC2">
                              <w:pPr>
                                <w:spacing w:after="0" w:line="240" w:lineRule="auto"/>
                                <w:jc w:val="both"/>
                                <w:rPr>
                                  <w:rFonts w:ascii="Times New Roman" w:hAnsi="Times New Roman"/>
                                  <w:color w:val="000000" w:themeColor="text1"/>
                                </w:rPr>
                              </w:pPr>
                              <w:r w:rsidRPr="00AE4AC2">
                                <w:rPr>
                                  <w:rFonts w:ascii="Times New Roman" w:hAnsi="Times New Roman"/>
                                  <w:color w:val="000000" w:themeColor="text1"/>
                                </w:rPr>
                                <w:t>- розробка організаційної структури;</w:t>
                              </w:r>
                            </w:p>
                            <w:p w:rsidR="00F821E3" w:rsidRPr="00AE4AC2" w:rsidRDefault="00F821E3" w:rsidP="00AE4AC2">
                              <w:pPr>
                                <w:spacing w:after="0" w:line="240" w:lineRule="auto"/>
                                <w:jc w:val="both"/>
                                <w:rPr>
                                  <w:rFonts w:ascii="Times New Roman" w:hAnsi="Times New Roman"/>
                                  <w:color w:val="000000" w:themeColor="text1"/>
                                </w:rPr>
                              </w:pPr>
                              <w:r w:rsidRPr="00AE4AC2">
                                <w:rPr>
                                  <w:rFonts w:ascii="Times New Roman" w:hAnsi="Times New Roman"/>
                                  <w:color w:val="000000" w:themeColor="text1"/>
                                </w:rPr>
                                <w:t>- кадрове забезпечення, визначення повноважень, чітке розмежування відповідальності підрозділів;</w:t>
                              </w:r>
                            </w:p>
                            <w:p w:rsidR="00F821E3" w:rsidRPr="003D18B3" w:rsidRDefault="00F821E3" w:rsidP="00AE4AC2">
                              <w:pPr>
                                <w:spacing w:after="0" w:line="240" w:lineRule="auto"/>
                                <w:jc w:val="both"/>
                                <w:rPr>
                                  <w:rFonts w:ascii="Times New Roman" w:hAnsi="Times New Roman"/>
                                  <w:color w:val="000000" w:themeColor="text1"/>
                                </w:rPr>
                              </w:pPr>
                              <w:r w:rsidRPr="00AE4AC2">
                                <w:rPr>
                                  <w:rFonts w:ascii="Times New Roman" w:hAnsi="Times New Roman"/>
                                  <w:color w:val="000000" w:themeColor="text1"/>
                                </w:rPr>
                                <w:t xml:space="preserve">- технічне забезпечення впровадження моделі </w:t>
                              </w:r>
                              <w:r w:rsidRPr="003D18B3">
                                <w:rPr>
                                  <w:rFonts w:ascii="Times New Roman" w:hAnsi="Times New Roman"/>
                                  <w:color w:val="000000" w:themeColor="text1"/>
                                </w:rPr>
                                <w:t>управління ліквідністю;</w:t>
                              </w:r>
                            </w:p>
                            <w:p w:rsidR="00F821E3" w:rsidRPr="00AE4AC2" w:rsidRDefault="00F821E3" w:rsidP="00AE4AC2">
                              <w:pPr>
                                <w:jc w:val="both"/>
                                <w:rPr>
                                  <w:rFonts w:ascii="Times New Roman" w:hAnsi="Times New Roman"/>
                                  <w:color w:val="000000" w:themeColor="text1"/>
                                </w:rPr>
                              </w:pPr>
                              <w:r>
                                <w:rPr>
                                  <w:rFonts w:ascii="Times New Roman" w:hAnsi="Times New Roman"/>
                                  <w:color w:val="000000" w:themeColor="text1"/>
                                </w:rPr>
                                <w:t xml:space="preserve">- </w:t>
                              </w:r>
                              <w:r w:rsidRPr="003D18B3">
                                <w:rPr>
                                  <w:rFonts w:ascii="Times New Roman" w:hAnsi="Times New Roman"/>
                                  <w:color w:val="000000" w:themeColor="text1"/>
                                </w:rPr>
                                <w:t>розроб</w:t>
                              </w:r>
                              <w:r>
                                <w:rPr>
                                  <w:rFonts w:ascii="Times New Roman" w:hAnsi="Times New Roman"/>
                                  <w:color w:val="000000" w:themeColor="text1"/>
                                </w:rPr>
                                <w:t>ка</w:t>
                              </w:r>
                              <w:r w:rsidRPr="003D18B3">
                                <w:rPr>
                                  <w:rFonts w:ascii="Times New Roman" w:hAnsi="Times New Roman"/>
                                  <w:color w:val="000000" w:themeColor="text1"/>
                                </w:rPr>
                                <w:t xml:space="preserve"> політик</w:t>
                              </w:r>
                              <w:r>
                                <w:rPr>
                                  <w:rFonts w:ascii="Times New Roman" w:hAnsi="Times New Roman"/>
                                  <w:color w:val="000000" w:themeColor="text1"/>
                                </w:rPr>
                                <w:t>и</w:t>
                              </w:r>
                              <w:r w:rsidRPr="003D18B3">
                                <w:rPr>
                                  <w:rFonts w:ascii="Times New Roman" w:hAnsi="Times New Roman"/>
                                  <w:color w:val="000000" w:themeColor="text1"/>
                                </w:rPr>
                                <w:t xml:space="preserve"> і процедур з управління </w:t>
                              </w:r>
                              <w:r w:rsidRPr="00AE4AC2">
                                <w:rPr>
                                  <w:rFonts w:ascii="Times New Roman" w:hAnsi="Times New Roman"/>
                                  <w:color w:val="000000" w:themeColor="text1"/>
                                </w:rPr>
                                <w:t xml:space="preserve">ліквідністю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308" o:spid="_x0000_s1357" editas="canvas" style="width:478.8pt;height:335.4pt;mso-position-horizontal-relative:char;mso-position-vertical-relative:line" coordsize="60807,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">
                <v:shape id="_x0000_s1358" type="#_x0000_t75" style="position:absolute;width:60807;height:42595;visibility:visible;mso-wrap-style:square">
                  <v:fill o:detectmouseclick="t"/>
                  <v:path o:connecttype="none"/>
                </v:shape>
                <v:rect id="Прямоугольник 309" o:spid="_x0000_s1359" style="position:absolute;left:10744;top:2819;width:49835;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" fillcolor="white [3212]" strokecolor="black [3213]" strokeweight="1pt">
                  <v:textbox>
                    <w:txbxContent>
                      <w:p w:rsidR="00F821E3" w:rsidRPr="006D6430" w:rsidRDefault="00F821E3" w:rsidP="006D6430">
                        <w:pPr>
                          <w:jc w:val="center"/>
                          <w:rPr>
                            <w:rFonts w:ascii="Times New Roman" w:hAnsi="Times New Roman"/>
                            <w:color w:val="000000" w:themeColor="text1"/>
                            <w:sz w:val="24"/>
                            <w:szCs w:val="24"/>
                          </w:rPr>
                        </w:pPr>
                        <w:r w:rsidRPr="006D6430">
                          <w:rPr>
                            <w:rFonts w:ascii="Times New Roman" w:hAnsi="Times New Roman"/>
                            <w:color w:val="000000" w:themeColor="text1"/>
                            <w:sz w:val="24"/>
                            <w:szCs w:val="24"/>
                          </w:rPr>
                          <w:t>Етапи розробки моделі управління ліквідності комерційного банку</w:t>
                        </w:r>
                      </w:p>
                    </w:txbxContent>
                  </v:textbox>
                </v:rect>
                <v:rect id="Прямоугольник 316" o:spid="_x0000_s1360" style="position:absolute;left:14020;top:8839;width:14859;height:7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" fillcolor="white [3212]" strokecolor="black [3213]" strokeweight="1pt">
                  <v:textbox>
                    <w:txbxContent>
                      <w:p w:rsidR="00F821E3" w:rsidRPr="002830DC" w:rsidRDefault="00F821E3" w:rsidP="006D6430">
                        <w:pPr>
                          <w:jc w:val="center"/>
                          <w:rPr>
                            <w:rFonts w:ascii="Times New Roman" w:hAnsi="Times New Roman"/>
                            <w:color w:val="000000" w:themeColor="text1"/>
                            <w:sz w:val="20"/>
                            <w:szCs w:val="20"/>
                          </w:rPr>
                        </w:pPr>
                        <w:r w:rsidRPr="002830DC">
                          <w:rPr>
                            <w:rFonts w:ascii="Times New Roman" w:hAnsi="Times New Roman"/>
                            <w:color w:val="000000" w:themeColor="text1"/>
                            <w:sz w:val="20"/>
                            <w:szCs w:val="20"/>
                          </w:rPr>
                          <w:t>аналіз організаційно-економічних аспектів наявної системи управління ліквідністю</w:t>
                        </w:r>
                      </w:p>
                    </w:txbxContent>
                  </v:textbox>
                </v:rect>
                <v:line id="Прямая соединительная линия 317" o:spid="_x0000_s1361" style="position:absolute;flip:x;visibility:visible;mso-wrap-style:square" from="1143,4648" to="10744,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" strokecolor="black [3200]" strokeweight=".5pt">
                  <v:stroke joinstyle="miter"/>
                </v:line>
                <v:line id="Прямая соединительная линия 318" o:spid="_x0000_s1362" style="position:absolute;visibility:visible;mso-wrap-style:square" from="1143,4648" to="1143,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" strokecolor="black [3200]" strokeweight=".5pt">
                  <v:stroke joinstyle="miter"/>
                </v:line>
                <v:rect id="Прямоугольник 319" o:spid="_x0000_s1363" style="position:absolute;left:3200;top:10515;width:914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" fillcolor="white [3212]" strokecolor="black [3213]" strokeweight="1pt">
                  <v:textbox>
                    <w:txbxContent>
                      <w:p w:rsidR="00F821E3" w:rsidRPr="006D6430" w:rsidRDefault="00F821E3" w:rsidP="006D6430">
                        <w:pPr>
                          <w:jc w:val="center"/>
                          <w:rPr>
                            <w:rFonts w:ascii="Times New Roman" w:hAnsi="Times New Roman"/>
                            <w:color w:val="000000" w:themeColor="text1"/>
                            <w:sz w:val="24"/>
                            <w:szCs w:val="24"/>
                          </w:rPr>
                        </w:pPr>
                        <w:r w:rsidRPr="006D6430">
                          <w:rPr>
                            <w:rFonts w:ascii="Times New Roman" w:hAnsi="Times New Roman"/>
                            <w:color w:val="000000" w:themeColor="text1"/>
                            <w:sz w:val="24"/>
                            <w:szCs w:val="24"/>
                          </w:rPr>
                          <w:t>1 етап</w:t>
                        </w:r>
                      </w:p>
                    </w:txbxContent>
                  </v:textbox>
                </v:rect>
                <v:line id="Прямая соединительная линия 320" o:spid="_x0000_s1364" style="position:absolute;visibility:visible;mso-wrap-style:square" from="1143,12496" to="3200,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" strokecolor="black [3200]" strokeweight=".5pt">
                  <v:stroke joinstyle="miter"/>
                </v:line>
                <v:line id="Прямая соединительная линия 321" o:spid="_x0000_s1365" style="position:absolute;visibility:visible;mso-wrap-style:square" from="12344,12611" to="14020,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" strokecolor="black [3200]" strokeweight=".5pt">
                  <v:stroke joinstyle="miter"/>
                </v:line>
                <v:line id="Прямая соединительная линия 322" o:spid="_x0000_s1366" style="position:absolute;visibility:visible;mso-wrap-style:square" from="28879,12611" to="30251,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" strokecolor="black [3200]" strokeweight=".5pt">
                  <v:stroke joinstyle="miter"/>
                </v:line>
                <v:rect id="Прямоугольник 323" o:spid="_x0000_s1367" style="position:absolute;left:30251;top:6934;width:30328;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" fillcolor="white [3212]" strokecolor="black [3213]" strokeweight="1pt">
                  <v:textbox>
                    <w:txbxContent>
                      <w:p w:rsidR="00F821E3" w:rsidRDefault="00F821E3" w:rsidP="002830DC">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аналіз</w:t>
                        </w:r>
                        <w:r w:rsidRPr="002830DC">
                          <w:rPr>
                            <w:rFonts w:ascii="Times New Roman" w:hAnsi="Times New Roman"/>
                            <w:color w:val="000000" w:themeColor="text1"/>
                            <w:sz w:val="20"/>
                            <w:szCs w:val="20"/>
                          </w:rPr>
                          <w:t xml:space="preserve"> загальної характеристики та стану; </w:t>
                        </w:r>
                      </w:p>
                      <w:p w:rsidR="00F821E3" w:rsidRDefault="00F821E3" w:rsidP="002830DC">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аналіз</w:t>
                        </w:r>
                        <w:r w:rsidRPr="002830DC">
                          <w:rPr>
                            <w:rFonts w:ascii="Times New Roman" w:hAnsi="Times New Roman"/>
                            <w:color w:val="000000" w:themeColor="text1"/>
                            <w:sz w:val="20"/>
                            <w:szCs w:val="20"/>
                          </w:rPr>
                          <w:t xml:space="preserve"> організаційної структури;</w:t>
                        </w:r>
                      </w:p>
                      <w:p w:rsidR="00F821E3" w:rsidRDefault="00F821E3" w:rsidP="002830DC">
                        <w:pPr>
                          <w:spacing w:after="0" w:line="240" w:lineRule="auto"/>
                          <w:jc w:val="both"/>
                          <w:rPr>
                            <w:rFonts w:ascii="Times New Roman" w:hAnsi="Times New Roman"/>
                            <w:color w:val="000000" w:themeColor="text1"/>
                            <w:sz w:val="20"/>
                            <w:szCs w:val="20"/>
                          </w:rPr>
                        </w:pPr>
                        <w:r w:rsidRPr="002830DC">
                          <w:rPr>
                            <w:rFonts w:ascii="Times New Roman" w:hAnsi="Times New Roman"/>
                            <w:color w:val="000000" w:themeColor="text1"/>
                            <w:sz w:val="20"/>
                            <w:szCs w:val="20"/>
                          </w:rPr>
                          <w:t xml:space="preserve">- </w:t>
                        </w:r>
                        <w:r>
                          <w:rPr>
                            <w:rFonts w:ascii="Times New Roman" w:hAnsi="Times New Roman"/>
                            <w:color w:val="000000" w:themeColor="text1"/>
                            <w:sz w:val="20"/>
                            <w:szCs w:val="20"/>
                          </w:rPr>
                          <w:t>аналіз</w:t>
                        </w:r>
                        <w:r w:rsidRPr="002830DC">
                          <w:rPr>
                            <w:rFonts w:ascii="Times New Roman" w:hAnsi="Times New Roman"/>
                            <w:color w:val="000000" w:themeColor="text1"/>
                            <w:sz w:val="20"/>
                            <w:szCs w:val="20"/>
                          </w:rPr>
                          <w:t xml:space="preserve"> повноважень та обов’язків підрозділів та </w:t>
                        </w:r>
                        <w:r w:rsidRPr="00112862">
                          <w:rPr>
                            <w:rFonts w:ascii="Times New Roman" w:hAnsi="Times New Roman"/>
                            <w:color w:val="000000" w:themeColor="text1"/>
                            <w:sz w:val="20"/>
                            <w:szCs w:val="20"/>
                          </w:rPr>
                          <w:t>в</w:t>
                        </w:r>
                        <w:r>
                          <w:rPr>
                            <w:rFonts w:ascii="Times New Roman" w:hAnsi="Times New Roman"/>
                            <w:color w:val="000000" w:themeColor="text1"/>
                            <w:sz w:val="20"/>
                            <w:szCs w:val="20"/>
                          </w:rPr>
                          <w:t>і</w:t>
                        </w:r>
                        <w:r w:rsidRPr="00112862">
                          <w:rPr>
                            <w:rFonts w:ascii="Times New Roman" w:hAnsi="Times New Roman"/>
                            <w:color w:val="000000" w:themeColor="text1"/>
                            <w:sz w:val="20"/>
                            <w:szCs w:val="20"/>
                          </w:rPr>
                          <w:t>дпов</w:t>
                        </w:r>
                        <w:r>
                          <w:rPr>
                            <w:rFonts w:ascii="Times New Roman" w:hAnsi="Times New Roman"/>
                            <w:color w:val="000000" w:themeColor="text1"/>
                            <w:sz w:val="20"/>
                            <w:szCs w:val="20"/>
                          </w:rPr>
                          <w:t>і</w:t>
                        </w:r>
                        <w:r w:rsidRPr="00112862">
                          <w:rPr>
                            <w:rFonts w:ascii="Times New Roman" w:hAnsi="Times New Roman"/>
                            <w:color w:val="000000" w:themeColor="text1"/>
                            <w:sz w:val="20"/>
                            <w:szCs w:val="20"/>
                          </w:rPr>
                          <w:t>дальних</w:t>
                        </w:r>
                        <w:r w:rsidRPr="002830DC">
                          <w:rPr>
                            <w:rFonts w:ascii="Times New Roman" w:hAnsi="Times New Roman"/>
                            <w:color w:val="000000" w:themeColor="text1"/>
                            <w:sz w:val="20"/>
                            <w:szCs w:val="20"/>
                          </w:rPr>
                          <w:t xml:space="preserve"> працівників; </w:t>
                        </w:r>
                      </w:p>
                      <w:p w:rsidR="00F821E3" w:rsidRDefault="00F821E3" w:rsidP="002830DC">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Pr="002830DC">
                          <w:rPr>
                            <w:rFonts w:ascii="Times New Roman" w:hAnsi="Times New Roman"/>
                            <w:color w:val="000000" w:themeColor="text1"/>
                            <w:sz w:val="20"/>
                            <w:szCs w:val="20"/>
                          </w:rPr>
                          <w:t xml:space="preserve"> а</w:t>
                        </w:r>
                        <w:r>
                          <w:rPr>
                            <w:rFonts w:ascii="Times New Roman" w:hAnsi="Times New Roman"/>
                            <w:color w:val="000000" w:themeColor="text1"/>
                            <w:sz w:val="20"/>
                            <w:szCs w:val="20"/>
                          </w:rPr>
                          <w:t>наліз</w:t>
                        </w:r>
                        <w:r w:rsidRPr="002830DC">
                          <w:rPr>
                            <w:rFonts w:ascii="Times New Roman" w:hAnsi="Times New Roman"/>
                            <w:color w:val="000000" w:themeColor="text1"/>
                            <w:sz w:val="20"/>
                            <w:szCs w:val="20"/>
                          </w:rPr>
                          <w:t xml:space="preserve"> політики банку щодо управління ліквідністю</w:t>
                        </w:r>
                        <w:r>
                          <w:rPr>
                            <w:rFonts w:ascii="Times New Roman" w:hAnsi="Times New Roman"/>
                            <w:color w:val="000000" w:themeColor="text1"/>
                            <w:sz w:val="20"/>
                            <w:szCs w:val="20"/>
                          </w:rPr>
                          <w:t>;</w:t>
                        </w:r>
                        <w:r w:rsidRPr="002830DC">
                          <w:rPr>
                            <w:rFonts w:ascii="Times New Roman" w:hAnsi="Times New Roman"/>
                            <w:color w:val="000000" w:themeColor="text1"/>
                            <w:sz w:val="20"/>
                            <w:szCs w:val="20"/>
                          </w:rPr>
                          <w:t xml:space="preserve"> </w:t>
                        </w:r>
                      </w:p>
                      <w:p w:rsidR="00F821E3" w:rsidRPr="002830DC" w:rsidRDefault="00F821E3" w:rsidP="002830DC">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аналіз</w:t>
                        </w:r>
                        <w:r w:rsidRPr="002830DC">
                          <w:rPr>
                            <w:rFonts w:ascii="Times New Roman" w:hAnsi="Times New Roman"/>
                            <w:color w:val="000000" w:themeColor="text1"/>
                            <w:sz w:val="20"/>
                            <w:szCs w:val="20"/>
                          </w:rPr>
                          <w:t xml:space="preserve"> фінансових і технічних можливостей щодо впровадження нових ІТ-технологій </w:t>
                        </w:r>
                      </w:p>
                    </w:txbxContent>
                  </v:textbox>
                </v:rect>
                <v:line id="Прямая соединительная линия 324" o:spid="_x0000_s1368" style="position:absolute;visibility:visible;mso-wrap-style:square" from="1143,12039" to="1143,2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qxgAAANwAAAAPAAAAZHJzL2Rvd25yZXYueG1sRI/dasJA&#10;FITvC77DcoTeFN1Up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GY0MasYAAADcAAAA&#10;DwAAAAAAAAAAAAAAAAAHAgAAZHJzL2Rvd25yZXYueG1sUEsFBgAAAAADAAMAtwAAAPoCAAAAAA==&#10;" strokecolor="black [3200]" strokeweight=".5pt">
                  <v:stroke joinstyle="miter"/>
                </v:line>
                <v:line id="Прямая соединительная линия 325" o:spid="_x0000_s1369" style="position:absolute;visibility:visible;mso-wrap-style:square" from="1143,24536" to="3200,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anxxgAAANwAAAAPAAAAZHJzL2Rvd25yZXYueG1sRI/dasJA&#10;FITvC77DcoTeFN1Us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dsGp8cYAAADcAAAA&#10;DwAAAAAAAAAAAAAAAAAHAgAAZHJzL2Rvd25yZXYueG1sUEsFBgAAAAADAAMAtwAAAPoCAAAAAA==&#10;" strokecolor="black [3200]" strokeweight=".5pt">
                  <v:stroke joinstyle="miter"/>
                </v:line>
                <v:rect id="Прямоугольник 326" o:spid="_x0000_s1370" style="position:absolute;left:3200;top:22098;width:9144;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" fillcolor="white [3212]" strokecolor="black [3213]" strokeweight="1pt">
                  <v:textbox>
                    <w:txbxContent>
                      <w:p w:rsidR="00F821E3" w:rsidRPr="002830DC" w:rsidRDefault="00F821E3" w:rsidP="002830DC">
                        <w:pPr>
                          <w:jc w:val="center"/>
                          <w:rPr>
                            <w:rFonts w:ascii="Times New Roman" w:hAnsi="Times New Roman"/>
                            <w:color w:val="000000" w:themeColor="text1"/>
                            <w:sz w:val="24"/>
                            <w:szCs w:val="24"/>
                          </w:rPr>
                        </w:pPr>
                        <w:r w:rsidRPr="002830DC">
                          <w:rPr>
                            <w:rFonts w:ascii="Times New Roman" w:hAnsi="Times New Roman"/>
                            <w:color w:val="000000" w:themeColor="text1"/>
                            <w:sz w:val="24"/>
                            <w:szCs w:val="24"/>
                          </w:rPr>
                          <w:t>2 етап</w:t>
                        </w:r>
                      </w:p>
                    </w:txbxContent>
                  </v:textbox>
                </v:rect>
                <v:line id="Прямая соединительная линия 327" o:spid="_x0000_s1371" style="position:absolute;visibility:visible;mso-wrap-style:square" from="12344,24536" to="14020,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" strokecolor="black [3200]" strokeweight=".5pt">
                  <v:stroke joinstyle="miter"/>
                </v:line>
                <v:rect id="Прямоугольник 328" o:spid="_x0000_s1372" style="position:absolute;left:14020;top:21640;width:46559;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" fillcolor="white [3212]" strokecolor="black [3213]" strokeweight="1pt">
                  <v:textbox>
                    <w:txbxContent>
                      <w:p w:rsidR="00F821E3" w:rsidRPr="0041374C" w:rsidRDefault="00F821E3" w:rsidP="0041374C">
                        <w:pPr>
                          <w:jc w:val="both"/>
                          <w:rPr>
                            <w:rFonts w:ascii="Times New Roman" w:hAnsi="Times New Roman"/>
                            <w:color w:val="000000" w:themeColor="text1"/>
                          </w:rPr>
                        </w:pPr>
                        <w:r w:rsidRPr="0041374C">
                          <w:rPr>
                            <w:rFonts w:ascii="Times New Roman" w:hAnsi="Times New Roman"/>
                            <w:color w:val="000000" w:themeColor="text1"/>
                          </w:rPr>
                          <w:t>оцінка ефективності управління ліквідністю у вигляді його техніко-економічного обґрунтування та розробка регламенту впровадження</w:t>
                        </w:r>
                      </w:p>
                    </w:txbxContent>
                  </v:textbox>
                </v:rect>
                <v:line id="Прямая соединительная линия 329" o:spid="_x0000_s1373" style="position:absolute;visibility:visible;mso-wrap-style:square" from="1143,26593" to="1143,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" strokecolor="black [3200]" strokeweight=".5pt">
                  <v:stroke joinstyle="miter"/>
                </v:line>
                <v:line id="Прямая соединительная линия 330" o:spid="_x0000_s1374" style="position:absolute;visibility:visible;mso-wrap-style:square" from="1143,34290" to="320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" strokecolor="black [3200]" strokeweight=".5pt">
                  <v:stroke joinstyle="miter"/>
                </v:line>
                <v:rect id="Прямоугольник 331" o:spid="_x0000_s1375" style="position:absolute;left:3200;top:32080;width:9144;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" fillcolor="white [3212]" strokecolor="black [3213]" strokeweight="1pt">
                  <v:textbox>
                    <w:txbxContent>
                      <w:p w:rsidR="00F821E3" w:rsidRPr="003C1D21" w:rsidRDefault="00F821E3" w:rsidP="003C1D21">
                        <w:pPr>
                          <w:jc w:val="center"/>
                          <w:rPr>
                            <w:rFonts w:ascii="Times New Roman" w:hAnsi="Times New Roman"/>
                            <w:color w:val="000000" w:themeColor="text1"/>
                            <w:sz w:val="24"/>
                            <w:szCs w:val="24"/>
                          </w:rPr>
                        </w:pPr>
                        <w:r w:rsidRPr="003C1D21">
                          <w:rPr>
                            <w:rFonts w:ascii="Times New Roman" w:hAnsi="Times New Roman"/>
                            <w:color w:val="000000" w:themeColor="text1"/>
                            <w:sz w:val="24"/>
                            <w:szCs w:val="24"/>
                          </w:rPr>
                          <w:t>3 етап</w:t>
                        </w:r>
                      </w:p>
                    </w:txbxContent>
                  </v:textbox>
                </v:rect>
                <v:line id="Прямая соединительная линия 332" o:spid="_x0000_s1376" style="position:absolute;visibility:visible;mso-wrap-style:square" from="12344,34290" to="1402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" strokecolor="black [3200]" strokeweight=".5pt">
                  <v:stroke joinstyle="miter"/>
                </v:line>
                <v:rect id="Прямоугольник 333" o:spid="_x0000_s1377" style="position:absolute;left:14020;top:29870;width:13259;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" fillcolor="white [3212]" strokecolor="black [3213]" strokeweight="1pt">
                  <v:textbox>
                    <w:txbxContent>
                      <w:p w:rsidR="00F821E3" w:rsidRPr="003C1D21" w:rsidRDefault="00F821E3" w:rsidP="003C1D21">
                        <w:pPr>
                          <w:spacing w:after="0" w:line="240" w:lineRule="auto"/>
                          <w:jc w:val="center"/>
                          <w:rPr>
                            <w:rFonts w:ascii="Times New Roman" w:hAnsi="Times New Roman"/>
                            <w:color w:val="000000" w:themeColor="text1"/>
                          </w:rPr>
                        </w:pPr>
                        <w:r w:rsidRPr="003C1D21">
                          <w:rPr>
                            <w:rFonts w:ascii="Times New Roman" w:hAnsi="Times New Roman"/>
                            <w:color w:val="000000" w:themeColor="text1"/>
                          </w:rPr>
                          <w:t>підготов</w:t>
                        </w:r>
                        <w:r>
                          <w:rPr>
                            <w:rFonts w:ascii="Times New Roman" w:hAnsi="Times New Roman"/>
                            <w:color w:val="000000" w:themeColor="text1"/>
                          </w:rPr>
                          <w:t>ка</w:t>
                        </w:r>
                        <w:r w:rsidRPr="003C1D21">
                          <w:rPr>
                            <w:rFonts w:ascii="Times New Roman" w:hAnsi="Times New Roman"/>
                            <w:color w:val="000000" w:themeColor="text1"/>
                          </w:rPr>
                          <w:t xml:space="preserve"> підґрунтя</w:t>
                        </w:r>
                      </w:p>
                      <w:p w:rsidR="00F821E3" w:rsidRPr="003C1D21" w:rsidRDefault="00F821E3" w:rsidP="003C1D21">
                        <w:pPr>
                          <w:spacing w:after="0" w:line="240" w:lineRule="auto"/>
                          <w:jc w:val="center"/>
                          <w:rPr>
                            <w:rFonts w:ascii="Times New Roman" w:hAnsi="Times New Roman"/>
                            <w:color w:val="000000" w:themeColor="text1"/>
                          </w:rPr>
                        </w:pPr>
                        <w:r w:rsidRPr="003C1D21">
                          <w:rPr>
                            <w:rFonts w:ascii="Times New Roman" w:hAnsi="Times New Roman"/>
                            <w:color w:val="000000" w:themeColor="text1"/>
                          </w:rPr>
                          <w:t xml:space="preserve">для </w:t>
                        </w:r>
                        <w:r>
                          <w:rPr>
                            <w:rFonts w:ascii="Times New Roman" w:hAnsi="Times New Roman"/>
                            <w:color w:val="000000" w:themeColor="text1"/>
                          </w:rPr>
                          <w:t>розробки моделі</w:t>
                        </w:r>
                        <w:r w:rsidRPr="003C1D21">
                          <w:rPr>
                            <w:rFonts w:ascii="Times New Roman" w:hAnsi="Times New Roman"/>
                            <w:color w:val="000000" w:themeColor="text1"/>
                          </w:rPr>
                          <w:t xml:space="preserve"> управління ліквідністю</w:t>
                        </w:r>
                      </w:p>
                    </w:txbxContent>
                  </v:textbox>
                </v:rect>
                <v:line id="Прямая соединительная линия 334" o:spid="_x0000_s1378" style="position:absolute;flip:x;visibility:visible;mso-wrap-style:square" from="27279,34518" to="28879,3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" strokecolor="black [3200]" strokeweight=".5pt">
                  <v:stroke joinstyle="miter"/>
                </v:line>
                <v:rect id="Прямоугольник 335" o:spid="_x0000_s1379" style="position:absolute;left:28879;top:28346;width:31928;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" fillcolor="white [3212]" strokecolor="black [3213]" strokeweight="1pt">
                  <v:textbox>
                    <w:txbxContent>
                      <w:p w:rsidR="00F821E3" w:rsidRPr="00AE4AC2" w:rsidRDefault="00F821E3" w:rsidP="00AE4AC2">
                        <w:pPr>
                          <w:spacing w:after="0" w:line="240" w:lineRule="auto"/>
                          <w:jc w:val="both"/>
                          <w:rPr>
                            <w:rFonts w:ascii="Times New Roman" w:hAnsi="Times New Roman"/>
                            <w:color w:val="000000" w:themeColor="text1"/>
                          </w:rPr>
                        </w:pPr>
                        <w:r w:rsidRPr="00AE4AC2">
                          <w:rPr>
                            <w:rFonts w:ascii="Times New Roman" w:hAnsi="Times New Roman"/>
                            <w:color w:val="000000" w:themeColor="text1"/>
                          </w:rPr>
                          <w:t>- розробка організаційної структури;</w:t>
                        </w:r>
                      </w:p>
                      <w:p w:rsidR="00F821E3" w:rsidRPr="00AE4AC2" w:rsidRDefault="00F821E3" w:rsidP="00AE4AC2">
                        <w:pPr>
                          <w:spacing w:after="0" w:line="240" w:lineRule="auto"/>
                          <w:jc w:val="both"/>
                          <w:rPr>
                            <w:rFonts w:ascii="Times New Roman" w:hAnsi="Times New Roman"/>
                            <w:color w:val="000000" w:themeColor="text1"/>
                          </w:rPr>
                        </w:pPr>
                        <w:r w:rsidRPr="00AE4AC2">
                          <w:rPr>
                            <w:rFonts w:ascii="Times New Roman" w:hAnsi="Times New Roman"/>
                            <w:color w:val="000000" w:themeColor="text1"/>
                          </w:rPr>
                          <w:t>- кадрове забезпечення, визначення повноважень, чітке розмежування відповідальності підрозділів;</w:t>
                        </w:r>
                      </w:p>
                      <w:p w:rsidR="00F821E3" w:rsidRPr="003D18B3" w:rsidRDefault="00F821E3" w:rsidP="00AE4AC2">
                        <w:pPr>
                          <w:spacing w:after="0" w:line="240" w:lineRule="auto"/>
                          <w:jc w:val="both"/>
                          <w:rPr>
                            <w:rFonts w:ascii="Times New Roman" w:hAnsi="Times New Roman"/>
                            <w:color w:val="000000" w:themeColor="text1"/>
                          </w:rPr>
                        </w:pPr>
                        <w:r w:rsidRPr="00AE4AC2">
                          <w:rPr>
                            <w:rFonts w:ascii="Times New Roman" w:hAnsi="Times New Roman"/>
                            <w:color w:val="000000" w:themeColor="text1"/>
                          </w:rPr>
                          <w:t xml:space="preserve">- технічне забезпечення впровадження моделі </w:t>
                        </w:r>
                        <w:r w:rsidRPr="003D18B3">
                          <w:rPr>
                            <w:rFonts w:ascii="Times New Roman" w:hAnsi="Times New Roman"/>
                            <w:color w:val="000000" w:themeColor="text1"/>
                          </w:rPr>
                          <w:t>управління ліквідністю;</w:t>
                        </w:r>
                      </w:p>
                      <w:p w:rsidR="00F821E3" w:rsidRPr="00AE4AC2" w:rsidRDefault="00F821E3" w:rsidP="00AE4AC2">
                        <w:pPr>
                          <w:jc w:val="both"/>
                          <w:rPr>
                            <w:rFonts w:ascii="Times New Roman" w:hAnsi="Times New Roman"/>
                            <w:color w:val="000000" w:themeColor="text1"/>
                          </w:rPr>
                        </w:pPr>
                        <w:r>
                          <w:rPr>
                            <w:rFonts w:ascii="Times New Roman" w:hAnsi="Times New Roman"/>
                            <w:color w:val="000000" w:themeColor="text1"/>
                          </w:rPr>
                          <w:t xml:space="preserve">- </w:t>
                        </w:r>
                        <w:r w:rsidRPr="003D18B3">
                          <w:rPr>
                            <w:rFonts w:ascii="Times New Roman" w:hAnsi="Times New Roman"/>
                            <w:color w:val="000000" w:themeColor="text1"/>
                          </w:rPr>
                          <w:t>розроб</w:t>
                        </w:r>
                        <w:r>
                          <w:rPr>
                            <w:rFonts w:ascii="Times New Roman" w:hAnsi="Times New Roman"/>
                            <w:color w:val="000000" w:themeColor="text1"/>
                          </w:rPr>
                          <w:t>ка</w:t>
                        </w:r>
                        <w:r w:rsidRPr="003D18B3">
                          <w:rPr>
                            <w:rFonts w:ascii="Times New Roman" w:hAnsi="Times New Roman"/>
                            <w:color w:val="000000" w:themeColor="text1"/>
                          </w:rPr>
                          <w:t xml:space="preserve"> політик</w:t>
                        </w:r>
                        <w:r>
                          <w:rPr>
                            <w:rFonts w:ascii="Times New Roman" w:hAnsi="Times New Roman"/>
                            <w:color w:val="000000" w:themeColor="text1"/>
                          </w:rPr>
                          <w:t>и</w:t>
                        </w:r>
                        <w:r w:rsidRPr="003D18B3">
                          <w:rPr>
                            <w:rFonts w:ascii="Times New Roman" w:hAnsi="Times New Roman"/>
                            <w:color w:val="000000" w:themeColor="text1"/>
                          </w:rPr>
                          <w:t xml:space="preserve"> і процедур з управління </w:t>
                        </w:r>
                        <w:r w:rsidRPr="00AE4AC2">
                          <w:rPr>
                            <w:rFonts w:ascii="Times New Roman" w:hAnsi="Times New Roman"/>
                            <w:color w:val="000000" w:themeColor="text1"/>
                          </w:rPr>
                          <w:t xml:space="preserve">ліквідністю </w:t>
                        </w:r>
                      </w:p>
                    </w:txbxContent>
                  </v:textbox>
                </v:rect>
                <w10:anchorlock/>
              </v:group>
            </w:pict>
          </mc:Fallback>
        </mc:AlternateContent>
      </w:r>
    </w:p>
    <w:p w:rsidR="001843EB" w:rsidRDefault="001843EB" w:rsidP="001843EB">
      <w:pPr>
        <w:spacing w:after="0" w:line="360" w:lineRule="auto"/>
        <w:ind w:firstLine="709"/>
        <w:jc w:val="center"/>
        <w:rPr>
          <w:rFonts w:ascii="Times New Roman" w:hAnsi="Times New Roman"/>
          <w:sz w:val="28"/>
          <w:szCs w:val="28"/>
        </w:rPr>
      </w:pPr>
      <w:r>
        <w:rPr>
          <w:rFonts w:ascii="Times New Roman" w:hAnsi="Times New Roman"/>
          <w:sz w:val="28"/>
          <w:szCs w:val="28"/>
        </w:rPr>
        <w:t>Рис. 3.</w:t>
      </w:r>
      <w:r w:rsidR="0049103B">
        <w:rPr>
          <w:rFonts w:ascii="Times New Roman" w:hAnsi="Times New Roman"/>
          <w:sz w:val="28"/>
          <w:szCs w:val="28"/>
        </w:rPr>
        <w:t>4</w:t>
      </w:r>
      <w:r>
        <w:rPr>
          <w:rFonts w:ascii="Times New Roman" w:hAnsi="Times New Roman"/>
          <w:sz w:val="28"/>
          <w:szCs w:val="28"/>
        </w:rPr>
        <w:t xml:space="preserve">. Етапи розробки </w:t>
      </w:r>
      <w:r w:rsidRPr="001843EB">
        <w:rPr>
          <w:rFonts w:ascii="Times New Roman" w:hAnsi="Times New Roman"/>
          <w:sz w:val="28"/>
          <w:szCs w:val="28"/>
        </w:rPr>
        <w:t>моделі управління ліквідністю комерційного банку</w:t>
      </w:r>
      <w:r w:rsidRPr="001843EB">
        <w:t xml:space="preserve"> </w:t>
      </w:r>
      <w:r w:rsidRPr="001843EB">
        <w:rPr>
          <w:rFonts w:ascii="Times New Roman" w:hAnsi="Times New Roman"/>
          <w:sz w:val="28"/>
          <w:szCs w:val="28"/>
        </w:rPr>
        <w:t>в умовах системної фінансової кризи</w:t>
      </w:r>
      <w:r w:rsidR="00112862">
        <w:rPr>
          <w:rFonts w:ascii="Times New Roman" w:hAnsi="Times New Roman"/>
          <w:sz w:val="28"/>
          <w:szCs w:val="28"/>
        </w:rPr>
        <w:t xml:space="preserve"> </w:t>
      </w:r>
    </w:p>
    <w:p w:rsidR="009E18B1" w:rsidRDefault="009E18B1" w:rsidP="009E18B1">
      <w:pPr>
        <w:spacing w:before="240" w:after="0" w:line="360" w:lineRule="auto"/>
        <w:ind w:firstLine="709"/>
        <w:jc w:val="both"/>
        <w:rPr>
          <w:rFonts w:ascii="Times New Roman" w:hAnsi="Times New Roman"/>
          <w:sz w:val="28"/>
          <w:szCs w:val="28"/>
        </w:rPr>
      </w:pPr>
      <w:r>
        <w:rPr>
          <w:rFonts w:ascii="Times New Roman" w:hAnsi="Times New Roman"/>
          <w:sz w:val="28"/>
          <w:szCs w:val="28"/>
        </w:rPr>
        <w:t>Зауважимо, на нашу думку</w:t>
      </w:r>
      <w:r w:rsidRPr="009E18B1">
        <w:rPr>
          <w:rFonts w:ascii="Times New Roman" w:hAnsi="Times New Roman"/>
          <w:sz w:val="28"/>
          <w:szCs w:val="28"/>
        </w:rPr>
        <w:t xml:space="preserve">, </w:t>
      </w:r>
      <w:r w:rsidR="00110646">
        <w:rPr>
          <w:rFonts w:ascii="Times New Roman" w:hAnsi="Times New Roman"/>
          <w:sz w:val="28"/>
          <w:szCs w:val="28"/>
        </w:rPr>
        <w:t xml:space="preserve">що </w:t>
      </w:r>
      <w:r w:rsidRPr="009E18B1">
        <w:rPr>
          <w:rFonts w:ascii="Times New Roman" w:hAnsi="Times New Roman"/>
          <w:sz w:val="28"/>
          <w:szCs w:val="28"/>
        </w:rPr>
        <w:t>модел</w:t>
      </w:r>
      <w:r w:rsidR="00110646">
        <w:rPr>
          <w:rFonts w:ascii="Times New Roman" w:hAnsi="Times New Roman"/>
          <w:sz w:val="28"/>
          <w:szCs w:val="28"/>
        </w:rPr>
        <w:t>ь</w:t>
      </w:r>
      <w:r w:rsidRPr="009E18B1">
        <w:rPr>
          <w:rFonts w:ascii="Times New Roman" w:hAnsi="Times New Roman"/>
          <w:sz w:val="28"/>
          <w:szCs w:val="28"/>
        </w:rPr>
        <w:t xml:space="preserve"> управління ліквідністю комерційного банку повинна складатися </w:t>
      </w:r>
      <w:r>
        <w:rPr>
          <w:rFonts w:ascii="Times New Roman" w:hAnsi="Times New Roman"/>
          <w:sz w:val="28"/>
          <w:szCs w:val="28"/>
        </w:rPr>
        <w:t>наступних</w:t>
      </w:r>
      <w:r w:rsidR="00110646">
        <w:rPr>
          <w:rFonts w:ascii="Times New Roman" w:hAnsi="Times New Roman"/>
          <w:sz w:val="28"/>
          <w:szCs w:val="28"/>
        </w:rPr>
        <w:t xml:space="preserve"> основних</w:t>
      </w:r>
      <w:r>
        <w:rPr>
          <w:rFonts w:ascii="Times New Roman" w:hAnsi="Times New Roman"/>
          <w:sz w:val="28"/>
          <w:szCs w:val="28"/>
        </w:rPr>
        <w:t xml:space="preserve"> елементів</w:t>
      </w:r>
      <w:r w:rsidRPr="009E18B1">
        <w:rPr>
          <w:rFonts w:ascii="Times New Roman" w:hAnsi="Times New Roman"/>
          <w:sz w:val="28"/>
          <w:szCs w:val="28"/>
        </w:rPr>
        <w:t xml:space="preserve"> (</w:t>
      </w:r>
      <w:r>
        <w:rPr>
          <w:rFonts w:ascii="Times New Roman" w:hAnsi="Times New Roman"/>
          <w:sz w:val="28"/>
          <w:szCs w:val="28"/>
        </w:rPr>
        <w:t xml:space="preserve">див. </w:t>
      </w:r>
      <w:r w:rsidRPr="009E18B1">
        <w:rPr>
          <w:rFonts w:ascii="Times New Roman" w:hAnsi="Times New Roman"/>
          <w:sz w:val="28"/>
          <w:szCs w:val="28"/>
        </w:rPr>
        <w:t xml:space="preserve">рис. </w:t>
      </w:r>
      <w:r>
        <w:rPr>
          <w:rFonts w:ascii="Times New Roman" w:hAnsi="Times New Roman"/>
          <w:sz w:val="28"/>
          <w:szCs w:val="28"/>
        </w:rPr>
        <w:t>3.</w:t>
      </w:r>
      <w:r w:rsidR="0049103B">
        <w:rPr>
          <w:rFonts w:ascii="Times New Roman" w:hAnsi="Times New Roman"/>
          <w:sz w:val="28"/>
          <w:szCs w:val="28"/>
        </w:rPr>
        <w:t>5</w:t>
      </w:r>
      <w:r w:rsidRPr="009E18B1">
        <w:rPr>
          <w:rFonts w:ascii="Times New Roman" w:hAnsi="Times New Roman"/>
          <w:sz w:val="28"/>
          <w:szCs w:val="28"/>
        </w:rPr>
        <w:t>).</w:t>
      </w:r>
    </w:p>
    <w:p w:rsidR="004A1335" w:rsidRDefault="00110646" w:rsidP="00110646">
      <w:pPr>
        <w:spacing w:before="240" w:after="0" w:line="360" w:lineRule="auto"/>
        <w:jc w:val="both"/>
        <w:rPr>
          <w:rFonts w:ascii="Times New Roman" w:hAnsi="Times New Roman"/>
          <w:sz w:val="28"/>
          <w:szCs w:val="28"/>
        </w:rPr>
      </w:pPr>
      <w:r>
        <w:rPr>
          <w:rFonts w:ascii="Times New Roman" w:hAnsi="Times New Roman"/>
          <w:noProof/>
          <w:sz w:val="28"/>
          <w:szCs w:val="28"/>
          <w:lang w:eastAsia="uk-UA"/>
        </w:rPr>
        <mc:AlternateContent>
          <mc:Choice Requires="wpc">
            <w:drawing>
              <wp:inline distT="0" distB="0" distL="0" distR="0">
                <wp:extent cx="5661660" cy="1866900"/>
                <wp:effectExtent l="0" t="0" r="0" b="0"/>
                <wp:docPr id="336" name="Полотно 3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7" name="Прямоугольник 337"/>
                        <wps:cNvSpPr/>
                        <wps:spPr>
                          <a:xfrm>
                            <a:off x="1798320" y="91440"/>
                            <a:ext cx="2095500" cy="6781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110646" w:rsidRDefault="00F821E3" w:rsidP="00110646">
                              <w:pPr>
                                <w:spacing w:after="0" w:line="240" w:lineRule="auto"/>
                                <w:jc w:val="center"/>
                                <w:rPr>
                                  <w:rFonts w:ascii="Times New Roman" w:hAnsi="Times New Roman"/>
                                  <w:color w:val="000000" w:themeColor="text1"/>
                                  <w:sz w:val="24"/>
                                  <w:szCs w:val="24"/>
                                </w:rPr>
                              </w:pPr>
                              <w:r w:rsidRPr="00110646">
                                <w:rPr>
                                  <w:rFonts w:ascii="Times New Roman" w:hAnsi="Times New Roman"/>
                                  <w:color w:val="000000" w:themeColor="text1"/>
                                  <w:sz w:val="24"/>
                                  <w:szCs w:val="24"/>
                                </w:rPr>
                                <w:t>Основні елементи моделі управління ліквідністю комерційного банку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Прямая соединительная линия 338"/>
                        <wps:cNvCnPr>
                          <a:stCxn id="337" idx="2"/>
                        </wps:cNvCnPr>
                        <wps:spPr>
                          <a:xfrm>
                            <a:off x="2846070" y="769620"/>
                            <a:ext cx="3810" cy="160020"/>
                          </a:xfrm>
                          <a:prstGeom prst="line">
                            <a:avLst/>
                          </a:prstGeom>
                        </wps:spPr>
                        <wps:style>
                          <a:lnRef idx="1">
                            <a:schemeClr val="dk1"/>
                          </a:lnRef>
                          <a:fillRef idx="0">
                            <a:schemeClr val="dk1"/>
                          </a:fillRef>
                          <a:effectRef idx="0">
                            <a:schemeClr val="dk1"/>
                          </a:effectRef>
                          <a:fontRef idx="minor">
                            <a:schemeClr val="tx1"/>
                          </a:fontRef>
                        </wps:style>
                        <wps:bodyPr/>
                      </wps:wsp>
                      <wps:wsp>
                        <wps:cNvPr id="339" name="Прямая соединительная линия 339"/>
                        <wps:cNvCnPr/>
                        <wps:spPr>
                          <a:xfrm>
                            <a:off x="746760" y="929640"/>
                            <a:ext cx="4122420" cy="0"/>
                          </a:xfrm>
                          <a:prstGeom prst="line">
                            <a:avLst/>
                          </a:prstGeom>
                        </wps:spPr>
                        <wps:style>
                          <a:lnRef idx="1">
                            <a:schemeClr val="dk1"/>
                          </a:lnRef>
                          <a:fillRef idx="0">
                            <a:schemeClr val="dk1"/>
                          </a:fillRef>
                          <a:effectRef idx="0">
                            <a:schemeClr val="dk1"/>
                          </a:effectRef>
                          <a:fontRef idx="minor">
                            <a:schemeClr val="tx1"/>
                          </a:fontRef>
                        </wps:style>
                        <wps:bodyPr/>
                      </wps:wsp>
                      <wps:wsp>
                        <wps:cNvPr id="340" name="Прямая соединительная линия 340"/>
                        <wps:cNvCnPr/>
                        <wps:spPr>
                          <a:xfrm>
                            <a:off x="746760" y="929640"/>
                            <a:ext cx="0" cy="259080"/>
                          </a:xfrm>
                          <a:prstGeom prst="line">
                            <a:avLst/>
                          </a:prstGeom>
                        </wps:spPr>
                        <wps:style>
                          <a:lnRef idx="1">
                            <a:schemeClr val="dk1"/>
                          </a:lnRef>
                          <a:fillRef idx="0">
                            <a:schemeClr val="dk1"/>
                          </a:fillRef>
                          <a:effectRef idx="0">
                            <a:schemeClr val="dk1"/>
                          </a:effectRef>
                          <a:fontRef idx="minor">
                            <a:schemeClr val="tx1"/>
                          </a:fontRef>
                        </wps:style>
                        <wps:bodyPr/>
                      </wps:wsp>
                      <wps:wsp>
                        <wps:cNvPr id="341" name="Прямоугольник 341"/>
                        <wps:cNvSpPr/>
                        <wps:spPr>
                          <a:xfrm>
                            <a:off x="106680" y="1188720"/>
                            <a:ext cx="12954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110646" w:rsidRDefault="00F821E3" w:rsidP="00110646">
                              <w:pPr>
                                <w:jc w:val="center"/>
                                <w:rPr>
                                  <w:rFonts w:ascii="Times New Roman" w:hAnsi="Times New Roman"/>
                                  <w:color w:val="000000" w:themeColor="text1"/>
                                </w:rPr>
                              </w:pPr>
                              <w:r w:rsidRPr="00110646">
                                <w:rPr>
                                  <w:rFonts w:ascii="Times New Roman" w:hAnsi="Times New Roman"/>
                                  <w:color w:val="000000" w:themeColor="text1"/>
                                </w:rPr>
                                <w:t>Організаційна структура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Прямая соединительная линия 342"/>
                        <wps:cNvCnPr/>
                        <wps:spPr>
                          <a:xfrm>
                            <a:off x="2849880" y="929640"/>
                            <a:ext cx="3810" cy="259080"/>
                          </a:xfrm>
                          <a:prstGeom prst="line">
                            <a:avLst/>
                          </a:prstGeom>
                        </wps:spPr>
                        <wps:style>
                          <a:lnRef idx="1">
                            <a:schemeClr val="dk1"/>
                          </a:lnRef>
                          <a:fillRef idx="0">
                            <a:schemeClr val="dk1"/>
                          </a:fillRef>
                          <a:effectRef idx="0">
                            <a:schemeClr val="dk1"/>
                          </a:effectRef>
                          <a:fontRef idx="minor">
                            <a:schemeClr val="tx1"/>
                          </a:fontRef>
                        </wps:style>
                        <wps:bodyPr/>
                      </wps:wsp>
                      <wps:wsp>
                        <wps:cNvPr id="343" name="Прямоугольник 343"/>
                        <wps:cNvSpPr/>
                        <wps:spPr>
                          <a:xfrm>
                            <a:off x="1645920" y="1188720"/>
                            <a:ext cx="241554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110646" w:rsidRDefault="00F821E3" w:rsidP="00110646">
                              <w:pPr>
                                <w:jc w:val="center"/>
                                <w:rPr>
                                  <w:rFonts w:ascii="Times New Roman" w:hAnsi="Times New Roman"/>
                                  <w:color w:val="000000" w:themeColor="text1"/>
                                </w:rPr>
                              </w:pPr>
                              <w:r w:rsidRPr="00110646">
                                <w:rPr>
                                  <w:rFonts w:ascii="Times New Roman" w:hAnsi="Times New Roman"/>
                                  <w:color w:val="000000" w:themeColor="text1"/>
                                </w:rPr>
                                <w:t xml:space="preserve">Інформаційне, методичне, аналітичне, програмне забезпечення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Прямоугольник 344"/>
                        <wps:cNvSpPr/>
                        <wps:spPr>
                          <a:xfrm>
                            <a:off x="4282440" y="1188720"/>
                            <a:ext cx="118872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9F258E" w:rsidRDefault="00F821E3" w:rsidP="009F258E">
                              <w:pPr>
                                <w:jc w:val="center"/>
                                <w:rPr>
                                  <w:rFonts w:ascii="Times New Roman" w:hAnsi="Times New Roman"/>
                                  <w:color w:val="000000" w:themeColor="text1"/>
                                </w:rPr>
                              </w:pPr>
                              <w:r w:rsidRPr="009F258E">
                                <w:rPr>
                                  <w:rFonts w:ascii="Times New Roman" w:hAnsi="Times New Roman"/>
                                  <w:color w:val="000000" w:themeColor="text1"/>
                                </w:rPr>
                                <w:t>Внутрішній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Прямая соединительная линия 345"/>
                        <wps:cNvCnPr/>
                        <wps:spPr>
                          <a:xfrm>
                            <a:off x="4869180" y="929640"/>
                            <a:ext cx="0" cy="25908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336" o:spid="_x0000_s1380" editas="canvas" style="width:445.8pt;height:147pt;mso-position-horizontal-relative:char;mso-position-vertical-relative:line" coordsize="56616,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">
                <v:shape id="_x0000_s1381" type="#_x0000_t75" style="position:absolute;width:56616;height:18669;visibility:visible;mso-wrap-style:square">
                  <v:fill o:detectmouseclick="t"/>
                  <v:path o:connecttype="none"/>
                </v:shape>
                <v:rect id="Прямоугольник 337" o:spid="_x0000_s1382" style="position:absolute;left:17983;top:914;width:20955;height:6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" fillcolor="white [3212]" strokecolor="black [3213]" strokeweight="1pt">
                  <v:textbox>
                    <w:txbxContent>
                      <w:p w:rsidR="00F821E3" w:rsidRPr="00110646" w:rsidRDefault="00F821E3" w:rsidP="00110646">
                        <w:pPr>
                          <w:spacing w:after="0" w:line="240" w:lineRule="auto"/>
                          <w:jc w:val="center"/>
                          <w:rPr>
                            <w:rFonts w:ascii="Times New Roman" w:hAnsi="Times New Roman"/>
                            <w:color w:val="000000" w:themeColor="text1"/>
                            <w:sz w:val="24"/>
                            <w:szCs w:val="24"/>
                          </w:rPr>
                        </w:pPr>
                        <w:r w:rsidRPr="00110646">
                          <w:rPr>
                            <w:rFonts w:ascii="Times New Roman" w:hAnsi="Times New Roman"/>
                            <w:color w:val="000000" w:themeColor="text1"/>
                            <w:sz w:val="24"/>
                            <w:szCs w:val="24"/>
                          </w:rPr>
                          <w:t>Основні елементи моделі управління ліквідністю комерційного банку</w:t>
                        </w:r>
                      </w:p>
                    </w:txbxContent>
                  </v:textbox>
                </v:rect>
                <v:line id="Прямая соединительная линия 338" o:spid="_x0000_s1383" style="position:absolute;visibility:visible;mso-wrap-style:square" from="28460,7696" to="28498,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" strokecolor="black [3200]" strokeweight=".5pt">
                  <v:stroke joinstyle="miter"/>
                </v:line>
                <v:line id="Прямая соединительная линия 339" o:spid="_x0000_s1384" style="position:absolute;visibility:visible;mso-wrap-style:square" from="7467,9296" to="48691,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" strokecolor="black [3200]" strokeweight=".5pt">
                  <v:stroke joinstyle="miter"/>
                </v:line>
                <v:line id="Прямая соединительная линия 340" o:spid="_x0000_s1385" style="position:absolute;visibility:visible;mso-wrap-style:square" from="7467,9296" to="7467,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" strokecolor="black [3200]" strokeweight=".5pt">
                  <v:stroke joinstyle="miter"/>
                </v:line>
                <v:rect id="Прямоугольник 341" o:spid="_x0000_s1386" style="position:absolute;left:1066;top:11887;width:1295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" fillcolor="white [3212]" strokecolor="black [3213]" strokeweight="1pt">
                  <v:textbox>
                    <w:txbxContent>
                      <w:p w:rsidR="00F821E3" w:rsidRPr="00110646" w:rsidRDefault="00F821E3" w:rsidP="00110646">
                        <w:pPr>
                          <w:jc w:val="center"/>
                          <w:rPr>
                            <w:rFonts w:ascii="Times New Roman" w:hAnsi="Times New Roman"/>
                            <w:color w:val="000000" w:themeColor="text1"/>
                          </w:rPr>
                        </w:pPr>
                        <w:r w:rsidRPr="00110646">
                          <w:rPr>
                            <w:rFonts w:ascii="Times New Roman" w:hAnsi="Times New Roman"/>
                            <w:color w:val="000000" w:themeColor="text1"/>
                          </w:rPr>
                          <w:t>Організаційна структура</w:t>
                        </w:r>
                      </w:p>
                    </w:txbxContent>
                  </v:textbox>
                </v:rect>
                <v:line id="Прямая соединительная линия 342" o:spid="_x0000_s1387" style="position:absolute;visibility:visible;mso-wrap-style:square" from="28498,9296" to="28536,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" strokecolor="black [3200]" strokeweight=".5pt">
                  <v:stroke joinstyle="miter"/>
                </v:line>
                <v:rect id="Прямоугольник 343" o:spid="_x0000_s1388" style="position:absolute;left:16459;top:11887;width:2415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" fillcolor="white [3212]" strokecolor="black [3213]" strokeweight="1pt">
                  <v:textbox>
                    <w:txbxContent>
                      <w:p w:rsidR="00F821E3" w:rsidRPr="00110646" w:rsidRDefault="00F821E3" w:rsidP="00110646">
                        <w:pPr>
                          <w:jc w:val="center"/>
                          <w:rPr>
                            <w:rFonts w:ascii="Times New Roman" w:hAnsi="Times New Roman"/>
                            <w:color w:val="000000" w:themeColor="text1"/>
                          </w:rPr>
                        </w:pPr>
                        <w:r w:rsidRPr="00110646">
                          <w:rPr>
                            <w:rFonts w:ascii="Times New Roman" w:hAnsi="Times New Roman"/>
                            <w:color w:val="000000" w:themeColor="text1"/>
                          </w:rPr>
                          <w:t xml:space="preserve">Інформаційне, методичне, аналітичне, програмне забезпечення </w:t>
                        </w:r>
                      </w:p>
                    </w:txbxContent>
                  </v:textbox>
                </v:rect>
                <v:rect id="Прямоугольник 344" o:spid="_x0000_s1389" style="position:absolute;left:42824;top:11887;width:11887;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" fillcolor="white [3212]" strokecolor="black [3213]" strokeweight="1pt">
                  <v:textbox>
                    <w:txbxContent>
                      <w:p w:rsidR="00F821E3" w:rsidRPr="009F258E" w:rsidRDefault="00F821E3" w:rsidP="009F258E">
                        <w:pPr>
                          <w:jc w:val="center"/>
                          <w:rPr>
                            <w:rFonts w:ascii="Times New Roman" w:hAnsi="Times New Roman"/>
                            <w:color w:val="000000" w:themeColor="text1"/>
                          </w:rPr>
                        </w:pPr>
                        <w:r w:rsidRPr="009F258E">
                          <w:rPr>
                            <w:rFonts w:ascii="Times New Roman" w:hAnsi="Times New Roman"/>
                            <w:color w:val="000000" w:themeColor="text1"/>
                          </w:rPr>
                          <w:t>Внутрішній контроль</w:t>
                        </w:r>
                      </w:p>
                    </w:txbxContent>
                  </v:textbox>
                </v:rect>
                <v:line id="Прямая соединительная линия 345" o:spid="_x0000_s1390" style="position:absolute;visibility:visible;mso-wrap-style:square" from="48691,9296" to="48691,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R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bO/yeiUdAzn8AAAD//wMAUEsBAi0AFAAGAAgAAAAhANvh9svuAAAAhQEAABMAAAAAAAAA&#10;AAAAAAAAAAAAAFtDb250ZW50X1R5cGVzXS54bWxQSwECLQAUAAYACAAAACEAWvQsW78AAAAVAQAA&#10;CwAAAAAAAAAAAAAAAAAfAQAAX3JlbHMvLnJlbHNQSwECLQAUAAYACAAAACEAqx5MUcYAAADcAAAA&#10;DwAAAAAAAAAAAAAAAAAHAgAAZHJzL2Rvd25yZXYueG1sUEsFBgAAAAADAAMAtwAAAPoCAAAAAA==&#10;" strokecolor="black [3200]" strokeweight=".5pt">
                  <v:stroke joinstyle="miter"/>
                </v:line>
                <w10:anchorlock/>
              </v:group>
            </w:pict>
          </mc:Fallback>
        </mc:AlternateContent>
      </w:r>
    </w:p>
    <w:p w:rsidR="007F7E5C" w:rsidRDefault="007F7E5C" w:rsidP="00E16A59">
      <w:pPr>
        <w:spacing w:before="240" w:after="0" w:line="360" w:lineRule="auto"/>
        <w:jc w:val="center"/>
        <w:rPr>
          <w:rFonts w:ascii="Times New Roman" w:hAnsi="Times New Roman"/>
          <w:sz w:val="28"/>
          <w:szCs w:val="28"/>
        </w:rPr>
      </w:pPr>
      <w:r w:rsidRPr="007F7E5C">
        <w:rPr>
          <w:rFonts w:ascii="Times New Roman" w:hAnsi="Times New Roman"/>
          <w:sz w:val="28"/>
          <w:szCs w:val="28"/>
        </w:rPr>
        <w:t>Рис. 3.</w:t>
      </w:r>
      <w:r w:rsidR="0049103B">
        <w:rPr>
          <w:rFonts w:ascii="Times New Roman" w:hAnsi="Times New Roman"/>
          <w:sz w:val="28"/>
          <w:szCs w:val="28"/>
        </w:rPr>
        <w:t>5</w:t>
      </w:r>
      <w:r w:rsidRPr="007F7E5C">
        <w:rPr>
          <w:rFonts w:ascii="Times New Roman" w:hAnsi="Times New Roman"/>
          <w:sz w:val="28"/>
          <w:szCs w:val="28"/>
        </w:rPr>
        <w:t>. Елементи моделі управління ліквідністю комерційного банку</w:t>
      </w:r>
    </w:p>
    <w:p w:rsidR="00C7413B" w:rsidRDefault="00AB1ECA" w:rsidP="00F1352D">
      <w:pPr>
        <w:spacing w:before="240"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Беручи за базис викладене вище, пропонуємо комплексний підхід до управління ліквідністю комерційного банку в основу, якого покладено ситуаційний підхід. Головною відмінністю запропонованої моделі від традиційного (системного) механізму управління ліквідністю комерційного банку є можливість її пристосування до </w:t>
      </w:r>
      <w:r w:rsidR="00C7413B">
        <w:rPr>
          <w:rFonts w:ascii="Times New Roman" w:hAnsi="Times New Roman"/>
          <w:sz w:val="28"/>
          <w:szCs w:val="28"/>
        </w:rPr>
        <w:t>складної економічної ситуацій сьогодення; урахування інтенсивності впливу зовнішніх та/або внутрішніх факторів; накопичення</w:t>
      </w:r>
      <w:r>
        <w:rPr>
          <w:rFonts w:ascii="Times New Roman" w:hAnsi="Times New Roman"/>
          <w:sz w:val="28"/>
          <w:szCs w:val="28"/>
        </w:rPr>
        <w:t xml:space="preserve"> </w:t>
      </w:r>
      <w:r w:rsidR="00C7413B">
        <w:rPr>
          <w:rFonts w:ascii="Times New Roman" w:hAnsi="Times New Roman"/>
          <w:sz w:val="28"/>
          <w:szCs w:val="28"/>
        </w:rPr>
        <w:t>та аналіз інформації щодо ліквідності, а також її прогнозування. М</w:t>
      </w:r>
      <w:r w:rsidR="00C7413B" w:rsidRPr="00C7413B">
        <w:rPr>
          <w:rFonts w:ascii="Times New Roman" w:hAnsi="Times New Roman"/>
          <w:sz w:val="28"/>
          <w:szCs w:val="28"/>
        </w:rPr>
        <w:t>одел</w:t>
      </w:r>
      <w:r w:rsidR="00C7413B">
        <w:rPr>
          <w:rFonts w:ascii="Times New Roman" w:hAnsi="Times New Roman"/>
          <w:sz w:val="28"/>
          <w:szCs w:val="28"/>
        </w:rPr>
        <w:t>ь</w:t>
      </w:r>
      <w:r w:rsidR="00C7413B" w:rsidRPr="00C7413B">
        <w:rPr>
          <w:rFonts w:ascii="Times New Roman" w:hAnsi="Times New Roman"/>
          <w:sz w:val="28"/>
          <w:szCs w:val="28"/>
        </w:rPr>
        <w:t xml:space="preserve"> управління ліквідністю комерційного банку</w:t>
      </w:r>
      <w:r w:rsidR="00C7413B" w:rsidRPr="00C7413B">
        <w:t xml:space="preserve"> </w:t>
      </w:r>
      <w:r w:rsidR="00C7413B" w:rsidRPr="00C7413B">
        <w:rPr>
          <w:rFonts w:ascii="Times New Roman" w:hAnsi="Times New Roman"/>
          <w:sz w:val="28"/>
          <w:szCs w:val="28"/>
        </w:rPr>
        <w:t>на основі ситуаційн</w:t>
      </w:r>
      <w:r w:rsidR="00C7413B">
        <w:rPr>
          <w:rFonts w:ascii="Times New Roman" w:hAnsi="Times New Roman"/>
          <w:sz w:val="28"/>
          <w:szCs w:val="28"/>
        </w:rPr>
        <w:t xml:space="preserve">ого </w:t>
      </w:r>
      <w:r w:rsidR="00C7413B" w:rsidRPr="00C7413B">
        <w:rPr>
          <w:rFonts w:ascii="Times New Roman" w:hAnsi="Times New Roman"/>
          <w:sz w:val="28"/>
          <w:szCs w:val="28"/>
        </w:rPr>
        <w:t>підход</w:t>
      </w:r>
      <w:r w:rsidR="00C7413B">
        <w:rPr>
          <w:rFonts w:ascii="Times New Roman" w:hAnsi="Times New Roman"/>
          <w:sz w:val="28"/>
          <w:szCs w:val="28"/>
        </w:rPr>
        <w:t>у</w:t>
      </w:r>
      <w:r w:rsidR="00C7413B" w:rsidRPr="00C7413B">
        <w:rPr>
          <w:rFonts w:ascii="Times New Roman" w:hAnsi="Times New Roman"/>
          <w:sz w:val="28"/>
          <w:szCs w:val="28"/>
        </w:rPr>
        <w:t xml:space="preserve"> в умовах системної фінансової кризи</w:t>
      </w:r>
      <w:r w:rsidR="00C7413B">
        <w:rPr>
          <w:rFonts w:ascii="Times New Roman" w:hAnsi="Times New Roman"/>
          <w:sz w:val="28"/>
          <w:szCs w:val="28"/>
        </w:rPr>
        <w:t xml:space="preserve"> повинна</w:t>
      </w:r>
      <w:r w:rsidR="00F1352D">
        <w:rPr>
          <w:rFonts w:ascii="Times New Roman" w:hAnsi="Times New Roman"/>
          <w:sz w:val="28"/>
          <w:szCs w:val="28"/>
        </w:rPr>
        <w:t xml:space="preserve"> враховувати наступні принципи: різноманітність; </w:t>
      </w:r>
      <w:r w:rsidR="00C7413B">
        <w:rPr>
          <w:rFonts w:ascii="Times New Roman" w:hAnsi="Times New Roman"/>
          <w:sz w:val="28"/>
          <w:szCs w:val="28"/>
        </w:rPr>
        <w:t>системність;</w:t>
      </w:r>
      <w:r w:rsidR="00F1352D">
        <w:rPr>
          <w:rFonts w:ascii="Times New Roman" w:hAnsi="Times New Roman"/>
          <w:sz w:val="28"/>
          <w:szCs w:val="28"/>
        </w:rPr>
        <w:t xml:space="preserve"> гнучкість; </w:t>
      </w:r>
      <w:r w:rsidR="00D70024">
        <w:rPr>
          <w:rFonts w:ascii="Times New Roman" w:hAnsi="Times New Roman"/>
          <w:sz w:val="28"/>
          <w:szCs w:val="28"/>
        </w:rPr>
        <w:t>«</w:t>
      </w:r>
      <w:proofErr w:type="spellStart"/>
      <w:r w:rsidR="00D70024" w:rsidRPr="00D70024">
        <w:rPr>
          <w:rFonts w:ascii="Times New Roman" w:hAnsi="Times New Roman"/>
          <w:sz w:val="28"/>
          <w:szCs w:val="28"/>
        </w:rPr>
        <w:t>feedback</w:t>
      </w:r>
      <w:proofErr w:type="spellEnd"/>
      <w:r w:rsidR="00D70024">
        <w:rPr>
          <w:rFonts w:ascii="Times New Roman" w:hAnsi="Times New Roman"/>
          <w:sz w:val="28"/>
          <w:szCs w:val="28"/>
        </w:rPr>
        <w:t>» -</w:t>
      </w:r>
      <w:r w:rsidR="00C7413B">
        <w:rPr>
          <w:rFonts w:ascii="Times New Roman" w:hAnsi="Times New Roman"/>
          <w:sz w:val="28"/>
          <w:szCs w:val="28"/>
        </w:rPr>
        <w:t xml:space="preserve"> зворотн</w:t>
      </w:r>
      <w:r w:rsidR="00D70024">
        <w:rPr>
          <w:rFonts w:ascii="Times New Roman" w:hAnsi="Times New Roman"/>
          <w:sz w:val="28"/>
          <w:szCs w:val="28"/>
        </w:rPr>
        <w:t>ій</w:t>
      </w:r>
      <w:r w:rsidR="00C7413B">
        <w:rPr>
          <w:rFonts w:ascii="Times New Roman" w:hAnsi="Times New Roman"/>
          <w:sz w:val="28"/>
          <w:szCs w:val="28"/>
        </w:rPr>
        <w:t xml:space="preserve"> </w:t>
      </w:r>
      <w:r w:rsidR="00D70024">
        <w:rPr>
          <w:rFonts w:ascii="Times New Roman" w:hAnsi="Times New Roman"/>
          <w:sz w:val="28"/>
          <w:szCs w:val="28"/>
        </w:rPr>
        <w:t>зв’язок.</w:t>
      </w:r>
    </w:p>
    <w:p w:rsidR="00D70024" w:rsidRDefault="00D70024" w:rsidP="00D70024">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Відповідно до виокремлених </w:t>
      </w:r>
      <w:r w:rsidR="0052114E">
        <w:rPr>
          <w:rFonts w:ascii="Times New Roman" w:hAnsi="Times New Roman"/>
          <w:sz w:val="28"/>
          <w:szCs w:val="28"/>
        </w:rPr>
        <w:t xml:space="preserve">принципів, задля підвищення ефективності управління, швидкої адаптації до змін в економічному середовищі пропонуємо </w:t>
      </w:r>
      <w:r w:rsidR="005037EF">
        <w:rPr>
          <w:rFonts w:ascii="Times New Roman" w:hAnsi="Times New Roman"/>
          <w:sz w:val="28"/>
          <w:szCs w:val="28"/>
        </w:rPr>
        <w:t xml:space="preserve">наочне зображення </w:t>
      </w:r>
      <w:r w:rsidR="0052114E">
        <w:rPr>
          <w:rFonts w:ascii="Times New Roman" w:hAnsi="Times New Roman"/>
          <w:sz w:val="28"/>
          <w:szCs w:val="28"/>
        </w:rPr>
        <w:t>м</w:t>
      </w:r>
      <w:r w:rsidR="0052114E" w:rsidRPr="0052114E">
        <w:rPr>
          <w:rFonts w:ascii="Times New Roman" w:hAnsi="Times New Roman"/>
          <w:sz w:val="28"/>
          <w:szCs w:val="28"/>
        </w:rPr>
        <w:t>одел</w:t>
      </w:r>
      <w:r w:rsidR="005037EF">
        <w:rPr>
          <w:rFonts w:ascii="Times New Roman" w:hAnsi="Times New Roman"/>
          <w:sz w:val="28"/>
          <w:szCs w:val="28"/>
        </w:rPr>
        <w:t>і</w:t>
      </w:r>
      <w:r w:rsidR="0052114E" w:rsidRPr="0052114E">
        <w:rPr>
          <w:rFonts w:ascii="Times New Roman" w:hAnsi="Times New Roman"/>
          <w:sz w:val="28"/>
          <w:szCs w:val="28"/>
        </w:rPr>
        <w:t xml:space="preserve"> управління ліквідністю </w:t>
      </w:r>
      <w:r w:rsidR="0052114E">
        <w:rPr>
          <w:rFonts w:ascii="Times New Roman" w:hAnsi="Times New Roman"/>
          <w:sz w:val="28"/>
          <w:szCs w:val="28"/>
        </w:rPr>
        <w:t>АТ «Ідея Банк»</w:t>
      </w:r>
      <w:r w:rsidR="0052114E" w:rsidRPr="0052114E">
        <w:rPr>
          <w:rFonts w:ascii="Times New Roman" w:hAnsi="Times New Roman"/>
          <w:sz w:val="28"/>
          <w:szCs w:val="28"/>
        </w:rPr>
        <w:t xml:space="preserve"> на основі ситуаційного підходу в умовах системної фінансової кризи </w:t>
      </w:r>
      <w:r w:rsidR="00745225">
        <w:rPr>
          <w:rFonts w:ascii="Times New Roman" w:hAnsi="Times New Roman"/>
          <w:sz w:val="28"/>
          <w:szCs w:val="28"/>
        </w:rPr>
        <w:t>(див. рис. 3.6</w:t>
      </w:r>
      <w:r w:rsidR="0052114E">
        <w:rPr>
          <w:rFonts w:ascii="Times New Roman" w:hAnsi="Times New Roman"/>
          <w:sz w:val="28"/>
          <w:szCs w:val="28"/>
        </w:rPr>
        <w:t>).</w:t>
      </w:r>
    </w:p>
    <w:p w:rsidR="007C46B5" w:rsidRDefault="005037EF" w:rsidP="005037EF">
      <w:pPr>
        <w:spacing w:after="0" w:line="360" w:lineRule="auto"/>
        <w:ind w:firstLine="709"/>
        <w:jc w:val="both"/>
        <w:rPr>
          <w:rFonts w:ascii="Times New Roman" w:hAnsi="Times New Roman"/>
          <w:sz w:val="28"/>
          <w:szCs w:val="28"/>
        </w:rPr>
      </w:pPr>
      <w:r w:rsidRPr="00411819">
        <w:rPr>
          <w:rFonts w:ascii="Times New Roman" w:hAnsi="Times New Roman"/>
          <w:sz w:val="28"/>
          <w:szCs w:val="28"/>
        </w:rPr>
        <w:t xml:space="preserve">Таким чином, у процесі побудови моделі управління ліквідністю банку на основі ситуаційного підходу в умовах системної фінансової кризи менеджери АТ «Ідея Банк» різних рівнів повинні звертати увагу на кожний з </w:t>
      </w:r>
      <w:r w:rsidR="00411819" w:rsidRPr="00411819">
        <w:rPr>
          <w:rFonts w:ascii="Times New Roman" w:hAnsi="Times New Roman"/>
          <w:sz w:val="28"/>
          <w:szCs w:val="28"/>
        </w:rPr>
        <w:t>представлених</w:t>
      </w:r>
      <w:r w:rsidRPr="00411819">
        <w:rPr>
          <w:rFonts w:ascii="Times New Roman" w:hAnsi="Times New Roman"/>
          <w:sz w:val="28"/>
          <w:szCs w:val="28"/>
        </w:rPr>
        <w:t xml:space="preserve"> вище елементів, </w:t>
      </w:r>
      <w:r w:rsidR="00411819" w:rsidRPr="00411819">
        <w:rPr>
          <w:rFonts w:ascii="Times New Roman" w:hAnsi="Times New Roman"/>
          <w:sz w:val="28"/>
          <w:szCs w:val="28"/>
        </w:rPr>
        <w:t>які поєднанні в</w:t>
      </w:r>
      <w:r w:rsidRPr="00411819">
        <w:rPr>
          <w:rFonts w:ascii="Times New Roman" w:hAnsi="Times New Roman"/>
          <w:sz w:val="28"/>
          <w:szCs w:val="28"/>
        </w:rPr>
        <w:t xml:space="preserve"> цілісний</w:t>
      </w:r>
      <w:r w:rsidR="00386019">
        <w:rPr>
          <w:rFonts w:ascii="Times New Roman" w:hAnsi="Times New Roman"/>
          <w:sz w:val="28"/>
          <w:szCs w:val="28"/>
        </w:rPr>
        <w:t xml:space="preserve"> єдиний</w:t>
      </w:r>
      <w:r w:rsidRPr="00411819">
        <w:rPr>
          <w:rFonts w:ascii="Times New Roman" w:hAnsi="Times New Roman"/>
          <w:sz w:val="28"/>
          <w:szCs w:val="28"/>
        </w:rPr>
        <w:t xml:space="preserve"> механізм</w:t>
      </w:r>
      <w:r w:rsidR="00411819" w:rsidRPr="00411819">
        <w:rPr>
          <w:rFonts w:ascii="Times New Roman" w:hAnsi="Times New Roman"/>
          <w:sz w:val="28"/>
          <w:szCs w:val="28"/>
        </w:rPr>
        <w:t>, що</w:t>
      </w:r>
      <w:r w:rsidRPr="00411819">
        <w:rPr>
          <w:rFonts w:ascii="Times New Roman" w:hAnsi="Times New Roman"/>
          <w:sz w:val="28"/>
          <w:szCs w:val="28"/>
        </w:rPr>
        <w:t xml:space="preserve"> має допомогти </w:t>
      </w:r>
      <w:r w:rsidR="00411819" w:rsidRPr="00411819">
        <w:rPr>
          <w:rFonts w:ascii="Times New Roman" w:hAnsi="Times New Roman"/>
          <w:sz w:val="28"/>
          <w:szCs w:val="28"/>
        </w:rPr>
        <w:t>Банку</w:t>
      </w:r>
      <w:r w:rsidRPr="00411819">
        <w:rPr>
          <w:rFonts w:ascii="Times New Roman" w:hAnsi="Times New Roman"/>
          <w:sz w:val="28"/>
          <w:szCs w:val="28"/>
        </w:rPr>
        <w:t xml:space="preserve"> вийти на якісно новий рівень управління ліквідністю</w:t>
      </w:r>
      <w:r w:rsidR="00386019">
        <w:rPr>
          <w:rFonts w:ascii="Times New Roman" w:hAnsi="Times New Roman"/>
          <w:sz w:val="28"/>
          <w:szCs w:val="28"/>
        </w:rPr>
        <w:t xml:space="preserve"> та</w:t>
      </w:r>
      <w:r w:rsidR="00386019" w:rsidRPr="00386019">
        <w:rPr>
          <w:rFonts w:ascii="Times New Roman" w:hAnsi="Times New Roman"/>
          <w:sz w:val="28"/>
          <w:szCs w:val="28"/>
        </w:rPr>
        <w:t xml:space="preserve"> дозволить </w:t>
      </w:r>
      <w:r w:rsidR="00386019">
        <w:rPr>
          <w:rFonts w:ascii="Times New Roman" w:hAnsi="Times New Roman"/>
          <w:sz w:val="28"/>
          <w:szCs w:val="28"/>
        </w:rPr>
        <w:t>підвищити</w:t>
      </w:r>
      <w:r w:rsidR="00386019" w:rsidRPr="00386019">
        <w:rPr>
          <w:rFonts w:ascii="Times New Roman" w:hAnsi="Times New Roman"/>
          <w:sz w:val="28"/>
          <w:szCs w:val="28"/>
        </w:rPr>
        <w:t xml:space="preserve"> ефективність і надійність </w:t>
      </w:r>
      <w:r w:rsidR="00386019">
        <w:rPr>
          <w:rFonts w:ascii="Times New Roman" w:hAnsi="Times New Roman"/>
          <w:sz w:val="28"/>
          <w:szCs w:val="28"/>
        </w:rPr>
        <w:t>його</w:t>
      </w:r>
      <w:r w:rsidR="00386019" w:rsidRPr="00386019">
        <w:rPr>
          <w:rFonts w:ascii="Times New Roman" w:hAnsi="Times New Roman"/>
          <w:sz w:val="28"/>
          <w:szCs w:val="28"/>
        </w:rPr>
        <w:t xml:space="preserve"> функціонування.</w:t>
      </w:r>
    </w:p>
    <w:p w:rsidR="007C46B5" w:rsidRDefault="00386019" w:rsidP="00D70024">
      <w:pPr>
        <w:spacing w:after="0" w:line="360" w:lineRule="auto"/>
        <w:ind w:firstLine="709"/>
        <w:jc w:val="both"/>
        <w:rPr>
          <w:rFonts w:ascii="Times New Roman" w:hAnsi="Times New Roman"/>
          <w:sz w:val="28"/>
          <w:szCs w:val="28"/>
        </w:rPr>
      </w:pPr>
      <w:r>
        <w:rPr>
          <w:rFonts w:ascii="Times New Roman" w:hAnsi="Times New Roman"/>
          <w:sz w:val="28"/>
          <w:szCs w:val="28"/>
        </w:rPr>
        <w:t>Підсумовуючи викладене</w:t>
      </w:r>
      <w:r w:rsidR="00025139">
        <w:rPr>
          <w:rFonts w:ascii="Times New Roman" w:hAnsi="Times New Roman"/>
          <w:sz w:val="28"/>
          <w:szCs w:val="28"/>
        </w:rPr>
        <w:t xml:space="preserve"> вище</w:t>
      </w:r>
      <w:r>
        <w:rPr>
          <w:rFonts w:ascii="Times New Roman" w:hAnsi="Times New Roman"/>
          <w:sz w:val="28"/>
          <w:szCs w:val="28"/>
        </w:rPr>
        <w:t xml:space="preserve"> можна сформувати основні принципи м</w:t>
      </w:r>
      <w:r w:rsidRPr="00386019">
        <w:rPr>
          <w:rFonts w:ascii="Times New Roman" w:hAnsi="Times New Roman"/>
          <w:sz w:val="28"/>
          <w:szCs w:val="28"/>
        </w:rPr>
        <w:t>одел</w:t>
      </w:r>
      <w:r>
        <w:rPr>
          <w:rFonts w:ascii="Times New Roman" w:hAnsi="Times New Roman"/>
          <w:sz w:val="28"/>
          <w:szCs w:val="28"/>
        </w:rPr>
        <w:t>і</w:t>
      </w:r>
      <w:r w:rsidRPr="00386019">
        <w:rPr>
          <w:rFonts w:ascii="Times New Roman" w:hAnsi="Times New Roman"/>
          <w:sz w:val="28"/>
          <w:szCs w:val="28"/>
        </w:rPr>
        <w:t xml:space="preserve"> управління ліквідністю АТ «Ідея Банк» на основі ситуаційного підходу в умовах системної фінансової кризи</w:t>
      </w:r>
      <w:r>
        <w:rPr>
          <w:rFonts w:ascii="Times New Roman" w:hAnsi="Times New Roman"/>
          <w:sz w:val="28"/>
          <w:szCs w:val="28"/>
        </w:rPr>
        <w:t>:</w:t>
      </w:r>
    </w:p>
    <w:p w:rsidR="00DC692C" w:rsidRDefault="00386019" w:rsidP="00D7002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86019">
        <w:rPr>
          <w:rFonts w:ascii="Times New Roman" w:hAnsi="Times New Roman"/>
          <w:sz w:val="28"/>
          <w:szCs w:val="28"/>
        </w:rPr>
        <w:t xml:space="preserve">встановлення відповідальності вищого керівництва </w:t>
      </w:r>
      <w:r w:rsidR="00DC692C">
        <w:rPr>
          <w:rFonts w:ascii="Times New Roman" w:hAnsi="Times New Roman"/>
          <w:sz w:val="28"/>
          <w:szCs w:val="28"/>
        </w:rPr>
        <w:t>Б</w:t>
      </w:r>
      <w:r w:rsidRPr="00386019">
        <w:rPr>
          <w:rFonts w:ascii="Times New Roman" w:hAnsi="Times New Roman"/>
          <w:sz w:val="28"/>
          <w:szCs w:val="28"/>
        </w:rPr>
        <w:t xml:space="preserve">анку за ефективність функціонування </w:t>
      </w:r>
      <w:r w:rsidR="00DC692C" w:rsidRPr="00DC692C">
        <w:rPr>
          <w:rFonts w:ascii="Times New Roman" w:hAnsi="Times New Roman"/>
          <w:sz w:val="28"/>
          <w:szCs w:val="28"/>
        </w:rPr>
        <w:t>моделі управління ліквідністю</w:t>
      </w:r>
      <w:r w:rsidR="00DC692C">
        <w:rPr>
          <w:rFonts w:ascii="Times New Roman" w:hAnsi="Times New Roman"/>
          <w:sz w:val="28"/>
          <w:szCs w:val="28"/>
        </w:rPr>
        <w:t>;</w:t>
      </w:r>
    </w:p>
    <w:p w:rsidR="00386019" w:rsidRDefault="00DC692C" w:rsidP="00D70024">
      <w:pPr>
        <w:spacing w:after="0" w:line="360" w:lineRule="auto"/>
        <w:ind w:firstLine="709"/>
        <w:jc w:val="both"/>
        <w:rPr>
          <w:rFonts w:ascii="Times New Roman" w:hAnsi="Times New Roman"/>
          <w:sz w:val="28"/>
          <w:szCs w:val="28"/>
        </w:rPr>
      </w:pPr>
      <w:r>
        <w:rPr>
          <w:rFonts w:ascii="Times New Roman" w:hAnsi="Times New Roman"/>
          <w:sz w:val="28"/>
          <w:szCs w:val="28"/>
        </w:rPr>
        <w:t>-</w:t>
      </w:r>
      <w:r w:rsidR="00386019" w:rsidRPr="00386019">
        <w:rPr>
          <w:rFonts w:ascii="Times New Roman" w:hAnsi="Times New Roman"/>
          <w:sz w:val="28"/>
          <w:szCs w:val="28"/>
        </w:rPr>
        <w:t xml:space="preserve"> встановлення</w:t>
      </w:r>
      <w:r>
        <w:rPr>
          <w:rFonts w:ascii="Times New Roman" w:hAnsi="Times New Roman"/>
          <w:sz w:val="28"/>
          <w:szCs w:val="28"/>
        </w:rPr>
        <w:t>, як основного,</w:t>
      </w:r>
      <w:r w:rsidR="00386019" w:rsidRPr="00386019">
        <w:rPr>
          <w:rFonts w:ascii="Times New Roman" w:hAnsi="Times New Roman"/>
          <w:sz w:val="28"/>
          <w:szCs w:val="28"/>
        </w:rPr>
        <w:t xml:space="preserve"> правила колективного вирішення питань щодо доцільності прийняття ризику ліквідності банком</w:t>
      </w:r>
      <w:r w:rsidR="00FD738E">
        <w:rPr>
          <w:rFonts w:ascii="Times New Roman" w:hAnsi="Times New Roman"/>
          <w:sz w:val="28"/>
          <w:szCs w:val="28"/>
        </w:rPr>
        <w:t xml:space="preserve"> </w:t>
      </w:r>
      <w:r w:rsidR="007154DE" w:rsidRPr="007154DE">
        <w:rPr>
          <w:rFonts w:ascii="Times New Roman" w:hAnsi="Times New Roman"/>
          <w:sz w:val="28"/>
          <w:szCs w:val="28"/>
        </w:rPr>
        <w:t>[</w:t>
      </w:r>
      <w:r w:rsidR="007154DE">
        <w:rPr>
          <w:rFonts w:ascii="Times New Roman" w:hAnsi="Times New Roman"/>
          <w:sz w:val="28"/>
          <w:szCs w:val="28"/>
        </w:rPr>
        <w:t>80, с. 354</w:t>
      </w:r>
      <w:r w:rsidR="007154DE" w:rsidRPr="007154DE">
        <w:rPr>
          <w:rFonts w:ascii="Times New Roman" w:hAnsi="Times New Roman"/>
          <w:sz w:val="28"/>
          <w:szCs w:val="28"/>
        </w:rPr>
        <w:t>]</w:t>
      </w:r>
      <w:r w:rsidR="00386019" w:rsidRPr="00386019">
        <w:rPr>
          <w:rFonts w:ascii="Times New Roman" w:hAnsi="Times New Roman"/>
          <w:sz w:val="28"/>
          <w:szCs w:val="28"/>
        </w:rPr>
        <w:t>;</w:t>
      </w:r>
    </w:p>
    <w:p w:rsidR="008F4DE3" w:rsidRDefault="008F4DE3" w:rsidP="00D70024">
      <w:pPr>
        <w:spacing w:after="0" w:line="360" w:lineRule="auto"/>
        <w:ind w:firstLine="709"/>
        <w:jc w:val="both"/>
        <w:rPr>
          <w:rFonts w:ascii="Times New Roman" w:hAnsi="Times New Roman"/>
          <w:sz w:val="28"/>
          <w:szCs w:val="28"/>
        </w:rPr>
      </w:pPr>
    </w:p>
    <w:p w:rsidR="008B114E" w:rsidRDefault="008B114E" w:rsidP="00D70024">
      <w:pPr>
        <w:spacing w:after="0" w:line="360" w:lineRule="auto"/>
        <w:ind w:firstLine="709"/>
        <w:jc w:val="both"/>
        <w:rPr>
          <w:rFonts w:ascii="Times New Roman" w:hAnsi="Times New Roman"/>
          <w:sz w:val="28"/>
          <w:szCs w:val="28"/>
        </w:rPr>
        <w:sectPr w:rsidR="008B114E" w:rsidSect="00F44B9F">
          <w:pgSz w:w="11906" w:h="16838"/>
          <w:pgMar w:top="851" w:right="851" w:bottom="851" w:left="1418" w:header="709" w:footer="709" w:gutter="0"/>
          <w:cols w:space="708"/>
          <w:docGrid w:linePitch="360"/>
        </w:sectPr>
      </w:pPr>
    </w:p>
    <w:p w:rsidR="00277193" w:rsidRDefault="007C46B5" w:rsidP="007C46B5">
      <w:pPr>
        <w:spacing w:after="0" w:line="360" w:lineRule="auto"/>
        <w:jc w:val="both"/>
        <w:rPr>
          <w:rFonts w:ascii="Times New Roman" w:hAnsi="Times New Roman"/>
          <w:sz w:val="28"/>
          <w:szCs w:val="28"/>
        </w:rPr>
      </w:pPr>
      <w:r>
        <w:rPr>
          <w:rFonts w:ascii="Times New Roman" w:hAnsi="Times New Roman"/>
          <w:noProof/>
          <w:sz w:val="28"/>
          <w:szCs w:val="28"/>
          <w:lang w:eastAsia="uk-UA"/>
        </w:rPr>
        <w:lastRenderedPageBreak/>
        <mc:AlternateContent>
          <mc:Choice Requires="wpc">
            <w:drawing>
              <wp:inline distT="0" distB="0" distL="0" distR="0">
                <wp:extent cx="9616440" cy="5676900"/>
                <wp:effectExtent l="0" t="0" r="41910" b="0"/>
                <wp:docPr id="366" name="Полотно 3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7" name="Скругленный прямоугольник 367"/>
                        <wps:cNvSpPr/>
                        <wps:spPr>
                          <a:xfrm>
                            <a:off x="236220" y="228600"/>
                            <a:ext cx="4396740" cy="294894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Прямоугольник 368"/>
                        <wps:cNvSpPr/>
                        <wps:spPr>
                          <a:xfrm>
                            <a:off x="1043940" y="293370"/>
                            <a:ext cx="2781300" cy="3124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C46B5" w:rsidRDefault="00F821E3" w:rsidP="007C46B5">
                              <w:pPr>
                                <w:jc w:val="center"/>
                                <w:rPr>
                                  <w:rFonts w:ascii="Times New Roman" w:hAnsi="Times New Roman"/>
                                  <w:color w:val="000000" w:themeColor="text1"/>
                                  <w:sz w:val="24"/>
                                  <w:szCs w:val="24"/>
                                </w:rPr>
                              </w:pPr>
                              <w:r w:rsidRPr="007C46B5">
                                <w:rPr>
                                  <w:rFonts w:ascii="Times New Roman" w:hAnsi="Times New Roman"/>
                                  <w:color w:val="000000" w:themeColor="text1"/>
                                  <w:sz w:val="24"/>
                                  <w:szCs w:val="24"/>
                                </w:rPr>
                                <w:t>Суб’єкти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Прямоугольник 369"/>
                        <wps:cNvSpPr/>
                        <wps:spPr>
                          <a:xfrm>
                            <a:off x="762000" y="982980"/>
                            <a:ext cx="1470660" cy="3276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C46B5" w:rsidRDefault="00F821E3" w:rsidP="007C46B5">
                              <w:pPr>
                                <w:jc w:val="center"/>
                                <w:rPr>
                                  <w:rFonts w:ascii="Times New Roman" w:hAnsi="Times New Roman"/>
                                  <w:color w:val="000000" w:themeColor="text1"/>
                                </w:rPr>
                              </w:pPr>
                              <w:r w:rsidRPr="007C46B5">
                                <w:rPr>
                                  <w:rFonts w:ascii="Times New Roman" w:hAnsi="Times New Roman"/>
                                  <w:color w:val="000000" w:themeColor="text1"/>
                                </w:rPr>
                                <w:t>Стратегічний рівень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Прямоугольник 370"/>
                        <wps:cNvSpPr/>
                        <wps:spPr>
                          <a:xfrm>
                            <a:off x="2377440" y="670560"/>
                            <a:ext cx="1828800" cy="9067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7C46B5" w:rsidRDefault="00F821E3" w:rsidP="00B85A2C">
                              <w:pPr>
                                <w:spacing w:after="0" w:line="240" w:lineRule="auto"/>
                                <w:rPr>
                                  <w:rFonts w:ascii="Times New Roman" w:hAnsi="Times New Roman"/>
                                  <w:color w:val="000000" w:themeColor="text1"/>
                                </w:rPr>
                              </w:pPr>
                              <w:r w:rsidRPr="007C46B5">
                                <w:rPr>
                                  <w:rFonts w:ascii="Times New Roman" w:hAnsi="Times New Roman"/>
                                  <w:color w:val="000000" w:themeColor="text1"/>
                                </w:rPr>
                                <w:t>- Загальні збори акціонерів;</w:t>
                              </w:r>
                            </w:p>
                            <w:p w:rsidR="00F821E3" w:rsidRPr="007C46B5" w:rsidRDefault="00F821E3" w:rsidP="00B85A2C">
                              <w:pPr>
                                <w:spacing w:after="0" w:line="240" w:lineRule="auto"/>
                                <w:rPr>
                                  <w:rFonts w:ascii="Times New Roman" w:hAnsi="Times New Roman"/>
                                  <w:color w:val="000000" w:themeColor="text1"/>
                                </w:rPr>
                              </w:pPr>
                              <w:r w:rsidRPr="007C46B5">
                                <w:rPr>
                                  <w:rFonts w:ascii="Times New Roman" w:hAnsi="Times New Roman"/>
                                  <w:color w:val="000000" w:themeColor="text1"/>
                                </w:rPr>
                                <w:t>- Наглядова рада;</w:t>
                              </w:r>
                            </w:p>
                            <w:p w:rsidR="00F821E3" w:rsidRPr="007C46B5" w:rsidRDefault="00F821E3" w:rsidP="00B85A2C">
                              <w:pPr>
                                <w:spacing w:after="0" w:line="240" w:lineRule="auto"/>
                                <w:rPr>
                                  <w:rFonts w:ascii="Times New Roman" w:hAnsi="Times New Roman"/>
                                  <w:color w:val="000000" w:themeColor="text1"/>
                                </w:rPr>
                              </w:pPr>
                              <w:r w:rsidRPr="007C46B5">
                                <w:rPr>
                                  <w:rFonts w:ascii="Times New Roman" w:hAnsi="Times New Roman"/>
                                  <w:color w:val="000000" w:themeColor="text1"/>
                                </w:rPr>
                                <w:t>- Правління банку;</w:t>
                              </w:r>
                            </w:p>
                            <w:p w:rsidR="00F821E3" w:rsidRPr="007C46B5" w:rsidRDefault="00F821E3" w:rsidP="00B85A2C">
                              <w:pPr>
                                <w:spacing w:after="0" w:line="240" w:lineRule="auto"/>
                                <w:rPr>
                                  <w:rFonts w:ascii="Times New Roman" w:hAnsi="Times New Roman"/>
                                  <w:color w:val="000000" w:themeColor="text1"/>
                                </w:rPr>
                              </w:pPr>
                              <w:r w:rsidRPr="007C46B5">
                                <w:rPr>
                                  <w:rFonts w:ascii="Times New Roman" w:hAnsi="Times New Roman"/>
                                  <w:color w:val="000000" w:themeColor="text1"/>
                                </w:rPr>
                                <w:t>- Комітет управління АПТ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Прямая со стрелкой 371"/>
                        <wps:cNvCnPr>
                          <a:stCxn id="369" idx="3"/>
                        </wps:cNvCnPr>
                        <wps:spPr>
                          <a:xfrm>
                            <a:off x="2232660" y="114681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2" name="Прямая соединительная линия 372"/>
                        <wps:cNvCnPr>
                          <a:stCxn id="368" idx="1"/>
                        </wps:cNvCnPr>
                        <wps:spPr>
                          <a:xfrm flipH="1" flipV="1">
                            <a:off x="342900" y="445770"/>
                            <a:ext cx="701040" cy="3810"/>
                          </a:xfrm>
                          <a:prstGeom prst="line">
                            <a:avLst/>
                          </a:prstGeom>
                        </wps:spPr>
                        <wps:style>
                          <a:lnRef idx="1">
                            <a:schemeClr val="dk1"/>
                          </a:lnRef>
                          <a:fillRef idx="0">
                            <a:schemeClr val="dk1"/>
                          </a:fillRef>
                          <a:effectRef idx="0">
                            <a:schemeClr val="dk1"/>
                          </a:effectRef>
                          <a:fontRef idx="minor">
                            <a:schemeClr val="tx1"/>
                          </a:fontRef>
                        </wps:style>
                        <wps:bodyPr/>
                      </wps:wsp>
                      <wps:wsp>
                        <wps:cNvPr id="373" name="Прямая соединительная линия 373"/>
                        <wps:cNvCnPr/>
                        <wps:spPr>
                          <a:xfrm>
                            <a:off x="342900" y="445770"/>
                            <a:ext cx="0" cy="720090"/>
                          </a:xfrm>
                          <a:prstGeom prst="line">
                            <a:avLst/>
                          </a:prstGeom>
                        </wps:spPr>
                        <wps:style>
                          <a:lnRef idx="1">
                            <a:schemeClr val="dk1"/>
                          </a:lnRef>
                          <a:fillRef idx="0">
                            <a:schemeClr val="dk1"/>
                          </a:fillRef>
                          <a:effectRef idx="0">
                            <a:schemeClr val="dk1"/>
                          </a:effectRef>
                          <a:fontRef idx="minor">
                            <a:schemeClr val="tx1"/>
                          </a:fontRef>
                        </wps:style>
                        <wps:bodyPr/>
                      </wps:wsp>
                      <wps:wsp>
                        <wps:cNvPr id="374" name="Прямая соединительная линия 374"/>
                        <wps:cNvCnPr>
                          <a:endCxn id="369" idx="1"/>
                        </wps:cNvCnPr>
                        <wps:spPr>
                          <a:xfrm>
                            <a:off x="342900" y="1146810"/>
                            <a:ext cx="4191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5" name="Прямоугольник 375"/>
                        <wps:cNvSpPr/>
                        <wps:spPr>
                          <a:xfrm>
                            <a:off x="716280" y="1905000"/>
                            <a:ext cx="1516380" cy="3276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9C4022" w:rsidRDefault="00F821E3" w:rsidP="009C4022">
                              <w:pPr>
                                <w:jc w:val="center"/>
                                <w:rPr>
                                  <w:rFonts w:ascii="Times New Roman" w:hAnsi="Times New Roman"/>
                                  <w:color w:val="000000" w:themeColor="text1"/>
                                </w:rPr>
                              </w:pPr>
                              <w:r w:rsidRPr="009C4022">
                                <w:rPr>
                                  <w:rFonts w:ascii="Times New Roman" w:hAnsi="Times New Roman"/>
                                  <w:color w:val="000000" w:themeColor="text1"/>
                                </w:rPr>
                                <w:t>Тактичний рівень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Прямоугольник 376"/>
                        <wps:cNvSpPr/>
                        <wps:spPr>
                          <a:xfrm>
                            <a:off x="2377440" y="1623060"/>
                            <a:ext cx="1638300" cy="4267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9C4022" w:rsidRDefault="00F821E3" w:rsidP="009C4022">
                              <w:pPr>
                                <w:jc w:val="center"/>
                                <w:rPr>
                                  <w:rFonts w:ascii="Times New Roman" w:hAnsi="Times New Roman"/>
                                  <w:color w:val="000000" w:themeColor="text1"/>
                                </w:rPr>
                              </w:pPr>
                              <w:r w:rsidRPr="009C4022">
                                <w:rPr>
                                  <w:rFonts w:ascii="Times New Roman" w:hAnsi="Times New Roman"/>
                                  <w:color w:val="000000" w:themeColor="text1"/>
                                </w:rPr>
                                <w:t>Департамент управління</w:t>
                              </w:r>
                              <w:r>
                                <w:rPr>
                                  <w:rFonts w:ascii="Times New Roman" w:hAnsi="Times New Roman"/>
                                  <w:color w:val="000000" w:themeColor="text1"/>
                                </w:rPr>
                                <w:t xml:space="preserve"> ризиками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Прямоугольник 377"/>
                        <wps:cNvSpPr/>
                        <wps:spPr>
                          <a:xfrm>
                            <a:off x="2377440" y="2125980"/>
                            <a:ext cx="1638300" cy="4343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9C4022" w:rsidRDefault="00F821E3" w:rsidP="009C4022">
                              <w:pPr>
                                <w:jc w:val="center"/>
                                <w:rPr>
                                  <w:rFonts w:ascii="Times New Roman" w:hAnsi="Times New Roman"/>
                                  <w:color w:val="000000" w:themeColor="text1"/>
                                </w:rPr>
                              </w:pPr>
                              <w:r w:rsidRPr="009C4022">
                                <w:rPr>
                                  <w:rFonts w:ascii="Times New Roman" w:hAnsi="Times New Roman"/>
                                  <w:color w:val="000000" w:themeColor="text1"/>
                                </w:rPr>
                                <w:t>Служба внутрішнього аудиту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Прямая со стрелкой 379"/>
                        <wps:cNvCnPr/>
                        <wps:spPr>
                          <a:xfrm flipV="1">
                            <a:off x="2232660" y="1821180"/>
                            <a:ext cx="14478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0" name="Прямая со стрелкой 380"/>
                        <wps:cNvCnPr/>
                        <wps:spPr>
                          <a:xfrm>
                            <a:off x="2232660" y="2049780"/>
                            <a:ext cx="144780" cy="289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1" name="Прямая соединительная линия 381"/>
                        <wps:cNvCnPr/>
                        <wps:spPr>
                          <a:xfrm>
                            <a:off x="342900" y="1173480"/>
                            <a:ext cx="0" cy="895350"/>
                          </a:xfrm>
                          <a:prstGeom prst="line">
                            <a:avLst/>
                          </a:prstGeom>
                        </wps:spPr>
                        <wps:style>
                          <a:lnRef idx="1">
                            <a:schemeClr val="dk1"/>
                          </a:lnRef>
                          <a:fillRef idx="0">
                            <a:schemeClr val="dk1"/>
                          </a:fillRef>
                          <a:effectRef idx="0">
                            <a:schemeClr val="dk1"/>
                          </a:effectRef>
                          <a:fontRef idx="minor">
                            <a:schemeClr val="tx1"/>
                          </a:fontRef>
                        </wps:style>
                        <wps:bodyPr/>
                      </wps:wsp>
                      <wps:wsp>
                        <wps:cNvPr id="382" name="Прямая соединительная линия 382"/>
                        <wps:cNvCnPr>
                          <a:endCxn id="375" idx="1"/>
                        </wps:cNvCnPr>
                        <wps:spPr>
                          <a:xfrm>
                            <a:off x="342900" y="2068830"/>
                            <a:ext cx="373380" cy="0"/>
                          </a:xfrm>
                          <a:prstGeom prst="line">
                            <a:avLst/>
                          </a:prstGeom>
                        </wps:spPr>
                        <wps:style>
                          <a:lnRef idx="1">
                            <a:schemeClr val="dk1"/>
                          </a:lnRef>
                          <a:fillRef idx="0">
                            <a:schemeClr val="dk1"/>
                          </a:fillRef>
                          <a:effectRef idx="0">
                            <a:schemeClr val="dk1"/>
                          </a:effectRef>
                          <a:fontRef idx="minor">
                            <a:schemeClr val="tx1"/>
                          </a:fontRef>
                        </wps:style>
                        <wps:bodyPr/>
                      </wps:wsp>
                      <wps:wsp>
                        <wps:cNvPr id="383" name="Выгнутая вправо стрелка 383"/>
                        <wps:cNvSpPr/>
                        <wps:spPr>
                          <a:xfrm>
                            <a:off x="4015740" y="1775460"/>
                            <a:ext cx="312420" cy="670560"/>
                          </a:xfrm>
                          <a:prstGeom prst="curvedLeftArrow">
                            <a:avLst>
                              <a:gd name="adj1" fmla="val 25000"/>
                              <a:gd name="adj2" fmla="val 51050"/>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Прямая соединительная линия 384"/>
                        <wps:cNvCnPr/>
                        <wps:spPr>
                          <a:xfrm>
                            <a:off x="342900" y="2068830"/>
                            <a:ext cx="0" cy="868680"/>
                          </a:xfrm>
                          <a:prstGeom prst="line">
                            <a:avLst/>
                          </a:prstGeom>
                        </wps:spPr>
                        <wps:style>
                          <a:lnRef idx="1">
                            <a:schemeClr val="dk1"/>
                          </a:lnRef>
                          <a:fillRef idx="0">
                            <a:schemeClr val="dk1"/>
                          </a:fillRef>
                          <a:effectRef idx="0">
                            <a:schemeClr val="dk1"/>
                          </a:effectRef>
                          <a:fontRef idx="minor">
                            <a:schemeClr val="tx1"/>
                          </a:fontRef>
                        </wps:style>
                        <wps:bodyPr/>
                      </wps:wsp>
                      <wps:wsp>
                        <wps:cNvPr id="385" name="Прямоугольник 385"/>
                        <wps:cNvSpPr/>
                        <wps:spPr>
                          <a:xfrm>
                            <a:off x="716280" y="2766060"/>
                            <a:ext cx="1516380"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242C93" w:rsidRDefault="00F821E3" w:rsidP="00242C93">
                              <w:pPr>
                                <w:jc w:val="center"/>
                                <w:rPr>
                                  <w:rFonts w:ascii="Times New Roman" w:hAnsi="Times New Roman"/>
                                  <w:color w:val="000000" w:themeColor="text1"/>
                                </w:rPr>
                              </w:pPr>
                              <w:r w:rsidRPr="00242C93">
                                <w:rPr>
                                  <w:rFonts w:ascii="Times New Roman" w:hAnsi="Times New Roman"/>
                                  <w:color w:val="000000" w:themeColor="text1"/>
                                </w:rPr>
                                <w:t>Оперативний рівень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Прямая соединительная линия 386"/>
                        <wps:cNvCnPr>
                          <a:endCxn id="385" idx="1"/>
                        </wps:cNvCnPr>
                        <wps:spPr>
                          <a:xfrm>
                            <a:off x="342900" y="2937510"/>
                            <a:ext cx="373380" cy="0"/>
                          </a:xfrm>
                          <a:prstGeom prst="line">
                            <a:avLst/>
                          </a:prstGeom>
                        </wps:spPr>
                        <wps:style>
                          <a:lnRef idx="1">
                            <a:schemeClr val="dk1"/>
                          </a:lnRef>
                          <a:fillRef idx="0">
                            <a:schemeClr val="dk1"/>
                          </a:fillRef>
                          <a:effectRef idx="0">
                            <a:schemeClr val="dk1"/>
                          </a:effectRef>
                          <a:fontRef idx="minor">
                            <a:schemeClr val="tx1"/>
                          </a:fontRef>
                        </wps:style>
                        <wps:bodyPr/>
                      </wps:wsp>
                      <wps:wsp>
                        <wps:cNvPr id="387" name="Прямоугольник 387"/>
                        <wps:cNvSpPr/>
                        <wps:spPr>
                          <a:xfrm>
                            <a:off x="2377440" y="2766060"/>
                            <a:ext cx="1638300"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242C93" w:rsidRDefault="00F821E3" w:rsidP="00242C93">
                              <w:pPr>
                                <w:jc w:val="center"/>
                                <w:rPr>
                                  <w:rFonts w:ascii="Times New Roman" w:hAnsi="Times New Roman"/>
                                  <w:color w:val="000000" w:themeColor="text1"/>
                                </w:rPr>
                              </w:pPr>
                              <w:r w:rsidRPr="00242C93">
                                <w:rPr>
                                  <w:rFonts w:ascii="Times New Roman" w:hAnsi="Times New Roman"/>
                                  <w:color w:val="000000" w:themeColor="text1"/>
                                </w:rPr>
                                <w:t>Казначейство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Прямая со стрелкой 388"/>
                        <wps:cNvCnPr>
                          <a:stCxn id="385" idx="3"/>
                          <a:endCxn id="387" idx="1"/>
                        </wps:cNvCnPr>
                        <wps:spPr>
                          <a:xfrm>
                            <a:off x="2232660" y="293751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0" name="Правая фигурная скобка 390"/>
                        <wps:cNvSpPr/>
                        <wps:spPr>
                          <a:xfrm>
                            <a:off x="4328160" y="1173480"/>
                            <a:ext cx="224028" cy="1764030"/>
                          </a:xfrm>
                          <a:prstGeom prst="rightBrace">
                            <a:avLst>
                              <a:gd name="adj1" fmla="val 144961"/>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Выноска-облако 391"/>
                        <wps:cNvSpPr/>
                        <wps:spPr>
                          <a:xfrm>
                            <a:off x="4206240" y="270510"/>
                            <a:ext cx="1348740" cy="937260"/>
                          </a:xfrm>
                          <a:prstGeom prst="cloudCallout">
                            <a:avLst>
                              <a:gd name="adj1" fmla="val -14618"/>
                              <a:gd name="adj2" fmla="val 13567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5A3F34" w:rsidRDefault="00F821E3" w:rsidP="00622305">
                              <w:pPr>
                                <w:jc w:val="center"/>
                                <w:rPr>
                                  <w:sz w:val="18"/>
                                  <w:szCs w:val="18"/>
                                </w:rPr>
                              </w:pPr>
                              <w:r w:rsidRPr="005A3F34">
                                <w:rPr>
                                  <w:rFonts w:ascii="Times New Roman" w:hAnsi="Times New Roman"/>
                                  <w:color w:val="000000" w:themeColor="text1"/>
                                  <w:sz w:val="18"/>
                                  <w:szCs w:val="18"/>
                                </w:rPr>
                                <w:t>Тісно взаємодіють між</w:t>
                              </w:r>
                              <w:r w:rsidRPr="005A3F34">
                                <w:rPr>
                                  <w:color w:val="000000" w:themeColor="text1"/>
                                  <w:sz w:val="18"/>
                                  <w:szCs w:val="18"/>
                                </w:rPr>
                                <w:t xml:space="preserve"> </w:t>
                              </w:r>
                              <w:r w:rsidRPr="005A3F34">
                                <w:rPr>
                                  <w:rFonts w:ascii="Times New Roman" w:hAnsi="Times New Roman"/>
                                  <w:color w:val="000000" w:themeColor="text1"/>
                                  <w:sz w:val="18"/>
                                  <w:szCs w:val="18"/>
                                </w:rPr>
                                <w:t>собою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Скругленный прямоугольник 392"/>
                        <wps:cNvSpPr/>
                        <wps:spPr>
                          <a:xfrm>
                            <a:off x="5676900" y="228600"/>
                            <a:ext cx="3886200" cy="2400300"/>
                          </a:xfrm>
                          <a:prstGeom prst="round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Прямоугольник 393"/>
                        <wps:cNvSpPr/>
                        <wps:spPr>
                          <a:xfrm>
                            <a:off x="6812280" y="339090"/>
                            <a:ext cx="1889760" cy="331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5C2D83" w:rsidRDefault="00F821E3" w:rsidP="005C2D83">
                              <w:pPr>
                                <w:jc w:val="center"/>
                                <w:rPr>
                                  <w:rFonts w:ascii="Times New Roman" w:hAnsi="Times New Roman"/>
                                  <w:color w:val="000000" w:themeColor="text1"/>
                                  <w:sz w:val="24"/>
                                  <w:szCs w:val="24"/>
                                </w:rPr>
                              </w:pPr>
                              <w:r w:rsidRPr="005C2D83">
                                <w:rPr>
                                  <w:rFonts w:ascii="Times New Roman" w:hAnsi="Times New Roman"/>
                                  <w:color w:val="000000" w:themeColor="text1"/>
                                  <w:sz w:val="24"/>
                                  <w:szCs w:val="24"/>
                                </w:rPr>
                                <w:t>Об’єкти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Прямоугольник 394"/>
                        <wps:cNvSpPr/>
                        <wps:spPr>
                          <a:xfrm>
                            <a:off x="6225540" y="914400"/>
                            <a:ext cx="1417320" cy="320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5C2D83" w:rsidRDefault="00F821E3" w:rsidP="005C2D83">
                              <w:pPr>
                                <w:jc w:val="center"/>
                                <w:rPr>
                                  <w:rFonts w:ascii="Times New Roman" w:hAnsi="Times New Roman"/>
                                  <w:color w:val="000000" w:themeColor="text1"/>
                                </w:rPr>
                              </w:pPr>
                              <w:r w:rsidRPr="005C2D83">
                                <w:rPr>
                                  <w:rFonts w:ascii="Times New Roman" w:hAnsi="Times New Roman"/>
                                  <w:color w:val="000000" w:themeColor="text1"/>
                                </w:rPr>
                                <w:t>Стратегічний рівень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Прямоугольник 395"/>
                        <wps:cNvSpPr/>
                        <wps:spPr>
                          <a:xfrm>
                            <a:off x="7825740" y="731520"/>
                            <a:ext cx="1600200" cy="662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901642" w:rsidRDefault="00F821E3" w:rsidP="005C2D83">
                              <w:pPr>
                                <w:jc w:val="center"/>
                                <w:rPr>
                                  <w:rFonts w:ascii="Times New Roman" w:hAnsi="Times New Roman"/>
                                  <w:color w:val="000000" w:themeColor="text1"/>
                                  <w:sz w:val="19"/>
                                  <w:szCs w:val="19"/>
                                </w:rPr>
                              </w:pPr>
                              <w:r w:rsidRPr="00901642">
                                <w:rPr>
                                  <w:rFonts w:ascii="Times New Roman" w:hAnsi="Times New Roman"/>
                                  <w:color w:val="000000" w:themeColor="text1"/>
                                  <w:sz w:val="19"/>
                                  <w:szCs w:val="19"/>
                                </w:rPr>
                                <w:t xml:space="preserve"> ризик ліквідності (середньо- та довгостроковій перспективі)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Прямая со стрелкой 396"/>
                        <wps:cNvCnPr/>
                        <wps:spPr>
                          <a:xfrm>
                            <a:off x="7642860" y="1097280"/>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7" name="Прямая соединительная линия 397"/>
                        <wps:cNvCnPr>
                          <a:stCxn id="393" idx="1"/>
                        </wps:cNvCnPr>
                        <wps:spPr>
                          <a:xfrm flipH="1">
                            <a:off x="5935980" y="504825"/>
                            <a:ext cx="876300" cy="13335"/>
                          </a:xfrm>
                          <a:prstGeom prst="line">
                            <a:avLst/>
                          </a:prstGeom>
                        </wps:spPr>
                        <wps:style>
                          <a:lnRef idx="1">
                            <a:schemeClr val="dk1"/>
                          </a:lnRef>
                          <a:fillRef idx="0">
                            <a:schemeClr val="dk1"/>
                          </a:fillRef>
                          <a:effectRef idx="0">
                            <a:schemeClr val="dk1"/>
                          </a:effectRef>
                          <a:fontRef idx="minor">
                            <a:schemeClr val="tx1"/>
                          </a:fontRef>
                        </wps:style>
                        <wps:bodyPr/>
                      </wps:wsp>
                      <wps:wsp>
                        <wps:cNvPr id="398" name="Прямая соединительная линия 398"/>
                        <wps:cNvCnPr/>
                        <wps:spPr>
                          <a:xfrm>
                            <a:off x="5935980" y="518160"/>
                            <a:ext cx="0" cy="579120"/>
                          </a:xfrm>
                          <a:prstGeom prst="line">
                            <a:avLst/>
                          </a:prstGeom>
                        </wps:spPr>
                        <wps:style>
                          <a:lnRef idx="1">
                            <a:schemeClr val="dk1"/>
                          </a:lnRef>
                          <a:fillRef idx="0">
                            <a:schemeClr val="dk1"/>
                          </a:fillRef>
                          <a:effectRef idx="0">
                            <a:schemeClr val="dk1"/>
                          </a:effectRef>
                          <a:fontRef idx="minor">
                            <a:schemeClr val="tx1"/>
                          </a:fontRef>
                        </wps:style>
                        <wps:bodyPr/>
                      </wps:wsp>
                      <wps:wsp>
                        <wps:cNvPr id="399" name="Прямая соединительная линия 399"/>
                        <wps:cNvCnPr/>
                        <wps:spPr>
                          <a:xfrm>
                            <a:off x="5935980" y="1097280"/>
                            <a:ext cx="289560" cy="0"/>
                          </a:xfrm>
                          <a:prstGeom prst="line">
                            <a:avLst/>
                          </a:prstGeom>
                        </wps:spPr>
                        <wps:style>
                          <a:lnRef idx="1">
                            <a:schemeClr val="dk1"/>
                          </a:lnRef>
                          <a:fillRef idx="0">
                            <a:schemeClr val="dk1"/>
                          </a:fillRef>
                          <a:effectRef idx="0">
                            <a:schemeClr val="dk1"/>
                          </a:effectRef>
                          <a:fontRef idx="minor">
                            <a:schemeClr val="tx1"/>
                          </a:fontRef>
                        </wps:style>
                        <wps:bodyPr/>
                      </wps:wsp>
                      <wps:wsp>
                        <wps:cNvPr id="400" name="Прямоугольник 400"/>
                        <wps:cNvSpPr/>
                        <wps:spPr>
                          <a:xfrm>
                            <a:off x="6263640" y="1470660"/>
                            <a:ext cx="1417320" cy="3276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561575" w:rsidRDefault="00F821E3" w:rsidP="00561575">
                              <w:pPr>
                                <w:jc w:val="center"/>
                                <w:rPr>
                                  <w:rFonts w:ascii="Times New Roman" w:hAnsi="Times New Roman"/>
                                  <w:color w:val="000000" w:themeColor="text1"/>
                                </w:rPr>
                              </w:pPr>
                              <w:r w:rsidRPr="00561575">
                                <w:rPr>
                                  <w:rFonts w:ascii="Times New Roman" w:hAnsi="Times New Roman"/>
                                  <w:color w:val="000000" w:themeColor="text1"/>
                                </w:rPr>
                                <w:t>Тактичний рівень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Прямоугольник 401"/>
                        <wps:cNvSpPr/>
                        <wps:spPr>
                          <a:xfrm>
                            <a:off x="7825740" y="1470660"/>
                            <a:ext cx="1600200" cy="3276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561575" w:rsidRDefault="00F821E3" w:rsidP="00561575">
                              <w:pPr>
                                <w:jc w:val="center"/>
                                <w:rPr>
                                  <w:rFonts w:ascii="Times New Roman" w:hAnsi="Times New Roman"/>
                                  <w:color w:val="000000" w:themeColor="text1"/>
                                </w:rPr>
                              </w:pPr>
                              <w:r w:rsidRPr="00561575">
                                <w:rPr>
                                  <w:rFonts w:ascii="Times New Roman" w:hAnsi="Times New Roman"/>
                                  <w:color w:val="000000" w:themeColor="text1"/>
                                </w:rPr>
                                <w:t>Активи та пасиви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Прямая со стрелкой 402"/>
                        <wps:cNvCnPr>
                          <a:stCxn id="400" idx="3"/>
                          <a:endCxn id="401" idx="1"/>
                        </wps:cNvCnPr>
                        <wps:spPr>
                          <a:xfrm>
                            <a:off x="7680960" y="163449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3" name="Прямая соединительная линия 403"/>
                        <wps:cNvCnPr/>
                        <wps:spPr>
                          <a:xfrm>
                            <a:off x="5935980" y="1097280"/>
                            <a:ext cx="0" cy="537210"/>
                          </a:xfrm>
                          <a:prstGeom prst="line">
                            <a:avLst/>
                          </a:prstGeom>
                        </wps:spPr>
                        <wps:style>
                          <a:lnRef idx="1">
                            <a:schemeClr val="dk1"/>
                          </a:lnRef>
                          <a:fillRef idx="0">
                            <a:schemeClr val="dk1"/>
                          </a:fillRef>
                          <a:effectRef idx="0">
                            <a:schemeClr val="dk1"/>
                          </a:effectRef>
                          <a:fontRef idx="minor">
                            <a:schemeClr val="tx1"/>
                          </a:fontRef>
                        </wps:style>
                        <wps:bodyPr/>
                      </wps:wsp>
                      <wps:wsp>
                        <wps:cNvPr id="404" name="Прямая соединительная линия 404"/>
                        <wps:cNvCnPr>
                          <a:endCxn id="400" idx="1"/>
                        </wps:cNvCnPr>
                        <wps:spPr>
                          <a:xfrm>
                            <a:off x="5935980" y="1634490"/>
                            <a:ext cx="327660" cy="0"/>
                          </a:xfrm>
                          <a:prstGeom prst="line">
                            <a:avLst/>
                          </a:prstGeom>
                        </wps:spPr>
                        <wps:style>
                          <a:lnRef idx="1">
                            <a:schemeClr val="dk1"/>
                          </a:lnRef>
                          <a:fillRef idx="0">
                            <a:schemeClr val="dk1"/>
                          </a:fillRef>
                          <a:effectRef idx="0">
                            <a:schemeClr val="dk1"/>
                          </a:effectRef>
                          <a:fontRef idx="minor">
                            <a:schemeClr val="tx1"/>
                          </a:fontRef>
                        </wps:style>
                        <wps:bodyPr/>
                      </wps:wsp>
                      <wps:wsp>
                        <wps:cNvPr id="405" name="Прямоугольник 405"/>
                        <wps:cNvSpPr/>
                        <wps:spPr>
                          <a:xfrm>
                            <a:off x="6263640" y="2049780"/>
                            <a:ext cx="1417320" cy="3352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561575" w:rsidRDefault="00F821E3" w:rsidP="00561575">
                              <w:pPr>
                                <w:jc w:val="center"/>
                                <w:rPr>
                                  <w:rFonts w:ascii="Times New Roman" w:hAnsi="Times New Roman"/>
                                  <w:color w:val="000000" w:themeColor="text1"/>
                                </w:rPr>
                              </w:pPr>
                              <w:r w:rsidRPr="00561575">
                                <w:rPr>
                                  <w:rFonts w:ascii="Times New Roman" w:hAnsi="Times New Roman"/>
                                  <w:color w:val="000000" w:themeColor="text1"/>
                                </w:rPr>
                                <w:t>Оперативний рівень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Прямоугольник 406"/>
                        <wps:cNvSpPr/>
                        <wps:spPr>
                          <a:xfrm>
                            <a:off x="7825740" y="1905000"/>
                            <a:ext cx="1600200" cy="5943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561575" w:rsidRDefault="00F821E3" w:rsidP="00186D28">
                              <w:pPr>
                                <w:spacing w:after="0" w:line="240" w:lineRule="auto"/>
                                <w:jc w:val="center"/>
                                <w:rPr>
                                  <w:rFonts w:ascii="Times New Roman" w:hAnsi="Times New Roman"/>
                                  <w:color w:val="000000" w:themeColor="text1"/>
                                </w:rPr>
                              </w:pPr>
                              <w:r w:rsidRPr="00561575">
                                <w:rPr>
                                  <w:rFonts w:ascii="Times New Roman" w:hAnsi="Times New Roman"/>
                                  <w:color w:val="000000" w:themeColor="text1"/>
                                </w:rPr>
                                <w:t>Фі</w:t>
                              </w:r>
                              <w:r>
                                <w:rPr>
                                  <w:rFonts w:ascii="Times New Roman" w:hAnsi="Times New Roman"/>
                                  <w:color w:val="000000" w:themeColor="text1"/>
                                </w:rPr>
                                <w:t>нансові потоки з огляду на поточну ситуацію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Прямая соединительная линия 407"/>
                        <wps:cNvCnPr/>
                        <wps:spPr>
                          <a:xfrm>
                            <a:off x="5935980" y="1634490"/>
                            <a:ext cx="0" cy="598170"/>
                          </a:xfrm>
                          <a:prstGeom prst="line">
                            <a:avLst/>
                          </a:prstGeom>
                        </wps:spPr>
                        <wps:style>
                          <a:lnRef idx="1">
                            <a:schemeClr val="dk1"/>
                          </a:lnRef>
                          <a:fillRef idx="0">
                            <a:schemeClr val="dk1"/>
                          </a:fillRef>
                          <a:effectRef idx="0">
                            <a:schemeClr val="dk1"/>
                          </a:effectRef>
                          <a:fontRef idx="minor">
                            <a:schemeClr val="tx1"/>
                          </a:fontRef>
                        </wps:style>
                        <wps:bodyPr/>
                      </wps:wsp>
                      <wps:wsp>
                        <wps:cNvPr id="408" name="Прямая соединительная линия 408"/>
                        <wps:cNvCnPr/>
                        <wps:spPr>
                          <a:xfrm>
                            <a:off x="5935980" y="2225040"/>
                            <a:ext cx="32766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411" name="Скругленная соединительная линия 411"/>
                        <wps:cNvCnPr/>
                        <wps:spPr>
                          <a:xfrm flipV="1">
                            <a:off x="4632960" y="1394460"/>
                            <a:ext cx="1043940" cy="64389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414" name="Прямая со стрелкой 414"/>
                        <wps:cNvCnPr/>
                        <wps:spPr>
                          <a:xfrm>
                            <a:off x="7680960" y="222504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1" name="Скругленный прямоугольник 421"/>
                        <wps:cNvSpPr/>
                        <wps:spPr>
                          <a:xfrm>
                            <a:off x="2232660" y="3276600"/>
                            <a:ext cx="2971800" cy="20078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Прямоугольник 422"/>
                        <wps:cNvSpPr/>
                        <wps:spPr>
                          <a:xfrm>
                            <a:off x="2735580" y="3337900"/>
                            <a:ext cx="2026920" cy="28956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77089E">
                              <w:pPr>
                                <w:pStyle w:val="a3"/>
                                <w:spacing w:before="0" w:beforeAutospacing="0" w:after="160" w:afterAutospacing="0" w:line="254" w:lineRule="auto"/>
                                <w:jc w:val="center"/>
                              </w:pPr>
                              <w:r>
                                <w:rPr>
                                  <w:rFonts w:eastAsia="Calibri"/>
                                  <w:color w:val="000000"/>
                                  <w:sz w:val="22"/>
                                  <w:szCs w:val="22"/>
                                </w:rPr>
                                <w:t>Процес управління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3" name="Прямоугольник 423"/>
                        <wps:cNvSpPr/>
                        <wps:spPr>
                          <a:xfrm>
                            <a:off x="2743200" y="3698580"/>
                            <a:ext cx="1082040" cy="25146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77089E">
                              <w:pPr>
                                <w:pStyle w:val="a3"/>
                                <w:spacing w:before="0" w:beforeAutospacing="0" w:after="160" w:afterAutospacing="0" w:line="254" w:lineRule="auto"/>
                                <w:jc w:val="center"/>
                              </w:pPr>
                              <w:r>
                                <w:rPr>
                                  <w:rFonts w:eastAsia="Calibri"/>
                                  <w:color w:val="000000"/>
                                  <w:sz w:val="22"/>
                                  <w:szCs w:val="22"/>
                                </w:rPr>
                                <w:t>Аналіз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4" name="Прямоугольник 424"/>
                        <wps:cNvSpPr/>
                        <wps:spPr>
                          <a:xfrm>
                            <a:off x="2743200" y="3987800"/>
                            <a:ext cx="1082040" cy="25400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77089E">
                              <w:pPr>
                                <w:pStyle w:val="a3"/>
                                <w:spacing w:before="0" w:beforeAutospacing="0" w:after="160" w:afterAutospacing="0" w:line="252" w:lineRule="auto"/>
                                <w:jc w:val="center"/>
                              </w:pPr>
                              <w:r>
                                <w:rPr>
                                  <w:rFonts w:eastAsia="Calibri"/>
                                  <w:color w:val="000000"/>
                                  <w:sz w:val="22"/>
                                  <w:szCs w:val="22"/>
                                </w:rPr>
                                <w:t>Планування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5" name="Прямоугольник 425"/>
                        <wps:cNvSpPr/>
                        <wps:spPr>
                          <a:xfrm>
                            <a:off x="2743200" y="4266860"/>
                            <a:ext cx="1082040" cy="26924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77089E">
                              <w:pPr>
                                <w:pStyle w:val="a3"/>
                                <w:spacing w:before="0" w:beforeAutospacing="0" w:after="160" w:afterAutospacing="0" w:line="252" w:lineRule="auto"/>
                                <w:jc w:val="center"/>
                              </w:pPr>
                              <w:r w:rsidRPr="00386019">
                                <w:rPr>
                                  <w:rFonts w:eastAsia="Calibri"/>
                                  <w:color w:val="000000"/>
                                  <w:sz w:val="20"/>
                                  <w:szCs w:val="20"/>
                                </w:rPr>
                                <w:t>Прогнозуванн</w:t>
                              </w:r>
                              <w:r>
                                <w:rPr>
                                  <w:rFonts w:eastAsia="Calibri"/>
                                  <w:color w:val="000000"/>
                                  <w:sz w:val="22"/>
                                  <w:szCs w:val="22"/>
                                </w:rPr>
                                <w:t>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6" name="Прямоугольник 426"/>
                        <wps:cNvSpPr/>
                        <wps:spPr>
                          <a:xfrm>
                            <a:off x="2743200" y="4572000"/>
                            <a:ext cx="1082040" cy="26924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77089E">
                              <w:pPr>
                                <w:pStyle w:val="a3"/>
                                <w:spacing w:before="0" w:beforeAutospacing="0" w:after="160" w:afterAutospacing="0" w:line="252" w:lineRule="auto"/>
                                <w:jc w:val="center"/>
                              </w:pPr>
                              <w:r>
                                <w:rPr>
                                  <w:rFonts w:eastAsia="Calibri"/>
                                  <w:color w:val="000000"/>
                                  <w:sz w:val="22"/>
                                  <w:szCs w:val="22"/>
                                </w:rPr>
                                <w:t>Контроль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7" name="Прямоугольник 427"/>
                        <wps:cNvSpPr/>
                        <wps:spPr>
                          <a:xfrm>
                            <a:off x="2743200" y="4904740"/>
                            <a:ext cx="1082040" cy="26924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77089E">
                              <w:pPr>
                                <w:pStyle w:val="a3"/>
                                <w:spacing w:before="0" w:beforeAutospacing="0" w:after="160" w:afterAutospacing="0" w:line="252" w:lineRule="auto"/>
                                <w:jc w:val="center"/>
                              </w:pPr>
                              <w:r>
                                <w:rPr>
                                  <w:rFonts w:eastAsia="Calibri"/>
                                  <w:color w:val="000000"/>
                                  <w:sz w:val="22"/>
                                  <w:szCs w:val="22"/>
                                </w:rPr>
                                <w:t>Регулювання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8" name="Прямая соединительная линия 428"/>
                        <wps:cNvCnPr>
                          <a:stCxn id="422" idx="1"/>
                        </wps:cNvCnPr>
                        <wps:spPr>
                          <a:xfrm flipH="1">
                            <a:off x="2446020" y="3482680"/>
                            <a:ext cx="289560" cy="0"/>
                          </a:xfrm>
                          <a:prstGeom prst="line">
                            <a:avLst/>
                          </a:prstGeom>
                        </wps:spPr>
                        <wps:style>
                          <a:lnRef idx="1">
                            <a:schemeClr val="dk1"/>
                          </a:lnRef>
                          <a:fillRef idx="0">
                            <a:schemeClr val="dk1"/>
                          </a:fillRef>
                          <a:effectRef idx="0">
                            <a:schemeClr val="dk1"/>
                          </a:effectRef>
                          <a:fontRef idx="minor">
                            <a:schemeClr val="tx1"/>
                          </a:fontRef>
                        </wps:style>
                        <wps:bodyPr/>
                      </wps:wsp>
                      <wps:wsp>
                        <wps:cNvPr id="429" name="Прямая соединительная линия 429"/>
                        <wps:cNvCnPr/>
                        <wps:spPr>
                          <a:xfrm>
                            <a:off x="2453640" y="3482680"/>
                            <a:ext cx="0" cy="1556680"/>
                          </a:xfrm>
                          <a:prstGeom prst="line">
                            <a:avLst/>
                          </a:prstGeom>
                        </wps:spPr>
                        <wps:style>
                          <a:lnRef idx="1">
                            <a:schemeClr val="dk1"/>
                          </a:lnRef>
                          <a:fillRef idx="0">
                            <a:schemeClr val="dk1"/>
                          </a:fillRef>
                          <a:effectRef idx="0">
                            <a:schemeClr val="dk1"/>
                          </a:effectRef>
                          <a:fontRef idx="minor">
                            <a:schemeClr val="tx1"/>
                          </a:fontRef>
                        </wps:style>
                        <wps:bodyPr/>
                      </wps:wsp>
                      <wps:wsp>
                        <wps:cNvPr id="430" name="Прямая соединительная линия 430"/>
                        <wps:cNvCnPr>
                          <a:endCxn id="427" idx="1"/>
                        </wps:cNvCnPr>
                        <wps:spPr>
                          <a:xfrm flipV="1">
                            <a:off x="2453640" y="5039360"/>
                            <a:ext cx="289560" cy="5080"/>
                          </a:xfrm>
                          <a:prstGeom prst="line">
                            <a:avLst/>
                          </a:prstGeom>
                        </wps:spPr>
                        <wps:style>
                          <a:lnRef idx="1">
                            <a:schemeClr val="dk1"/>
                          </a:lnRef>
                          <a:fillRef idx="0">
                            <a:schemeClr val="dk1"/>
                          </a:fillRef>
                          <a:effectRef idx="0">
                            <a:schemeClr val="dk1"/>
                          </a:effectRef>
                          <a:fontRef idx="minor">
                            <a:schemeClr val="tx1"/>
                          </a:fontRef>
                        </wps:style>
                        <wps:bodyPr/>
                      </wps:wsp>
                      <wps:wsp>
                        <wps:cNvPr id="431" name="Прямая соединительная линия 431"/>
                        <wps:cNvCnPr>
                          <a:stCxn id="423" idx="1"/>
                        </wps:cNvCnPr>
                        <wps:spPr>
                          <a:xfrm flipH="1">
                            <a:off x="2453640" y="3824310"/>
                            <a:ext cx="289560" cy="3810"/>
                          </a:xfrm>
                          <a:prstGeom prst="line">
                            <a:avLst/>
                          </a:prstGeom>
                        </wps:spPr>
                        <wps:style>
                          <a:lnRef idx="1">
                            <a:schemeClr val="dk1"/>
                          </a:lnRef>
                          <a:fillRef idx="0">
                            <a:schemeClr val="dk1"/>
                          </a:fillRef>
                          <a:effectRef idx="0">
                            <a:schemeClr val="dk1"/>
                          </a:effectRef>
                          <a:fontRef idx="minor">
                            <a:schemeClr val="tx1"/>
                          </a:fontRef>
                        </wps:style>
                        <wps:bodyPr/>
                      </wps:wsp>
                      <wps:wsp>
                        <wps:cNvPr id="432" name="Прямая соединительная линия 432"/>
                        <wps:cNvCnPr>
                          <a:endCxn id="424" idx="1"/>
                        </wps:cNvCnPr>
                        <wps:spPr>
                          <a:xfrm>
                            <a:off x="2453640" y="4112600"/>
                            <a:ext cx="289560" cy="2200"/>
                          </a:xfrm>
                          <a:prstGeom prst="line">
                            <a:avLst/>
                          </a:prstGeom>
                        </wps:spPr>
                        <wps:style>
                          <a:lnRef idx="1">
                            <a:schemeClr val="dk1"/>
                          </a:lnRef>
                          <a:fillRef idx="0">
                            <a:schemeClr val="dk1"/>
                          </a:fillRef>
                          <a:effectRef idx="0">
                            <a:schemeClr val="dk1"/>
                          </a:effectRef>
                          <a:fontRef idx="minor">
                            <a:schemeClr val="tx1"/>
                          </a:fontRef>
                        </wps:style>
                        <wps:bodyPr/>
                      </wps:wsp>
                      <wps:wsp>
                        <wps:cNvPr id="433" name="Прямая соединительная линия 433"/>
                        <wps:cNvCnPr>
                          <a:endCxn id="425" idx="1"/>
                        </wps:cNvCnPr>
                        <wps:spPr>
                          <a:xfrm>
                            <a:off x="2461260" y="4401480"/>
                            <a:ext cx="281940" cy="0"/>
                          </a:xfrm>
                          <a:prstGeom prst="line">
                            <a:avLst/>
                          </a:prstGeom>
                        </wps:spPr>
                        <wps:style>
                          <a:lnRef idx="1">
                            <a:schemeClr val="dk1"/>
                          </a:lnRef>
                          <a:fillRef idx="0">
                            <a:schemeClr val="dk1"/>
                          </a:fillRef>
                          <a:effectRef idx="0">
                            <a:schemeClr val="dk1"/>
                          </a:effectRef>
                          <a:fontRef idx="minor">
                            <a:schemeClr val="tx1"/>
                          </a:fontRef>
                        </wps:style>
                        <wps:bodyPr/>
                      </wps:wsp>
                      <wps:wsp>
                        <wps:cNvPr id="434" name="Прямая соединительная линия 434"/>
                        <wps:cNvCnPr>
                          <a:stCxn id="426" idx="1"/>
                        </wps:cNvCnPr>
                        <wps:spPr>
                          <a:xfrm flipH="1">
                            <a:off x="2468880" y="4706620"/>
                            <a:ext cx="274320" cy="0"/>
                          </a:xfrm>
                          <a:prstGeom prst="line">
                            <a:avLst/>
                          </a:prstGeom>
                        </wps:spPr>
                        <wps:style>
                          <a:lnRef idx="1">
                            <a:schemeClr val="dk1"/>
                          </a:lnRef>
                          <a:fillRef idx="0">
                            <a:schemeClr val="dk1"/>
                          </a:fillRef>
                          <a:effectRef idx="0">
                            <a:schemeClr val="dk1"/>
                          </a:effectRef>
                          <a:fontRef idx="minor">
                            <a:schemeClr val="tx1"/>
                          </a:fontRef>
                        </wps:style>
                        <wps:bodyPr/>
                      </wps:wsp>
                      <wps:wsp>
                        <wps:cNvPr id="435" name="Выноска-облако 435"/>
                        <wps:cNvSpPr/>
                        <wps:spPr>
                          <a:xfrm>
                            <a:off x="4206240" y="3276600"/>
                            <a:ext cx="1470660" cy="884260"/>
                          </a:xfrm>
                          <a:prstGeom prst="cloudCallout">
                            <a:avLst>
                              <a:gd name="adj1" fmla="val -48830"/>
                              <a:gd name="adj2" fmla="val 806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A13AEF" w:rsidRDefault="00F821E3" w:rsidP="00A13AEF">
                              <w:pPr>
                                <w:jc w:val="center"/>
                                <w:rPr>
                                  <w:rFonts w:ascii="Times New Roman" w:hAnsi="Times New Roman"/>
                                  <w:sz w:val="18"/>
                                  <w:szCs w:val="18"/>
                                </w:rPr>
                              </w:pPr>
                              <w:r w:rsidRPr="00A13AEF">
                                <w:rPr>
                                  <w:rFonts w:ascii="Times New Roman" w:hAnsi="Times New Roman"/>
                                  <w:color w:val="000000" w:themeColor="text1"/>
                                  <w:sz w:val="16"/>
                                  <w:szCs w:val="16"/>
                                </w:rPr>
                                <w:t>Пристосування до нестабільного зовнішнього середов</w:t>
                              </w:r>
                              <w:r w:rsidRPr="00A13AEF">
                                <w:rPr>
                                  <w:rFonts w:ascii="Times New Roman" w:hAnsi="Times New Roman"/>
                                  <w:color w:val="000000" w:themeColor="text1"/>
                                  <w:sz w:val="18"/>
                                  <w:szCs w:val="18"/>
                                </w:rPr>
                                <w:t>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Правая фигурная скобка 436"/>
                        <wps:cNvSpPr/>
                        <wps:spPr>
                          <a:xfrm>
                            <a:off x="3855720" y="3801790"/>
                            <a:ext cx="259080" cy="1295400"/>
                          </a:xfrm>
                          <a:prstGeom prst="rightBrace">
                            <a:avLst>
                              <a:gd name="adj1" fmla="val 71296"/>
                              <a:gd name="adj2" fmla="val 5058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Прямоугольник 437"/>
                        <wps:cNvSpPr/>
                        <wps:spPr>
                          <a:xfrm>
                            <a:off x="403860" y="4176690"/>
                            <a:ext cx="1501140" cy="11077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AB044E" w:rsidRDefault="00F821E3" w:rsidP="00E30BEC">
                              <w:pPr>
                                <w:spacing w:after="0" w:line="240" w:lineRule="auto"/>
                                <w:rPr>
                                  <w:rFonts w:ascii="Times New Roman" w:hAnsi="Times New Roman"/>
                                  <w:color w:val="000000" w:themeColor="text1"/>
                                  <w:u w:val="single"/>
                                </w:rPr>
                              </w:pPr>
                              <w:r w:rsidRPr="00AB044E">
                                <w:rPr>
                                  <w:rFonts w:ascii="Times New Roman" w:hAnsi="Times New Roman"/>
                                  <w:color w:val="000000" w:themeColor="text1"/>
                                  <w:u w:val="single"/>
                                </w:rPr>
                                <w:t>Базиси управління:</w:t>
                              </w:r>
                            </w:p>
                            <w:p w:rsidR="00F821E3" w:rsidRPr="00E30BEC" w:rsidRDefault="00F821E3" w:rsidP="00E30BEC">
                              <w:pPr>
                                <w:spacing w:after="0" w:line="240" w:lineRule="auto"/>
                                <w:rPr>
                                  <w:rFonts w:ascii="Times New Roman" w:hAnsi="Times New Roman"/>
                                  <w:color w:val="000000" w:themeColor="text1"/>
                                </w:rPr>
                              </w:pPr>
                              <w:r w:rsidRPr="00E30BEC">
                                <w:rPr>
                                  <w:rFonts w:ascii="Times New Roman" w:hAnsi="Times New Roman"/>
                                  <w:color w:val="000000" w:themeColor="text1"/>
                                </w:rPr>
                                <w:t>- різноманітність;</w:t>
                              </w:r>
                            </w:p>
                            <w:p w:rsidR="00F821E3" w:rsidRPr="00E30BEC" w:rsidRDefault="00F821E3" w:rsidP="00E30BEC">
                              <w:pPr>
                                <w:spacing w:after="0" w:line="240" w:lineRule="auto"/>
                                <w:rPr>
                                  <w:rFonts w:ascii="Times New Roman" w:hAnsi="Times New Roman"/>
                                  <w:color w:val="000000" w:themeColor="text1"/>
                                </w:rPr>
                              </w:pPr>
                              <w:r w:rsidRPr="00E30BEC">
                                <w:rPr>
                                  <w:rFonts w:ascii="Times New Roman" w:hAnsi="Times New Roman"/>
                                  <w:color w:val="000000" w:themeColor="text1"/>
                                </w:rPr>
                                <w:t>- системність;</w:t>
                              </w:r>
                            </w:p>
                            <w:p w:rsidR="00F821E3" w:rsidRPr="00E30BEC" w:rsidRDefault="00F821E3" w:rsidP="00E30BEC">
                              <w:pPr>
                                <w:spacing w:after="0" w:line="240" w:lineRule="auto"/>
                                <w:rPr>
                                  <w:rFonts w:ascii="Times New Roman" w:hAnsi="Times New Roman"/>
                                  <w:color w:val="000000" w:themeColor="text1"/>
                                </w:rPr>
                              </w:pPr>
                              <w:r w:rsidRPr="00E30BEC">
                                <w:rPr>
                                  <w:rFonts w:ascii="Times New Roman" w:hAnsi="Times New Roman"/>
                                  <w:color w:val="000000" w:themeColor="text1"/>
                                </w:rPr>
                                <w:t>- гнучкість;</w:t>
                              </w:r>
                            </w:p>
                            <w:p w:rsidR="00F821E3" w:rsidRPr="00E30BEC" w:rsidRDefault="00F821E3" w:rsidP="00E30BEC">
                              <w:pPr>
                                <w:spacing w:after="0" w:line="240" w:lineRule="auto"/>
                                <w:rPr>
                                  <w:rFonts w:ascii="Times New Roman" w:hAnsi="Times New Roman"/>
                                  <w:color w:val="000000" w:themeColor="text1"/>
                                </w:rPr>
                              </w:pPr>
                              <w:r w:rsidRPr="00E30BEC">
                                <w:rPr>
                                  <w:rFonts w:ascii="Times New Roman" w:hAnsi="Times New Roman"/>
                                  <w:color w:val="000000" w:themeColor="text1"/>
                                </w:rPr>
                                <w:t>- «</w:t>
                              </w:r>
                              <w:proofErr w:type="spellStart"/>
                              <w:r w:rsidRPr="00E30BEC">
                                <w:rPr>
                                  <w:rFonts w:ascii="Times New Roman" w:hAnsi="Times New Roman"/>
                                  <w:color w:val="000000" w:themeColor="text1"/>
                                </w:rPr>
                                <w:t>feedback</w:t>
                              </w:r>
                              <w:proofErr w:type="spellEnd"/>
                              <w:r w:rsidRPr="00E30BEC">
                                <w:rPr>
                                  <w:rFonts w:ascii="Times New Roman" w:hAnsi="Times New Roman"/>
                                  <w:color w:val="000000" w:themeColor="text1"/>
                                </w:rPr>
                                <w:t>» - зворотній зв’язок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Прямая соединительная линия 439"/>
                        <wps:cNvCnPr/>
                        <wps:spPr>
                          <a:xfrm flipH="1">
                            <a:off x="83820" y="1699260"/>
                            <a:ext cx="152400" cy="0"/>
                          </a:xfrm>
                          <a:prstGeom prst="line">
                            <a:avLst/>
                          </a:prstGeom>
                        </wps:spPr>
                        <wps:style>
                          <a:lnRef idx="1">
                            <a:schemeClr val="dk1"/>
                          </a:lnRef>
                          <a:fillRef idx="0">
                            <a:schemeClr val="dk1"/>
                          </a:fillRef>
                          <a:effectRef idx="0">
                            <a:schemeClr val="dk1"/>
                          </a:effectRef>
                          <a:fontRef idx="minor">
                            <a:schemeClr val="tx1"/>
                          </a:fontRef>
                        </wps:style>
                        <wps:bodyPr/>
                      </wps:wsp>
                      <wps:wsp>
                        <wps:cNvPr id="440" name="Прямая соединительная линия 440"/>
                        <wps:cNvCnPr/>
                        <wps:spPr>
                          <a:xfrm>
                            <a:off x="83820" y="1699260"/>
                            <a:ext cx="0" cy="3031320"/>
                          </a:xfrm>
                          <a:prstGeom prst="line">
                            <a:avLst/>
                          </a:prstGeom>
                        </wps:spPr>
                        <wps:style>
                          <a:lnRef idx="1">
                            <a:schemeClr val="dk1"/>
                          </a:lnRef>
                          <a:fillRef idx="0">
                            <a:schemeClr val="dk1"/>
                          </a:fillRef>
                          <a:effectRef idx="0">
                            <a:schemeClr val="dk1"/>
                          </a:effectRef>
                          <a:fontRef idx="minor">
                            <a:schemeClr val="tx1"/>
                          </a:fontRef>
                        </wps:style>
                        <wps:bodyPr/>
                      </wps:wsp>
                      <wps:wsp>
                        <wps:cNvPr id="441" name="Прямая со стрелкой 441"/>
                        <wps:cNvCnPr>
                          <a:endCxn id="437" idx="1"/>
                        </wps:cNvCnPr>
                        <wps:spPr>
                          <a:xfrm>
                            <a:off x="83820" y="4730580"/>
                            <a:ext cx="3200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2" name="Прямая со стрелкой 442"/>
                        <wps:cNvCnPr/>
                        <wps:spPr>
                          <a:xfrm flipV="1">
                            <a:off x="1905000" y="4266860"/>
                            <a:ext cx="327660" cy="463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5" name="Скругленный прямоугольник 445"/>
                        <wps:cNvSpPr/>
                        <wps:spPr>
                          <a:xfrm>
                            <a:off x="5814060" y="3304880"/>
                            <a:ext cx="1668780" cy="9824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A078A4" w:rsidRDefault="00F821E3" w:rsidP="00A078A4">
                              <w:pPr>
                                <w:jc w:val="center"/>
                                <w:rPr>
                                  <w:rFonts w:ascii="Times New Roman" w:hAnsi="Times New Roman"/>
                                  <w:color w:val="000000" w:themeColor="text1"/>
                                  <w:sz w:val="20"/>
                                  <w:szCs w:val="20"/>
                                </w:rPr>
                              </w:pPr>
                              <w:r w:rsidRPr="00A078A4">
                                <w:rPr>
                                  <w:rFonts w:ascii="Times New Roman" w:hAnsi="Times New Roman"/>
                                  <w:color w:val="000000" w:themeColor="text1"/>
                                  <w:sz w:val="20"/>
                                  <w:szCs w:val="20"/>
                                </w:rPr>
                                <w:t>Інформування щодо внутрішніх факторі, які негативно впливають або можуть вплинути на ліквідність банку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Скругленный прямоугольник 447"/>
                        <wps:cNvSpPr/>
                        <wps:spPr>
                          <a:xfrm>
                            <a:off x="5814060" y="4344035"/>
                            <a:ext cx="1668780" cy="98234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Default="00F821E3" w:rsidP="00A078A4">
                              <w:pPr>
                                <w:pStyle w:val="a3"/>
                                <w:spacing w:before="0" w:beforeAutospacing="0" w:after="160" w:afterAutospacing="0" w:line="254" w:lineRule="auto"/>
                                <w:jc w:val="center"/>
                              </w:pPr>
                              <w:r>
                                <w:rPr>
                                  <w:rFonts w:eastAsia="Calibri"/>
                                  <w:color w:val="000000"/>
                                  <w:sz w:val="20"/>
                                  <w:szCs w:val="20"/>
                                </w:rPr>
                                <w:t>Інформування щодо зовнішніх факторі, які негативно впливають або можуть вплинути на ліквідність банку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8" name="Прямая со стрелкой 448"/>
                        <wps:cNvCnPr>
                          <a:stCxn id="445" idx="1"/>
                        </wps:cNvCnPr>
                        <wps:spPr>
                          <a:xfrm flipH="1">
                            <a:off x="5204460" y="3796115"/>
                            <a:ext cx="609600" cy="547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9" name="Прямая со стрелкой 449"/>
                        <wps:cNvCnPr>
                          <a:stCxn id="447" idx="1"/>
                        </wps:cNvCnPr>
                        <wps:spPr>
                          <a:xfrm flipH="1" flipV="1">
                            <a:off x="5204460" y="4344035"/>
                            <a:ext cx="609600" cy="4911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0" name="Прямая со стрелкой 450"/>
                        <wps:cNvCnPr/>
                        <wps:spPr>
                          <a:xfrm flipH="1">
                            <a:off x="4267200" y="4344035"/>
                            <a:ext cx="937260" cy="121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4" name="Скругленный прямоугольник 454"/>
                        <wps:cNvSpPr/>
                        <wps:spPr>
                          <a:xfrm>
                            <a:off x="7597140" y="3909400"/>
                            <a:ext cx="1828800" cy="7972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A078A4" w:rsidRDefault="00F821E3" w:rsidP="00A078A4">
                              <w:pPr>
                                <w:jc w:val="center"/>
                                <w:rPr>
                                  <w:rFonts w:ascii="Times New Roman" w:hAnsi="Times New Roman"/>
                                  <w:color w:val="000000" w:themeColor="text1"/>
                                  <w:sz w:val="20"/>
                                  <w:szCs w:val="20"/>
                                </w:rPr>
                              </w:pPr>
                              <w:r w:rsidRPr="00A078A4">
                                <w:rPr>
                                  <w:rFonts w:ascii="Times New Roman" w:hAnsi="Times New Roman"/>
                                  <w:color w:val="000000" w:themeColor="text1"/>
                                  <w:sz w:val="20"/>
                                  <w:szCs w:val="20"/>
                                </w:rPr>
                                <w:t xml:space="preserve">Нормативне, інформаційне, методичне, аналітичне, </w:t>
                              </w:r>
                              <w:r>
                                <w:rPr>
                                  <w:rFonts w:ascii="Times New Roman" w:hAnsi="Times New Roman"/>
                                  <w:color w:val="000000" w:themeColor="text1"/>
                                  <w:sz w:val="20"/>
                                  <w:szCs w:val="20"/>
                                </w:rPr>
                                <w:t>технічне - ІТ</w:t>
                              </w:r>
                              <w:r w:rsidRPr="00A078A4">
                                <w:rPr>
                                  <w:rFonts w:ascii="Times New Roman" w:hAnsi="Times New Roman"/>
                                  <w:color w:val="000000" w:themeColor="text1"/>
                                  <w:sz w:val="20"/>
                                  <w:szCs w:val="20"/>
                                </w:rPr>
                                <w:t>, кадрове 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Прямая со стрелкой 455"/>
                        <wps:cNvCnPr>
                          <a:stCxn id="454" idx="0"/>
                        </wps:cNvCnPr>
                        <wps:spPr>
                          <a:xfrm flipH="1" flipV="1">
                            <a:off x="7825740" y="2628900"/>
                            <a:ext cx="685800" cy="128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0" name="Прямая соединительная линия 460"/>
                        <wps:cNvCnPr>
                          <a:stCxn id="421" idx="2"/>
                        </wps:cNvCnPr>
                        <wps:spPr>
                          <a:xfrm>
                            <a:off x="3718560" y="5284470"/>
                            <a:ext cx="0" cy="293370"/>
                          </a:xfrm>
                          <a:prstGeom prst="line">
                            <a:avLst/>
                          </a:prstGeom>
                        </wps:spPr>
                        <wps:style>
                          <a:lnRef idx="1">
                            <a:schemeClr val="dk1"/>
                          </a:lnRef>
                          <a:fillRef idx="0">
                            <a:schemeClr val="dk1"/>
                          </a:fillRef>
                          <a:effectRef idx="0">
                            <a:schemeClr val="dk1"/>
                          </a:effectRef>
                          <a:fontRef idx="minor">
                            <a:schemeClr val="tx1"/>
                          </a:fontRef>
                        </wps:style>
                        <wps:bodyPr/>
                      </wps:wsp>
                      <wps:wsp>
                        <wps:cNvPr id="461" name="Прямая соединительная линия 461"/>
                        <wps:cNvCnPr/>
                        <wps:spPr>
                          <a:xfrm>
                            <a:off x="3718560" y="5577840"/>
                            <a:ext cx="4846320" cy="0"/>
                          </a:xfrm>
                          <a:prstGeom prst="line">
                            <a:avLst/>
                          </a:prstGeom>
                        </wps:spPr>
                        <wps:style>
                          <a:lnRef idx="1">
                            <a:schemeClr val="dk1"/>
                          </a:lnRef>
                          <a:fillRef idx="0">
                            <a:schemeClr val="dk1"/>
                          </a:fillRef>
                          <a:effectRef idx="0">
                            <a:schemeClr val="dk1"/>
                          </a:effectRef>
                          <a:fontRef idx="minor">
                            <a:schemeClr val="tx1"/>
                          </a:fontRef>
                        </wps:style>
                        <wps:bodyPr/>
                      </wps:wsp>
                      <wps:wsp>
                        <wps:cNvPr id="462" name="Прямая со стрелкой 462"/>
                        <wps:cNvCnPr/>
                        <wps:spPr>
                          <a:xfrm flipV="1">
                            <a:off x="8564880" y="4706620"/>
                            <a:ext cx="0" cy="871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3" name="Выноска-облако 463"/>
                        <wps:cNvSpPr/>
                        <wps:spPr>
                          <a:xfrm>
                            <a:off x="8130540" y="2640330"/>
                            <a:ext cx="1485900" cy="697570"/>
                          </a:xfrm>
                          <a:prstGeom prst="cloudCallout">
                            <a:avLst>
                              <a:gd name="adj1" fmla="val -23868"/>
                              <a:gd name="adj2" fmla="val 12664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5A3F34" w:rsidRDefault="00F821E3" w:rsidP="005A3F34">
                              <w:pPr>
                                <w:jc w:val="center"/>
                                <w:rPr>
                                  <w:rFonts w:ascii="Times New Roman" w:hAnsi="Times New Roman"/>
                                  <w:color w:val="000000" w:themeColor="text1"/>
                                  <w:sz w:val="18"/>
                                  <w:szCs w:val="18"/>
                                </w:rPr>
                              </w:pPr>
                              <w:r w:rsidRPr="005A3F34">
                                <w:rPr>
                                  <w:rFonts w:ascii="Times New Roman" w:hAnsi="Times New Roman"/>
                                  <w:color w:val="000000" w:themeColor="text1"/>
                                  <w:sz w:val="18"/>
                                  <w:szCs w:val="18"/>
                                </w:rPr>
                                <w:t>Безперервне, систематичне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Выноска-облако 464"/>
                        <wps:cNvSpPr/>
                        <wps:spPr>
                          <a:xfrm>
                            <a:off x="342900" y="3208872"/>
                            <a:ext cx="1821180" cy="791968"/>
                          </a:xfrm>
                          <a:prstGeom prst="cloudCallout">
                            <a:avLst>
                              <a:gd name="adj1" fmla="val -21684"/>
                              <a:gd name="adj2" fmla="val 6747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21E3" w:rsidRPr="001760CB" w:rsidRDefault="00F821E3" w:rsidP="001760CB">
                              <w:pPr>
                                <w:spacing w:after="0" w:line="240" w:lineRule="auto"/>
                                <w:jc w:val="center"/>
                                <w:rPr>
                                  <w:rFonts w:ascii="Times New Roman" w:hAnsi="Times New Roman"/>
                                  <w:color w:val="000000" w:themeColor="text1"/>
                                  <w:sz w:val="15"/>
                                  <w:szCs w:val="15"/>
                                </w:rPr>
                              </w:pPr>
                              <w:r w:rsidRPr="001760CB">
                                <w:rPr>
                                  <w:rFonts w:ascii="Times New Roman" w:hAnsi="Times New Roman"/>
                                  <w:color w:val="000000" w:themeColor="text1"/>
                                  <w:sz w:val="15"/>
                                  <w:szCs w:val="15"/>
                                </w:rPr>
                                <w:t>Неухильне дотримання задля досягнення ефективного функціонування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366" o:spid="_x0000_s1391" editas="canvas" style="width:757.2pt;height:447pt;mso-position-horizontal-relative:char;mso-position-vertical-relative:line" coordsize="96164,5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">
                <v:shape id="_x0000_s1392" type="#_x0000_t75" style="position:absolute;width:96164;height:56769;visibility:visible;mso-wrap-style:square">
                  <v:fill o:detectmouseclick="t"/>
                  <v:path o:connecttype="none"/>
                </v:shape>
                <v:roundrect id="Скругленный прямоугольник 367" o:spid="_x0000_s1393" style="position:absolute;left:2362;top:2286;width:43967;height:29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" fillcolor="white [3212]" strokecolor="black [3213]" strokeweight="1pt">
                  <v:stroke joinstyle="miter"/>
                </v:roundrect>
                <v:rect id="Прямоугольник 368" o:spid="_x0000_s1394" style="position:absolute;left:10439;top:2933;width:27813;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" fillcolor="white [3212]" strokecolor="black [3213]" strokeweight="1pt">
                  <v:textbox>
                    <w:txbxContent>
                      <w:p w:rsidR="00F821E3" w:rsidRPr="007C46B5" w:rsidRDefault="00F821E3" w:rsidP="007C46B5">
                        <w:pPr>
                          <w:jc w:val="center"/>
                          <w:rPr>
                            <w:rFonts w:ascii="Times New Roman" w:hAnsi="Times New Roman"/>
                            <w:color w:val="000000" w:themeColor="text1"/>
                            <w:sz w:val="24"/>
                            <w:szCs w:val="24"/>
                          </w:rPr>
                        </w:pPr>
                        <w:r w:rsidRPr="007C46B5">
                          <w:rPr>
                            <w:rFonts w:ascii="Times New Roman" w:hAnsi="Times New Roman"/>
                            <w:color w:val="000000" w:themeColor="text1"/>
                            <w:sz w:val="24"/>
                            <w:szCs w:val="24"/>
                          </w:rPr>
                          <w:t>Суб’єкти управління</w:t>
                        </w:r>
                      </w:p>
                    </w:txbxContent>
                  </v:textbox>
                </v:rect>
                <v:rect id="Прямоугольник 369" o:spid="_x0000_s1395" style="position:absolute;left:7620;top:9829;width:14706;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" fillcolor="white [3212]" strokecolor="black [3213]" strokeweight="1pt">
                  <v:textbox>
                    <w:txbxContent>
                      <w:p w:rsidR="00F821E3" w:rsidRPr="007C46B5" w:rsidRDefault="00F821E3" w:rsidP="007C46B5">
                        <w:pPr>
                          <w:jc w:val="center"/>
                          <w:rPr>
                            <w:rFonts w:ascii="Times New Roman" w:hAnsi="Times New Roman"/>
                            <w:color w:val="000000" w:themeColor="text1"/>
                          </w:rPr>
                        </w:pPr>
                        <w:r w:rsidRPr="007C46B5">
                          <w:rPr>
                            <w:rFonts w:ascii="Times New Roman" w:hAnsi="Times New Roman"/>
                            <w:color w:val="000000" w:themeColor="text1"/>
                          </w:rPr>
                          <w:t>Стратегічний рівень</w:t>
                        </w:r>
                      </w:p>
                    </w:txbxContent>
                  </v:textbox>
                </v:rect>
                <v:rect id="Прямоугольник 370" o:spid="_x0000_s1396" style="position:absolute;left:23774;top:6705;width:18288;height:9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" fillcolor="white [3212]" strokecolor="black [3213]" strokeweight="1pt">
                  <v:textbox>
                    <w:txbxContent>
                      <w:p w:rsidR="00F821E3" w:rsidRPr="007C46B5" w:rsidRDefault="00F821E3" w:rsidP="00B85A2C">
                        <w:pPr>
                          <w:spacing w:after="0" w:line="240" w:lineRule="auto"/>
                          <w:rPr>
                            <w:rFonts w:ascii="Times New Roman" w:hAnsi="Times New Roman"/>
                            <w:color w:val="000000" w:themeColor="text1"/>
                          </w:rPr>
                        </w:pPr>
                        <w:r w:rsidRPr="007C46B5">
                          <w:rPr>
                            <w:rFonts w:ascii="Times New Roman" w:hAnsi="Times New Roman"/>
                            <w:color w:val="000000" w:themeColor="text1"/>
                          </w:rPr>
                          <w:t>- Загальні збори акціонерів;</w:t>
                        </w:r>
                      </w:p>
                      <w:p w:rsidR="00F821E3" w:rsidRPr="007C46B5" w:rsidRDefault="00F821E3" w:rsidP="00B85A2C">
                        <w:pPr>
                          <w:spacing w:after="0" w:line="240" w:lineRule="auto"/>
                          <w:rPr>
                            <w:rFonts w:ascii="Times New Roman" w:hAnsi="Times New Roman"/>
                            <w:color w:val="000000" w:themeColor="text1"/>
                          </w:rPr>
                        </w:pPr>
                        <w:r w:rsidRPr="007C46B5">
                          <w:rPr>
                            <w:rFonts w:ascii="Times New Roman" w:hAnsi="Times New Roman"/>
                            <w:color w:val="000000" w:themeColor="text1"/>
                          </w:rPr>
                          <w:t>- Наглядова рада;</w:t>
                        </w:r>
                      </w:p>
                      <w:p w:rsidR="00F821E3" w:rsidRPr="007C46B5" w:rsidRDefault="00F821E3" w:rsidP="00B85A2C">
                        <w:pPr>
                          <w:spacing w:after="0" w:line="240" w:lineRule="auto"/>
                          <w:rPr>
                            <w:rFonts w:ascii="Times New Roman" w:hAnsi="Times New Roman"/>
                            <w:color w:val="000000" w:themeColor="text1"/>
                          </w:rPr>
                        </w:pPr>
                        <w:r w:rsidRPr="007C46B5">
                          <w:rPr>
                            <w:rFonts w:ascii="Times New Roman" w:hAnsi="Times New Roman"/>
                            <w:color w:val="000000" w:themeColor="text1"/>
                          </w:rPr>
                          <w:t>- Правління банку;</w:t>
                        </w:r>
                      </w:p>
                      <w:p w:rsidR="00F821E3" w:rsidRPr="007C46B5" w:rsidRDefault="00F821E3" w:rsidP="00B85A2C">
                        <w:pPr>
                          <w:spacing w:after="0" w:line="240" w:lineRule="auto"/>
                          <w:rPr>
                            <w:rFonts w:ascii="Times New Roman" w:hAnsi="Times New Roman"/>
                            <w:color w:val="000000" w:themeColor="text1"/>
                          </w:rPr>
                        </w:pPr>
                        <w:r w:rsidRPr="007C46B5">
                          <w:rPr>
                            <w:rFonts w:ascii="Times New Roman" w:hAnsi="Times New Roman"/>
                            <w:color w:val="000000" w:themeColor="text1"/>
                          </w:rPr>
                          <w:t>- Комітет управління АПТ</w:t>
                        </w:r>
                      </w:p>
                    </w:txbxContent>
                  </v:textbox>
                </v:rect>
                <v:shape id="Прямая со стрелкой 371" o:spid="_x0000_s1397" type="#_x0000_t32" style="position:absolute;left:22326;top:11468;width:1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" strokecolor="black [3200]" strokeweight=".5pt">
                  <v:stroke endarrow="block" joinstyle="miter"/>
                </v:shape>
                <v:line id="Прямая соединительная линия 372" o:spid="_x0000_s1398" style="position:absolute;flip:x y;visibility:visible;mso-wrap-style:square" from="3429,4457" to="10439,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" strokecolor="black [3200]" strokeweight=".5pt">
                  <v:stroke joinstyle="miter"/>
                </v:line>
                <v:line id="Прямая соединительная линия 373" o:spid="_x0000_s1399" style="position:absolute;visibility:visible;mso-wrap-style:square" from="3429,4457" to="3429,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" strokecolor="black [3200]" strokeweight=".5pt">
                  <v:stroke joinstyle="miter"/>
                </v:line>
                <v:line id="Прямая соединительная линия 374" o:spid="_x0000_s1400" style="position:absolute;visibility:visible;mso-wrap-style:square" from="3429,11468" to="7620,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" strokecolor="black [3200]" strokeweight=".5pt">
                  <v:stroke joinstyle="miter"/>
                </v:line>
                <v:rect id="Прямоугольник 375" o:spid="_x0000_s1401" style="position:absolute;left:7162;top:19050;width:15164;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" fillcolor="white [3212]" strokecolor="black [3213]" strokeweight="1pt">
                  <v:textbox>
                    <w:txbxContent>
                      <w:p w:rsidR="00F821E3" w:rsidRPr="009C4022" w:rsidRDefault="00F821E3" w:rsidP="009C4022">
                        <w:pPr>
                          <w:jc w:val="center"/>
                          <w:rPr>
                            <w:rFonts w:ascii="Times New Roman" w:hAnsi="Times New Roman"/>
                            <w:color w:val="000000" w:themeColor="text1"/>
                          </w:rPr>
                        </w:pPr>
                        <w:r w:rsidRPr="009C4022">
                          <w:rPr>
                            <w:rFonts w:ascii="Times New Roman" w:hAnsi="Times New Roman"/>
                            <w:color w:val="000000" w:themeColor="text1"/>
                          </w:rPr>
                          <w:t>Тактичний рівень</w:t>
                        </w:r>
                      </w:p>
                    </w:txbxContent>
                  </v:textbox>
                </v:rect>
                <v:rect id="Прямоугольник 376" o:spid="_x0000_s1402" style="position:absolute;left:23774;top:16230;width:16383;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" fillcolor="white [3212]" strokecolor="black [3213]" strokeweight="1pt">
                  <v:textbox>
                    <w:txbxContent>
                      <w:p w:rsidR="00F821E3" w:rsidRPr="009C4022" w:rsidRDefault="00F821E3" w:rsidP="009C4022">
                        <w:pPr>
                          <w:jc w:val="center"/>
                          <w:rPr>
                            <w:rFonts w:ascii="Times New Roman" w:hAnsi="Times New Roman"/>
                            <w:color w:val="000000" w:themeColor="text1"/>
                          </w:rPr>
                        </w:pPr>
                        <w:r w:rsidRPr="009C4022">
                          <w:rPr>
                            <w:rFonts w:ascii="Times New Roman" w:hAnsi="Times New Roman"/>
                            <w:color w:val="000000" w:themeColor="text1"/>
                          </w:rPr>
                          <w:t>Департамент управління</w:t>
                        </w:r>
                        <w:r>
                          <w:rPr>
                            <w:rFonts w:ascii="Times New Roman" w:hAnsi="Times New Roman"/>
                            <w:color w:val="000000" w:themeColor="text1"/>
                          </w:rPr>
                          <w:t xml:space="preserve"> ризиками</w:t>
                        </w:r>
                      </w:p>
                    </w:txbxContent>
                  </v:textbox>
                </v:rect>
                <v:rect id="Прямоугольник 377" o:spid="_x0000_s1403" style="position:absolute;left:23774;top:21259;width:16383;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" fillcolor="white [3212]" strokecolor="black [3213]" strokeweight="1pt">
                  <v:textbox>
                    <w:txbxContent>
                      <w:p w:rsidR="00F821E3" w:rsidRPr="009C4022" w:rsidRDefault="00F821E3" w:rsidP="009C4022">
                        <w:pPr>
                          <w:jc w:val="center"/>
                          <w:rPr>
                            <w:rFonts w:ascii="Times New Roman" w:hAnsi="Times New Roman"/>
                            <w:color w:val="000000" w:themeColor="text1"/>
                          </w:rPr>
                        </w:pPr>
                        <w:r w:rsidRPr="009C4022">
                          <w:rPr>
                            <w:rFonts w:ascii="Times New Roman" w:hAnsi="Times New Roman"/>
                            <w:color w:val="000000" w:themeColor="text1"/>
                          </w:rPr>
                          <w:t>Служба внутрішнього аудиту</w:t>
                        </w:r>
                      </w:p>
                    </w:txbxContent>
                  </v:textbox>
                </v:rect>
                <v:shape id="Прямая со стрелкой 379" o:spid="_x0000_s1404" type="#_x0000_t32" style="position:absolute;left:22326;top:18211;width:1448;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" strokecolor="black [3200]" strokeweight=".5pt">
                  <v:stroke endarrow="block" joinstyle="miter"/>
                </v:shape>
                <v:shape id="Прямая со стрелкой 380" o:spid="_x0000_s1405" type="#_x0000_t32" style="position:absolute;left:22326;top:20497;width:1448;height:2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" strokecolor="black [3200]" strokeweight=".5pt">
                  <v:stroke endarrow="block" joinstyle="miter"/>
                </v:shape>
                <v:line id="Прямая соединительная линия 381" o:spid="_x0000_s1406" style="position:absolute;visibility:visible;mso-wrap-style:square" from="3429,11734" to="3429,2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" strokecolor="black [3200]" strokeweight=".5pt">
                  <v:stroke joinstyle="miter"/>
                </v:line>
                <v:line id="Прямая соединительная линия 382" o:spid="_x0000_s1407" style="position:absolute;visibility:visible;mso-wrap-style:square" from="3429,20688" to="7162,2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" strokecolor="black [3200]" strokeweight=".5pt">
                  <v:stroke joinstyle="miter"/>
                </v:line>
                <v:shape id="Выгнутая вправо стрелка 383" o:spid="_x0000_s1408" type="#_x0000_t103" style="position:absolute;left:40157;top:17754;width:3124;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" adj="16463,20289,5400" fillcolor="white [3212]" strokecolor="black [3213]" strokeweight="1pt"/>
                <v:line id="Прямая соединительная линия 384" o:spid="_x0000_s1409" style="position:absolute;visibility:visible;mso-wrap-style:square" from="3429,20688" to="3429,2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" strokecolor="black [3200]" strokeweight=".5pt">
                  <v:stroke joinstyle="miter"/>
                </v:line>
                <v:rect id="Прямоугольник 385" o:spid="_x0000_s1410" style="position:absolute;left:7162;top:27660;width:1516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" fillcolor="white [3212]" strokecolor="black [3213]" strokeweight="1pt">
                  <v:textbox>
                    <w:txbxContent>
                      <w:p w:rsidR="00F821E3" w:rsidRPr="00242C93" w:rsidRDefault="00F821E3" w:rsidP="00242C93">
                        <w:pPr>
                          <w:jc w:val="center"/>
                          <w:rPr>
                            <w:rFonts w:ascii="Times New Roman" w:hAnsi="Times New Roman"/>
                            <w:color w:val="000000" w:themeColor="text1"/>
                          </w:rPr>
                        </w:pPr>
                        <w:r w:rsidRPr="00242C93">
                          <w:rPr>
                            <w:rFonts w:ascii="Times New Roman" w:hAnsi="Times New Roman"/>
                            <w:color w:val="000000" w:themeColor="text1"/>
                          </w:rPr>
                          <w:t>Оперативний рівень</w:t>
                        </w:r>
                      </w:p>
                    </w:txbxContent>
                  </v:textbox>
                </v:rect>
                <v:line id="Прямая соединительная линия 386" o:spid="_x0000_s1411" style="position:absolute;visibility:visible;mso-wrap-style:square" from="3429,29375" to="7162,2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" strokecolor="black [3200]" strokeweight=".5pt">
                  <v:stroke joinstyle="miter"/>
                </v:line>
                <v:rect id="Прямоугольник 387" o:spid="_x0000_s1412" style="position:absolute;left:23774;top:27660;width:1638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" fillcolor="white [3212]" strokecolor="black [3213]" strokeweight="1pt">
                  <v:textbox>
                    <w:txbxContent>
                      <w:p w:rsidR="00F821E3" w:rsidRPr="00242C93" w:rsidRDefault="00F821E3" w:rsidP="00242C93">
                        <w:pPr>
                          <w:jc w:val="center"/>
                          <w:rPr>
                            <w:rFonts w:ascii="Times New Roman" w:hAnsi="Times New Roman"/>
                            <w:color w:val="000000" w:themeColor="text1"/>
                          </w:rPr>
                        </w:pPr>
                        <w:r w:rsidRPr="00242C93">
                          <w:rPr>
                            <w:rFonts w:ascii="Times New Roman" w:hAnsi="Times New Roman"/>
                            <w:color w:val="000000" w:themeColor="text1"/>
                          </w:rPr>
                          <w:t>Казначейство</w:t>
                        </w:r>
                      </w:p>
                    </w:txbxContent>
                  </v:textbox>
                </v:rect>
                <v:shape id="Прямая со стрелкой 388" o:spid="_x0000_s1413" type="#_x0000_t32" style="position:absolute;left:22326;top:29375;width:1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" strokecolor="black [3200]" strokeweight=".5pt">
                  <v:stroke endarrow="block"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90" o:spid="_x0000_s1414" type="#_x0000_t88" style="position:absolute;left:43281;top:11734;width:2240;height:17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" adj="3977" strokecolor="black [3200]" strokeweight=".5pt">
                  <v:stroke joinstyle="miter"/>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391" o:spid="_x0000_s1415" type="#_x0000_t106" style="position:absolute;left:42062;top:2705;width:1348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" adj="7643,40105" fillcolor="white [3212]" strokecolor="black [3213]" strokeweight="1pt">
                  <v:stroke joinstyle="miter"/>
                  <v:textbox>
                    <w:txbxContent>
                      <w:p w:rsidR="00F821E3" w:rsidRPr="005A3F34" w:rsidRDefault="00F821E3" w:rsidP="00622305">
                        <w:pPr>
                          <w:jc w:val="center"/>
                          <w:rPr>
                            <w:sz w:val="18"/>
                            <w:szCs w:val="18"/>
                          </w:rPr>
                        </w:pPr>
                        <w:r w:rsidRPr="005A3F34">
                          <w:rPr>
                            <w:rFonts w:ascii="Times New Roman" w:hAnsi="Times New Roman"/>
                            <w:color w:val="000000" w:themeColor="text1"/>
                            <w:sz w:val="18"/>
                            <w:szCs w:val="18"/>
                          </w:rPr>
                          <w:t>Тісно взаємодіють між</w:t>
                        </w:r>
                        <w:r w:rsidRPr="005A3F34">
                          <w:rPr>
                            <w:color w:val="000000" w:themeColor="text1"/>
                            <w:sz w:val="18"/>
                            <w:szCs w:val="18"/>
                          </w:rPr>
                          <w:t xml:space="preserve"> </w:t>
                        </w:r>
                        <w:r w:rsidRPr="005A3F34">
                          <w:rPr>
                            <w:rFonts w:ascii="Times New Roman" w:hAnsi="Times New Roman"/>
                            <w:color w:val="000000" w:themeColor="text1"/>
                            <w:sz w:val="18"/>
                            <w:szCs w:val="18"/>
                          </w:rPr>
                          <w:t>собою</w:t>
                        </w:r>
                      </w:p>
                    </w:txbxContent>
                  </v:textbox>
                </v:shape>
                <v:roundrect id="Скругленный прямоугольник 392" o:spid="_x0000_s1416" style="position:absolute;left:56769;top:2286;width:38862;height:24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" fillcolor="white [3201]" strokecolor="black [3200]" strokeweight="1pt">
                  <v:stroke joinstyle="miter"/>
                </v:roundrect>
                <v:rect id="Прямоугольник 393" o:spid="_x0000_s1417" style="position:absolute;left:68122;top:3390;width:18898;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" fillcolor="white [3212]" strokecolor="black [3213]" strokeweight="1pt">
                  <v:textbox>
                    <w:txbxContent>
                      <w:p w:rsidR="00F821E3" w:rsidRPr="005C2D83" w:rsidRDefault="00F821E3" w:rsidP="005C2D83">
                        <w:pPr>
                          <w:jc w:val="center"/>
                          <w:rPr>
                            <w:rFonts w:ascii="Times New Roman" w:hAnsi="Times New Roman"/>
                            <w:color w:val="000000" w:themeColor="text1"/>
                            <w:sz w:val="24"/>
                            <w:szCs w:val="24"/>
                          </w:rPr>
                        </w:pPr>
                        <w:r w:rsidRPr="005C2D83">
                          <w:rPr>
                            <w:rFonts w:ascii="Times New Roman" w:hAnsi="Times New Roman"/>
                            <w:color w:val="000000" w:themeColor="text1"/>
                            <w:sz w:val="24"/>
                            <w:szCs w:val="24"/>
                          </w:rPr>
                          <w:t>Об’єкти управління</w:t>
                        </w:r>
                      </w:p>
                    </w:txbxContent>
                  </v:textbox>
                </v:rect>
                <v:rect id="Прямоугольник 394" o:spid="_x0000_s1418" style="position:absolute;left:62255;top:9144;width:14173;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" fillcolor="white [3212]" strokecolor="black [3213]" strokeweight="1pt">
                  <v:textbox>
                    <w:txbxContent>
                      <w:p w:rsidR="00F821E3" w:rsidRPr="005C2D83" w:rsidRDefault="00F821E3" w:rsidP="005C2D83">
                        <w:pPr>
                          <w:jc w:val="center"/>
                          <w:rPr>
                            <w:rFonts w:ascii="Times New Roman" w:hAnsi="Times New Roman"/>
                            <w:color w:val="000000" w:themeColor="text1"/>
                          </w:rPr>
                        </w:pPr>
                        <w:r w:rsidRPr="005C2D83">
                          <w:rPr>
                            <w:rFonts w:ascii="Times New Roman" w:hAnsi="Times New Roman"/>
                            <w:color w:val="000000" w:themeColor="text1"/>
                          </w:rPr>
                          <w:t>Стратегічний рівень</w:t>
                        </w:r>
                      </w:p>
                    </w:txbxContent>
                  </v:textbox>
                </v:rect>
                <v:rect id="Прямоугольник 395" o:spid="_x0000_s1419" style="position:absolute;left:78257;top:7315;width:16002;height:6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" fillcolor="white [3212]" strokecolor="black [3213]" strokeweight="1pt">
                  <v:textbox>
                    <w:txbxContent>
                      <w:p w:rsidR="00F821E3" w:rsidRPr="00901642" w:rsidRDefault="00F821E3" w:rsidP="005C2D83">
                        <w:pPr>
                          <w:jc w:val="center"/>
                          <w:rPr>
                            <w:rFonts w:ascii="Times New Roman" w:hAnsi="Times New Roman"/>
                            <w:color w:val="000000" w:themeColor="text1"/>
                            <w:sz w:val="19"/>
                            <w:szCs w:val="19"/>
                          </w:rPr>
                        </w:pPr>
                        <w:r w:rsidRPr="00901642">
                          <w:rPr>
                            <w:rFonts w:ascii="Times New Roman" w:hAnsi="Times New Roman"/>
                            <w:color w:val="000000" w:themeColor="text1"/>
                            <w:sz w:val="19"/>
                            <w:szCs w:val="19"/>
                          </w:rPr>
                          <w:t xml:space="preserve"> ризик ліквідності (середньо- та довгостроковій перспективі)</w:t>
                        </w:r>
                      </w:p>
                    </w:txbxContent>
                  </v:textbox>
                </v:rect>
                <v:shape id="Прямая со стрелкой 396" o:spid="_x0000_s1420" type="#_x0000_t32" style="position:absolute;left:76428;top:10972;width:1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" strokecolor="black [3200]" strokeweight=".5pt">
                  <v:stroke endarrow="block" joinstyle="miter"/>
                </v:shape>
                <v:line id="Прямая соединительная линия 397" o:spid="_x0000_s1421" style="position:absolute;flip:x;visibility:visible;mso-wrap-style:square" from="59359,5048" to="68122,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" strokecolor="black [3200]" strokeweight=".5pt">
                  <v:stroke joinstyle="miter"/>
                </v:line>
                <v:line id="Прямая соединительная линия 398" o:spid="_x0000_s1422" style="position:absolute;visibility:visible;mso-wrap-style:square" from="59359,5181" to="59359,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" strokecolor="black [3200]" strokeweight=".5pt">
                  <v:stroke joinstyle="miter"/>
                </v:line>
                <v:line id="Прямая соединительная линия 399" o:spid="_x0000_s1423" style="position:absolute;visibility:visible;mso-wrap-style:square" from="59359,10972" to="62255,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" strokecolor="black [3200]" strokeweight=".5pt">
                  <v:stroke joinstyle="miter"/>
                </v:line>
                <v:rect id="Прямоугольник 400" o:spid="_x0000_s1424" style="position:absolute;left:62636;top:14706;width:14173;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" fillcolor="white [3212]" strokecolor="black [3213]" strokeweight="1pt">
                  <v:textbox>
                    <w:txbxContent>
                      <w:p w:rsidR="00F821E3" w:rsidRPr="00561575" w:rsidRDefault="00F821E3" w:rsidP="00561575">
                        <w:pPr>
                          <w:jc w:val="center"/>
                          <w:rPr>
                            <w:rFonts w:ascii="Times New Roman" w:hAnsi="Times New Roman"/>
                            <w:color w:val="000000" w:themeColor="text1"/>
                          </w:rPr>
                        </w:pPr>
                        <w:r w:rsidRPr="00561575">
                          <w:rPr>
                            <w:rFonts w:ascii="Times New Roman" w:hAnsi="Times New Roman"/>
                            <w:color w:val="000000" w:themeColor="text1"/>
                          </w:rPr>
                          <w:t>Тактичний рівень</w:t>
                        </w:r>
                      </w:p>
                    </w:txbxContent>
                  </v:textbox>
                </v:rect>
                <v:rect id="Прямоугольник 401" o:spid="_x0000_s1425" style="position:absolute;left:78257;top:14706;width:16002;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" fillcolor="white [3212]" strokecolor="black [3213]" strokeweight="1pt">
                  <v:textbox>
                    <w:txbxContent>
                      <w:p w:rsidR="00F821E3" w:rsidRPr="00561575" w:rsidRDefault="00F821E3" w:rsidP="00561575">
                        <w:pPr>
                          <w:jc w:val="center"/>
                          <w:rPr>
                            <w:rFonts w:ascii="Times New Roman" w:hAnsi="Times New Roman"/>
                            <w:color w:val="000000" w:themeColor="text1"/>
                          </w:rPr>
                        </w:pPr>
                        <w:r w:rsidRPr="00561575">
                          <w:rPr>
                            <w:rFonts w:ascii="Times New Roman" w:hAnsi="Times New Roman"/>
                            <w:color w:val="000000" w:themeColor="text1"/>
                          </w:rPr>
                          <w:t>Активи та пасиви</w:t>
                        </w:r>
                      </w:p>
                    </w:txbxContent>
                  </v:textbox>
                </v:rect>
                <v:shape id="Прямая со стрелкой 402" o:spid="_x0000_s1426" type="#_x0000_t32" style="position:absolute;left:76809;top:16344;width:1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" strokecolor="black [3200]" strokeweight=".5pt">
                  <v:stroke endarrow="block" joinstyle="miter"/>
                </v:shape>
                <v:line id="Прямая соединительная линия 403" o:spid="_x0000_s1427" style="position:absolute;visibility:visible;mso-wrap-style:square" from="59359,10972" to="59359,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" strokecolor="black [3200]" strokeweight=".5pt">
                  <v:stroke joinstyle="miter"/>
                </v:line>
                <v:line id="Прямая соединительная линия 404" o:spid="_x0000_s1428" style="position:absolute;visibility:visible;mso-wrap-style:square" from="59359,16344" to="62636,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" strokecolor="black [3200]" strokeweight=".5pt">
                  <v:stroke joinstyle="miter"/>
                </v:line>
                <v:rect id="Прямоугольник 405" o:spid="_x0000_s1429" style="position:absolute;left:62636;top:20497;width:14173;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" fillcolor="white [3212]" strokecolor="black [3213]" strokeweight="1pt">
                  <v:textbox>
                    <w:txbxContent>
                      <w:p w:rsidR="00F821E3" w:rsidRPr="00561575" w:rsidRDefault="00F821E3" w:rsidP="00561575">
                        <w:pPr>
                          <w:jc w:val="center"/>
                          <w:rPr>
                            <w:rFonts w:ascii="Times New Roman" w:hAnsi="Times New Roman"/>
                            <w:color w:val="000000" w:themeColor="text1"/>
                          </w:rPr>
                        </w:pPr>
                        <w:r w:rsidRPr="00561575">
                          <w:rPr>
                            <w:rFonts w:ascii="Times New Roman" w:hAnsi="Times New Roman"/>
                            <w:color w:val="000000" w:themeColor="text1"/>
                          </w:rPr>
                          <w:t>Оперативний рівень</w:t>
                        </w:r>
                      </w:p>
                    </w:txbxContent>
                  </v:textbox>
                </v:rect>
                <v:rect id="Прямоугольник 406" o:spid="_x0000_s1430" style="position:absolute;left:78257;top:19050;width:16002;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" fillcolor="white [3212]" strokecolor="black [3213]" strokeweight="1pt">
                  <v:textbox>
                    <w:txbxContent>
                      <w:p w:rsidR="00F821E3" w:rsidRPr="00561575" w:rsidRDefault="00F821E3" w:rsidP="00186D28">
                        <w:pPr>
                          <w:spacing w:after="0" w:line="240" w:lineRule="auto"/>
                          <w:jc w:val="center"/>
                          <w:rPr>
                            <w:rFonts w:ascii="Times New Roman" w:hAnsi="Times New Roman"/>
                            <w:color w:val="000000" w:themeColor="text1"/>
                          </w:rPr>
                        </w:pPr>
                        <w:r w:rsidRPr="00561575">
                          <w:rPr>
                            <w:rFonts w:ascii="Times New Roman" w:hAnsi="Times New Roman"/>
                            <w:color w:val="000000" w:themeColor="text1"/>
                          </w:rPr>
                          <w:t>Фі</w:t>
                        </w:r>
                        <w:r>
                          <w:rPr>
                            <w:rFonts w:ascii="Times New Roman" w:hAnsi="Times New Roman"/>
                            <w:color w:val="000000" w:themeColor="text1"/>
                          </w:rPr>
                          <w:t>нансові потоки з огляду на поточну ситуацію</w:t>
                        </w:r>
                      </w:p>
                    </w:txbxContent>
                  </v:textbox>
                </v:rect>
                <v:line id="Прямая соединительная линия 407" o:spid="_x0000_s1431" style="position:absolute;visibility:visible;mso-wrap-style:square" from="59359,16344" to="59359,2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" strokecolor="black [3200]" strokeweight=".5pt">
                  <v:stroke joinstyle="miter"/>
                </v:line>
                <v:line id="Прямая соединительная линия 408" o:spid="_x0000_s1432" style="position:absolute;visibility:visible;mso-wrap-style:square" from="59359,22250" to="62636,2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" strokecolor="black [3200]" strokeweight=".5pt">
                  <v:stroke joinstyle="miter"/>
                </v:lin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411" o:spid="_x0000_s1433" type="#_x0000_t38" style="position:absolute;left:46329;top:13944;width:10440;height:643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" adj="10800" strokecolor="black [3200]" strokeweight=".5pt">
                  <v:stroke endarrow="block" joinstyle="miter"/>
                </v:shape>
                <v:shape id="Прямая со стрелкой 414" o:spid="_x0000_s1434" type="#_x0000_t32" style="position:absolute;left:76809;top:22250;width:1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" strokecolor="black [3200]" strokeweight=".5pt">
                  <v:stroke endarrow="block" joinstyle="miter"/>
                </v:shape>
                <v:roundrect id="Скругленный прямоугольник 421" o:spid="_x0000_s1435" style="position:absolute;left:22326;top:32766;width:29718;height:200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" fillcolor="white [3212]" strokecolor="black [3213]" strokeweight="1pt">
                  <v:stroke joinstyle="miter"/>
                </v:roundrect>
                <v:rect id="Прямоугольник 422" o:spid="_x0000_s1436" style="position:absolute;left:27355;top:33379;width:20270;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" fillcolor="window" strokecolor="windowText" strokeweight="1pt">
                  <v:textbox>
                    <w:txbxContent>
                      <w:p w:rsidR="00F821E3" w:rsidRDefault="00F821E3" w:rsidP="0077089E">
                        <w:pPr>
                          <w:pStyle w:val="a3"/>
                          <w:spacing w:before="0" w:beforeAutospacing="0" w:after="160" w:afterAutospacing="0" w:line="254" w:lineRule="auto"/>
                          <w:jc w:val="center"/>
                        </w:pPr>
                        <w:r>
                          <w:rPr>
                            <w:rFonts w:eastAsia="Calibri"/>
                            <w:color w:val="000000"/>
                            <w:sz w:val="22"/>
                            <w:szCs w:val="22"/>
                          </w:rPr>
                          <w:t>Процес управління</w:t>
                        </w:r>
                      </w:p>
                    </w:txbxContent>
                  </v:textbox>
                </v:rect>
                <v:rect id="Прямоугольник 423" o:spid="_x0000_s1437" style="position:absolute;left:27432;top:36985;width:108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" fillcolor="window" strokecolor="windowText" strokeweight="1pt">
                  <v:textbox>
                    <w:txbxContent>
                      <w:p w:rsidR="00F821E3" w:rsidRDefault="00F821E3" w:rsidP="0077089E">
                        <w:pPr>
                          <w:pStyle w:val="a3"/>
                          <w:spacing w:before="0" w:beforeAutospacing="0" w:after="160" w:afterAutospacing="0" w:line="254" w:lineRule="auto"/>
                          <w:jc w:val="center"/>
                        </w:pPr>
                        <w:r>
                          <w:rPr>
                            <w:rFonts w:eastAsia="Calibri"/>
                            <w:color w:val="000000"/>
                            <w:sz w:val="22"/>
                            <w:szCs w:val="22"/>
                          </w:rPr>
                          <w:t>Аналіз</w:t>
                        </w:r>
                      </w:p>
                    </w:txbxContent>
                  </v:textbox>
                </v:rect>
                <v:rect id="Прямоугольник 424" o:spid="_x0000_s1438" style="position:absolute;left:27432;top:39878;width:1082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" fillcolor="window" strokecolor="windowText" strokeweight="1pt">
                  <v:textbox>
                    <w:txbxContent>
                      <w:p w:rsidR="00F821E3" w:rsidRDefault="00F821E3" w:rsidP="0077089E">
                        <w:pPr>
                          <w:pStyle w:val="a3"/>
                          <w:spacing w:before="0" w:beforeAutospacing="0" w:after="160" w:afterAutospacing="0" w:line="252" w:lineRule="auto"/>
                          <w:jc w:val="center"/>
                        </w:pPr>
                        <w:r>
                          <w:rPr>
                            <w:rFonts w:eastAsia="Calibri"/>
                            <w:color w:val="000000"/>
                            <w:sz w:val="22"/>
                            <w:szCs w:val="22"/>
                          </w:rPr>
                          <w:t>Планування</w:t>
                        </w:r>
                      </w:p>
                    </w:txbxContent>
                  </v:textbox>
                </v:rect>
                <v:rect id="Прямоугольник 425" o:spid="_x0000_s1439" style="position:absolute;left:27432;top:42668;width:10820;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" fillcolor="window" strokecolor="windowText" strokeweight="1pt">
                  <v:textbox>
                    <w:txbxContent>
                      <w:p w:rsidR="00F821E3" w:rsidRDefault="00F821E3" w:rsidP="0077089E">
                        <w:pPr>
                          <w:pStyle w:val="a3"/>
                          <w:spacing w:before="0" w:beforeAutospacing="0" w:after="160" w:afterAutospacing="0" w:line="252" w:lineRule="auto"/>
                          <w:jc w:val="center"/>
                        </w:pPr>
                        <w:r w:rsidRPr="00386019">
                          <w:rPr>
                            <w:rFonts w:eastAsia="Calibri"/>
                            <w:color w:val="000000"/>
                            <w:sz w:val="20"/>
                            <w:szCs w:val="20"/>
                          </w:rPr>
                          <w:t>Прогнозуванн</w:t>
                        </w:r>
                        <w:r>
                          <w:rPr>
                            <w:rFonts w:eastAsia="Calibri"/>
                            <w:color w:val="000000"/>
                            <w:sz w:val="22"/>
                            <w:szCs w:val="22"/>
                          </w:rPr>
                          <w:t>я</w:t>
                        </w:r>
                      </w:p>
                    </w:txbxContent>
                  </v:textbox>
                </v:rect>
                <v:rect id="Прямоугольник 426" o:spid="_x0000_s1440" style="position:absolute;left:27432;top:45720;width:10820;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" fillcolor="window" strokecolor="windowText" strokeweight="1pt">
                  <v:textbox>
                    <w:txbxContent>
                      <w:p w:rsidR="00F821E3" w:rsidRDefault="00F821E3" w:rsidP="0077089E">
                        <w:pPr>
                          <w:pStyle w:val="a3"/>
                          <w:spacing w:before="0" w:beforeAutospacing="0" w:after="160" w:afterAutospacing="0" w:line="252" w:lineRule="auto"/>
                          <w:jc w:val="center"/>
                        </w:pPr>
                        <w:r>
                          <w:rPr>
                            <w:rFonts w:eastAsia="Calibri"/>
                            <w:color w:val="000000"/>
                            <w:sz w:val="22"/>
                            <w:szCs w:val="22"/>
                          </w:rPr>
                          <w:t>Контроль</w:t>
                        </w:r>
                      </w:p>
                    </w:txbxContent>
                  </v:textbox>
                </v:rect>
                <v:rect id="Прямоугольник 427" o:spid="_x0000_s1441" style="position:absolute;left:27432;top:49047;width:10820;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" fillcolor="window" strokecolor="windowText" strokeweight="1pt">
                  <v:textbox>
                    <w:txbxContent>
                      <w:p w:rsidR="00F821E3" w:rsidRDefault="00F821E3" w:rsidP="0077089E">
                        <w:pPr>
                          <w:pStyle w:val="a3"/>
                          <w:spacing w:before="0" w:beforeAutospacing="0" w:after="160" w:afterAutospacing="0" w:line="252" w:lineRule="auto"/>
                          <w:jc w:val="center"/>
                        </w:pPr>
                        <w:r>
                          <w:rPr>
                            <w:rFonts w:eastAsia="Calibri"/>
                            <w:color w:val="000000"/>
                            <w:sz w:val="22"/>
                            <w:szCs w:val="22"/>
                          </w:rPr>
                          <w:t>Регулювання</w:t>
                        </w:r>
                      </w:p>
                    </w:txbxContent>
                  </v:textbox>
                </v:rect>
                <v:line id="Прямая соединительная линия 428" o:spid="_x0000_s1442" style="position:absolute;flip:x;visibility:visible;mso-wrap-style:square" from="24460,34826" to="27355,3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" strokecolor="black [3200]" strokeweight=".5pt">
                  <v:stroke joinstyle="miter"/>
                </v:line>
                <v:line id="Прямая соединительная линия 429" o:spid="_x0000_s1443" style="position:absolute;visibility:visible;mso-wrap-style:square" from="24536,34826" to="24536,5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" strokecolor="black [3200]" strokeweight=".5pt">
                  <v:stroke joinstyle="miter"/>
                </v:line>
                <v:line id="Прямая соединительная линия 430" o:spid="_x0000_s1444" style="position:absolute;flip:y;visibility:visible;mso-wrap-style:square" from="24536,50393" to="27432,5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" strokecolor="black [3200]" strokeweight=".5pt">
                  <v:stroke joinstyle="miter"/>
                </v:line>
                <v:line id="Прямая соединительная линия 431" o:spid="_x0000_s1445" style="position:absolute;flip:x;visibility:visible;mso-wrap-style:square" from="24536,38243" to="27432,3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" strokecolor="black [3200]" strokeweight=".5pt">
                  <v:stroke joinstyle="miter"/>
                </v:line>
                <v:line id="Прямая соединительная линия 432" o:spid="_x0000_s1446" style="position:absolute;visibility:visible;mso-wrap-style:square" from="24536,41126" to="27432,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" strokecolor="black [3200]" strokeweight=".5pt">
                  <v:stroke joinstyle="miter"/>
                </v:line>
                <v:line id="Прямая соединительная линия 433" o:spid="_x0000_s1447" style="position:absolute;visibility:visible;mso-wrap-style:square" from="24612,44014" to="27432,4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" strokecolor="black [3200]" strokeweight=".5pt">
                  <v:stroke joinstyle="miter"/>
                </v:line>
                <v:line id="Прямая соединительная линия 434" o:spid="_x0000_s1448" style="position:absolute;flip:x;visibility:visible;mso-wrap-style:square" from="24688,47066" to="27432,4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" strokecolor="black [3200]" strokeweight=".5pt">
                  <v:stroke joinstyle="miter"/>
                </v:line>
                <v:shape id="Выноска-облако 435" o:spid="_x0000_s1449" type="#_x0000_t106" style="position:absolute;left:42062;top:32766;width:14707;height:8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" adj="253,28228" fillcolor="white [3212]" strokecolor="black [3213]" strokeweight="1pt">
                  <v:stroke joinstyle="miter"/>
                  <v:textbox>
                    <w:txbxContent>
                      <w:p w:rsidR="00F821E3" w:rsidRPr="00A13AEF" w:rsidRDefault="00F821E3" w:rsidP="00A13AEF">
                        <w:pPr>
                          <w:jc w:val="center"/>
                          <w:rPr>
                            <w:rFonts w:ascii="Times New Roman" w:hAnsi="Times New Roman"/>
                            <w:sz w:val="18"/>
                            <w:szCs w:val="18"/>
                          </w:rPr>
                        </w:pPr>
                        <w:r w:rsidRPr="00A13AEF">
                          <w:rPr>
                            <w:rFonts w:ascii="Times New Roman" w:hAnsi="Times New Roman"/>
                            <w:color w:val="000000" w:themeColor="text1"/>
                            <w:sz w:val="16"/>
                            <w:szCs w:val="16"/>
                          </w:rPr>
                          <w:t>Пристосування до нестабільного зовнішнього середов</w:t>
                        </w:r>
                        <w:r w:rsidRPr="00A13AEF">
                          <w:rPr>
                            <w:rFonts w:ascii="Times New Roman" w:hAnsi="Times New Roman"/>
                            <w:color w:val="000000" w:themeColor="text1"/>
                            <w:sz w:val="18"/>
                            <w:szCs w:val="18"/>
                          </w:rPr>
                          <w:t>ища</w:t>
                        </w:r>
                      </w:p>
                    </w:txbxContent>
                  </v:textbox>
                </v:shape>
                <v:shape id="Правая фигурная скобка 436" o:spid="_x0000_s1450" type="#_x0000_t88" style="position:absolute;left:38557;top:38017;width:2591;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" adj="3080,10927" strokecolor="black [3200]" strokeweight=".5pt">
                  <v:stroke joinstyle="miter"/>
                </v:shape>
                <v:rect id="Прямоугольник 437" o:spid="_x0000_s1451" style="position:absolute;left:4038;top:41766;width:15012;height:1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" fillcolor="white [3212]" strokecolor="black [3213]" strokeweight="1pt">
                  <v:textbox>
                    <w:txbxContent>
                      <w:p w:rsidR="00F821E3" w:rsidRPr="00AB044E" w:rsidRDefault="00F821E3" w:rsidP="00E30BEC">
                        <w:pPr>
                          <w:spacing w:after="0" w:line="240" w:lineRule="auto"/>
                          <w:rPr>
                            <w:rFonts w:ascii="Times New Roman" w:hAnsi="Times New Roman"/>
                            <w:color w:val="000000" w:themeColor="text1"/>
                            <w:u w:val="single"/>
                          </w:rPr>
                        </w:pPr>
                        <w:r w:rsidRPr="00AB044E">
                          <w:rPr>
                            <w:rFonts w:ascii="Times New Roman" w:hAnsi="Times New Roman"/>
                            <w:color w:val="000000" w:themeColor="text1"/>
                            <w:u w:val="single"/>
                          </w:rPr>
                          <w:t>Базиси управління:</w:t>
                        </w:r>
                      </w:p>
                      <w:p w:rsidR="00F821E3" w:rsidRPr="00E30BEC" w:rsidRDefault="00F821E3" w:rsidP="00E30BEC">
                        <w:pPr>
                          <w:spacing w:after="0" w:line="240" w:lineRule="auto"/>
                          <w:rPr>
                            <w:rFonts w:ascii="Times New Roman" w:hAnsi="Times New Roman"/>
                            <w:color w:val="000000" w:themeColor="text1"/>
                          </w:rPr>
                        </w:pPr>
                        <w:r w:rsidRPr="00E30BEC">
                          <w:rPr>
                            <w:rFonts w:ascii="Times New Roman" w:hAnsi="Times New Roman"/>
                            <w:color w:val="000000" w:themeColor="text1"/>
                          </w:rPr>
                          <w:t>- різноманітність;</w:t>
                        </w:r>
                      </w:p>
                      <w:p w:rsidR="00F821E3" w:rsidRPr="00E30BEC" w:rsidRDefault="00F821E3" w:rsidP="00E30BEC">
                        <w:pPr>
                          <w:spacing w:after="0" w:line="240" w:lineRule="auto"/>
                          <w:rPr>
                            <w:rFonts w:ascii="Times New Roman" w:hAnsi="Times New Roman"/>
                            <w:color w:val="000000" w:themeColor="text1"/>
                          </w:rPr>
                        </w:pPr>
                        <w:r w:rsidRPr="00E30BEC">
                          <w:rPr>
                            <w:rFonts w:ascii="Times New Roman" w:hAnsi="Times New Roman"/>
                            <w:color w:val="000000" w:themeColor="text1"/>
                          </w:rPr>
                          <w:t>- системність;</w:t>
                        </w:r>
                      </w:p>
                      <w:p w:rsidR="00F821E3" w:rsidRPr="00E30BEC" w:rsidRDefault="00F821E3" w:rsidP="00E30BEC">
                        <w:pPr>
                          <w:spacing w:after="0" w:line="240" w:lineRule="auto"/>
                          <w:rPr>
                            <w:rFonts w:ascii="Times New Roman" w:hAnsi="Times New Roman"/>
                            <w:color w:val="000000" w:themeColor="text1"/>
                          </w:rPr>
                        </w:pPr>
                        <w:r w:rsidRPr="00E30BEC">
                          <w:rPr>
                            <w:rFonts w:ascii="Times New Roman" w:hAnsi="Times New Roman"/>
                            <w:color w:val="000000" w:themeColor="text1"/>
                          </w:rPr>
                          <w:t>- гнучкість;</w:t>
                        </w:r>
                      </w:p>
                      <w:p w:rsidR="00F821E3" w:rsidRPr="00E30BEC" w:rsidRDefault="00F821E3" w:rsidP="00E30BEC">
                        <w:pPr>
                          <w:spacing w:after="0" w:line="240" w:lineRule="auto"/>
                          <w:rPr>
                            <w:rFonts w:ascii="Times New Roman" w:hAnsi="Times New Roman"/>
                            <w:color w:val="000000" w:themeColor="text1"/>
                          </w:rPr>
                        </w:pPr>
                        <w:r w:rsidRPr="00E30BEC">
                          <w:rPr>
                            <w:rFonts w:ascii="Times New Roman" w:hAnsi="Times New Roman"/>
                            <w:color w:val="000000" w:themeColor="text1"/>
                          </w:rPr>
                          <w:t>- «</w:t>
                        </w:r>
                        <w:proofErr w:type="spellStart"/>
                        <w:r w:rsidRPr="00E30BEC">
                          <w:rPr>
                            <w:rFonts w:ascii="Times New Roman" w:hAnsi="Times New Roman"/>
                            <w:color w:val="000000" w:themeColor="text1"/>
                          </w:rPr>
                          <w:t>feedback</w:t>
                        </w:r>
                        <w:proofErr w:type="spellEnd"/>
                        <w:r w:rsidRPr="00E30BEC">
                          <w:rPr>
                            <w:rFonts w:ascii="Times New Roman" w:hAnsi="Times New Roman"/>
                            <w:color w:val="000000" w:themeColor="text1"/>
                          </w:rPr>
                          <w:t>» - зворотній зв’язок</w:t>
                        </w:r>
                      </w:p>
                    </w:txbxContent>
                  </v:textbox>
                </v:rect>
                <v:line id="Прямая соединительная линия 439" o:spid="_x0000_s1452" style="position:absolute;flip:x;visibility:visible;mso-wrap-style:square" from="838,16992" to="2362,1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" strokecolor="black [3200]" strokeweight=".5pt">
                  <v:stroke joinstyle="miter"/>
                </v:line>
                <v:line id="Прямая соединительная линия 440" o:spid="_x0000_s1453" style="position:absolute;visibility:visible;mso-wrap-style:square" from="838,16992" to="838,4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" strokecolor="black [3200]" strokeweight=".5pt">
                  <v:stroke joinstyle="miter"/>
                </v:line>
                <v:shape id="Прямая со стрелкой 441" o:spid="_x0000_s1454" type="#_x0000_t32" style="position:absolute;left:838;top:47305;width:3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" strokecolor="black [3200]" strokeweight=".5pt">
                  <v:stroke endarrow="block" joinstyle="miter"/>
                </v:shape>
                <v:shape id="Прямая со стрелкой 442" o:spid="_x0000_s1455" type="#_x0000_t32" style="position:absolute;left:19050;top:42668;width:3276;height:46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" strokecolor="black [3200]" strokeweight=".5pt">
                  <v:stroke endarrow="block" joinstyle="miter"/>
                </v:shape>
                <v:roundrect id="Скругленный прямоугольник 445" o:spid="_x0000_s1456" style="position:absolute;left:58140;top:33048;width:16688;height:9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" fillcolor="white [3212]" strokecolor="black [3213]" strokeweight="1pt">
                  <v:stroke joinstyle="miter"/>
                  <v:textbox>
                    <w:txbxContent>
                      <w:p w:rsidR="00F821E3" w:rsidRPr="00A078A4" w:rsidRDefault="00F821E3" w:rsidP="00A078A4">
                        <w:pPr>
                          <w:jc w:val="center"/>
                          <w:rPr>
                            <w:rFonts w:ascii="Times New Roman" w:hAnsi="Times New Roman"/>
                            <w:color w:val="000000" w:themeColor="text1"/>
                            <w:sz w:val="20"/>
                            <w:szCs w:val="20"/>
                          </w:rPr>
                        </w:pPr>
                        <w:r w:rsidRPr="00A078A4">
                          <w:rPr>
                            <w:rFonts w:ascii="Times New Roman" w:hAnsi="Times New Roman"/>
                            <w:color w:val="000000" w:themeColor="text1"/>
                            <w:sz w:val="20"/>
                            <w:szCs w:val="20"/>
                          </w:rPr>
                          <w:t>Інформування щодо внутрішніх факторі, які негативно впливають або можуть вплинути на ліквідність банку</w:t>
                        </w:r>
                      </w:p>
                    </w:txbxContent>
                  </v:textbox>
                </v:roundrect>
                <v:roundrect id="Скругленный прямоугольник 447" o:spid="_x0000_s1457" style="position:absolute;left:58140;top:43440;width:16688;height:9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" fillcolor="white [3212]" strokecolor="black [3213]" strokeweight="1pt">
                  <v:stroke joinstyle="miter"/>
                  <v:textbox>
                    <w:txbxContent>
                      <w:p w:rsidR="00F821E3" w:rsidRDefault="00F821E3" w:rsidP="00A078A4">
                        <w:pPr>
                          <w:pStyle w:val="a3"/>
                          <w:spacing w:before="0" w:beforeAutospacing="0" w:after="160" w:afterAutospacing="0" w:line="254" w:lineRule="auto"/>
                          <w:jc w:val="center"/>
                        </w:pPr>
                        <w:r>
                          <w:rPr>
                            <w:rFonts w:eastAsia="Calibri"/>
                            <w:color w:val="000000"/>
                            <w:sz w:val="20"/>
                            <w:szCs w:val="20"/>
                          </w:rPr>
                          <w:t>Інформування щодо зовнішніх факторі, які негативно впливають або можуть вплинути на ліквідність банку</w:t>
                        </w:r>
                      </w:p>
                    </w:txbxContent>
                  </v:textbox>
                </v:roundrect>
                <v:shape id="Прямая со стрелкой 448" o:spid="_x0000_s1458" type="#_x0000_t32" style="position:absolute;left:52044;top:37961;width:6096;height:54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" strokecolor="black [3200]" strokeweight=".5pt">
                  <v:stroke endarrow="block" joinstyle="miter"/>
                </v:shape>
                <v:shape id="Прямая со стрелкой 449" o:spid="_x0000_s1459" type="#_x0000_t32" style="position:absolute;left:52044;top:43440;width:6096;height:49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" strokecolor="black [3200]" strokeweight=".5pt">
                  <v:stroke endarrow="block" joinstyle="miter"/>
                </v:shape>
                <v:shape id="Прямая со стрелкой 450" o:spid="_x0000_s1460" type="#_x0000_t32" style="position:absolute;left:42672;top:43440;width:9372;height:12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" strokecolor="black [3200]" strokeweight=".5pt">
                  <v:stroke endarrow="block" joinstyle="miter"/>
                </v:shape>
                <v:roundrect id="Скругленный прямоугольник 454" o:spid="_x0000_s1461" style="position:absolute;left:75971;top:39094;width:18288;height:7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" fillcolor="white [3212]" strokecolor="black [3213]" strokeweight="1pt">
                  <v:stroke joinstyle="miter"/>
                  <v:textbox>
                    <w:txbxContent>
                      <w:p w:rsidR="00F821E3" w:rsidRPr="00A078A4" w:rsidRDefault="00F821E3" w:rsidP="00A078A4">
                        <w:pPr>
                          <w:jc w:val="center"/>
                          <w:rPr>
                            <w:rFonts w:ascii="Times New Roman" w:hAnsi="Times New Roman"/>
                            <w:color w:val="000000" w:themeColor="text1"/>
                            <w:sz w:val="20"/>
                            <w:szCs w:val="20"/>
                          </w:rPr>
                        </w:pPr>
                        <w:r w:rsidRPr="00A078A4">
                          <w:rPr>
                            <w:rFonts w:ascii="Times New Roman" w:hAnsi="Times New Roman"/>
                            <w:color w:val="000000" w:themeColor="text1"/>
                            <w:sz w:val="20"/>
                            <w:szCs w:val="20"/>
                          </w:rPr>
                          <w:t xml:space="preserve">Нормативне, інформаційне, методичне, аналітичне, </w:t>
                        </w:r>
                        <w:r>
                          <w:rPr>
                            <w:rFonts w:ascii="Times New Roman" w:hAnsi="Times New Roman"/>
                            <w:color w:val="000000" w:themeColor="text1"/>
                            <w:sz w:val="20"/>
                            <w:szCs w:val="20"/>
                          </w:rPr>
                          <w:t>технічне - ІТ</w:t>
                        </w:r>
                        <w:r w:rsidRPr="00A078A4">
                          <w:rPr>
                            <w:rFonts w:ascii="Times New Roman" w:hAnsi="Times New Roman"/>
                            <w:color w:val="000000" w:themeColor="text1"/>
                            <w:sz w:val="20"/>
                            <w:szCs w:val="20"/>
                          </w:rPr>
                          <w:t>, кадрове забезпечення</w:t>
                        </w:r>
                      </w:p>
                    </w:txbxContent>
                  </v:textbox>
                </v:roundrect>
                <v:shape id="Прямая со стрелкой 455" o:spid="_x0000_s1462" type="#_x0000_t32" style="position:absolute;left:78257;top:26289;width:6858;height:128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" strokecolor="black [3200]" strokeweight=".5pt">
                  <v:stroke endarrow="block" joinstyle="miter"/>
                </v:shape>
                <v:line id="Прямая соединительная линия 460" o:spid="_x0000_s1463" style="position:absolute;visibility:visible;mso-wrap-style:square" from="37185,52844" to="37185,5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" strokecolor="black [3200]" strokeweight=".5pt">
                  <v:stroke joinstyle="miter"/>
                </v:line>
                <v:line id="Прямая соединительная линия 461" o:spid="_x0000_s1464" style="position:absolute;visibility:visible;mso-wrap-style:square" from="37185,55778" to="85648,5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" strokecolor="black [3200]" strokeweight=".5pt">
                  <v:stroke joinstyle="miter"/>
                </v:line>
                <v:shape id="Прямая со стрелкой 462" o:spid="_x0000_s1465" type="#_x0000_t32" style="position:absolute;left:85648;top:47066;width:0;height:87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" strokecolor="black [3200]" strokeweight=".5pt">
                  <v:stroke endarrow="block" joinstyle="miter"/>
                </v:shape>
                <v:shape id="Выноска-облако 463" o:spid="_x0000_s1466" type="#_x0000_t106" style="position:absolute;left:81305;top:26403;width:14859;height:6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" adj="5645,38155" fillcolor="white [3212]" strokecolor="black [3213]" strokeweight="1pt">
                  <v:stroke joinstyle="miter"/>
                  <v:textbox>
                    <w:txbxContent>
                      <w:p w:rsidR="00F821E3" w:rsidRPr="005A3F34" w:rsidRDefault="00F821E3" w:rsidP="005A3F34">
                        <w:pPr>
                          <w:jc w:val="center"/>
                          <w:rPr>
                            <w:rFonts w:ascii="Times New Roman" w:hAnsi="Times New Roman"/>
                            <w:color w:val="000000" w:themeColor="text1"/>
                            <w:sz w:val="18"/>
                            <w:szCs w:val="18"/>
                          </w:rPr>
                        </w:pPr>
                        <w:r w:rsidRPr="005A3F34">
                          <w:rPr>
                            <w:rFonts w:ascii="Times New Roman" w:hAnsi="Times New Roman"/>
                            <w:color w:val="000000" w:themeColor="text1"/>
                            <w:sz w:val="18"/>
                            <w:szCs w:val="18"/>
                          </w:rPr>
                          <w:t>Безперервне, систематичне</w:t>
                        </w:r>
                      </w:p>
                    </w:txbxContent>
                  </v:textbox>
                </v:shape>
                <v:shape id="Выноска-облако 464" o:spid="_x0000_s1467" type="#_x0000_t106" style="position:absolute;left:3429;top:32088;width:18211;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" adj="6116,25375" fillcolor="white [3212]" strokecolor="black [3213]" strokeweight="1pt">
                  <v:stroke joinstyle="miter"/>
                  <v:textbox>
                    <w:txbxContent>
                      <w:p w:rsidR="00F821E3" w:rsidRPr="001760CB" w:rsidRDefault="00F821E3" w:rsidP="001760CB">
                        <w:pPr>
                          <w:spacing w:after="0" w:line="240" w:lineRule="auto"/>
                          <w:jc w:val="center"/>
                          <w:rPr>
                            <w:rFonts w:ascii="Times New Roman" w:hAnsi="Times New Roman"/>
                            <w:color w:val="000000" w:themeColor="text1"/>
                            <w:sz w:val="15"/>
                            <w:szCs w:val="15"/>
                          </w:rPr>
                        </w:pPr>
                        <w:r w:rsidRPr="001760CB">
                          <w:rPr>
                            <w:rFonts w:ascii="Times New Roman" w:hAnsi="Times New Roman"/>
                            <w:color w:val="000000" w:themeColor="text1"/>
                            <w:sz w:val="15"/>
                            <w:szCs w:val="15"/>
                          </w:rPr>
                          <w:t>Неухильне дотримання задля досягнення ефективного функціонування</w:t>
                        </w:r>
                      </w:p>
                    </w:txbxContent>
                  </v:textbox>
                </v:shape>
                <w10:anchorlock/>
              </v:group>
            </w:pict>
          </mc:Fallback>
        </mc:AlternateContent>
      </w:r>
    </w:p>
    <w:p w:rsidR="008D6640" w:rsidRDefault="008D6640" w:rsidP="007C46B5">
      <w:pPr>
        <w:spacing w:after="0" w:line="360" w:lineRule="auto"/>
        <w:jc w:val="both"/>
        <w:rPr>
          <w:rFonts w:ascii="Times New Roman" w:hAnsi="Times New Roman"/>
          <w:sz w:val="28"/>
          <w:szCs w:val="28"/>
        </w:rPr>
      </w:pPr>
      <w:r>
        <w:rPr>
          <w:rFonts w:ascii="Times New Roman" w:hAnsi="Times New Roman"/>
          <w:sz w:val="28"/>
          <w:szCs w:val="28"/>
        </w:rPr>
        <w:t>Рис. 3.6. М</w:t>
      </w:r>
      <w:r w:rsidRPr="0052114E">
        <w:rPr>
          <w:rFonts w:ascii="Times New Roman" w:hAnsi="Times New Roman"/>
          <w:sz w:val="28"/>
          <w:szCs w:val="28"/>
        </w:rPr>
        <w:t xml:space="preserve">одель управління ліквідністю </w:t>
      </w:r>
      <w:r>
        <w:rPr>
          <w:rFonts w:ascii="Times New Roman" w:hAnsi="Times New Roman"/>
          <w:sz w:val="28"/>
          <w:szCs w:val="28"/>
        </w:rPr>
        <w:t>АТ «Ідея Банк»</w:t>
      </w:r>
      <w:r w:rsidRPr="0052114E">
        <w:rPr>
          <w:rFonts w:ascii="Times New Roman" w:hAnsi="Times New Roman"/>
          <w:sz w:val="28"/>
          <w:szCs w:val="28"/>
        </w:rPr>
        <w:t xml:space="preserve"> на основі ситуаційного підходу в умовах системної фінансової кризи</w:t>
      </w:r>
    </w:p>
    <w:p w:rsidR="00C6058F" w:rsidRDefault="00C6058F" w:rsidP="007C46B5">
      <w:pPr>
        <w:spacing w:after="0" w:line="360" w:lineRule="auto"/>
        <w:jc w:val="both"/>
        <w:rPr>
          <w:rFonts w:ascii="Times New Roman" w:hAnsi="Times New Roman"/>
          <w:sz w:val="28"/>
          <w:szCs w:val="28"/>
        </w:rPr>
        <w:sectPr w:rsidR="00C6058F" w:rsidSect="008B114E">
          <w:pgSz w:w="16838" w:h="11906" w:orient="landscape"/>
          <w:pgMar w:top="851" w:right="851" w:bottom="1418" w:left="851" w:header="709" w:footer="709" w:gutter="0"/>
          <w:cols w:space="708"/>
          <w:docGrid w:linePitch="360"/>
        </w:sectPr>
      </w:pPr>
    </w:p>
    <w:p w:rsidR="00C6058F" w:rsidRDefault="00021B40" w:rsidP="00E855F8">
      <w:pPr>
        <w:spacing w:after="0" w:line="360" w:lineRule="auto"/>
        <w:ind w:firstLine="708"/>
        <w:jc w:val="both"/>
        <w:rPr>
          <w:rFonts w:ascii="Times New Roman" w:hAnsi="Times New Roman"/>
          <w:sz w:val="28"/>
          <w:szCs w:val="28"/>
        </w:rPr>
      </w:pPr>
      <w:r w:rsidRPr="00B85A2C">
        <w:rPr>
          <w:rFonts w:ascii="Times New Roman" w:hAnsi="Times New Roman"/>
          <w:sz w:val="28"/>
          <w:szCs w:val="28"/>
        </w:rPr>
        <w:lastRenderedPageBreak/>
        <w:t xml:space="preserve">- </w:t>
      </w:r>
      <w:r w:rsidR="00B85A2C" w:rsidRPr="00B85A2C">
        <w:rPr>
          <w:rFonts w:ascii="Times New Roman" w:hAnsi="Times New Roman"/>
          <w:sz w:val="28"/>
          <w:szCs w:val="28"/>
        </w:rPr>
        <w:t xml:space="preserve">формування </w:t>
      </w:r>
      <w:r w:rsidR="00B85A2C">
        <w:rPr>
          <w:rFonts w:ascii="Times New Roman" w:hAnsi="Times New Roman"/>
          <w:sz w:val="28"/>
          <w:szCs w:val="28"/>
        </w:rPr>
        <w:t>«</w:t>
      </w:r>
      <w:r w:rsidR="00B85A2C" w:rsidRPr="00B85A2C">
        <w:rPr>
          <w:rFonts w:ascii="Times New Roman" w:hAnsi="Times New Roman"/>
          <w:sz w:val="28"/>
          <w:szCs w:val="28"/>
        </w:rPr>
        <w:t>культури</w:t>
      </w:r>
      <w:r w:rsidR="00B85A2C">
        <w:rPr>
          <w:rFonts w:ascii="Times New Roman" w:hAnsi="Times New Roman"/>
          <w:sz w:val="28"/>
          <w:szCs w:val="28"/>
        </w:rPr>
        <w:t>»</w:t>
      </w:r>
      <w:r w:rsidR="00B85A2C" w:rsidRPr="00B85A2C">
        <w:rPr>
          <w:rFonts w:ascii="Times New Roman" w:hAnsi="Times New Roman"/>
          <w:sz w:val="28"/>
          <w:szCs w:val="28"/>
        </w:rPr>
        <w:t xml:space="preserve"> управління ліквідністю</w:t>
      </w:r>
      <w:r w:rsidR="00B85A2C">
        <w:rPr>
          <w:rFonts w:ascii="Times New Roman" w:hAnsi="Times New Roman"/>
          <w:sz w:val="28"/>
          <w:szCs w:val="28"/>
        </w:rPr>
        <w:t xml:space="preserve"> - </w:t>
      </w:r>
      <w:r w:rsidR="00B85A2C" w:rsidRPr="00B85A2C">
        <w:rPr>
          <w:rFonts w:ascii="Times New Roman" w:hAnsi="Times New Roman"/>
          <w:sz w:val="28"/>
          <w:szCs w:val="28"/>
        </w:rPr>
        <w:t xml:space="preserve">залучення </w:t>
      </w:r>
      <w:r w:rsidR="00E855F8">
        <w:rPr>
          <w:rFonts w:ascii="Times New Roman" w:hAnsi="Times New Roman"/>
          <w:sz w:val="28"/>
          <w:szCs w:val="28"/>
        </w:rPr>
        <w:t>Н</w:t>
      </w:r>
      <w:r w:rsidR="00E855F8" w:rsidRPr="00E855F8">
        <w:rPr>
          <w:rFonts w:ascii="Times New Roman" w:hAnsi="Times New Roman"/>
          <w:sz w:val="28"/>
          <w:szCs w:val="28"/>
        </w:rPr>
        <w:t>аглядов</w:t>
      </w:r>
      <w:r w:rsidR="00E855F8">
        <w:rPr>
          <w:rFonts w:ascii="Times New Roman" w:hAnsi="Times New Roman"/>
          <w:sz w:val="28"/>
          <w:szCs w:val="28"/>
        </w:rPr>
        <w:t>ої</w:t>
      </w:r>
      <w:r w:rsidR="00E855F8" w:rsidRPr="00E855F8">
        <w:rPr>
          <w:rFonts w:ascii="Times New Roman" w:hAnsi="Times New Roman"/>
          <w:sz w:val="28"/>
          <w:szCs w:val="28"/>
        </w:rPr>
        <w:t xml:space="preserve"> рад</w:t>
      </w:r>
      <w:r w:rsidR="00E855F8">
        <w:rPr>
          <w:rFonts w:ascii="Times New Roman" w:hAnsi="Times New Roman"/>
          <w:sz w:val="28"/>
          <w:szCs w:val="28"/>
        </w:rPr>
        <w:t xml:space="preserve">и, Правління банку, </w:t>
      </w:r>
      <w:r w:rsidR="00E855F8" w:rsidRPr="00E855F8">
        <w:rPr>
          <w:rFonts w:ascii="Times New Roman" w:hAnsi="Times New Roman"/>
          <w:sz w:val="28"/>
          <w:szCs w:val="28"/>
        </w:rPr>
        <w:t>Комітет</w:t>
      </w:r>
      <w:r w:rsidR="00E855F8">
        <w:rPr>
          <w:rFonts w:ascii="Times New Roman" w:hAnsi="Times New Roman"/>
          <w:sz w:val="28"/>
          <w:szCs w:val="28"/>
        </w:rPr>
        <w:t>у</w:t>
      </w:r>
      <w:r w:rsidR="00E855F8" w:rsidRPr="00E855F8">
        <w:rPr>
          <w:rFonts w:ascii="Times New Roman" w:hAnsi="Times New Roman"/>
          <w:sz w:val="28"/>
          <w:szCs w:val="28"/>
        </w:rPr>
        <w:t xml:space="preserve"> управління АПТ</w:t>
      </w:r>
      <w:r w:rsidR="00B85A2C" w:rsidRPr="00B85A2C">
        <w:rPr>
          <w:rFonts w:ascii="Times New Roman" w:hAnsi="Times New Roman"/>
          <w:sz w:val="28"/>
          <w:szCs w:val="28"/>
        </w:rPr>
        <w:t>, менеджерів усіх рівнів до управління ліквідністю</w:t>
      </w:r>
      <w:r w:rsidR="00E855F8">
        <w:rPr>
          <w:rFonts w:ascii="Times New Roman" w:hAnsi="Times New Roman"/>
          <w:sz w:val="28"/>
          <w:szCs w:val="28"/>
        </w:rPr>
        <w:t>;</w:t>
      </w:r>
      <w:r w:rsidR="00B85A2C" w:rsidRPr="00B85A2C">
        <w:rPr>
          <w:rFonts w:ascii="Times New Roman" w:hAnsi="Times New Roman"/>
          <w:sz w:val="28"/>
          <w:szCs w:val="28"/>
        </w:rPr>
        <w:t xml:space="preserve"> чіткий розподіл повноважень між </w:t>
      </w:r>
      <w:r w:rsidR="00E855F8">
        <w:rPr>
          <w:rFonts w:ascii="Times New Roman" w:hAnsi="Times New Roman"/>
          <w:sz w:val="28"/>
          <w:szCs w:val="28"/>
        </w:rPr>
        <w:t>ними;</w:t>
      </w:r>
    </w:p>
    <w:p w:rsidR="00E43C2F" w:rsidRDefault="00E43C2F" w:rsidP="00E43C2F">
      <w:pPr>
        <w:spacing w:after="0" w:line="360" w:lineRule="auto"/>
        <w:ind w:firstLine="708"/>
        <w:jc w:val="both"/>
        <w:rPr>
          <w:rFonts w:ascii="Times New Roman" w:hAnsi="Times New Roman"/>
          <w:sz w:val="28"/>
          <w:szCs w:val="28"/>
        </w:rPr>
      </w:pPr>
      <w:r>
        <w:rPr>
          <w:rFonts w:ascii="Times New Roman" w:hAnsi="Times New Roman"/>
          <w:sz w:val="28"/>
          <w:szCs w:val="28"/>
        </w:rPr>
        <w:t>- впровадження та забезпечення</w:t>
      </w:r>
      <w:r w:rsidRPr="00E43C2F">
        <w:rPr>
          <w:rFonts w:ascii="Times New Roman" w:hAnsi="Times New Roman"/>
          <w:sz w:val="28"/>
          <w:szCs w:val="28"/>
        </w:rPr>
        <w:t xml:space="preserve"> належної інфраструктури управління</w:t>
      </w:r>
      <w:r>
        <w:rPr>
          <w:rFonts w:ascii="Times New Roman" w:hAnsi="Times New Roman"/>
          <w:sz w:val="28"/>
          <w:szCs w:val="28"/>
        </w:rPr>
        <w:t xml:space="preserve"> л</w:t>
      </w:r>
      <w:r w:rsidRPr="00E43C2F">
        <w:rPr>
          <w:rFonts w:ascii="Times New Roman" w:hAnsi="Times New Roman"/>
          <w:sz w:val="28"/>
          <w:szCs w:val="28"/>
        </w:rPr>
        <w:t>іквідністю</w:t>
      </w:r>
      <w:r>
        <w:rPr>
          <w:rFonts w:ascii="Times New Roman" w:hAnsi="Times New Roman"/>
          <w:sz w:val="28"/>
          <w:szCs w:val="28"/>
        </w:rPr>
        <w:t>, зокрема н</w:t>
      </w:r>
      <w:r w:rsidRPr="00E43C2F">
        <w:rPr>
          <w:rFonts w:ascii="Times New Roman" w:hAnsi="Times New Roman"/>
          <w:sz w:val="28"/>
          <w:szCs w:val="28"/>
        </w:rPr>
        <w:t>ормативне, інформаційне, методичне, аналітичне, технічне - ІТ, кадрове</w:t>
      </w:r>
      <w:r>
        <w:rPr>
          <w:rFonts w:ascii="Times New Roman" w:hAnsi="Times New Roman"/>
          <w:sz w:val="28"/>
          <w:szCs w:val="28"/>
        </w:rPr>
        <w:t>, організаційне, фінансове</w:t>
      </w:r>
      <w:r w:rsidRPr="00E43C2F">
        <w:rPr>
          <w:rFonts w:ascii="Times New Roman" w:hAnsi="Times New Roman"/>
          <w:sz w:val="28"/>
          <w:szCs w:val="28"/>
        </w:rPr>
        <w:t xml:space="preserve"> забезпечення</w:t>
      </w:r>
      <w:r>
        <w:rPr>
          <w:rFonts w:ascii="Times New Roman" w:hAnsi="Times New Roman"/>
          <w:sz w:val="28"/>
          <w:szCs w:val="28"/>
        </w:rPr>
        <w:t xml:space="preserve"> тощо;</w:t>
      </w:r>
    </w:p>
    <w:p w:rsidR="00E43C2F" w:rsidRDefault="00E43C2F" w:rsidP="00E43C2F">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00A94ED3">
        <w:rPr>
          <w:rFonts w:ascii="Times New Roman" w:hAnsi="Times New Roman"/>
          <w:sz w:val="28"/>
          <w:szCs w:val="28"/>
        </w:rPr>
        <w:t>якісний підбір та систематична підготовка</w:t>
      </w:r>
      <w:r w:rsidR="00A94ED3" w:rsidRPr="00A94ED3">
        <w:rPr>
          <w:rFonts w:ascii="Times New Roman" w:hAnsi="Times New Roman"/>
          <w:sz w:val="28"/>
          <w:szCs w:val="28"/>
        </w:rPr>
        <w:t xml:space="preserve"> </w:t>
      </w:r>
      <w:r w:rsidR="009F05B2">
        <w:rPr>
          <w:rFonts w:ascii="Times New Roman" w:hAnsi="Times New Roman"/>
          <w:sz w:val="28"/>
          <w:szCs w:val="28"/>
        </w:rPr>
        <w:t xml:space="preserve">(перепідготовка, підвищення кваліфікації тощо) </w:t>
      </w:r>
      <w:r w:rsidR="00A94ED3" w:rsidRPr="00A94ED3">
        <w:rPr>
          <w:rFonts w:ascii="Times New Roman" w:hAnsi="Times New Roman"/>
          <w:sz w:val="28"/>
          <w:szCs w:val="28"/>
        </w:rPr>
        <w:t>персоналу</w:t>
      </w:r>
      <w:r w:rsidR="00A94ED3">
        <w:rPr>
          <w:rFonts w:ascii="Times New Roman" w:hAnsi="Times New Roman"/>
          <w:sz w:val="28"/>
          <w:szCs w:val="28"/>
        </w:rPr>
        <w:t xml:space="preserve"> Банку</w:t>
      </w:r>
      <w:r w:rsidR="00642EB8">
        <w:rPr>
          <w:rFonts w:ascii="Times New Roman" w:hAnsi="Times New Roman"/>
          <w:sz w:val="28"/>
          <w:szCs w:val="28"/>
        </w:rPr>
        <w:t xml:space="preserve"> задля створення конкурентних</w:t>
      </w:r>
      <w:r w:rsidR="00A94ED3" w:rsidRPr="00A94ED3">
        <w:rPr>
          <w:rFonts w:ascii="Times New Roman" w:hAnsi="Times New Roman"/>
          <w:sz w:val="28"/>
          <w:szCs w:val="28"/>
        </w:rPr>
        <w:t xml:space="preserve"> умов</w:t>
      </w:r>
      <w:r w:rsidR="00642EB8">
        <w:rPr>
          <w:rFonts w:ascii="Times New Roman" w:hAnsi="Times New Roman"/>
          <w:sz w:val="28"/>
          <w:szCs w:val="28"/>
        </w:rPr>
        <w:t xml:space="preserve"> його</w:t>
      </w:r>
      <w:r w:rsidR="00A94ED3" w:rsidRPr="00A94ED3">
        <w:rPr>
          <w:rFonts w:ascii="Times New Roman" w:hAnsi="Times New Roman"/>
          <w:sz w:val="28"/>
          <w:szCs w:val="28"/>
        </w:rPr>
        <w:t xml:space="preserve"> функціонування</w:t>
      </w:r>
      <w:r w:rsidR="00642EB8">
        <w:rPr>
          <w:rFonts w:ascii="Times New Roman" w:hAnsi="Times New Roman"/>
          <w:sz w:val="28"/>
          <w:szCs w:val="28"/>
        </w:rPr>
        <w:t>.</w:t>
      </w:r>
    </w:p>
    <w:p w:rsidR="00156C25" w:rsidRDefault="00156C25" w:rsidP="00E43C2F">
      <w:pPr>
        <w:spacing w:after="0" w:line="360" w:lineRule="auto"/>
        <w:ind w:firstLine="708"/>
        <w:jc w:val="both"/>
        <w:rPr>
          <w:rFonts w:ascii="Times New Roman" w:hAnsi="Times New Roman"/>
          <w:sz w:val="28"/>
          <w:szCs w:val="28"/>
        </w:rPr>
      </w:pPr>
      <w:r>
        <w:rPr>
          <w:rFonts w:ascii="Times New Roman" w:hAnsi="Times New Roman"/>
          <w:sz w:val="28"/>
          <w:szCs w:val="28"/>
        </w:rPr>
        <w:t>Таким чином, впровадження м</w:t>
      </w:r>
      <w:r w:rsidRPr="00156C25">
        <w:rPr>
          <w:rFonts w:ascii="Times New Roman" w:hAnsi="Times New Roman"/>
          <w:sz w:val="28"/>
          <w:szCs w:val="28"/>
        </w:rPr>
        <w:t>одел</w:t>
      </w:r>
      <w:r>
        <w:rPr>
          <w:rFonts w:ascii="Times New Roman" w:hAnsi="Times New Roman"/>
          <w:sz w:val="28"/>
          <w:szCs w:val="28"/>
        </w:rPr>
        <w:t>і</w:t>
      </w:r>
      <w:r w:rsidRPr="00156C25">
        <w:rPr>
          <w:rFonts w:ascii="Times New Roman" w:hAnsi="Times New Roman"/>
          <w:sz w:val="28"/>
          <w:szCs w:val="28"/>
        </w:rPr>
        <w:t xml:space="preserve"> управління ліквідністю </w:t>
      </w:r>
      <w:r>
        <w:rPr>
          <w:rFonts w:ascii="Times New Roman" w:hAnsi="Times New Roman"/>
          <w:sz w:val="28"/>
          <w:szCs w:val="28"/>
        </w:rPr>
        <w:t xml:space="preserve">комерційного банку </w:t>
      </w:r>
      <w:r w:rsidRPr="00156C25">
        <w:rPr>
          <w:rFonts w:ascii="Times New Roman" w:hAnsi="Times New Roman"/>
          <w:sz w:val="28"/>
          <w:szCs w:val="28"/>
        </w:rPr>
        <w:t>на основі ситуаційного підходу в умовах системної фінансової кризи</w:t>
      </w:r>
      <w:r>
        <w:rPr>
          <w:rFonts w:ascii="Times New Roman" w:hAnsi="Times New Roman"/>
          <w:sz w:val="28"/>
          <w:szCs w:val="28"/>
        </w:rPr>
        <w:t xml:space="preserve"> дозволить більш якісно та гнучко реагувати на зміни у зовнішньому </w:t>
      </w:r>
      <w:r w:rsidR="007D4B23">
        <w:rPr>
          <w:rFonts w:ascii="Times New Roman" w:hAnsi="Times New Roman"/>
          <w:sz w:val="28"/>
          <w:szCs w:val="28"/>
        </w:rPr>
        <w:t xml:space="preserve">економічному </w:t>
      </w:r>
      <w:r>
        <w:rPr>
          <w:rFonts w:ascii="Times New Roman" w:hAnsi="Times New Roman"/>
          <w:sz w:val="28"/>
          <w:szCs w:val="28"/>
        </w:rPr>
        <w:t>середовищі, а також приймати адекватні управлінські рішення.</w:t>
      </w:r>
    </w:p>
    <w:p w:rsidR="00B962E2" w:rsidRDefault="00B962E2" w:rsidP="00E43C2F">
      <w:pPr>
        <w:spacing w:after="0" w:line="360" w:lineRule="auto"/>
        <w:ind w:firstLine="708"/>
        <w:jc w:val="both"/>
        <w:rPr>
          <w:rFonts w:ascii="Times New Roman" w:hAnsi="Times New Roman"/>
          <w:sz w:val="28"/>
          <w:szCs w:val="28"/>
        </w:rPr>
      </w:pPr>
    </w:p>
    <w:p w:rsidR="00B962E2" w:rsidRPr="00B962E2" w:rsidRDefault="00B962E2" w:rsidP="00B962E2">
      <w:pPr>
        <w:spacing w:after="0" w:line="360" w:lineRule="auto"/>
        <w:jc w:val="both"/>
        <w:rPr>
          <w:rFonts w:ascii="Times New Roman" w:eastAsiaTheme="minorHAnsi" w:hAnsi="Times New Roman"/>
          <w:b/>
          <w:sz w:val="28"/>
          <w:szCs w:val="28"/>
        </w:rPr>
      </w:pPr>
    </w:p>
    <w:p w:rsidR="00B962E2" w:rsidRPr="00A62541" w:rsidRDefault="00B962E2" w:rsidP="00B962E2">
      <w:pPr>
        <w:spacing w:after="0" w:line="360" w:lineRule="auto"/>
        <w:ind w:firstLine="709"/>
        <w:jc w:val="both"/>
        <w:rPr>
          <w:rFonts w:ascii="Times New Roman" w:eastAsiaTheme="minorHAnsi" w:hAnsi="Times New Roman"/>
          <w:sz w:val="28"/>
          <w:szCs w:val="28"/>
        </w:rPr>
      </w:pPr>
      <w:r w:rsidRPr="00A62541">
        <w:rPr>
          <w:rFonts w:ascii="Times New Roman" w:eastAsiaTheme="minorHAnsi" w:hAnsi="Times New Roman"/>
          <w:sz w:val="28"/>
          <w:szCs w:val="28"/>
        </w:rPr>
        <w:t>Висновки до розділу ІІІ</w:t>
      </w:r>
    </w:p>
    <w:p w:rsidR="00B962E2" w:rsidRPr="00B962E2" w:rsidRDefault="00B962E2" w:rsidP="00B962E2">
      <w:pPr>
        <w:spacing w:after="0" w:line="360" w:lineRule="auto"/>
        <w:ind w:firstLine="709"/>
        <w:jc w:val="both"/>
        <w:rPr>
          <w:rFonts w:asciiTheme="minorHAnsi" w:eastAsiaTheme="minorHAnsi" w:hAnsiTheme="minorHAnsi" w:cstheme="minorBidi"/>
        </w:rPr>
      </w:pPr>
    </w:p>
    <w:p w:rsidR="00B962E2" w:rsidRPr="00B962E2" w:rsidRDefault="00B962E2" w:rsidP="00B962E2">
      <w:pPr>
        <w:spacing w:after="0" w:line="360" w:lineRule="auto"/>
        <w:ind w:firstLine="709"/>
        <w:contextualSpacing/>
        <w:jc w:val="both"/>
        <w:rPr>
          <w:rFonts w:ascii="Times New Roman" w:eastAsiaTheme="minorHAnsi" w:hAnsi="Times New Roman"/>
          <w:sz w:val="28"/>
          <w:szCs w:val="28"/>
        </w:rPr>
      </w:pPr>
      <w:r w:rsidRPr="00B962E2">
        <w:rPr>
          <w:rFonts w:ascii="Times New Roman" w:eastAsiaTheme="minorHAnsi" w:hAnsi="Times New Roman"/>
          <w:sz w:val="28"/>
          <w:szCs w:val="28"/>
        </w:rPr>
        <w:t>За результатами досліджень, які поведені у третьому розділі, можна зробити наступні висновки:</w:t>
      </w:r>
    </w:p>
    <w:p w:rsidR="001B546A" w:rsidRPr="00B962E2" w:rsidRDefault="001B546A" w:rsidP="001B546A">
      <w:pPr>
        <w:numPr>
          <w:ilvl w:val="0"/>
          <w:numId w:val="8"/>
        </w:numPr>
        <w:spacing w:after="0" w:line="360" w:lineRule="auto"/>
        <w:ind w:left="0" w:firstLine="709"/>
        <w:contextualSpacing/>
        <w:jc w:val="both"/>
        <w:rPr>
          <w:rFonts w:asciiTheme="minorHAnsi" w:eastAsiaTheme="minorHAnsi" w:hAnsiTheme="minorHAnsi" w:cstheme="minorBidi"/>
        </w:rPr>
      </w:pPr>
      <w:r w:rsidRPr="00B962E2">
        <w:rPr>
          <w:rFonts w:ascii="Times New Roman" w:eastAsiaTheme="minorHAnsi" w:hAnsi="Times New Roman"/>
          <w:sz w:val="28"/>
          <w:szCs w:val="28"/>
        </w:rPr>
        <w:t xml:space="preserve">Констатовано, що однією із найбільших проблем управління ліквідністю комерційного банку є незбалансованість ресурсної бази наслідком якої є дефіцит або профіцит ліквідності. Недостатній рівень є ознакою серйозних фінансових проблем комерційного банку, а профіцит є результатом негативного управління та може свідчити про неспроможність банку ефективно розпоряджатися залученими ресурсами. </w:t>
      </w:r>
    </w:p>
    <w:p w:rsidR="00B14F19" w:rsidRPr="00B14F19" w:rsidRDefault="001B546A" w:rsidP="001B546A">
      <w:pPr>
        <w:numPr>
          <w:ilvl w:val="0"/>
          <w:numId w:val="8"/>
        </w:numPr>
        <w:spacing w:after="0" w:line="360" w:lineRule="auto"/>
        <w:ind w:left="0" w:firstLine="709"/>
        <w:contextualSpacing/>
        <w:jc w:val="both"/>
        <w:rPr>
          <w:rFonts w:ascii="Times New Roman" w:eastAsiaTheme="minorHAnsi" w:hAnsi="Times New Roman"/>
          <w:sz w:val="28"/>
          <w:szCs w:val="28"/>
        </w:rPr>
      </w:pPr>
      <w:r>
        <w:rPr>
          <w:rFonts w:ascii="Times New Roman" w:eastAsiaTheme="minorHAnsi" w:hAnsi="Times New Roman"/>
          <w:sz w:val="28"/>
          <w:szCs w:val="28"/>
        </w:rPr>
        <w:t xml:space="preserve">Визначено, що для попередження </w:t>
      </w:r>
      <w:r w:rsidRPr="00B962E2">
        <w:rPr>
          <w:rFonts w:ascii="Times New Roman" w:eastAsiaTheme="minorHAnsi" w:hAnsi="Times New Roman"/>
          <w:sz w:val="28"/>
          <w:szCs w:val="28"/>
        </w:rPr>
        <w:t>виникненню та підвищенню ризику ліквідності банку необхідно керуватися наступними принципами: пріоритетність ліквідності; постійний аналіз потреб банку в ліквідних засобах; планування та прогнозування дій банку щодо незбалансованої ліквідності та кризових ситуацій; взаємозв’язок ризику ліквідності з іншими сферами діяльності.</w:t>
      </w:r>
    </w:p>
    <w:p w:rsidR="00B962E2" w:rsidRDefault="00B962E2" w:rsidP="00BB1C98">
      <w:pPr>
        <w:numPr>
          <w:ilvl w:val="0"/>
          <w:numId w:val="8"/>
        </w:numPr>
        <w:spacing w:after="0" w:line="360" w:lineRule="auto"/>
        <w:ind w:left="0" w:firstLine="709"/>
        <w:contextualSpacing/>
        <w:jc w:val="both"/>
        <w:rPr>
          <w:rFonts w:ascii="Times New Roman" w:eastAsiaTheme="minorHAnsi" w:hAnsi="Times New Roman"/>
          <w:sz w:val="28"/>
          <w:szCs w:val="28"/>
        </w:rPr>
      </w:pPr>
      <w:r w:rsidRPr="00B962E2">
        <w:rPr>
          <w:rFonts w:ascii="Times New Roman" w:eastAsiaTheme="minorHAnsi" w:hAnsi="Times New Roman"/>
          <w:sz w:val="28"/>
          <w:szCs w:val="28"/>
        </w:rPr>
        <w:lastRenderedPageBreak/>
        <w:t>Проаналізовано зарубіжний досвід управління ліквідністю комерційного банку. Встановлено, що у більшості країн світу не існує однакових показників оцінки ліквідності банку. Усі показники та методи управління ліквідністю змінюються від банку до банку. Банківські установи деяких країн не обмежуються лише нормативними показниками ліквідності, для власних потреб вони розраховують інші показники ліквідності балансу банку. Зарубіжна практика управління ліквідністю комерційного банку не є єдиною та уніфікованою; має залежить від держави та безпосередньо банку, економічної системи країни та її стану.</w:t>
      </w:r>
    </w:p>
    <w:p w:rsidR="001B546A" w:rsidRPr="0060690F" w:rsidRDefault="001B546A" w:rsidP="00393623">
      <w:pPr>
        <w:pStyle w:val="a4"/>
        <w:numPr>
          <w:ilvl w:val="0"/>
          <w:numId w:val="8"/>
        </w:numPr>
        <w:spacing w:after="0" w:line="360" w:lineRule="auto"/>
        <w:ind w:left="0" w:firstLine="709"/>
        <w:jc w:val="both"/>
        <w:rPr>
          <w:rFonts w:ascii="Times New Roman" w:hAnsi="Times New Roman" w:cs="Times New Roman"/>
          <w:sz w:val="28"/>
          <w:szCs w:val="28"/>
        </w:rPr>
      </w:pPr>
      <w:r w:rsidRPr="0060690F">
        <w:rPr>
          <w:rFonts w:ascii="Times New Roman" w:hAnsi="Times New Roman" w:cs="Times New Roman"/>
          <w:sz w:val="28"/>
          <w:szCs w:val="28"/>
        </w:rPr>
        <w:t>Запропоновано напрями</w:t>
      </w:r>
      <w:r w:rsidR="00BB1C98">
        <w:rPr>
          <w:rFonts w:ascii="Times New Roman" w:hAnsi="Times New Roman" w:cs="Times New Roman"/>
          <w:sz w:val="28"/>
          <w:szCs w:val="28"/>
        </w:rPr>
        <w:t xml:space="preserve"> (шляхи)</w:t>
      </w:r>
      <w:r w:rsidRPr="0060690F">
        <w:rPr>
          <w:rFonts w:ascii="Times New Roman" w:hAnsi="Times New Roman" w:cs="Times New Roman"/>
          <w:sz w:val="28"/>
          <w:szCs w:val="28"/>
        </w:rPr>
        <w:t xml:space="preserve"> підвищення ліквідності комерційного банку</w:t>
      </w:r>
      <w:r w:rsidR="0060690F" w:rsidRPr="0060690F">
        <w:rPr>
          <w:rFonts w:ascii="Times New Roman" w:hAnsi="Times New Roman" w:cs="Times New Roman"/>
          <w:sz w:val="28"/>
          <w:szCs w:val="28"/>
        </w:rPr>
        <w:t>, зокрема:</w:t>
      </w:r>
      <w:r w:rsidRPr="0060690F">
        <w:rPr>
          <w:rFonts w:ascii="Times New Roman" w:hAnsi="Times New Roman" w:cs="Times New Roman"/>
          <w:sz w:val="28"/>
          <w:szCs w:val="28"/>
        </w:rPr>
        <w:t xml:space="preserve"> </w:t>
      </w:r>
      <w:r w:rsidR="0060690F" w:rsidRPr="0060690F">
        <w:rPr>
          <w:rFonts w:ascii="Times New Roman" w:hAnsi="Times New Roman" w:cs="Times New Roman"/>
          <w:sz w:val="28"/>
          <w:szCs w:val="28"/>
        </w:rPr>
        <w:t>вдосконалення організаційної структури; постійний моніторинг ліквідності балансу; забезпечення прибутковості основної діяльності; раціональне використання коштів шляхом видачі позичок та здійснення інвестиційної діяльності</w:t>
      </w:r>
      <w:r w:rsidR="0060690F">
        <w:rPr>
          <w:rFonts w:ascii="Times New Roman" w:hAnsi="Times New Roman" w:cs="Times New Roman"/>
          <w:sz w:val="28"/>
          <w:szCs w:val="28"/>
        </w:rPr>
        <w:t>;</w:t>
      </w:r>
      <w:r w:rsidR="0060690F" w:rsidRPr="0060690F">
        <w:rPr>
          <w:rFonts w:ascii="Times New Roman" w:hAnsi="Times New Roman" w:cs="Times New Roman"/>
          <w:sz w:val="28"/>
          <w:szCs w:val="28"/>
        </w:rPr>
        <w:t xml:space="preserve"> визначення потреб у ліквідних коштах на короткострокову перспективу; вихід на нові ринки, розширення спектру та діапазону банківських операцій; проведення діагностики банку задля виявлення слабких місць;</w:t>
      </w:r>
      <w:r w:rsidR="0060690F">
        <w:rPr>
          <w:rFonts w:ascii="Times New Roman" w:hAnsi="Times New Roman" w:cs="Times New Roman"/>
          <w:sz w:val="28"/>
          <w:szCs w:val="28"/>
        </w:rPr>
        <w:t xml:space="preserve"> г</w:t>
      </w:r>
      <w:r w:rsidR="0060690F" w:rsidRPr="0060690F">
        <w:rPr>
          <w:rFonts w:ascii="Times New Roman" w:hAnsi="Times New Roman" w:cs="Times New Roman"/>
          <w:sz w:val="28"/>
          <w:szCs w:val="28"/>
        </w:rPr>
        <w:t>рамотна політика управління активами та пасивами.</w:t>
      </w:r>
      <w:r w:rsidRPr="0060690F">
        <w:rPr>
          <w:rFonts w:ascii="Times New Roman" w:hAnsi="Times New Roman" w:cs="Times New Roman"/>
          <w:sz w:val="28"/>
          <w:szCs w:val="28"/>
        </w:rPr>
        <w:t xml:space="preserve"> </w:t>
      </w:r>
    </w:p>
    <w:p w:rsidR="00393623" w:rsidRPr="00393623" w:rsidRDefault="00D01907" w:rsidP="00D354FA">
      <w:pPr>
        <w:pStyle w:val="a4"/>
        <w:numPr>
          <w:ilvl w:val="0"/>
          <w:numId w:val="8"/>
        </w:numPr>
        <w:spacing w:after="0" w:line="360" w:lineRule="auto"/>
        <w:ind w:left="0" w:firstLine="709"/>
        <w:jc w:val="both"/>
        <w:rPr>
          <w:rFonts w:ascii="Times New Roman" w:hAnsi="Times New Roman" w:cs="Times New Roman"/>
          <w:sz w:val="28"/>
          <w:szCs w:val="28"/>
        </w:rPr>
      </w:pPr>
      <w:r w:rsidRPr="00393623">
        <w:rPr>
          <w:rFonts w:ascii="Times New Roman" w:hAnsi="Times New Roman"/>
          <w:sz w:val="28"/>
          <w:szCs w:val="28"/>
        </w:rPr>
        <w:t>Сформовано модель комплексної оцінки ліквідності комерційного банку на базі типової оптимізаційної задачі</w:t>
      </w:r>
      <w:r w:rsidR="00AD17C6">
        <w:rPr>
          <w:rFonts w:ascii="Times New Roman" w:hAnsi="Times New Roman"/>
          <w:sz w:val="28"/>
          <w:szCs w:val="28"/>
        </w:rPr>
        <w:t>.</w:t>
      </w:r>
      <w:r w:rsidRPr="00393623">
        <w:rPr>
          <w:rFonts w:ascii="Times New Roman" w:hAnsi="Times New Roman"/>
          <w:sz w:val="28"/>
          <w:szCs w:val="28"/>
        </w:rPr>
        <w:t xml:space="preserve"> </w:t>
      </w:r>
      <w:r w:rsidR="00B27600" w:rsidRPr="00393623">
        <w:rPr>
          <w:rFonts w:ascii="Times New Roman" w:hAnsi="Times New Roman"/>
          <w:sz w:val="28"/>
          <w:szCs w:val="28"/>
        </w:rPr>
        <w:t>Застосування</w:t>
      </w:r>
      <w:r w:rsidR="007C61A5" w:rsidRPr="00393623">
        <w:rPr>
          <w:rFonts w:ascii="Times New Roman" w:hAnsi="Times New Roman"/>
          <w:sz w:val="28"/>
          <w:szCs w:val="28"/>
        </w:rPr>
        <w:t xml:space="preserve"> </w:t>
      </w:r>
      <w:r w:rsidR="00B27600" w:rsidRPr="00393623">
        <w:rPr>
          <w:rFonts w:ascii="Times New Roman" w:hAnsi="Times New Roman"/>
          <w:sz w:val="28"/>
          <w:szCs w:val="28"/>
        </w:rPr>
        <w:t xml:space="preserve">сформованої </w:t>
      </w:r>
      <w:r w:rsidR="007C61A5" w:rsidRPr="00393623">
        <w:rPr>
          <w:rFonts w:ascii="Times New Roman" w:hAnsi="Times New Roman"/>
          <w:sz w:val="28"/>
          <w:szCs w:val="28"/>
        </w:rPr>
        <w:t xml:space="preserve">моделі комплексної оцінки має за мету визначення впливу окремих складових активів та зобов’язань на ліквідність банку, що дозволить виявити характер цього впливу, його напрям, причинно-наслідкові залежності, спрогнозувати рівень ліквідності на майбутнє. </w:t>
      </w:r>
      <w:r w:rsidR="008070AE" w:rsidRPr="00393623">
        <w:rPr>
          <w:rFonts w:ascii="Times New Roman" w:hAnsi="Times New Roman"/>
          <w:sz w:val="28"/>
          <w:szCs w:val="28"/>
        </w:rPr>
        <w:t xml:space="preserve">Апробація сформованої моделі комплексної оцінки ліквідності </w:t>
      </w:r>
      <w:r w:rsidRPr="00393623">
        <w:rPr>
          <w:rFonts w:ascii="Times New Roman" w:hAnsi="Times New Roman"/>
          <w:sz w:val="28"/>
          <w:szCs w:val="28"/>
        </w:rPr>
        <w:t xml:space="preserve">здійснена на прикладі </w:t>
      </w:r>
      <w:r w:rsidR="008070AE" w:rsidRPr="00393623">
        <w:rPr>
          <w:rFonts w:ascii="Times New Roman" w:hAnsi="Times New Roman"/>
          <w:sz w:val="28"/>
          <w:szCs w:val="28"/>
        </w:rPr>
        <w:t xml:space="preserve">АТ «Ідея Банк». </w:t>
      </w:r>
      <w:r w:rsidR="00B27600" w:rsidRPr="00393623">
        <w:rPr>
          <w:rFonts w:ascii="Times New Roman" w:hAnsi="Times New Roman"/>
          <w:sz w:val="28"/>
          <w:szCs w:val="28"/>
        </w:rPr>
        <w:t>За результатами апробації були виявлені деякі залежності, які можуть бути покладені в основу прогнозування, що допоможе встановити межі коливання ліквідності з урахуванням впливу зовнішніх та/або внутрішніх факторів.</w:t>
      </w:r>
      <w:r w:rsidR="00393623" w:rsidRPr="00393623">
        <w:t xml:space="preserve"> </w:t>
      </w:r>
      <w:r w:rsidR="00393623">
        <w:rPr>
          <w:rFonts w:ascii="Times New Roman" w:hAnsi="Times New Roman" w:cs="Times New Roman"/>
          <w:sz w:val="28"/>
          <w:szCs w:val="28"/>
        </w:rPr>
        <w:t>Сформована модель враховує</w:t>
      </w:r>
      <w:r w:rsidR="00393623" w:rsidRPr="00393623">
        <w:rPr>
          <w:rFonts w:ascii="Times New Roman" w:hAnsi="Times New Roman" w:cs="Times New Roman"/>
          <w:sz w:val="28"/>
          <w:szCs w:val="28"/>
        </w:rPr>
        <w:t xml:space="preserve"> специфіку банку, сприятиме ефективному управлінню ліквідністю, забезпечить </w:t>
      </w:r>
      <w:r w:rsidR="00393623">
        <w:rPr>
          <w:rFonts w:ascii="Times New Roman" w:hAnsi="Times New Roman" w:cs="Times New Roman"/>
          <w:sz w:val="28"/>
          <w:szCs w:val="28"/>
        </w:rPr>
        <w:t xml:space="preserve">його </w:t>
      </w:r>
      <w:r w:rsidR="00393623" w:rsidRPr="00393623">
        <w:rPr>
          <w:rFonts w:ascii="Times New Roman" w:hAnsi="Times New Roman" w:cs="Times New Roman"/>
          <w:sz w:val="28"/>
          <w:szCs w:val="28"/>
        </w:rPr>
        <w:t>фінансову стійкість.</w:t>
      </w:r>
    </w:p>
    <w:p w:rsidR="00102E32" w:rsidRDefault="009F05B2" w:rsidP="00D354FA">
      <w:pPr>
        <w:pStyle w:val="a4"/>
        <w:numPr>
          <w:ilvl w:val="0"/>
          <w:numId w:val="8"/>
        </w:numPr>
        <w:spacing w:after="0" w:line="360" w:lineRule="auto"/>
        <w:ind w:left="0" w:firstLine="709"/>
        <w:jc w:val="both"/>
        <w:rPr>
          <w:rFonts w:ascii="Times New Roman" w:hAnsi="Times New Roman"/>
          <w:sz w:val="28"/>
          <w:szCs w:val="28"/>
        </w:rPr>
      </w:pPr>
      <w:r>
        <w:rPr>
          <w:rFonts w:ascii="Times New Roman" w:hAnsi="Times New Roman" w:cs="Times New Roman"/>
          <w:sz w:val="28"/>
          <w:szCs w:val="28"/>
        </w:rPr>
        <w:t>Розроблено</w:t>
      </w:r>
      <w:r w:rsidRPr="009F05B2">
        <w:rPr>
          <w:rFonts w:ascii="Times New Roman" w:hAnsi="Times New Roman" w:cs="Times New Roman"/>
          <w:sz w:val="28"/>
          <w:szCs w:val="28"/>
        </w:rPr>
        <w:t xml:space="preserve"> модел</w:t>
      </w:r>
      <w:r>
        <w:rPr>
          <w:rFonts w:ascii="Times New Roman" w:hAnsi="Times New Roman" w:cs="Times New Roman"/>
          <w:sz w:val="28"/>
          <w:szCs w:val="28"/>
        </w:rPr>
        <w:t>ь</w:t>
      </w:r>
      <w:r w:rsidRPr="009F05B2">
        <w:rPr>
          <w:rFonts w:ascii="Times New Roman" w:hAnsi="Times New Roman" w:cs="Times New Roman"/>
          <w:sz w:val="28"/>
          <w:szCs w:val="28"/>
        </w:rPr>
        <w:t xml:space="preserve"> управління ліквідністю комерційного банку </w:t>
      </w:r>
      <w:r w:rsidR="00E17A8A" w:rsidRPr="00E17A8A">
        <w:rPr>
          <w:rFonts w:ascii="Times New Roman" w:hAnsi="Times New Roman" w:cs="Times New Roman"/>
          <w:sz w:val="28"/>
          <w:szCs w:val="28"/>
        </w:rPr>
        <w:t>на основі ситуаційного підходу в умовах системної фінансової кризи</w:t>
      </w:r>
      <w:r>
        <w:rPr>
          <w:rFonts w:ascii="Times New Roman" w:hAnsi="Times New Roman" w:cs="Times New Roman"/>
          <w:sz w:val="28"/>
          <w:szCs w:val="28"/>
        </w:rPr>
        <w:t xml:space="preserve">. </w:t>
      </w:r>
      <w:r w:rsidR="008374F3">
        <w:rPr>
          <w:rFonts w:ascii="Times New Roman" w:hAnsi="Times New Roman" w:cs="Times New Roman"/>
          <w:sz w:val="28"/>
          <w:szCs w:val="28"/>
        </w:rPr>
        <w:lastRenderedPageBreak/>
        <w:t>В</w:t>
      </w:r>
      <w:r w:rsidR="008374F3" w:rsidRPr="008374F3">
        <w:rPr>
          <w:rFonts w:ascii="Times New Roman" w:hAnsi="Times New Roman" w:cs="Times New Roman"/>
          <w:sz w:val="28"/>
          <w:szCs w:val="28"/>
        </w:rPr>
        <w:t>провадження моделі управління дозволить більш якісно та гнучко реагувати на зміни у зовнішньому середовищі, приймати адекватні управлінські рішення.</w:t>
      </w:r>
      <w:r w:rsidR="00E17A8A">
        <w:rPr>
          <w:rFonts w:ascii="Times New Roman" w:hAnsi="Times New Roman" w:cs="Times New Roman"/>
          <w:sz w:val="28"/>
          <w:szCs w:val="28"/>
        </w:rPr>
        <w:t xml:space="preserve"> </w:t>
      </w:r>
      <w:r w:rsidR="00E17A8A" w:rsidRPr="00E17A8A">
        <w:rPr>
          <w:rFonts w:ascii="Times New Roman" w:hAnsi="Times New Roman" w:cs="Times New Roman"/>
          <w:sz w:val="28"/>
          <w:szCs w:val="28"/>
        </w:rPr>
        <w:t>Головною відмінністю запропонованої моделі є можливість її пристосування до складної економічної ситуацій сьогодення; урахування інтенсивності впливу зовнішніх та/або внутрішніх факторів; накопичення та аналіз інформації щодо ліквідності, її прогнозування</w:t>
      </w:r>
      <w:r w:rsidR="00E17A8A">
        <w:rPr>
          <w:rFonts w:ascii="Times New Roman" w:hAnsi="Times New Roman" w:cs="Times New Roman"/>
          <w:sz w:val="28"/>
          <w:szCs w:val="28"/>
        </w:rPr>
        <w:t xml:space="preserve">. </w:t>
      </w:r>
      <w:r w:rsidR="00E17A8A" w:rsidRPr="00E17A8A">
        <w:rPr>
          <w:rFonts w:ascii="Times New Roman" w:hAnsi="Times New Roman"/>
          <w:sz w:val="28"/>
          <w:szCs w:val="28"/>
        </w:rPr>
        <w:t>В основу даної моделі покладено наступні принципи:</w:t>
      </w:r>
      <w:r w:rsidR="00E17A8A" w:rsidRPr="00E17A8A">
        <w:t xml:space="preserve"> </w:t>
      </w:r>
      <w:r w:rsidR="00E17A8A" w:rsidRPr="00E17A8A">
        <w:rPr>
          <w:rFonts w:ascii="Times New Roman" w:hAnsi="Times New Roman"/>
          <w:sz w:val="28"/>
          <w:szCs w:val="28"/>
        </w:rPr>
        <w:t>відповідальність вищого керівництва Банку за ефективність функціонування моделі управління ліквідністю; колективне вирішення питань щодо доцільності прийняття ризику ліквідності банком; «культура» управління ліквідністю; чіткий розподіл повноважень між усіма структурними елементами банку; належна інфраструктур</w:t>
      </w:r>
      <w:r w:rsidR="00E17A8A">
        <w:rPr>
          <w:rFonts w:ascii="Times New Roman" w:hAnsi="Times New Roman"/>
          <w:sz w:val="28"/>
          <w:szCs w:val="28"/>
        </w:rPr>
        <w:t>а</w:t>
      </w:r>
      <w:r w:rsidR="00E17A8A" w:rsidRPr="00E17A8A">
        <w:rPr>
          <w:rFonts w:ascii="Times New Roman" w:hAnsi="Times New Roman"/>
          <w:sz w:val="28"/>
          <w:szCs w:val="28"/>
        </w:rPr>
        <w:t xml:space="preserve"> управління ліквідністю; якісний підбір та систематична підготовка персоналу банку. </w:t>
      </w:r>
    </w:p>
    <w:p w:rsidR="00102E32" w:rsidRDefault="00102E32">
      <w:pPr>
        <w:spacing w:line="259" w:lineRule="auto"/>
        <w:rPr>
          <w:rFonts w:ascii="Times New Roman" w:eastAsiaTheme="minorHAnsi" w:hAnsi="Times New Roman" w:cstheme="minorBidi"/>
          <w:sz w:val="28"/>
          <w:szCs w:val="28"/>
        </w:rPr>
      </w:pPr>
      <w:r>
        <w:rPr>
          <w:rFonts w:ascii="Times New Roman" w:hAnsi="Times New Roman"/>
          <w:sz w:val="28"/>
          <w:szCs w:val="28"/>
        </w:rPr>
        <w:br w:type="page"/>
      </w:r>
    </w:p>
    <w:p w:rsidR="00896E04" w:rsidRDefault="00896E04" w:rsidP="00896E04">
      <w:pPr>
        <w:spacing w:line="259" w:lineRule="auto"/>
        <w:jc w:val="center"/>
        <w:rPr>
          <w:rFonts w:ascii="Times New Roman" w:eastAsiaTheme="minorHAnsi" w:hAnsi="Times New Roman"/>
          <w:sz w:val="28"/>
          <w:szCs w:val="28"/>
        </w:rPr>
      </w:pPr>
      <w:r w:rsidRPr="00896E04">
        <w:rPr>
          <w:rFonts w:ascii="Times New Roman" w:eastAsiaTheme="minorHAnsi" w:hAnsi="Times New Roman"/>
          <w:sz w:val="28"/>
          <w:szCs w:val="28"/>
        </w:rPr>
        <w:lastRenderedPageBreak/>
        <w:t>ВИСНОВКИ</w:t>
      </w:r>
    </w:p>
    <w:p w:rsidR="00896E04" w:rsidRDefault="00896E04" w:rsidP="00896E04">
      <w:pPr>
        <w:spacing w:line="259" w:lineRule="auto"/>
        <w:jc w:val="center"/>
        <w:rPr>
          <w:rFonts w:ascii="Times New Roman" w:eastAsiaTheme="minorHAnsi" w:hAnsi="Times New Roman"/>
          <w:sz w:val="28"/>
          <w:szCs w:val="28"/>
        </w:rPr>
      </w:pPr>
    </w:p>
    <w:p w:rsidR="00896E04" w:rsidRPr="00896E04" w:rsidRDefault="00896E04" w:rsidP="00896E04">
      <w:pPr>
        <w:spacing w:line="259" w:lineRule="auto"/>
        <w:jc w:val="center"/>
        <w:rPr>
          <w:rFonts w:ascii="Times New Roman" w:eastAsiaTheme="minorHAnsi" w:hAnsi="Times New Roman"/>
          <w:sz w:val="28"/>
          <w:szCs w:val="28"/>
        </w:rPr>
      </w:pPr>
    </w:p>
    <w:p w:rsidR="00896E04" w:rsidRPr="00896E04" w:rsidRDefault="00896E04" w:rsidP="00A01B68">
      <w:pPr>
        <w:spacing w:after="0" w:line="360" w:lineRule="auto"/>
        <w:ind w:firstLine="709"/>
        <w:jc w:val="both"/>
        <w:rPr>
          <w:rFonts w:ascii="Times New Roman" w:eastAsiaTheme="minorHAnsi" w:hAnsi="Times New Roman"/>
          <w:sz w:val="28"/>
          <w:szCs w:val="28"/>
        </w:rPr>
      </w:pPr>
      <w:r w:rsidRPr="00896E04">
        <w:rPr>
          <w:rFonts w:ascii="Times New Roman" w:eastAsiaTheme="minorHAnsi" w:hAnsi="Times New Roman"/>
          <w:sz w:val="28"/>
          <w:szCs w:val="28"/>
        </w:rPr>
        <w:t xml:space="preserve">У роботі представлено теоретичне узагальнення та аналітичний інструментарій щодо оцінки і управління ліквідністю комерційного банку, а також шляхи їх удосконалення в умовах системної фінансової кризи та реформування системи банківського нагляду. </w:t>
      </w:r>
    </w:p>
    <w:p w:rsidR="00896E04" w:rsidRPr="00896E04" w:rsidRDefault="00896E04" w:rsidP="00A01B68">
      <w:pPr>
        <w:spacing w:after="0" w:line="360" w:lineRule="auto"/>
        <w:ind w:firstLine="709"/>
        <w:jc w:val="both"/>
        <w:rPr>
          <w:rFonts w:ascii="Times New Roman" w:eastAsiaTheme="minorHAnsi" w:hAnsi="Times New Roman"/>
          <w:sz w:val="28"/>
          <w:szCs w:val="28"/>
        </w:rPr>
      </w:pPr>
      <w:r w:rsidRPr="00896E04">
        <w:rPr>
          <w:rFonts w:ascii="Times New Roman" w:eastAsiaTheme="minorHAnsi" w:hAnsi="Times New Roman"/>
          <w:sz w:val="28"/>
          <w:szCs w:val="28"/>
        </w:rPr>
        <w:t>За результатами проведеного дослідження можна зробити наступні висновки:</w:t>
      </w:r>
    </w:p>
    <w:p w:rsidR="00896E04" w:rsidRPr="00896E04" w:rsidRDefault="00896E04" w:rsidP="00A01B68">
      <w:pPr>
        <w:numPr>
          <w:ilvl w:val="0"/>
          <w:numId w:val="9"/>
        </w:numPr>
        <w:spacing w:after="0" w:line="360" w:lineRule="auto"/>
        <w:ind w:left="0" w:firstLine="709"/>
        <w:contextualSpacing/>
        <w:jc w:val="both"/>
        <w:rPr>
          <w:rFonts w:ascii="Times New Roman" w:eastAsiaTheme="minorHAnsi" w:hAnsi="Times New Roman"/>
          <w:sz w:val="28"/>
          <w:szCs w:val="28"/>
        </w:rPr>
      </w:pPr>
      <w:r w:rsidRPr="00896E04">
        <w:rPr>
          <w:rFonts w:ascii="Times New Roman" w:eastAsiaTheme="minorHAnsi" w:hAnsi="Times New Roman"/>
          <w:sz w:val="28"/>
          <w:szCs w:val="28"/>
        </w:rPr>
        <w:t>Встановлено, що категорія «ліквідність комерційного банку» є багатозначною та серед науковців-економістів відсутній єдиний підхід щодо її визначення. Узагальнюючи існуючі підходи до трактування поняття «ліквідності комерційного банку» доходимо висновку, що це спроможність банку забезпечити повне і своєчасне виконання своїх фінансових зобов’язань перед усіма стейкхолдерами. Але враховуючи фактори негативного впливу на ліквідність та її структуру доцільно поняття «ліквідність комерційного банку» розуміти у широкому та вузькому сенсі, тобто ліквідність як потік, ліквідність як запас. Розуміння поняття «ліквідність комерційного банку» у вузькому та широкому сенсі дозволить розробити оптимальні підходи до управління ліквідністю та ефективно застосовувати їх на практиці.</w:t>
      </w:r>
    </w:p>
    <w:p w:rsidR="00896E04" w:rsidRPr="00896E04" w:rsidRDefault="00896E04" w:rsidP="00A01B68">
      <w:pPr>
        <w:numPr>
          <w:ilvl w:val="0"/>
          <w:numId w:val="9"/>
        </w:numPr>
        <w:spacing w:after="0" w:line="360" w:lineRule="auto"/>
        <w:ind w:left="0" w:firstLine="709"/>
        <w:contextualSpacing/>
        <w:jc w:val="both"/>
        <w:rPr>
          <w:rFonts w:ascii="Times New Roman" w:eastAsiaTheme="minorHAnsi" w:hAnsi="Times New Roman"/>
          <w:sz w:val="28"/>
          <w:szCs w:val="28"/>
        </w:rPr>
      </w:pPr>
      <w:r w:rsidRPr="00896E04">
        <w:rPr>
          <w:rFonts w:ascii="Times New Roman" w:eastAsiaTheme="minorHAnsi" w:hAnsi="Times New Roman"/>
          <w:sz w:val="28"/>
          <w:szCs w:val="28"/>
        </w:rPr>
        <w:t xml:space="preserve">Визначено, що аналіз ліквідності комерційного банку – це складний аналітичний процес, невід’ємна та вагома складова механізму управління; підґрунтя для прийняття ефективних управлінських рішень; інструмент, який у поєднанні з іншими, забезпечить фінансову стійкість та надійність банку. Під час аналізу ліквідності банку застосовують нормативи ліквідності як загальноприйняті, так і розроблені банком. Станом на 31.12.2021 регулятором встановлено наступні нормативи ліквідності: норматив короткострокової ліквідності; коефіцієнт покриття ліквідністю, коефіцієнт чистого стабільного фінансування. Зазначені нормативи сприяють наближенню національного регулювання ліквідності до стандартів ЄС; надають змогу виявити ефективні елементів управління, які будуть націлені на подолання нестачі ліквідності. </w:t>
      </w:r>
      <w:r w:rsidRPr="00896E04">
        <w:rPr>
          <w:rFonts w:ascii="Times New Roman" w:eastAsiaTheme="minorHAnsi" w:hAnsi="Times New Roman"/>
          <w:sz w:val="28"/>
          <w:szCs w:val="28"/>
        </w:rPr>
        <w:lastRenderedPageBreak/>
        <w:t>Задля підвищення ефективності аналізу ліквідності банку на практиці застосовують метод аналізу активів і пасивів</w:t>
      </w:r>
      <w:r w:rsidR="001455FD">
        <w:rPr>
          <w:rFonts w:ascii="Times New Roman" w:eastAsiaTheme="minorHAnsi" w:hAnsi="Times New Roman"/>
          <w:sz w:val="28"/>
          <w:szCs w:val="28"/>
        </w:rPr>
        <w:t>.</w:t>
      </w:r>
      <w:r w:rsidRPr="00896E04">
        <w:rPr>
          <w:rFonts w:ascii="Times New Roman" w:eastAsiaTheme="minorHAnsi" w:hAnsi="Times New Roman"/>
          <w:sz w:val="28"/>
          <w:szCs w:val="28"/>
        </w:rPr>
        <w:t xml:space="preserve"> Проте з метою отримання вичерпної інформації застосовують методи </w:t>
      </w:r>
      <w:proofErr w:type="spellStart"/>
      <w:r w:rsidRPr="00896E04">
        <w:rPr>
          <w:rFonts w:ascii="Times New Roman" w:eastAsiaTheme="minorHAnsi" w:hAnsi="Times New Roman"/>
          <w:sz w:val="28"/>
          <w:szCs w:val="28"/>
        </w:rPr>
        <w:t>gap</w:t>
      </w:r>
      <w:proofErr w:type="spellEnd"/>
      <w:r w:rsidRPr="00896E04">
        <w:rPr>
          <w:rFonts w:ascii="Times New Roman" w:eastAsiaTheme="minorHAnsi" w:hAnsi="Times New Roman"/>
          <w:sz w:val="28"/>
          <w:szCs w:val="28"/>
        </w:rPr>
        <w:t>-аналізу, загального фонду коштів, розподілу активів.</w:t>
      </w:r>
    </w:p>
    <w:p w:rsidR="00896E04" w:rsidRPr="00896E04" w:rsidRDefault="00896E04" w:rsidP="00A01B68">
      <w:pPr>
        <w:numPr>
          <w:ilvl w:val="0"/>
          <w:numId w:val="9"/>
        </w:numPr>
        <w:spacing w:after="0" w:line="360" w:lineRule="auto"/>
        <w:ind w:left="0" w:firstLine="709"/>
        <w:contextualSpacing/>
        <w:jc w:val="both"/>
        <w:rPr>
          <w:rFonts w:ascii="Times New Roman" w:eastAsiaTheme="minorHAnsi" w:hAnsi="Times New Roman"/>
          <w:sz w:val="28"/>
          <w:szCs w:val="28"/>
        </w:rPr>
      </w:pPr>
      <w:r w:rsidRPr="00896E04">
        <w:rPr>
          <w:rFonts w:ascii="Times New Roman" w:eastAsiaTheme="minorHAnsi" w:hAnsi="Times New Roman"/>
          <w:sz w:val="28"/>
          <w:szCs w:val="28"/>
        </w:rPr>
        <w:t xml:space="preserve">Розкрито принципи управління ліквідністю комерційного банку, які поділяються на загальні, специфічні, ефективного управління та разом складають концептуальні базиси </w:t>
      </w:r>
      <w:r w:rsidR="00ED0CF9">
        <w:rPr>
          <w:rFonts w:ascii="Times New Roman" w:eastAsiaTheme="minorHAnsi" w:hAnsi="Times New Roman"/>
          <w:sz w:val="28"/>
          <w:szCs w:val="28"/>
        </w:rPr>
        <w:t xml:space="preserve">її </w:t>
      </w:r>
      <w:r w:rsidRPr="00896E04">
        <w:rPr>
          <w:rFonts w:ascii="Times New Roman" w:eastAsiaTheme="minorHAnsi" w:hAnsi="Times New Roman"/>
          <w:sz w:val="28"/>
          <w:szCs w:val="28"/>
        </w:rPr>
        <w:t>управління. Так Україна розпочала процес запровадження принципів «Базелю ІІІ». Це якісно новий підхід до управління ліквідністю банків в основу якого покладено забезпечення підвищення контролю за його ефективністю, що є доцільним, а головне можливим, до використання в сучасній національній практиці; проте є доволі тривалим, але результативним процесом.</w:t>
      </w:r>
    </w:p>
    <w:p w:rsidR="00896E04" w:rsidRPr="00896E04" w:rsidRDefault="00896E04" w:rsidP="00A01B68">
      <w:pPr>
        <w:numPr>
          <w:ilvl w:val="0"/>
          <w:numId w:val="9"/>
        </w:numPr>
        <w:spacing w:after="0" w:line="360" w:lineRule="auto"/>
        <w:ind w:left="0" w:firstLine="709"/>
        <w:contextualSpacing/>
        <w:jc w:val="both"/>
        <w:rPr>
          <w:rFonts w:ascii="Times New Roman" w:eastAsiaTheme="minorHAnsi" w:hAnsi="Times New Roman"/>
          <w:sz w:val="28"/>
          <w:szCs w:val="28"/>
        </w:rPr>
      </w:pPr>
      <w:r w:rsidRPr="00896E04">
        <w:rPr>
          <w:rFonts w:ascii="Times New Roman" w:hAnsi="Times New Roman"/>
          <w:sz w:val="28"/>
          <w:szCs w:val="28"/>
        </w:rPr>
        <w:t>Проаналізовано організаційно-економічні передумови управління ліквідністю АТ «Ідея Банк». Базуючись на результаті аналізу основних показників діяльності АТ «Ідея Банк» за даними фінансової звітності за період з 2017 по 2021 роки констатовано, що Банк має достатній рівень капіталізації та високий рівень фінансової стійкості.</w:t>
      </w:r>
      <w:r w:rsidRPr="00896E04">
        <w:t xml:space="preserve"> </w:t>
      </w:r>
      <w:r w:rsidRPr="00896E04">
        <w:rPr>
          <w:rFonts w:ascii="Times New Roman" w:hAnsi="Times New Roman"/>
          <w:sz w:val="28"/>
          <w:szCs w:val="28"/>
        </w:rPr>
        <w:t>Незважаючи на системну фінансову кризу, яка впливає на його діяльність, Банк демонструє високу ефективність, фінансову стабільність та високі показники за всіма напрямками діяльності. АТ «Ідея Банк» постійно здійснює оцінку ризику ліквідності шляхом виявлення і моніторингу змін у фінансуванні, яке необхідне для підтримання ліквідності на рівні, який передбачений вимогами НБУ. За результатами аналізу показників ліквідності, констатуємо, що на протязі 2017-2021 років, АТ «Ідея Банк» виконував встановлені НБУ нормативи ліквідності зі значним їх перевищенням. Проте значне перевищення має дві сторони: перша - банк має високу ліквідність і це є ознакою фінансової стійкості, друга – не ефективне управління кредитними ресурсами, що може призвести до зниження прибутковості та платоспроможності в майбутньому. Але майже за всіма нормативами ліквідності простежується чітка тенденція до зменшення.</w:t>
      </w:r>
    </w:p>
    <w:p w:rsidR="004366A1" w:rsidRPr="004366A1" w:rsidRDefault="00896E04" w:rsidP="00A01B68">
      <w:pPr>
        <w:numPr>
          <w:ilvl w:val="0"/>
          <w:numId w:val="9"/>
        </w:numPr>
        <w:spacing w:after="0" w:line="360" w:lineRule="auto"/>
        <w:ind w:left="0" w:firstLine="709"/>
        <w:contextualSpacing/>
        <w:jc w:val="both"/>
        <w:rPr>
          <w:rFonts w:ascii="Times New Roman" w:eastAsiaTheme="minorHAnsi" w:hAnsi="Times New Roman"/>
          <w:sz w:val="28"/>
          <w:szCs w:val="28"/>
        </w:rPr>
      </w:pPr>
      <w:r w:rsidRPr="00896E04">
        <w:rPr>
          <w:rFonts w:ascii="Times New Roman" w:hAnsi="Times New Roman"/>
          <w:sz w:val="28"/>
          <w:szCs w:val="28"/>
        </w:rPr>
        <w:t xml:space="preserve">Досліджено аналітичний інструментарій управління ліквідністю комерційного банку на прикладі АТ «Ідея Банк». Ліквідність комерційного банку </w:t>
      </w:r>
      <w:r w:rsidRPr="00896E04">
        <w:rPr>
          <w:rFonts w:ascii="Times New Roman" w:hAnsi="Times New Roman"/>
          <w:sz w:val="28"/>
          <w:szCs w:val="28"/>
        </w:rPr>
        <w:lastRenderedPageBreak/>
        <w:t xml:space="preserve">залежить </w:t>
      </w:r>
      <w:r w:rsidR="004366A1" w:rsidRPr="004366A1">
        <w:rPr>
          <w:rFonts w:ascii="Times New Roman" w:hAnsi="Times New Roman"/>
          <w:sz w:val="28"/>
          <w:szCs w:val="28"/>
        </w:rPr>
        <w:t>як</w:t>
      </w:r>
      <w:r w:rsidRPr="00896E04">
        <w:rPr>
          <w:rFonts w:ascii="Times New Roman" w:hAnsi="Times New Roman"/>
          <w:sz w:val="28"/>
          <w:szCs w:val="28"/>
        </w:rPr>
        <w:t xml:space="preserve"> від заходів, які здійснює регулятор, </w:t>
      </w:r>
      <w:r w:rsidR="004366A1" w:rsidRPr="004366A1">
        <w:rPr>
          <w:rFonts w:ascii="Times New Roman" w:hAnsi="Times New Roman"/>
          <w:sz w:val="28"/>
          <w:szCs w:val="28"/>
        </w:rPr>
        <w:t>так і</w:t>
      </w:r>
      <w:r w:rsidRPr="00896E04">
        <w:rPr>
          <w:rFonts w:ascii="Times New Roman" w:hAnsi="Times New Roman"/>
          <w:sz w:val="28"/>
          <w:szCs w:val="28"/>
        </w:rPr>
        <w:t xml:space="preserve"> від ефективного менеджменту самого банку.</w:t>
      </w:r>
      <w:r w:rsidRPr="00896E04">
        <w:t xml:space="preserve"> </w:t>
      </w:r>
      <w:r w:rsidRPr="00896E04">
        <w:rPr>
          <w:rFonts w:ascii="Times New Roman" w:hAnsi="Times New Roman"/>
          <w:sz w:val="28"/>
          <w:szCs w:val="28"/>
        </w:rPr>
        <w:t>З метою зниження рівня ризику ліквідності АТ «Ідея Банк» застосовує різноманітні методи (інструменти) управління, зокрема</w:t>
      </w:r>
      <w:r w:rsidR="004366A1" w:rsidRPr="004366A1">
        <w:rPr>
          <w:rFonts w:ascii="Times New Roman" w:hAnsi="Times New Roman"/>
          <w:sz w:val="28"/>
          <w:szCs w:val="28"/>
        </w:rPr>
        <w:t>:</w:t>
      </w:r>
      <w:r w:rsidRPr="00896E04">
        <w:rPr>
          <w:rFonts w:ascii="Times New Roman" w:hAnsi="Times New Roman"/>
          <w:sz w:val="28"/>
          <w:szCs w:val="28"/>
        </w:rPr>
        <w:t xml:space="preserve"> індикативний метод, метод аналізу грошових потоків (</w:t>
      </w:r>
      <w:proofErr w:type="spellStart"/>
      <w:r w:rsidRPr="00896E04">
        <w:rPr>
          <w:rFonts w:ascii="Times New Roman" w:hAnsi="Times New Roman"/>
          <w:sz w:val="28"/>
          <w:szCs w:val="28"/>
        </w:rPr>
        <w:t>cash-flow</w:t>
      </w:r>
      <w:proofErr w:type="spellEnd"/>
      <w:r w:rsidRPr="00896E04">
        <w:rPr>
          <w:rFonts w:ascii="Times New Roman" w:hAnsi="Times New Roman"/>
          <w:sz w:val="28"/>
          <w:szCs w:val="28"/>
        </w:rPr>
        <w:t xml:space="preserve"> аналіз), метод аналізу </w:t>
      </w:r>
      <w:proofErr w:type="spellStart"/>
      <w:r w:rsidRPr="00896E04">
        <w:rPr>
          <w:rFonts w:ascii="Times New Roman" w:hAnsi="Times New Roman"/>
          <w:sz w:val="28"/>
          <w:szCs w:val="28"/>
        </w:rPr>
        <w:t>gap</w:t>
      </w:r>
      <w:proofErr w:type="spellEnd"/>
      <w:r w:rsidRPr="00896E04">
        <w:rPr>
          <w:rFonts w:ascii="Times New Roman" w:hAnsi="Times New Roman"/>
          <w:sz w:val="28"/>
          <w:szCs w:val="28"/>
        </w:rPr>
        <w:t>-розривів, метод прогнозування ліквідної позиції, метод аналізу депозитної бази та інші; тобто здійснює планування та прогнозування ліквідності. За результатами аналізу активів та пасивів АТ «Ідея Банк» можна стверджувати, що Банк проводить досить ефективне управління ліквідністю, яке забезпечується завдяки дотриманню збалансованого рівня активів та зобов’язань за строками погашення. Проте існу</w:t>
      </w:r>
      <w:r w:rsidR="004366A1" w:rsidRPr="004366A1">
        <w:rPr>
          <w:rFonts w:ascii="Times New Roman" w:hAnsi="Times New Roman"/>
          <w:sz w:val="28"/>
          <w:szCs w:val="28"/>
        </w:rPr>
        <w:t xml:space="preserve">ють інші показники ліквідності </w:t>
      </w:r>
      <w:r w:rsidRPr="00896E04">
        <w:rPr>
          <w:rFonts w:ascii="Times New Roman" w:hAnsi="Times New Roman"/>
          <w:sz w:val="28"/>
          <w:szCs w:val="28"/>
        </w:rPr>
        <w:t xml:space="preserve">по яким Банк не досягає їх нормативного значення. </w:t>
      </w:r>
    </w:p>
    <w:p w:rsidR="00896E04" w:rsidRPr="00896E04" w:rsidRDefault="00896E04" w:rsidP="00A01B68">
      <w:pPr>
        <w:numPr>
          <w:ilvl w:val="0"/>
          <w:numId w:val="9"/>
        </w:numPr>
        <w:spacing w:after="0" w:line="360" w:lineRule="auto"/>
        <w:ind w:left="0" w:firstLine="709"/>
        <w:contextualSpacing/>
        <w:jc w:val="both"/>
        <w:rPr>
          <w:rFonts w:ascii="Times New Roman" w:eastAsiaTheme="minorHAnsi" w:hAnsi="Times New Roman"/>
          <w:sz w:val="28"/>
          <w:szCs w:val="28"/>
        </w:rPr>
      </w:pPr>
      <w:r w:rsidRPr="00896E04">
        <w:rPr>
          <w:rFonts w:ascii="Times New Roman" w:hAnsi="Times New Roman"/>
          <w:sz w:val="28"/>
          <w:szCs w:val="28"/>
        </w:rPr>
        <w:t>Проаналізовано зарубіжний досвід управління ліквідністю комерційного банку. Встановлено, що зарубіжна практика управління ліквідністю комерційного банку не є єдиною та уніфікованою; залежить від держави та безпосередньо банку, економічної системи країни та її стану.</w:t>
      </w:r>
    </w:p>
    <w:p w:rsidR="00896E04" w:rsidRPr="00896E04" w:rsidRDefault="00896E04" w:rsidP="00A01B68">
      <w:pPr>
        <w:numPr>
          <w:ilvl w:val="0"/>
          <w:numId w:val="9"/>
        </w:numPr>
        <w:spacing w:after="0" w:line="360" w:lineRule="auto"/>
        <w:ind w:left="0" w:firstLine="709"/>
        <w:contextualSpacing/>
        <w:jc w:val="both"/>
        <w:rPr>
          <w:rFonts w:ascii="Times New Roman" w:hAnsi="Times New Roman"/>
          <w:sz w:val="28"/>
          <w:szCs w:val="28"/>
        </w:rPr>
      </w:pPr>
      <w:r w:rsidRPr="00896E04">
        <w:rPr>
          <w:rFonts w:ascii="Times New Roman" w:hAnsi="Times New Roman"/>
          <w:sz w:val="28"/>
          <w:szCs w:val="28"/>
        </w:rPr>
        <w:t>Запропоновано низку рекомендацій щодо адаптації комерційного банку до нових нормативів ліквідності, зокрема: неухильне їх дотримання; систематична оцінка впливу нормативів ліквідності на прибутковість; розробка та впровадження нової стратегії управління ліквідністю; запровадження диференційованих ставок щодо вкладень; вдосконалення депозитної політик</w:t>
      </w:r>
      <w:r w:rsidR="001455FD">
        <w:rPr>
          <w:rFonts w:ascii="Times New Roman" w:hAnsi="Times New Roman"/>
          <w:sz w:val="28"/>
          <w:szCs w:val="28"/>
        </w:rPr>
        <w:t>и</w:t>
      </w:r>
      <w:r w:rsidRPr="00896E04">
        <w:rPr>
          <w:rFonts w:ascii="Times New Roman" w:hAnsi="Times New Roman"/>
          <w:sz w:val="28"/>
          <w:szCs w:val="28"/>
        </w:rPr>
        <w:t xml:space="preserve"> банку; визначення системи покажчиків моніторингу рівня ліквідності щодо їх відповідності новим вимогам; обрання інструментарію оцінки ліквідності; прогнозування грошових потоків.</w:t>
      </w:r>
    </w:p>
    <w:p w:rsidR="00557743" w:rsidRPr="0060690F" w:rsidRDefault="00340C59" w:rsidP="00A01B68">
      <w:pPr>
        <w:pStyle w:val="a4"/>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З’ясовано</w:t>
      </w:r>
      <w:r w:rsidR="00557743" w:rsidRPr="0060690F">
        <w:rPr>
          <w:rFonts w:ascii="Times New Roman" w:hAnsi="Times New Roman" w:cs="Times New Roman"/>
          <w:sz w:val="28"/>
          <w:szCs w:val="28"/>
        </w:rPr>
        <w:t xml:space="preserve"> напрями</w:t>
      </w:r>
      <w:r w:rsidR="00557743">
        <w:rPr>
          <w:rFonts w:ascii="Times New Roman" w:hAnsi="Times New Roman" w:cs="Times New Roman"/>
          <w:sz w:val="28"/>
          <w:szCs w:val="28"/>
        </w:rPr>
        <w:t xml:space="preserve"> </w:t>
      </w:r>
      <w:r w:rsidR="00557743" w:rsidRPr="0060690F">
        <w:rPr>
          <w:rFonts w:ascii="Times New Roman" w:hAnsi="Times New Roman" w:cs="Times New Roman"/>
          <w:sz w:val="28"/>
          <w:szCs w:val="28"/>
        </w:rPr>
        <w:t>підвищення ліквідності комерційного банку, зокрема: вдосконалення організаційної структури; постійний моніторинг ліквідності балансу; забезпечення прибутковості основної діяльності; раціональне використання коштів</w:t>
      </w:r>
      <w:r w:rsidR="00557743">
        <w:rPr>
          <w:rFonts w:ascii="Times New Roman" w:hAnsi="Times New Roman" w:cs="Times New Roman"/>
          <w:sz w:val="28"/>
          <w:szCs w:val="28"/>
        </w:rPr>
        <w:t>;</w:t>
      </w:r>
      <w:r w:rsidR="00557743" w:rsidRPr="0060690F">
        <w:rPr>
          <w:rFonts w:ascii="Times New Roman" w:hAnsi="Times New Roman" w:cs="Times New Roman"/>
          <w:sz w:val="28"/>
          <w:szCs w:val="28"/>
        </w:rPr>
        <w:t xml:space="preserve"> визначення потреб у ліквідних коштах на короткострокову перспективу; вихід на нові ринки, розширення спектру та діапазону банківських операцій; проведення діагностики банку задля виявлення слабких місць;</w:t>
      </w:r>
      <w:r w:rsidR="00557743">
        <w:rPr>
          <w:rFonts w:ascii="Times New Roman" w:hAnsi="Times New Roman" w:cs="Times New Roman"/>
          <w:sz w:val="28"/>
          <w:szCs w:val="28"/>
        </w:rPr>
        <w:t xml:space="preserve"> г</w:t>
      </w:r>
      <w:r w:rsidR="00557743" w:rsidRPr="0060690F">
        <w:rPr>
          <w:rFonts w:ascii="Times New Roman" w:hAnsi="Times New Roman" w:cs="Times New Roman"/>
          <w:sz w:val="28"/>
          <w:szCs w:val="28"/>
        </w:rPr>
        <w:t xml:space="preserve">рамотна політика управління активами та пасивами. </w:t>
      </w:r>
    </w:p>
    <w:p w:rsidR="00557743" w:rsidRPr="00393623" w:rsidRDefault="00557743" w:rsidP="00A01B68">
      <w:pPr>
        <w:pStyle w:val="a4"/>
        <w:numPr>
          <w:ilvl w:val="0"/>
          <w:numId w:val="9"/>
        </w:numPr>
        <w:spacing w:after="0" w:line="360" w:lineRule="auto"/>
        <w:ind w:left="0" w:firstLine="709"/>
        <w:jc w:val="both"/>
        <w:rPr>
          <w:rFonts w:ascii="Times New Roman" w:hAnsi="Times New Roman" w:cs="Times New Roman"/>
          <w:sz w:val="28"/>
          <w:szCs w:val="28"/>
        </w:rPr>
      </w:pPr>
      <w:r w:rsidRPr="00393623">
        <w:rPr>
          <w:rFonts w:ascii="Times New Roman" w:hAnsi="Times New Roman"/>
          <w:sz w:val="28"/>
          <w:szCs w:val="28"/>
        </w:rPr>
        <w:lastRenderedPageBreak/>
        <w:t>Сформовано модель комплексної оцінки ліквідності комерційного банку на базі типової оптимізаційної задачі</w:t>
      </w:r>
      <w:r>
        <w:rPr>
          <w:rFonts w:ascii="Times New Roman" w:hAnsi="Times New Roman"/>
          <w:sz w:val="28"/>
          <w:szCs w:val="28"/>
        </w:rPr>
        <w:t>.</w:t>
      </w:r>
      <w:r w:rsidRPr="00393623">
        <w:rPr>
          <w:rFonts w:ascii="Times New Roman" w:hAnsi="Times New Roman"/>
          <w:sz w:val="28"/>
          <w:szCs w:val="28"/>
        </w:rPr>
        <w:t xml:space="preserve"> Застосування сформованої моделі комплексної оцінки має за мету визначення впливу окремих складових активів та зобов’язань на ліквідність банку</w:t>
      </w:r>
      <w:r w:rsidR="007043B6">
        <w:rPr>
          <w:rFonts w:ascii="Times New Roman" w:hAnsi="Times New Roman"/>
          <w:sz w:val="28"/>
          <w:szCs w:val="28"/>
        </w:rPr>
        <w:t xml:space="preserve"> з подальшим встановленням</w:t>
      </w:r>
      <w:r w:rsidRPr="00393623">
        <w:rPr>
          <w:rFonts w:ascii="Times New Roman" w:hAnsi="Times New Roman"/>
          <w:sz w:val="28"/>
          <w:szCs w:val="28"/>
        </w:rPr>
        <w:t xml:space="preserve"> характер</w:t>
      </w:r>
      <w:r w:rsidR="007043B6">
        <w:rPr>
          <w:rFonts w:ascii="Times New Roman" w:hAnsi="Times New Roman"/>
          <w:sz w:val="28"/>
          <w:szCs w:val="28"/>
        </w:rPr>
        <w:t>у</w:t>
      </w:r>
      <w:r w:rsidRPr="00393623">
        <w:rPr>
          <w:rFonts w:ascii="Times New Roman" w:hAnsi="Times New Roman"/>
          <w:sz w:val="28"/>
          <w:szCs w:val="28"/>
        </w:rPr>
        <w:t xml:space="preserve"> цього впливу, його напрям</w:t>
      </w:r>
      <w:r w:rsidR="007043B6">
        <w:rPr>
          <w:rFonts w:ascii="Times New Roman" w:hAnsi="Times New Roman"/>
          <w:sz w:val="28"/>
          <w:szCs w:val="28"/>
        </w:rPr>
        <w:t>у</w:t>
      </w:r>
      <w:r w:rsidRPr="00393623">
        <w:rPr>
          <w:rFonts w:ascii="Times New Roman" w:hAnsi="Times New Roman"/>
          <w:sz w:val="28"/>
          <w:szCs w:val="28"/>
        </w:rPr>
        <w:t>, причинно-наслідков</w:t>
      </w:r>
      <w:r w:rsidR="007043B6">
        <w:rPr>
          <w:rFonts w:ascii="Times New Roman" w:hAnsi="Times New Roman"/>
          <w:sz w:val="28"/>
          <w:szCs w:val="28"/>
        </w:rPr>
        <w:t>ої</w:t>
      </w:r>
      <w:r w:rsidRPr="00393623">
        <w:rPr>
          <w:rFonts w:ascii="Times New Roman" w:hAnsi="Times New Roman"/>
          <w:sz w:val="28"/>
          <w:szCs w:val="28"/>
        </w:rPr>
        <w:t xml:space="preserve"> залежності</w:t>
      </w:r>
      <w:r w:rsidR="007043B6">
        <w:rPr>
          <w:rFonts w:ascii="Times New Roman" w:hAnsi="Times New Roman"/>
          <w:sz w:val="28"/>
          <w:szCs w:val="28"/>
        </w:rPr>
        <w:t>;</w:t>
      </w:r>
      <w:r w:rsidRPr="00393623">
        <w:rPr>
          <w:rFonts w:ascii="Times New Roman" w:hAnsi="Times New Roman"/>
          <w:sz w:val="28"/>
          <w:szCs w:val="28"/>
        </w:rPr>
        <w:t xml:space="preserve"> </w:t>
      </w:r>
      <w:r w:rsidR="00C84EC6">
        <w:rPr>
          <w:rFonts w:ascii="Times New Roman" w:hAnsi="Times New Roman"/>
          <w:sz w:val="28"/>
          <w:szCs w:val="28"/>
        </w:rPr>
        <w:t>прогнозуванням</w:t>
      </w:r>
      <w:r w:rsidR="001455FD">
        <w:rPr>
          <w:rFonts w:ascii="Times New Roman" w:hAnsi="Times New Roman"/>
          <w:sz w:val="28"/>
          <w:szCs w:val="28"/>
        </w:rPr>
        <w:t xml:space="preserve"> рів</w:t>
      </w:r>
      <w:r w:rsidRPr="00393623">
        <w:rPr>
          <w:rFonts w:ascii="Times New Roman" w:hAnsi="Times New Roman"/>
          <w:sz w:val="28"/>
          <w:szCs w:val="28"/>
        </w:rPr>
        <w:t>н</w:t>
      </w:r>
      <w:r w:rsidR="00C84EC6">
        <w:rPr>
          <w:rFonts w:ascii="Times New Roman" w:hAnsi="Times New Roman"/>
          <w:sz w:val="28"/>
          <w:szCs w:val="28"/>
        </w:rPr>
        <w:t>я</w:t>
      </w:r>
      <w:r w:rsidRPr="00393623">
        <w:rPr>
          <w:rFonts w:ascii="Times New Roman" w:hAnsi="Times New Roman"/>
          <w:sz w:val="28"/>
          <w:szCs w:val="28"/>
        </w:rPr>
        <w:t xml:space="preserve"> ліквідності. Апробація сформованої моделі здійснена на прикладі АТ «Ідея Банк». За результатами апробації були виявлені залежності, які можуть бути покладені в основу прогнозування, </w:t>
      </w:r>
      <w:r w:rsidR="007043B6">
        <w:rPr>
          <w:rFonts w:ascii="Times New Roman" w:hAnsi="Times New Roman"/>
          <w:sz w:val="28"/>
          <w:szCs w:val="28"/>
        </w:rPr>
        <w:t>яке</w:t>
      </w:r>
      <w:r w:rsidRPr="00393623">
        <w:rPr>
          <w:rFonts w:ascii="Times New Roman" w:hAnsi="Times New Roman"/>
          <w:sz w:val="28"/>
          <w:szCs w:val="28"/>
        </w:rPr>
        <w:t xml:space="preserve"> допоможе </w:t>
      </w:r>
      <w:r w:rsidR="007043B6">
        <w:rPr>
          <w:rFonts w:ascii="Times New Roman" w:hAnsi="Times New Roman"/>
          <w:sz w:val="28"/>
          <w:szCs w:val="28"/>
        </w:rPr>
        <w:t>визначити</w:t>
      </w:r>
      <w:r w:rsidRPr="00393623">
        <w:rPr>
          <w:rFonts w:ascii="Times New Roman" w:hAnsi="Times New Roman"/>
          <w:sz w:val="28"/>
          <w:szCs w:val="28"/>
        </w:rPr>
        <w:t xml:space="preserve"> межі коливання ліквідності з урахуванням впливу зовнішніх та/або внутрішніх факторів.</w:t>
      </w:r>
      <w:r w:rsidRPr="00393623">
        <w:t xml:space="preserve"> </w:t>
      </w:r>
      <w:r>
        <w:rPr>
          <w:rFonts w:ascii="Times New Roman" w:hAnsi="Times New Roman" w:cs="Times New Roman"/>
          <w:sz w:val="28"/>
          <w:szCs w:val="28"/>
        </w:rPr>
        <w:t>Сформована модель враховує</w:t>
      </w:r>
      <w:r w:rsidRPr="00393623">
        <w:rPr>
          <w:rFonts w:ascii="Times New Roman" w:hAnsi="Times New Roman" w:cs="Times New Roman"/>
          <w:sz w:val="28"/>
          <w:szCs w:val="28"/>
        </w:rPr>
        <w:t xml:space="preserve"> специфіку банку, </w:t>
      </w:r>
      <w:r w:rsidR="00340C59" w:rsidRPr="00393623">
        <w:rPr>
          <w:rFonts w:ascii="Times New Roman" w:hAnsi="Times New Roman" w:cs="Times New Roman"/>
          <w:sz w:val="28"/>
          <w:szCs w:val="28"/>
        </w:rPr>
        <w:t>спри</w:t>
      </w:r>
      <w:r w:rsidR="00340C59">
        <w:rPr>
          <w:rFonts w:ascii="Times New Roman" w:hAnsi="Times New Roman" w:cs="Times New Roman"/>
          <w:sz w:val="28"/>
          <w:szCs w:val="28"/>
        </w:rPr>
        <w:t xml:space="preserve">ятиме </w:t>
      </w:r>
      <w:r w:rsidRPr="00393623">
        <w:rPr>
          <w:rFonts w:ascii="Times New Roman" w:hAnsi="Times New Roman" w:cs="Times New Roman"/>
          <w:sz w:val="28"/>
          <w:szCs w:val="28"/>
        </w:rPr>
        <w:t xml:space="preserve">ефективному управлінню ліквідністю, забезпечить </w:t>
      </w:r>
      <w:r>
        <w:rPr>
          <w:rFonts w:ascii="Times New Roman" w:hAnsi="Times New Roman" w:cs="Times New Roman"/>
          <w:sz w:val="28"/>
          <w:szCs w:val="28"/>
        </w:rPr>
        <w:t xml:space="preserve">його </w:t>
      </w:r>
      <w:r w:rsidRPr="00393623">
        <w:rPr>
          <w:rFonts w:ascii="Times New Roman" w:hAnsi="Times New Roman" w:cs="Times New Roman"/>
          <w:sz w:val="28"/>
          <w:szCs w:val="28"/>
        </w:rPr>
        <w:t>фінансову стійкість.</w:t>
      </w:r>
    </w:p>
    <w:p w:rsidR="00557743" w:rsidRPr="00ED0CF9" w:rsidRDefault="00557743" w:rsidP="00A01B68">
      <w:pPr>
        <w:pStyle w:val="a4"/>
        <w:numPr>
          <w:ilvl w:val="0"/>
          <w:numId w:val="9"/>
        </w:numPr>
        <w:spacing w:after="0" w:line="360" w:lineRule="auto"/>
        <w:ind w:left="0" w:firstLine="709"/>
        <w:jc w:val="both"/>
        <w:rPr>
          <w:rFonts w:ascii="Times New Roman" w:hAnsi="Times New Roman"/>
          <w:sz w:val="28"/>
          <w:szCs w:val="28"/>
        </w:rPr>
      </w:pPr>
      <w:r>
        <w:rPr>
          <w:rFonts w:ascii="Times New Roman" w:hAnsi="Times New Roman" w:cs="Times New Roman"/>
          <w:sz w:val="28"/>
          <w:szCs w:val="28"/>
        </w:rPr>
        <w:t>Розроблено</w:t>
      </w:r>
      <w:r w:rsidRPr="009F05B2">
        <w:rPr>
          <w:rFonts w:ascii="Times New Roman" w:hAnsi="Times New Roman" w:cs="Times New Roman"/>
          <w:sz w:val="28"/>
          <w:szCs w:val="28"/>
        </w:rPr>
        <w:t xml:space="preserve"> модел</w:t>
      </w:r>
      <w:r>
        <w:rPr>
          <w:rFonts w:ascii="Times New Roman" w:hAnsi="Times New Roman" w:cs="Times New Roman"/>
          <w:sz w:val="28"/>
          <w:szCs w:val="28"/>
        </w:rPr>
        <w:t>ь</w:t>
      </w:r>
      <w:r w:rsidRPr="009F05B2">
        <w:rPr>
          <w:rFonts w:ascii="Times New Roman" w:hAnsi="Times New Roman" w:cs="Times New Roman"/>
          <w:sz w:val="28"/>
          <w:szCs w:val="28"/>
        </w:rPr>
        <w:t xml:space="preserve"> управління ліквідністю комерційного банку </w:t>
      </w:r>
      <w:r w:rsidRPr="00E17A8A">
        <w:rPr>
          <w:rFonts w:ascii="Times New Roman" w:hAnsi="Times New Roman" w:cs="Times New Roman"/>
          <w:sz w:val="28"/>
          <w:szCs w:val="28"/>
        </w:rPr>
        <w:t>на основі ситуаційного підходу в умовах системної фінансової кризи</w:t>
      </w:r>
      <w:r>
        <w:rPr>
          <w:rFonts w:ascii="Times New Roman" w:hAnsi="Times New Roman" w:cs="Times New Roman"/>
          <w:sz w:val="28"/>
          <w:szCs w:val="28"/>
        </w:rPr>
        <w:t xml:space="preserve">. </w:t>
      </w:r>
      <w:r w:rsidRPr="00E17A8A">
        <w:rPr>
          <w:rFonts w:ascii="Times New Roman" w:hAnsi="Times New Roman" w:cs="Times New Roman"/>
          <w:sz w:val="28"/>
          <w:szCs w:val="28"/>
        </w:rPr>
        <w:t>Головною відмінністю запропонованої моделі є можливість її пристосування до складної економічної ситуацій сьогодення; урахування інтенсивності впливу зовнішніх та/або внутрішніх факторів; накопичення</w:t>
      </w:r>
      <w:r w:rsidR="007043B6">
        <w:rPr>
          <w:rFonts w:ascii="Times New Roman" w:hAnsi="Times New Roman" w:cs="Times New Roman"/>
          <w:sz w:val="28"/>
          <w:szCs w:val="28"/>
        </w:rPr>
        <w:t>,</w:t>
      </w:r>
      <w:r w:rsidRPr="00E17A8A">
        <w:rPr>
          <w:rFonts w:ascii="Times New Roman" w:hAnsi="Times New Roman" w:cs="Times New Roman"/>
          <w:sz w:val="28"/>
          <w:szCs w:val="28"/>
        </w:rPr>
        <w:t xml:space="preserve"> аналіз інформації щодо ліквідності, її прогнозування</w:t>
      </w:r>
      <w:r>
        <w:rPr>
          <w:rFonts w:ascii="Times New Roman" w:hAnsi="Times New Roman" w:cs="Times New Roman"/>
          <w:sz w:val="28"/>
          <w:szCs w:val="28"/>
        </w:rPr>
        <w:t xml:space="preserve">. </w:t>
      </w:r>
      <w:r w:rsidR="007043B6">
        <w:rPr>
          <w:rFonts w:ascii="Times New Roman" w:hAnsi="Times New Roman"/>
          <w:sz w:val="28"/>
          <w:szCs w:val="28"/>
        </w:rPr>
        <w:t>Основними засадами моделі є</w:t>
      </w:r>
      <w:r w:rsidRPr="00E17A8A">
        <w:rPr>
          <w:rFonts w:ascii="Times New Roman" w:hAnsi="Times New Roman"/>
          <w:sz w:val="28"/>
          <w:szCs w:val="28"/>
        </w:rPr>
        <w:t>:</w:t>
      </w:r>
      <w:r w:rsidRPr="00E17A8A">
        <w:t xml:space="preserve"> </w:t>
      </w:r>
      <w:r w:rsidRPr="00E17A8A">
        <w:rPr>
          <w:rFonts w:ascii="Times New Roman" w:hAnsi="Times New Roman"/>
          <w:sz w:val="28"/>
          <w:szCs w:val="28"/>
        </w:rPr>
        <w:t xml:space="preserve">відповідальність вищого керівництва </w:t>
      </w:r>
      <w:r w:rsidR="007043B6">
        <w:rPr>
          <w:rFonts w:ascii="Times New Roman" w:hAnsi="Times New Roman"/>
          <w:sz w:val="28"/>
          <w:szCs w:val="28"/>
        </w:rPr>
        <w:t>б</w:t>
      </w:r>
      <w:r w:rsidRPr="00E17A8A">
        <w:rPr>
          <w:rFonts w:ascii="Times New Roman" w:hAnsi="Times New Roman"/>
          <w:sz w:val="28"/>
          <w:szCs w:val="28"/>
        </w:rPr>
        <w:t xml:space="preserve">анку за ефективність </w:t>
      </w:r>
      <w:r w:rsidR="007043B6">
        <w:rPr>
          <w:rFonts w:ascii="Times New Roman" w:hAnsi="Times New Roman"/>
          <w:sz w:val="28"/>
          <w:szCs w:val="28"/>
        </w:rPr>
        <w:t xml:space="preserve">її </w:t>
      </w:r>
      <w:r w:rsidRPr="00E17A8A">
        <w:rPr>
          <w:rFonts w:ascii="Times New Roman" w:hAnsi="Times New Roman"/>
          <w:sz w:val="28"/>
          <w:szCs w:val="28"/>
        </w:rPr>
        <w:t>функціонування; колективне вирішення питань щодо доцільності прийняття ризику ліквідності банком; «культура» управління ліквідністю; чіткий розподіл повноважень між усіма структурними елементами банку; належна інфраструктур</w:t>
      </w:r>
      <w:r>
        <w:rPr>
          <w:rFonts w:ascii="Times New Roman" w:hAnsi="Times New Roman"/>
          <w:sz w:val="28"/>
          <w:szCs w:val="28"/>
        </w:rPr>
        <w:t>а</w:t>
      </w:r>
      <w:r w:rsidRPr="00E17A8A">
        <w:rPr>
          <w:rFonts w:ascii="Times New Roman" w:hAnsi="Times New Roman"/>
          <w:sz w:val="28"/>
          <w:szCs w:val="28"/>
        </w:rPr>
        <w:t xml:space="preserve"> управління ліквідністю; якісний підбір та систематична підготовка персоналу банку. </w:t>
      </w:r>
      <w:r w:rsidR="00ED0CF9" w:rsidRPr="00ED0CF9">
        <w:rPr>
          <w:rFonts w:ascii="Times New Roman" w:hAnsi="Times New Roman"/>
          <w:sz w:val="28"/>
          <w:szCs w:val="28"/>
        </w:rPr>
        <w:t xml:space="preserve">Впровадження моделі управління дозволить більш якісно та гнучко реагувати на зміни у зовнішньому </w:t>
      </w:r>
      <w:r w:rsidR="00A45210">
        <w:rPr>
          <w:rFonts w:ascii="Times New Roman" w:hAnsi="Times New Roman"/>
          <w:sz w:val="28"/>
          <w:szCs w:val="28"/>
        </w:rPr>
        <w:t xml:space="preserve">економічному </w:t>
      </w:r>
      <w:r w:rsidR="00ED0CF9" w:rsidRPr="00ED0CF9">
        <w:rPr>
          <w:rFonts w:ascii="Times New Roman" w:hAnsi="Times New Roman"/>
          <w:sz w:val="28"/>
          <w:szCs w:val="28"/>
        </w:rPr>
        <w:t>середовищі, приймати адекватні управлінські рішення.</w:t>
      </w:r>
    </w:p>
    <w:p w:rsidR="00A01B68" w:rsidRDefault="00896E04" w:rsidP="00A01B68">
      <w:pPr>
        <w:spacing w:after="0" w:line="360" w:lineRule="auto"/>
        <w:ind w:firstLine="709"/>
        <w:jc w:val="both"/>
        <w:rPr>
          <w:rFonts w:ascii="Times New Roman" w:hAnsi="Times New Roman"/>
          <w:sz w:val="28"/>
          <w:szCs w:val="28"/>
        </w:rPr>
      </w:pPr>
      <w:r w:rsidRPr="00896E04">
        <w:rPr>
          <w:rFonts w:ascii="Times New Roman" w:hAnsi="Times New Roman"/>
          <w:sz w:val="28"/>
          <w:szCs w:val="28"/>
        </w:rPr>
        <w:t xml:space="preserve">Загалом ліквідність є однією з найважливіших якісних характеристик діяльності комерційного банку, яка свідчить про надійність та стійкість його функціонування. А отже </w:t>
      </w:r>
      <w:r w:rsidR="00A01B68">
        <w:rPr>
          <w:rFonts w:ascii="Times New Roman" w:hAnsi="Times New Roman"/>
          <w:sz w:val="28"/>
          <w:szCs w:val="28"/>
        </w:rPr>
        <w:t xml:space="preserve">категорія </w:t>
      </w:r>
      <w:r w:rsidRPr="00896E04">
        <w:rPr>
          <w:rFonts w:ascii="Times New Roman" w:hAnsi="Times New Roman"/>
          <w:sz w:val="28"/>
          <w:szCs w:val="28"/>
        </w:rPr>
        <w:t xml:space="preserve">«ліквідність комерційного банку» потребує постійного аналізу, удосконалення методів оцінки та управління з урахуванням </w:t>
      </w:r>
      <w:r w:rsidR="00340C59">
        <w:rPr>
          <w:rFonts w:ascii="Times New Roman" w:hAnsi="Times New Roman"/>
          <w:sz w:val="28"/>
          <w:szCs w:val="28"/>
        </w:rPr>
        <w:t>змін у зовнішньому економічному середовищі</w:t>
      </w:r>
      <w:r w:rsidRPr="00896E04">
        <w:rPr>
          <w:rFonts w:ascii="Times New Roman" w:hAnsi="Times New Roman"/>
          <w:sz w:val="28"/>
          <w:szCs w:val="28"/>
        </w:rPr>
        <w:t>.</w:t>
      </w:r>
    </w:p>
    <w:p w:rsidR="00A01B68" w:rsidRDefault="00A01B68">
      <w:pPr>
        <w:spacing w:line="259" w:lineRule="auto"/>
        <w:rPr>
          <w:rFonts w:ascii="Times New Roman" w:hAnsi="Times New Roman"/>
          <w:sz w:val="28"/>
          <w:szCs w:val="28"/>
        </w:rPr>
      </w:pPr>
      <w:bookmarkStart w:id="0" w:name="_GoBack"/>
      <w:bookmarkEnd w:id="0"/>
    </w:p>
    <w:sectPr w:rsidR="00A01B68" w:rsidSect="00C6058F">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7E3" w:rsidRDefault="008377E3" w:rsidP="009D2286">
      <w:pPr>
        <w:spacing w:after="0" w:line="240" w:lineRule="auto"/>
      </w:pPr>
      <w:r>
        <w:separator/>
      </w:r>
    </w:p>
  </w:endnote>
  <w:endnote w:type="continuationSeparator" w:id="0">
    <w:p w:rsidR="008377E3" w:rsidRDefault="008377E3" w:rsidP="009D2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7E3" w:rsidRDefault="008377E3" w:rsidP="009D2286">
      <w:pPr>
        <w:spacing w:after="0" w:line="240" w:lineRule="auto"/>
      </w:pPr>
      <w:r>
        <w:separator/>
      </w:r>
    </w:p>
  </w:footnote>
  <w:footnote w:type="continuationSeparator" w:id="0">
    <w:p w:rsidR="008377E3" w:rsidRDefault="008377E3" w:rsidP="009D22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64433"/>
      <w:docPartObj>
        <w:docPartGallery w:val="Page Numbers (Top of Page)"/>
        <w:docPartUnique/>
      </w:docPartObj>
    </w:sdtPr>
    <w:sdtEndPr/>
    <w:sdtContent>
      <w:p w:rsidR="00F821E3" w:rsidRDefault="00F821E3" w:rsidP="00BB2F65">
        <w:pPr>
          <w:pStyle w:val="a7"/>
          <w:jc w:val="right"/>
        </w:pPr>
        <w:r>
          <w:fldChar w:fldCharType="begin"/>
        </w:r>
        <w:r>
          <w:instrText>PAGE   \* MERGEFORMAT</w:instrText>
        </w:r>
        <w:r>
          <w:fldChar w:fldCharType="separate"/>
        </w:r>
        <w:r w:rsidR="004530B3" w:rsidRPr="004530B3">
          <w:rPr>
            <w:noProof/>
            <w:lang w:val="ru-RU"/>
          </w:rPr>
          <w:t>106</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24FB5"/>
    <w:multiLevelType w:val="hybridMultilevel"/>
    <w:tmpl w:val="4C84E6F4"/>
    <w:lvl w:ilvl="0" w:tplc="D07A9352">
      <w:start w:val="1"/>
      <w:numFmt w:val="decimal"/>
      <w:lvlText w:val="%1."/>
      <w:lvlJc w:val="left"/>
      <w:pPr>
        <w:ind w:left="1211"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D426185"/>
    <w:multiLevelType w:val="multilevel"/>
    <w:tmpl w:val="887EAA0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180E7895"/>
    <w:multiLevelType w:val="hybridMultilevel"/>
    <w:tmpl w:val="93500B58"/>
    <w:lvl w:ilvl="0" w:tplc="9AA2B50C">
      <w:start w:val="1"/>
      <w:numFmt w:val="decimal"/>
      <w:lvlText w:val="%1."/>
      <w:lvlJc w:val="left"/>
      <w:pPr>
        <w:ind w:left="1069" w:hanging="360"/>
      </w:pPr>
      <w:rPr>
        <w:rFonts w:ascii="Times New Roman" w:hAnsi="Times New Roman" w:cs="Times New Roman" w:hint="default"/>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1C884EB3"/>
    <w:multiLevelType w:val="multilevel"/>
    <w:tmpl w:val="DD94124A"/>
    <w:lvl w:ilvl="0">
      <w:start w:val="1"/>
      <w:numFmt w:val="decimal"/>
      <w:lvlText w:val="%1."/>
      <w:lvlJc w:val="left"/>
      <w:pPr>
        <w:ind w:left="432" w:hanging="432"/>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D2C547A"/>
    <w:multiLevelType w:val="hybridMultilevel"/>
    <w:tmpl w:val="6780FFDA"/>
    <w:lvl w:ilvl="0" w:tplc="8A04531A">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1D8A6BAA"/>
    <w:multiLevelType w:val="multilevel"/>
    <w:tmpl w:val="38F2E47C"/>
    <w:lvl w:ilvl="0">
      <w:start w:val="1"/>
      <w:numFmt w:val="decimal"/>
      <w:lvlText w:val="%1."/>
      <w:lvlJc w:val="left"/>
      <w:pPr>
        <w:ind w:left="780" w:hanging="780"/>
      </w:pPr>
    </w:lvl>
    <w:lvl w:ilvl="1">
      <w:start w:val="1"/>
      <w:numFmt w:val="decimal"/>
      <w:lvlText w:val="%1.%2."/>
      <w:lvlJc w:val="left"/>
      <w:pPr>
        <w:ind w:left="1489" w:hanging="780"/>
      </w:pPr>
    </w:lvl>
    <w:lvl w:ilvl="2">
      <w:start w:val="1"/>
      <w:numFmt w:val="decimal"/>
      <w:lvlText w:val="%1.%2.%3."/>
      <w:lvlJc w:val="left"/>
      <w:pPr>
        <w:ind w:left="2198" w:hanging="78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6" w15:restartNumberingAfterBreak="0">
    <w:nsid w:val="2550371B"/>
    <w:multiLevelType w:val="hybridMultilevel"/>
    <w:tmpl w:val="8A24124C"/>
    <w:lvl w:ilvl="0" w:tplc="4888FE10">
      <w:start w:val="1"/>
      <w:numFmt w:val="decimal"/>
      <w:lvlText w:val="%1."/>
      <w:lvlJc w:val="left"/>
      <w:pPr>
        <w:ind w:left="1069" w:hanging="360"/>
      </w:pPr>
      <w:rPr>
        <w:rFonts w:ascii="Times New Roman" w:eastAsiaTheme="minorHAnsi" w:hAnsi="Times New Roman" w:cs="Times New Roman"/>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2F6208D3"/>
    <w:multiLevelType w:val="multilevel"/>
    <w:tmpl w:val="4940AB0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3DE10FF"/>
    <w:multiLevelType w:val="hybridMultilevel"/>
    <w:tmpl w:val="A00A1584"/>
    <w:lvl w:ilvl="0" w:tplc="DF72B73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7CF64FB5"/>
    <w:multiLevelType w:val="hybridMultilevel"/>
    <w:tmpl w:val="0CF0D5AA"/>
    <w:lvl w:ilvl="0" w:tplc="5AA02AE6">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4"/>
  </w:num>
  <w:num w:numId="6">
    <w:abstractNumId w:val="3"/>
  </w:num>
  <w:num w:numId="7">
    <w:abstractNumId w:val="7"/>
  </w:num>
  <w:num w:numId="8">
    <w:abstractNumId w:val="2"/>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ru-RU" w:vendorID="64" w:dllVersion="131078" w:nlCheck="1" w:checkStyle="0"/>
  <w:activeWritingStyle w:appName="MSWord" w:lang="en-US" w:vendorID="64" w:dllVersion="131078" w:nlCheck="1" w:checkStyle="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F6"/>
    <w:rsid w:val="000001A7"/>
    <w:rsid w:val="00001F55"/>
    <w:rsid w:val="00004239"/>
    <w:rsid w:val="00007E69"/>
    <w:rsid w:val="00010FB4"/>
    <w:rsid w:val="00011FC3"/>
    <w:rsid w:val="000174C1"/>
    <w:rsid w:val="0001795D"/>
    <w:rsid w:val="00021B40"/>
    <w:rsid w:val="00025139"/>
    <w:rsid w:val="00033122"/>
    <w:rsid w:val="0003651A"/>
    <w:rsid w:val="00042D5E"/>
    <w:rsid w:val="00044323"/>
    <w:rsid w:val="00044BC8"/>
    <w:rsid w:val="00045EBA"/>
    <w:rsid w:val="00051CA7"/>
    <w:rsid w:val="00051CC9"/>
    <w:rsid w:val="000579FE"/>
    <w:rsid w:val="000624DF"/>
    <w:rsid w:val="00065673"/>
    <w:rsid w:val="00074F99"/>
    <w:rsid w:val="000756F3"/>
    <w:rsid w:val="000818D3"/>
    <w:rsid w:val="00081DE6"/>
    <w:rsid w:val="00086377"/>
    <w:rsid w:val="00086C06"/>
    <w:rsid w:val="00087290"/>
    <w:rsid w:val="000A7A5C"/>
    <w:rsid w:val="000B21B5"/>
    <w:rsid w:val="000B58F7"/>
    <w:rsid w:val="000B6370"/>
    <w:rsid w:val="000C019E"/>
    <w:rsid w:val="000D0B7F"/>
    <w:rsid w:val="000D0DE1"/>
    <w:rsid w:val="000D1D05"/>
    <w:rsid w:val="000D21FE"/>
    <w:rsid w:val="000D6326"/>
    <w:rsid w:val="000D7F29"/>
    <w:rsid w:val="000E221E"/>
    <w:rsid w:val="000E3FE3"/>
    <w:rsid w:val="000E40F8"/>
    <w:rsid w:val="000E48FB"/>
    <w:rsid w:val="000E5D68"/>
    <w:rsid w:val="000F1708"/>
    <w:rsid w:val="00102385"/>
    <w:rsid w:val="00102392"/>
    <w:rsid w:val="001024E6"/>
    <w:rsid w:val="00102E32"/>
    <w:rsid w:val="00105557"/>
    <w:rsid w:val="00107C68"/>
    <w:rsid w:val="00110646"/>
    <w:rsid w:val="00110EE2"/>
    <w:rsid w:val="00112862"/>
    <w:rsid w:val="00113063"/>
    <w:rsid w:val="00116D3A"/>
    <w:rsid w:val="001257AE"/>
    <w:rsid w:val="00126C28"/>
    <w:rsid w:val="001272A6"/>
    <w:rsid w:val="0013608F"/>
    <w:rsid w:val="001366BA"/>
    <w:rsid w:val="00137D3D"/>
    <w:rsid w:val="00140DF5"/>
    <w:rsid w:val="00141C5A"/>
    <w:rsid w:val="001455FD"/>
    <w:rsid w:val="00146061"/>
    <w:rsid w:val="0014637F"/>
    <w:rsid w:val="001473DB"/>
    <w:rsid w:val="0015222B"/>
    <w:rsid w:val="00153A5F"/>
    <w:rsid w:val="00154960"/>
    <w:rsid w:val="00154DC1"/>
    <w:rsid w:val="00156C25"/>
    <w:rsid w:val="001577A8"/>
    <w:rsid w:val="00157973"/>
    <w:rsid w:val="0016132F"/>
    <w:rsid w:val="00166993"/>
    <w:rsid w:val="00167A9C"/>
    <w:rsid w:val="00167F77"/>
    <w:rsid w:val="001760CB"/>
    <w:rsid w:val="001762F5"/>
    <w:rsid w:val="00176801"/>
    <w:rsid w:val="00181636"/>
    <w:rsid w:val="001843EB"/>
    <w:rsid w:val="00185DB6"/>
    <w:rsid w:val="00186D28"/>
    <w:rsid w:val="001871EE"/>
    <w:rsid w:val="00190E45"/>
    <w:rsid w:val="00197EEF"/>
    <w:rsid w:val="00197F9A"/>
    <w:rsid w:val="001A1986"/>
    <w:rsid w:val="001A2933"/>
    <w:rsid w:val="001A57C1"/>
    <w:rsid w:val="001A634A"/>
    <w:rsid w:val="001A6582"/>
    <w:rsid w:val="001A72F5"/>
    <w:rsid w:val="001B2B50"/>
    <w:rsid w:val="001B546A"/>
    <w:rsid w:val="001C3803"/>
    <w:rsid w:val="001C5451"/>
    <w:rsid w:val="001C6FA6"/>
    <w:rsid w:val="001C706D"/>
    <w:rsid w:val="001D06F2"/>
    <w:rsid w:val="001D1E4F"/>
    <w:rsid w:val="001D7F53"/>
    <w:rsid w:val="001E2C68"/>
    <w:rsid w:val="001E35B8"/>
    <w:rsid w:val="001E6175"/>
    <w:rsid w:val="001E63B4"/>
    <w:rsid w:val="001E6AC2"/>
    <w:rsid w:val="001F3A9D"/>
    <w:rsid w:val="0020022F"/>
    <w:rsid w:val="002028D8"/>
    <w:rsid w:val="00202C80"/>
    <w:rsid w:val="00204565"/>
    <w:rsid w:val="002055CB"/>
    <w:rsid w:val="0021083B"/>
    <w:rsid w:val="00217501"/>
    <w:rsid w:val="002232B1"/>
    <w:rsid w:val="002242D9"/>
    <w:rsid w:val="00226A2A"/>
    <w:rsid w:val="002357CA"/>
    <w:rsid w:val="00236C45"/>
    <w:rsid w:val="00241E22"/>
    <w:rsid w:val="00242C93"/>
    <w:rsid w:val="00251EB8"/>
    <w:rsid w:val="002525D1"/>
    <w:rsid w:val="00265D6C"/>
    <w:rsid w:val="002700E3"/>
    <w:rsid w:val="00270B1D"/>
    <w:rsid w:val="002724E7"/>
    <w:rsid w:val="0027626D"/>
    <w:rsid w:val="00277193"/>
    <w:rsid w:val="00283086"/>
    <w:rsid w:val="002830DC"/>
    <w:rsid w:val="0028360E"/>
    <w:rsid w:val="002850E8"/>
    <w:rsid w:val="00287CD8"/>
    <w:rsid w:val="00287D42"/>
    <w:rsid w:val="00292CF0"/>
    <w:rsid w:val="002A08FF"/>
    <w:rsid w:val="002A1791"/>
    <w:rsid w:val="002A676C"/>
    <w:rsid w:val="002B030D"/>
    <w:rsid w:val="002B553A"/>
    <w:rsid w:val="002B6EBE"/>
    <w:rsid w:val="002C1283"/>
    <w:rsid w:val="002D016A"/>
    <w:rsid w:val="002D382F"/>
    <w:rsid w:val="002E1BF1"/>
    <w:rsid w:val="002E3A44"/>
    <w:rsid w:val="002E6691"/>
    <w:rsid w:val="002E6ED9"/>
    <w:rsid w:val="002E7E3A"/>
    <w:rsid w:val="003109C8"/>
    <w:rsid w:val="003209AD"/>
    <w:rsid w:val="00320D2F"/>
    <w:rsid w:val="0032262B"/>
    <w:rsid w:val="003236FB"/>
    <w:rsid w:val="0033790F"/>
    <w:rsid w:val="00340C59"/>
    <w:rsid w:val="0034709D"/>
    <w:rsid w:val="00347571"/>
    <w:rsid w:val="003542AE"/>
    <w:rsid w:val="003648B1"/>
    <w:rsid w:val="003650EF"/>
    <w:rsid w:val="00365C09"/>
    <w:rsid w:val="003676D0"/>
    <w:rsid w:val="003701C4"/>
    <w:rsid w:val="00370603"/>
    <w:rsid w:val="00373B2A"/>
    <w:rsid w:val="00376A9F"/>
    <w:rsid w:val="00377B4E"/>
    <w:rsid w:val="00380AF2"/>
    <w:rsid w:val="00383D5C"/>
    <w:rsid w:val="00384B0D"/>
    <w:rsid w:val="00386019"/>
    <w:rsid w:val="00390554"/>
    <w:rsid w:val="00390D9F"/>
    <w:rsid w:val="00392457"/>
    <w:rsid w:val="00393623"/>
    <w:rsid w:val="003A2DCC"/>
    <w:rsid w:val="003A40EE"/>
    <w:rsid w:val="003B609B"/>
    <w:rsid w:val="003B68D7"/>
    <w:rsid w:val="003C107D"/>
    <w:rsid w:val="003C1413"/>
    <w:rsid w:val="003C1D21"/>
    <w:rsid w:val="003C5582"/>
    <w:rsid w:val="003D076F"/>
    <w:rsid w:val="003D18B3"/>
    <w:rsid w:val="003D5F1E"/>
    <w:rsid w:val="003E0F8E"/>
    <w:rsid w:val="003E0FC0"/>
    <w:rsid w:val="003E1C6E"/>
    <w:rsid w:val="003E7D9D"/>
    <w:rsid w:val="003F363C"/>
    <w:rsid w:val="00400709"/>
    <w:rsid w:val="004042EB"/>
    <w:rsid w:val="0040509C"/>
    <w:rsid w:val="00411819"/>
    <w:rsid w:val="00411B3F"/>
    <w:rsid w:val="00412379"/>
    <w:rsid w:val="0041374C"/>
    <w:rsid w:val="00413E8E"/>
    <w:rsid w:val="00427DDA"/>
    <w:rsid w:val="0043163E"/>
    <w:rsid w:val="00433285"/>
    <w:rsid w:val="004366A1"/>
    <w:rsid w:val="00443722"/>
    <w:rsid w:val="00446B87"/>
    <w:rsid w:val="004502B0"/>
    <w:rsid w:val="00450462"/>
    <w:rsid w:val="004530B3"/>
    <w:rsid w:val="004560C3"/>
    <w:rsid w:val="00461EAD"/>
    <w:rsid w:val="004629E4"/>
    <w:rsid w:val="0046594A"/>
    <w:rsid w:val="0047085E"/>
    <w:rsid w:val="004708DF"/>
    <w:rsid w:val="00472253"/>
    <w:rsid w:val="00474900"/>
    <w:rsid w:val="00474AE5"/>
    <w:rsid w:val="00475D52"/>
    <w:rsid w:val="00482CD0"/>
    <w:rsid w:val="0049103B"/>
    <w:rsid w:val="00493943"/>
    <w:rsid w:val="004A1335"/>
    <w:rsid w:val="004A24EC"/>
    <w:rsid w:val="004A48E9"/>
    <w:rsid w:val="004A522B"/>
    <w:rsid w:val="004B089B"/>
    <w:rsid w:val="004B228A"/>
    <w:rsid w:val="004C376B"/>
    <w:rsid w:val="004E277F"/>
    <w:rsid w:val="004E4DFF"/>
    <w:rsid w:val="004F1B21"/>
    <w:rsid w:val="004F1D27"/>
    <w:rsid w:val="004F360C"/>
    <w:rsid w:val="004F5C16"/>
    <w:rsid w:val="004F7A87"/>
    <w:rsid w:val="0050132A"/>
    <w:rsid w:val="005037EF"/>
    <w:rsid w:val="00503B94"/>
    <w:rsid w:val="005057BF"/>
    <w:rsid w:val="00510670"/>
    <w:rsid w:val="0052114E"/>
    <w:rsid w:val="00521933"/>
    <w:rsid w:val="005223F0"/>
    <w:rsid w:val="0053340F"/>
    <w:rsid w:val="00533B63"/>
    <w:rsid w:val="00534348"/>
    <w:rsid w:val="0053481A"/>
    <w:rsid w:val="00536D91"/>
    <w:rsid w:val="00537A24"/>
    <w:rsid w:val="0054044D"/>
    <w:rsid w:val="00541822"/>
    <w:rsid w:val="005429B4"/>
    <w:rsid w:val="00542C9B"/>
    <w:rsid w:val="0055331B"/>
    <w:rsid w:val="005539C2"/>
    <w:rsid w:val="00557743"/>
    <w:rsid w:val="0056145C"/>
    <w:rsid w:val="00561575"/>
    <w:rsid w:val="005641BA"/>
    <w:rsid w:val="005656CD"/>
    <w:rsid w:val="005700F6"/>
    <w:rsid w:val="00574C41"/>
    <w:rsid w:val="00581F20"/>
    <w:rsid w:val="0058293F"/>
    <w:rsid w:val="00587C79"/>
    <w:rsid w:val="0059098D"/>
    <w:rsid w:val="00591578"/>
    <w:rsid w:val="00592E7E"/>
    <w:rsid w:val="00594B33"/>
    <w:rsid w:val="005A026A"/>
    <w:rsid w:val="005A2A29"/>
    <w:rsid w:val="005A33FA"/>
    <w:rsid w:val="005A3F34"/>
    <w:rsid w:val="005B0440"/>
    <w:rsid w:val="005B4F8F"/>
    <w:rsid w:val="005B7419"/>
    <w:rsid w:val="005C25FD"/>
    <w:rsid w:val="005C288A"/>
    <w:rsid w:val="005C2D83"/>
    <w:rsid w:val="005C76B5"/>
    <w:rsid w:val="005C7B47"/>
    <w:rsid w:val="005D1BA3"/>
    <w:rsid w:val="005D4DAB"/>
    <w:rsid w:val="005D5686"/>
    <w:rsid w:val="005E0719"/>
    <w:rsid w:val="005E0BCD"/>
    <w:rsid w:val="005E2CA6"/>
    <w:rsid w:val="005E6A22"/>
    <w:rsid w:val="005E750A"/>
    <w:rsid w:val="005E7DA6"/>
    <w:rsid w:val="005F11E4"/>
    <w:rsid w:val="005F2BA1"/>
    <w:rsid w:val="005F43DF"/>
    <w:rsid w:val="005F6599"/>
    <w:rsid w:val="00602FE4"/>
    <w:rsid w:val="00604F9F"/>
    <w:rsid w:val="0060690F"/>
    <w:rsid w:val="00615984"/>
    <w:rsid w:val="006203D0"/>
    <w:rsid w:val="00622305"/>
    <w:rsid w:val="00623F5C"/>
    <w:rsid w:val="00626CE8"/>
    <w:rsid w:val="00632839"/>
    <w:rsid w:val="00633CB0"/>
    <w:rsid w:val="00640C6E"/>
    <w:rsid w:val="00642844"/>
    <w:rsid w:val="00642EB8"/>
    <w:rsid w:val="00655EE1"/>
    <w:rsid w:val="00672272"/>
    <w:rsid w:val="00672309"/>
    <w:rsid w:val="00674A36"/>
    <w:rsid w:val="00680D4A"/>
    <w:rsid w:val="00683B8A"/>
    <w:rsid w:val="00683F74"/>
    <w:rsid w:val="0069165F"/>
    <w:rsid w:val="0069457B"/>
    <w:rsid w:val="006A20AC"/>
    <w:rsid w:val="006A4B83"/>
    <w:rsid w:val="006A59A6"/>
    <w:rsid w:val="006B447B"/>
    <w:rsid w:val="006B7C2E"/>
    <w:rsid w:val="006C0A23"/>
    <w:rsid w:val="006C3E04"/>
    <w:rsid w:val="006D05AD"/>
    <w:rsid w:val="006D6430"/>
    <w:rsid w:val="006D65A0"/>
    <w:rsid w:val="006D7080"/>
    <w:rsid w:val="006D7FD8"/>
    <w:rsid w:val="006E2A75"/>
    <w:rsid w:val="006E4133"/>
    <w:rsid w:val="006E56FC"/>
    <w:rsid w:val="006E6124"/>
    <w:rsid w:val="006F22A2"/>
    <w:rsid w:val="006F3CEC"/>
    <w:rsid w:val="006F3D75"/>
    <w:rsid w:val="00700D93"/>
    <w:rsid w:val="007043B6"/>
    <w:rsid w:val="007152C1"/>
    <w:rsid w:val="007154DE"/>
    <w:rsid w:val="00716A97"/>
    <w:rsid w:val="00716C57"/>
    <w:rsid w:val="00717413"/>
    <w:rsid w:val="0072415C"/>
    <w:rsid w:val="007242E4"/>
    <w:rsid w:val="00724E54"/>
    <w:rsid w:val="00725F5C"/>
    <w:rsid w:val="00726F3D"/>
    <w:rsid w:val="00727495"/>
    <w:rsid w:val="00735BC3"/>
    <w:rsid w:val="007377FE"/>
    <w:rsid w:val="00745225"/>
    <w:rsid w:val="00751E74"/>
    <w:rsid w:val="007606D9"/>
    <w:rsid w:val="00762E2F"/>
    <w:rsid w:val="00767D48"/>
    <w:rsid w:val="0077089E"/>
    <w:rsid w:val="00774295"/>
    <w:rsid w:val="007909C1"/>
    <w:rsid w:val="00796511"/>
    <w:rsid w:val="00797BB8"/>
    <w:rsid w:val="007A0E7B"/>
    <w:rsid w:val="007A2008"/>
    <w:rsid w:val="007A55B5"/>
    <w:rsid w:val="007A7574"/>
    <w:rsid w:val="007A7ADE"/>
    <w:rsid w:val="007B306C"/>
    <w:rsid w:val="007C43FC"/>
    <w:rsid w:val="007C452A"/>
    <w:rsid w:val="007C46B5"/>
    <w:rsid w:val="007C61A5"/>
    <w:rsid w:val="007D4B23"/>
    <w:rsid w:val="007E5BE9"/>
    <w:rsid w:val="007E7626"/>
    <w:rsid w:val="007F5777"/>
    <w:rsid w:val="007F5BAC"/>
    <w:rsid w:val="007F7E5C"/>
    <w:rsid w:val="007F7EDD"/>
    <w:rsid w:val="008061E3"/>
    <w:rsid w:val="008070AE"/>
    <w:rsid w:val="00810F54"/>
    <w:rsid w:val="00812063"/>
    <w:rsid w:val="0081654A"/>
    <w:rsid w:val="0082142F"/>
    <w:rsid w:val="00833576"/>
    <w:rsid w:val="00835F03"/>
    <w:rsid w:val="008374F3"/>
    <w:rsid w:val="008377E3"/>
    <w:rsid w:val="00837FDD"/>
    <w:rsid w:val="00841E6A"/>
    <w:rsid w:val="00842869"/>
    <w:rsid w:val="00844313"/>
    <w:rsid w:val="0084571E"/>
    <w:rsid w:val="00847442"/>
    <w:rsid w:val="008505C3"/>
    <w:rsid w:val="0086123D"/>
    <w:rsid w:val="00861C66"/>
    <w:rsid w:val="00863689"/>
    <w:rsid w:val="0086752C"/>
    <w:rsid w:val="00867ECC"/>
    <w:rsid w:val="008733F4"/>
    <w:rsid w:val="00876ACF"/>
    <w:rsid w:val="008776AE"/>
    <w:rsid w:val="00880440"/>
    <w:rsid w:val="00885EA4"/>
    <w:rsid w:val="00886474"/>
    <w:rsid w:val="00891352"/>
    <w:rsid w:val="00893A22"/>
    <w:rsid w:val="00893B7C"/>
    <w:rsid w:val="008967DC"/>
    <w:rsid w:val="00896E04"/>
    <w:rsid w:val="008A613E"/>
    <w:rsid w:val="008A7FC4"/>
    <w:rsid w:val="008B114E"/>
    <w:rsid w:val="008B74D5"/>
    <w:rsid w:val="008B7883"/>
    <w:rsid w:val="008C490A"/>
    <w:rsid w:val="008D04E5"/>
    <w:rsid w:val="008D31F5"/>
    <w:rsid w:val="008D6640"/>
    <w:rsid w:val="008E15C1"/>
    <w:rsid w:val="008E37D6"/>
    <w:rsid w:val="008E4B48"/>
    <w:rsid w:val="008E50B6"/>
    <w:rsid w:val="008E78E8"/>
    <w:rsid w:val="008F4DE3"/>
    <w:rsid w:val="00901642"/>
    <w:rsid w:val="0090393A"/>
    <w:rsid w:val="0090580C"/>
    <w:rsid w:val="00911513"/>
    <w:rsid w:val="00912476"/>
    <w:rsid w:val="00913DAC"/>
    <w:rsid w:val="009160A2"/>
    <w:rsid w:val="00924F2C"/>
    <w:rsid w:val="00927A90"/>
    <w:rsid w:val="00931E0B"/>
    <w:rsid w:val="009370ED"/>
    <w:rsid w:val="00941806"/>
    <w:rsid w:val="0095155C"/>
    <w:rsid w:val="009521E7"/>
    <w:rsid w:val="009549BF"/>
    <w:rsid w:val="00955451"/>
    <w:rsid w:val="00955900"/>
    <w:rsid w:val="00964DB3"/>
    <w:rsid w:val="00964F55"/>
    <w:rsid w:val="009656A5"/>
    <w:rsid w:val="009656D9"/>
    <w:rsid w:val="00971E37"/>
    <w:rsid w:val="00972BF6"/>
    <w:rsid w:val="00974C39"/>
    <w:rsid w:val="00975C79"/>
    <w:rsid w:val="00981183"/>
    <w:rsid w:val="00982BD8"/>
    <w:rsid w:val="009841A9"/>
    <w:rsid w:val="00992F1C"/>
    <w:rsid w:val="009A7103"/>
    <w:rsid w:val="009A752B"/>
    <w:rsid w:val="009B09AE"/>
    <w:rsid w:val="009B0B0F"/>
    <w:rsid w:val="009B40F1"/>
    <w:rsid w:val="009B4B06"/>
    <w:rsid w:val="009B6694"/>
    <w:rsid w:val="009C34A9"/>
    <w:rsid w:val="009C37F9"/>
    <w:rsid w:val="009C4022"/>
    <w:rsid w:val="009C7BD3"/>
    <w:rsid w:val="009D1FAC"/>
    <w:rsid w:val="009D2286"/>
    <w:rsid w:val="009E0A88"/>
    <w:rsid w:val="009E18B1"/>
    <w:rsid w:val="009E39A3"/>
    <w:rsid w:val="009E590A"/>
    <w:rsid w:val="009E7735"/>
    <w:rsid w:val="009E7B3D"/>
    <w:rsid w:val="009F05B2"/>
    <w:rsid w:val="009F258E"/>
    <w:rsid w:val="009F5BCF"/>
    <w:rsid w:val="009F6F15"/>
    <w:rsid w:val="00A01B68"/>
    <w:rsid w:val="00A02028"/>
    <w:rsid w:val="00A0282C"/>
    <w:rsid w:val="00A04414"/>
    <w:rsid w:val="00A053BC"/>
    <w:rsid w:val="00A0704F"/>
    <w:rsid w:val="00A078A4"/>
    <w:rsid w:val="00A13AEF"/>
    <w:rsid w:val="00A2256F"/>
    <w:rsid w:val="00A26D1D"/>
    <w:rsid w:val="00A42C51"/>
    <w:rsid w:val="00A45210"/>
    <w:rsid w:val="00A5076B"/>
    <w:rsid w:val="00A53E77"/>
    <w:rsid w:val="00A57E8F"/>
    <w:rsid w:val="00A616A2"/>
    <w:rsid w:val="00A62541"/>
    <w:rsid w:val="00A7283C"/>
    <w:rsid w:val="00A74D09"/>
    <w:rsid w:val="00A81CC0"/>
    <w:rsid w:val="00A863F8"/>
    <w:rsid w:val="00A86AC8"/>
    <w:rsid w:val="00A8703E"/>
    <w:rsid w:val="00A87B4D"/>
    <w:rsid w:val="00A916AE"/>
    <w:rsid w:val="00A9220E"/>
    <w:rsid w:val="00A94ED3"/>
    <w:rsid w:val="00A9642B"/>
    <w:rsid w:val="00A976E8"/>
    <w:rsid w:val="00AA022F"/>
    <w:rsid w:val="00AA0DA4"/>
    <w:rsid w:val="00AA39AE"/>
    <w:rsid w:val="00AA4D90"/>
    <w:rsid w:val="00AB044E"/>
    <w:rsid w:val="00AB1ECA"/>
    <w:rsid w:val="00AB2810"/>
    <w:rsid w:val="00AB5790"/>
    <w:rsid w:val="00AB6010"/>
    <w:rsid w:val="00AB6024"/>
    <w:rsid w:val="00AC4A4E"/>
    <w:rsid w:val="00AC52EB"/>
    <w:rsid w:val="00AC5AE1"/>
    <w:rsid w:val="00AD17C6"/>
    <w:rsid w:val="00AD1F0D"/>
    <w:rsid w:val="00AE171A"/>
    <w:rsid w:val="00AE4AC2"/>
    <w:rsid w:val="00AE4ECB"/>
    <w:rsid w:val="00AE5035"/>
    <w:rsid w:val="00AE5E6D"/>
    <w:rsid w:val="00AE795B"/>
    <w:rsid w:val="00AF7ACD"/>
    <w:rsid w:val="00B02640"/>
    <w:rsid w:val="00B04864"/>
    <w:rsid w:val="00B14F19"/>
    <w:rsid w:val="00B235A9"/>
    <w:rsid w:val="00B27600"/>
    <w:rsid w:val="00B312A0"/>
    <w:rsid w:val="00B322BE"/>
    <w:rsid w:val="00B32323"/>
    <w:rsid w:val="00B335C4"/>
    <w:rsid w:val="00B33993"/>
    <w:rsid w:val="00B36075"/>
    <w:rsid w:val="00B366CC"/>
    <w:rsid w:val="00B37A0E"/>
    <w:rsid w:val="00B40CCB"/>
    <w:rsid w:val="00B44667"/>
    <w:rsid w:val="00B47429"/>
    <w:rsid w:val="00B47522"/>
    <w:rsid w:val="00B47F3E"/>
    <w:rsid w:val="00B53D64"/>
    <w:rsid w:val="00B544A3"/>
    <w:rsid w:val="00B57DD4"/>
    <w:rsid w:val="00B641D4"/>
    <w:rsid w:val="00B70357"/>
    <w:rsid w:val="00B73BC4"/>
    <w:rsid w:val="00B74CBC"/>
    <w:rsid w:val="00B76347"/>
    <w:rsid w:val="00B777CC"/>
    <w:rsid w:val="00B8060F"/>
    <w:rsid w:val="00B85A2C"/>
    <w:rsid w:val="00B85D1A"/>
    <w:rsid w:val="00B901AE"/>
    <w:rsid w:val="00B94C83"/>
    <w:rsid w:val="00B94FEC"/>
    <w:rsid w:val="00B962E2"/>
    <w:rsid w:val="00BA0A65"/>
    <w:rsid w:val="00BA626A"/>
    <w:rsid w:val="00BB1C98"/>
    <w:rsid w:val="00BB2F65"/>
    <w:rsid w:val="00BC21CF"/>
    <w:rsid w:val="00BC753B"/>
    <w:rsid w:val="00BC7E84"/>
    <w:rsid w:val="00BD01A7"/>
    <w:rsid w:val="00BD2EA3"/>
    <w:rsid w:val="00BD550B"/>
    <w:rsid w:val="00BD6F06"/>
    <w:rsid w:val="00BD72D6"/>
    <w:rsid w:val="00BE23CB"/>
    <w:rsid w:val="00BE2C44"/>
    <w:rsid w:val="00BE3E84"/>
    <w:rsid w:val="00BF0F04"/>
    <w:rsid w:val="00BF1C20"/>
    <w:rsid w:val="00BF1D5F"/>
    <w:rsid w:val="00BF2E48"/>
    <w:rsid w:val="00BF33BC"/>
    <w:rsid w:val="00BF65CF"/>
    <w:rsid w:val="00C00692"/>
    <w:rsid w:val="00C037FC"/>
    <w:rsid w:val="00C03F44"/>
    <w:rsid w:val="00C06595"/>
    <w:rsid w:val="00C11A70"/>
    <w:rsid w:val="00C13E47"/>
    <w:rsid w:val="00C13FF5"/>
    <w:rsid w:val="00C14F10"/>
    <w:rsid w:val="00C15AEB"/>
    <w:rsid w:val="00C175B6"/>
    <w:rsid w:val="00C1797C"/>
    <w:rsid w:val="00C210E9"/>
    <w:rsid w:val="00C24F8F"/>
    <w:rsid w:val="00C2790B"/>
    <w:rsid w:val="00C30EF0"/>
    <w:rsid w:val="00C33E44"/>
    <w:rsid w:val="00C36C79"/>
    <w:rsid w:val="00C37915"/>
    <w:rsid w:val="00C42D55"/>
    <w:rsid w:val="00C46270"/>
    <w:rsid w:val="00C51F11"/>
    <w:rsid w:val="00C5445A"/>
    <w:rsid w:val="00C6058F"/>
    <w:rsid w:val="00C726E8"/>
    <w:rsid w:val="00C7413B"/>
    <w:rsid w:val="00C76B96"/>
    <w:rsid w:val="00C77B11"/>
    <w:rsid w:val="00C83D1F"/>
    <w:rsid w:val="00C8468C"/>
    <w:rsid w:val="00C84EC6"/>
    <w:rsid w:val="00C86DF6"/>
    <w:rsid w:val="00C92C23"/>
    <w:rsid w:val="00CA2E3F"/>
    <w:rsid w:val="00CA5BB8"/>
    <w:rsid w:val="00CA77D3"/>
    <w:rsid w:val="00CB2AAA"/>
    <w:rsid w:val="00CB54CE"/>
    <w:rsid w:val="00CB7866"/>
    <w:rsid w:val="00CC557D"/>
    <w:rsid w:val="00CD2BC2"/>
    <w:rsid w:val="00CD37AC"/>
    <w:rsid w:val="00CD4361"/>
    <w:rsid w:val="00CD7402"/>
    <w:rsid w:val="00CE2069"/>
    <w:rsid w:val="00CE3A9E"/>
    <w:rsid w:val="00CE3FDC"/>
    <w:rsid w:val="00CF44D2"/>
    <w:rsid w:val="00CF6DAA"/>
    <w:rsid w:val="00D00DB9"/>
    <w:rsid w:val="00D01907"/>
    <w:rsid w:val="00D059CD"/>
    <w:rsid w:val="00D064ED"/>
    <w:rsid w:val="00D070C3"/>
    <w:rsid w:val="00D07ED1"/>
    <w:rsid w:val="00D13172"/>
    <w:rsid w:val="00D15C63"/>
    <w:rsid w:val="00D16843"/>
    <w:rsid w:val="00D178A8"/>
    <w:rsid w:val="00D20772"/>
    <w:rsid w:val="00D2531E"/>
    <w:rsid w:val="00D3097B"/>
    <w:rsid w:val="00D3490E"/>
    <w:rsid w:val="00D349FF"/>
    <w:rsid w:val="00D353D7"/>
    <w:rsid w:val="00D354FA"/>
    <w:rsid w:val="00D360AF"/>
    <w:rsid w:val="00D43DE6"/>
    <w:rsid w:val="00D44194"/>
    <w:rsid w:val="00D448F9"/>
    <w:rsid w:val="00D474B9"/>
    <w:rsid w:val="00D518F4"/>
    <w:rsid w:val="00D523D4"/>
    <w:rsid w:val="00D53A82"/>
    <w:rsid w:val="00D5739B"/>
    <w:rsid w:val="00D62579"/>
    <w:rsid w:val="00D62E39"/>
    <w:rsid w:val="00D63D70"/>
    <w:rsid w:val="00D6556C"/>
    <w:rsid w:val="00D70024"/>
    <w:rsid w:val="00D74D37"/>
    <w:rsid w:val="00D81F08"/>
    <w:rsid w:val="00D84F84"/>
    <w:rsid w:val="00D91A3D"/>
    <w:rsid w:val="00D93046"/>
    <w:rsid w:val="00D933D4"/>
    <w:rsid w:val="00D95604"/>
    <w:rsid w:val="00D962A8"/>
    <w:rsid w:val="00DA092C"/>
    <w:rsid w:val="00DA0AEF"/>
    <w:rsid w:val="00DA1AA3"/>
    <w:rsid w:val="00DA36FF"/>
    <w:rsid w:val="00DA53C8"/>
    <w:rsid w:val="00DA5981"/>
    <w:rsid w:val="00DB272F"/>
    <w:rsid w:val="00DB43ED"/>
    <w:rsid w:val="00DC09D4"/>
    <w:rsid w:val="00DC692C"/>
    <w:rsid w:val="00DD14B2"/>
    <w:rsid w:val="00DD2BAC"/>
    <w:rsid w:val="00DD6A8B"/>
    <w:rsid w:val="00DE0BAE"/>
    <w:rsid w:val="00DE49AD"/>
    <w:rsid w:val="00DE581C"/>
    <w:rsid w:val="00DF0F71"/>
    <w:rsid w:val="00E11BA8"/>
    <w:rsid w:val="00E147B4"/>
    <w:rsid w:val="00E16A59"/>
    <w:rsid w:val="00E17A8A"/>
    <w:rsid w:val="00E21DB3"/>
    <w:rsid w:val="00E22D7D"/>
    <w:rsid w:val="00E24E88"/>
    <w:rsid w:val="00E25EF4"/>
    <w:rsid w:val="00E30BEC"/>
    <w:rsid w:val="00E3720B"/>
    <w:rsid w:val="00E426C6"/>
    <w:rsid w:val="00E43C2F"/>
    <w:rsid w:val="00E45DCB"/>
    <w:rsid w:val="00E47246"/>
    <w:rsid w:val="00E504A5"/>
    <w:rsid w:val="00E55F6D"/>
    <w:rsid w:val="00E75A88"/>
    <w:rsid w:val="00E800F5"/>
    <w:rsid w:val="00E82B62"/>
    <w:rsid w:val="00E82C08"/>
    <w:rsid w:val="00E855F8"/>
    <w:rsid w:val="00E85ABF"/>
    <w:rsid w:val="00E87BEC"/>
    <w:rsid w:val="00E87E3B"/>
    <w:rsid w:val="00E94879"/>
    <w:rsid w:val="00E96D62"/>
    <w:rsid w:val="00EA51CA"/>
    <w:rsid w:val="00EB199D"/>
    <w:rsid w:val="00EC3B5E"/>
    <w:rsid w:val="00EC60FC"/>
    <w:rsid w:val="00ED0CF9"/>
    <w:rsid w:val="00ED22C2"/>
    <w:rsid w:val="00EE7D58"/>
    <w:rsid w:val="00EF2F73"/>
    <w:rsid w:val="00EF4CBE"/>
    <w:rsid w:val="00EF6348"/>
    <w:rsid w:val="00F0186F"/>
    <w:rsid w:val="00F02483"/>
    <w:rsid w:val="00F06E3B"/>
    <w:rsid w:val="00F07882"/>
    <w:rsid w:val="00F1352D"/>
    <w:rsid w:val="00F2311D"/>
    <w:rsid w:val="00F2516F"/>
    <w:rsid w:val="00F25B74"/>
    <w:rsid w:val="00F3061D"/>
    <w:rsid w:val="00F426D7"/>
    <w:rsid w:val="00F42B29"/>
    <w:rsid w:val="00F44B9F"/>
    <w:rsid w:val="00F44E72"/>
    <w:rsid w:val="00F51EF0"/>
    <w:rsid w:val="00F52782"/>
    <w:rsid w:val="00F53825"/>
    <w:rsid w:val="00F56E4F"/>
    <w:rsid w:val="00F61A68"/>
    <w:rsid w:val="00F61D3C"/>
    <w:rsid w:val="00F630BD"/>
    <w:rsid w:val="00F674EB"/>
    <w:rsid w:val="00F821E3"/>
    <w:rsid w:val="00F82C2E"/>
    <w:rsid w:val="00F82D79"/>
    <w:rsid w:val="00F859EC"/>
    <w:rsid w:val="00F91654"/>
    <w:rsid w:val="00F9266A"/>
    <w:rsid w:val="00F94757"/>
    <w:rsid w:val="00F9745D"/>
    <w:rsid w:val="00F97D86"/>
    <w:rsid w:val="00FA0691"/>
    <w:rsid w:val="00FA06F2"/>
    <w:rsid w:val="00FA4DDB"/>
    <w:rsid w:val="00FA5F72"/>
    <w:rsid w:val="00FB249D"/>
    <w:rsid w:val="00FC3D63"/>
    <w:rsid w:val="00FC768E"/>
    <w:rsid w:val="00FD0511"/>
    <w:rsid w:val="00FD0DCF"/>
    <w:rsid w:val="00FD32D7"/>
    <w:rsid w:val="00FD4D3E"/>
    <w:rsid w:val="00FD738E"/>
    <w:rsid w:val="00FE047D"/>
    <w:rsid w:val="00FE2C64"/>
    <w:rsid w:val="00FE4D4E"/>
    <w:rsid w:val="00FF304B"/>
    <w:rsid w:val="00FF6B6F"/>
    <w:rsid w:val="00FF7A5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95DC2"/>
  <w15:chartTrackingRefBased/>
  <w15:docId w15:val="{D9CC62D0-B95A-4AAE-B145-90ED34A30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7BEC"/>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10EE2"/>
    <w:pPr>
      <w:spacing w:before="100" w:beforeAutospacing="1" w:after="100" w:afterAutospacing="1" w:line="240" w:lineRule="auto"/>
    </w:pPr>
    <w:rPr>
      <w:rFonts w:ascii="Times New Roman" w:eastAsiaTheme="minorEastAsia" w:hAnsi="Times New Roman"/>
      <w:sz w:val="24"/>
      <w:szCs w:val="24"/>
      <w:lang w:eastAsia="uk-UA"/>
    </w:rPr>
  </w:style>
  <w:style w:type="paragraph" w:styleId="a4">
    <w:name w:val="List Paragraph"/>
    <w:basedOn w:val="a"/>
    <w:uiPriority w:val="34"/>
    <w:qFormat/>
    <w:rsid w:val="00110EE2"/>
    <w:pPr>
      <w:ind w:left="720"/>
      <w:contextualSpacing/>
    </w:pPr>
    <w:rPr>
      <w:rFonts w:asciiTheme="minorHAnsi" w:eastAsiaTheme="minorHAnsi" w:hAnsiTheme="minorHAnsi" w:cstheme="minorBidi"/>
    </w:rPr>
  </w:style>
  <w:style w:type="table" w:styleId="a5">
    <w:name w:val="Table Grid"/>
    <w:basedOn w:val="a1"/>
    <w:uiPriority w:val="39"/>
    <w:rsid w:val="00110EE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39"/>
    <w:rsid w:val="00110EE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992F1C"/>
    <w:rPr>
      <w:color w:val="808080"/>
    </w:rPr>
  </w:style>
  <w:style w:type="table" w:customStyle="1" w:styleId="2">
    <w:name w:val="Сетка таблицы2"/>
    <w:basedOn w:val="a1"/>
    <w:next w:val="a5"/>
    <w:uiPriority w:val="39"/>
    <w:rsid w:val="00D6257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D2286"/>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9D2286"/>
    <w:rPr>
      <w:rFonts w:ascii="Calibri" w:eastAsia="Calibri" w:hAnsi="Calibri" w:cs="Times New Roman"/>
    </w:rPr>
  </w:style>
  <w:style w:type="paragraph" w:styleId="a9">
    <w:name w:val="footer"/>
    <w:basedOn w:val="a"/>
    <w:link w:val="aa"/>
    <w:uiPriority w:val="99"/>
    <w:unhideWhenUsed/>
    <w:rsid w:val="009D2286"/>
    <w:pPr>
      <w:tabs>
        <w:tab w:val="center" w:pos="4819"/>
        <w:tab w:val="right" w:pos="9639"/>
      </w:tabs>
      <w:spacing w:after="0" w:line="240" w:lineRule="auto"/>
    </w:pPr>
  </w:style>
  <w:style w:type="character" w:customStyle="1" w:styleId="aa">
    <w:name w:val="Нижний колонтитул Знак"/>
    <w:basedOn w:val="a0"/>
    <w:link w:val="a9"/>
    <w:uiPriority w:val="99"/>
    <w:rsid w:val="009D2286"/>
    <w:rPr>
      <w:rFonts w:ascii="Calibri" w:eastAsia="Calibri" w:hAnsi="Calibri" w:cs="Times New Roman"/>
    </w:rPr>
  </w:style>
  <w:style w:type="paragraph" w:styleId="ab">
    <w:name w:val="Balloon Text"/>
    <w:basedOn w:val="a"/>
    <w:link w:val="ac"/>
    <w:uiPriority w:val="99"/>
    <w:semiHidden/>
    <w:unhideWhenUsed/>
    <w:rsid w:val="00503B94"/>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03B94"/>
    <w:rPr>
      <w:rFonts w:ascii="Segoe UI" w:eastAsia="Calibri" w:hAnsi="Segoe UI" w:cs="Segoe UI"/>
      <w:sz w:val="18"/>
      <w:szCs w:val="18"/>
    </w:rPr>
  </w:style>
  <w:style w:type="table" w:customStyle="1" w:styleId="3">
    <w:name w:val="Сетка таблицы3"/>
    <w:basedOn w:val="a1"/>
    <w:next w:val="a5"/>
    <w:uiPriority w:val="39"/>
    <w:rsid w:val="00042D5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FE047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58839">
      <w:bodyDiv w:val="1"/>
      <w:marLeft w:val="0"/>
      <w:marRight w:val="0"/>
      <w:marTop w:val="0"/>
      <w:marBottom w:val="0"/>
      <w:divBdr>
        <w:top w:val="none" w:sz="0" w:space="0" w:color="auto"/>
        <w:left w:val="none" w:sz="0" w:space="0" w:color="auto"/>
        <w:bottom w:val="none" w:sz="0" w:space="0" w:color="auto"/>
        <w:right w:val="none" w:sz="0" w:space="0" w:color="auto"/>
      </w:divBdr>
    </w:div>
    <w:div w:id="46757433">
      <w:bodyDiv w:val="1"/>
      <w:marLeft w:val="0"/>
      <w:marRight w:val="0"/>
      <w:marTop w:val="0"/>
      <w:marBottom w:val="0"/>
      <w:divBdr>
        <w:top w:val="none" w:sz="0" w:space="0" w:color="auto"/>
        <w:left w:val="none" w:sz="0" w:space="0" w:color="auto"/>
        <w:bottom w:val="none" w:sz="0" w:space="0" w:color="auto"/>
        <w:right w:val="none" w:sz="0" w:space="0" w:color="auto"/>
      </w:divBdr>
      <w:divsChild>
        <w:div w:id="945623479">
          <w:marLeft w:val="0"/>
          <w:marRight w:val="0"/>
          <w:marTop w:val="15"/>
          <w:marBottom w:val="0"/>
          <w:divBdr>
            <w:top w:val="single" w:sz="48" w:space="0" w:color="auto"/>
            <w:left w:val="single" w:sz="48" w:space="0" w:color="auto"/>
            <w:bottom w:val="single" w:sz="48" w:space="0" w:color="auto"/>
            <w:right w:val="single" w:sz="48" w:space="0" w:color="auto"/>
          </w:divBdr>
          <w:divsChild>
            <w:div w:id="2801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0712">
      <w:bodyDiv w:val="1"/>
      <w:marLeft w:val="0"/>
      <w:marRight w:val="0"/>
      <w:marTop w:val="0"/>
      <w:marBottom w:val="0"/>
      <w:divBdr>
        <w:top w:val="none" w:sz="0" w:space="0" w:color="auto"/>
        <w:left w:val="none" w:sz="0" w:space="0" w:color="auto"/>
        <w:bottom w:val="none" w:sz="0" w:space="0" w:color="auto"/>
        <w:right w:val="none" w:sz="0" w:space="0" w:color="auto"/>
      </w:divBdr>
    </w:div>
    <w:div w:id="93483843">
      <w:bodyDiv w:val="1"/>
      <w:marLeft w:val="0"/>
      <w:marRight w:val="0"/>
      <w:marTop w:val="0"/>
      <w:marBottom w:val="0"/>
      <w:divBdr>
        <w:top w:val="none" w:sz="0" w:space="0" w:color="auto"/>
        <w:left w:val="none" w:sz="0" w:space="0" w:color="auto"/>
        <w:bottom w:val="none" w:sz="0" w:space="0" w:color="auto"/>
        <w:right w:val="none" w:sz="0" w:space="0" w:color="auto"/>
      </w:divBdr>
    </w:div>
    <w:div w:id="193619491">
      <w:bodyDiv w:val="1"/>
      <w:marLeft w:val="0"/>
      <w:marRight w:val="0"/>
      <w:marTop w:val="0"/>
      <w:marBottom w:val="0"/>
      <w:divBdr>
        <w:top w:val="none" w:sz="0" w:space="0" w:color="auto"/>
        <w:left w:val="none" w:sz="0" w:space="0" w:color="auto"/>
        <w:bottom w:val="none" w:sz="0" w:space="0" w:color="auto"/>
        <w:right w:val="none" w:sz="0" w:space="0" w:color="auto"/>
      </w:divBdr>
    </w:div>
    <w:div w:id="237206034">
      <w:bodyDiv w:val="1"/>
      <w:marLeft w:val="0"/>
      <w:marRight w:val="0"/>
      <w:marTop w:val="0"/>
      <w:marBottom w:val="0"/>
      <w:divBdr>
        <w:top w:val="none" w:sz="0" w:space="0" w:color="auto"/>
        <w:left w:val="none" w:sz="0" w:space="0" w:color="auto"/>
        <w:bottom w:val="none" w:sz="0" w:space="0" w:color="auto"/>
        <w:right w:val="none" w:sz="0" w:space="0" w:color="auto"/>
      </w:divBdr>
    </w:div>
    <w:div w:id="245267189">
      <w:bodyDiv w:val="1"/>
      <w:marLeft w:val="0"/>
      <w:marRight w:val="0"/>
      <w:marTop w:val="0"/>
      <w:marBottom w:val="0"/>
      <w:divBdr>
        <w:top w:val="none" w:sz="0" w:space="0" w:color="auto"/>
        <w:left w:val="none" w:sz="0" w:space="0" w:color="auto"/>
        <w:bottom w:val="none" w:sz="0" w:space="0" w:color="auto"/>
        <w:right w:val="none" w:sz="0" w:space="0" w:color="auto"/>
      </w:divBdr>
    </w:div>
    <w:div w:id="301228828">
      <w:bodyDiv w:val="1"/>
      <w:marLeft w:val="0"/>
      <w:marRight w:val="0"/>
      <w:marTop w:val="0"/>
      <w:marBottom w:val="0"/>
      <w:divBdr>
        <w:top w:val="none" w:sz="0" w:space="0" w:color="auto"/>
        <w:left w:val="none" w:sz="0" w:space="0" w:color="auto"/>
        <w:bottom w:val="none" w:sz="0" w:space="0" w:color="auto"/>
        <w:right w:val="none" w:sz="0" w:space="0" w:color="auto"/>
      </w:divBdr>
    </w:div>
    <w:div w:id="334498714">
      <w:bodyDiv w:val="1"/>
      <w:marLeft w:val="0"/>
      <w:marRight w:val="0"/>
      <w:marTop w:val="0"/>
      <w:marBottom w:val="0"/>
      <w:divBdr>
        <w:top w:val="none" w:sz="0" w:space="0" w:color="auto"/>
        <w:left w:val="none" w:sz="0" w:space="0" w:color="auto"/>
        <w:bottom w:val="none" w:sz="0" w:space="0" w:color="auto"/>
        <w:right w:val="none" w:sz="0" w:space="0" w:color="auto"/>
      </w:divBdr>
    </w:div>
    <w:div w:id="402531226">
      <w:bodyDiv w:val="1"/>
      <w:marLeft w:val="0"/>
      <w:marRight w:val="0"/>
      <w:marTop w:val="0"/>
      <w:marBottom w:val="0"/>
      <w:divBdr>
        <w:top w:val="none" w:sz="0" w:space="0" w:color="auto"/>
        <w:left w:val="none" w:sz="0" w:space="0" w:color="auto"/>
        <w:bottom w:val="none" w:sz="0" w:space="0" w:color="auto"/>
        <w:right w:val="none" w:sz="0" w:space="0" w:color="auto"/>
      </w:divBdr>
    </w:div>
    <w:div w:id="467666278">
      <w:bodyDiv w:val="1"/>
      <w:marLeft w:val="0"/>
      <w:marRight w:val="0"/>
      <w:marTop w:val="0"/>
      <w:marBottom w:val="0"/>
      <w:divBdr>
        <w:top w:val="none" w:sz="0" w:space="0" w:color="auto"/>
        <w:left w:val="none" w:sz="0" w:space="0" w:color="auto"/>
        <w:bottom w:val="none" w:sz="0" w:space="0" w:color="auto"/>
        <w:right w:val="none" w:sz="0" w:space="0" w:color="auto"/>
      </w:divBdr>
    </w:div>
    <w:div w:id="505904831">
      <w:bodyDiv w:val="1"/>
      <w:marLeft w:val="0"/>
      <w:marRight w:val="0"/>
      <w:marTop w:val="0"/>
      <w:marBottom w:val="0"/>
      <w:divBdr>
        <w:top w:val="none" w:sz="0" w:space="0" w:color="auto"/>
        <w:left w:val="none" w:sz="0" w:space="0" w:color="auto"/>
        <w:bottom w:val="none" w:sz="0" w:space="0" w:color="auto"/>
        <w:right w:val="none" w:sz="0" w:space="0" w:color="auto"/>
      </w:divBdr>
    </w:div>
    <w:div w:id="569390509">
      <w:bodyDiv w:val="1"/>
      <w:marLeft w:val="0"/>
      <w:marRight w:val="0"/>
      <w:marTop w:val="0"/>
      <w:marBottom w:val="0"/>
      <w:divBdr>
        <w:top w:val="none" w:sz="0" w:space="0" w:color="auto"/>
        <w:left w:val="none" w:sz="0" w:space="0" w:color="auto"/>
        <w:bottom w:val="none" w:sz="0" w:space="0" w:color="auto"/>
        <w:right w:val="none" w:sz="0" w:space="0" w:color="auto"/>
      </w:divBdr>
    </w:div>
    <w:div w:id="580453446">
      <w:bodyDiv w:val="1"/>
      <w:marLeft w:val="0"/>
      <w:marRight w:val="0"/>
      <w:marTop w:val="0"/>
      <w:marBottom w:val="0"/>
      <w:divBdr>
        <w:top w:val="none" w:sz="0" w:space="0" w:color="auto"/>
        <w:left w:val="none" w:sz="0" w:space="0" w:color="auto"/>
        <w:bottom w:val="none" w:sz="0" w:space="0" w:color="auto"/>
        <w:right w:val="none" w:sz="0" w:space="0" w:color="auto"/>
      </w:divBdr>
    </w:div>
    <w:div w:id="614823934">
      <w:bodyDiv w:val="1"/>
      <w:marLeft w:val="0"/>
      <w:marRight w:val="0"/>
      <w:marTop w:val="0"/>
      <w:marBottom w:val="0"/>
      <w:divBdr>
        <w:top w:val="none" w:sz="0" w:space="0" w:color="auto"/>
        <w:left w:val="none" w:sz="0" w:space="0" w:color="auto"/>
        <w:bottom w:val="none" w:sz="0" w:space="0" w:color="auto"/>
        <w:right w:val="none" w:sz="0" w:space="0" w:color="auto"/>
      </w:divBdr>
    </w:div>
    <w:div w:id="628363567">
      <w:bodyDiv w:val="1"/>
      <w:marLeft w:val="0"/>
      <w:marRight w:val="0"/>
      <w:marTop w:val="0"/>
      <w:marBottom w:val="0"/>
      <w:divBdr>
        <w:top w:val="none" w:sz="0" w:space="0" w:color="auto"/>
        <w:left w:val="none" w:sz="0" w:space="0" w:color="auto"/>
        <w:bottom w:val="none" w:sz="0" w:space="0" w:color="auto"/>
        <w:right w:val="none" w:sz="0" w:space="0" w:color="auto"/>
      </w:divBdr>
    </w:div>
    <w:div w:id="634675460">
      <w:bodyDiv w:val="1"/>
      <w:marLeft w:val="0"/>
      <w:marRight w:val="0"/>
      <w:marTop w:val="0"/>
      <w:marBottom w:val="0"/>
      <w:divBdr>
        <w:top w:val="none" w:sz="0" w:space="0" w:color="auto"/>
        <w:left w:val="none" w:sz="0" w:space="0" w:color="auto"/>
        <w:bottom w:val="none" w:sz="0" w:space="0" w:color="auto"/>
        <w:right w:val="none" w:sz="0" w:space="0" w:color="auto"/>
      </w:divBdr>
    </w:div>
    <w:div w:id="645546463">
      <w:bodyDiv w:val="1"/>
      <w:marLeft w:val="0"/>
      <w:marRight w:val="0"/>
      <w:marTop w:val="0"/>
      <w:marBottom w:val="0"/>
      <w:divBdr>
        <w:top w:val="none" w:sz="0" w:space="0" w:color="auto"/>
        <w:left w:val="none" w:sz="0" w:space="0" w:color="auto"/>
        <w:bottom w:val="none" w:sz="0" w:space="0" w:color="auto"/>
        <w:right w:val="none" w:sz="0" w:space="0" w:color="auto"/>
      </w:divBdr>
    </w:div>
    <w:div w:id="671570731">
      <w:bodyDiv w:val="1"/>
      <w:marLeft w:val="0"/>
      <w:marRight w:val="0"/>
      <w:marTop w:val="0"/>
      <w:marBottom w:val="0"/>
      <w:divBdr>
        <w:top w:val="none" w:sz="0" w:space="0" w:color="auto"/>
        <w:left w:val="none" w:sz="0" w:space="0" w:color="auto"/>
        <w:bottom w:val="none" w:sz="0" w:space="0" w:color="auto"/>
        <w:right w:val="none" w:sz="0" w:space="0" w:color="auto"/>
      </w:divBdr>
    </w:div>
    <w:div w:id="681054542">
      <w:bodyDiv w:val="1"/>
      <w:marLeft w:val="0"/>
      <w:marRight w:val="0"/>
      <w:marTop w:val="0"/>
      <w:marBottom w:val="0"/>
      <w:divBdr>
        <w:top w:val="none" w:sz="0" w:space="0" w:color="auto"/>
        <w:left w:val="none" w:sz="0" w:space="0" w:color="auto"/>
        <w:bottom w:val="none" w:sz="0" w:space="0" w:color="auto"/>
        <w:right w:val="none" w:sz="0" w:space="0" w:color="auto"/>
      </w:divBdr>
    </w:div>
    <w:div w:id="706102317">
      <w:bodyDiv w:val="1"/>
      <w:marLeft w:val="0"/>
      <w:marRight w:val="0"/>
      <w:marTop w:val="0"/>
      <w:marBottom w:val="0"/>
      <w:divBdr>
        <w:top w:val="none" w:sz="0" w:space="0" w:color="auto"/>
        <w:left w:val="none" w:sz="0" w:space="0" w:color="auto"/>
        <w:bottom w:val="none" w:sz="0" w:space="0" w:color="auto"/>
        <w:right w:val="none" w:sz="0" w:space="0" w:color="auto"/>
      </w:divBdr>
      <w:divsChild>
        <w:div w:id="527715493">
          <w:marLeft w:val="0"/>
          <w:marRight w:val="0"/>
          <w:marTop w:val="0"/>
          <w:marBottom w:val="0"/>
          <w:divBdr>
            <w:top w:val="none" w:sz="0" w:space="0" w:color="auto"/>
            <w:left w:val="none" w:sz="0" w:space="0" w:color="auto"/>
            <w:bottom w:val="none" w:sz="0" w:space="0" w:color="auto"/>
            <w:right w:val="none" w:sz="0" w:space="0" w:color="auto"/>
          </w:divBdr>
        </w:div>
        <w:div w:id="2050446648">
          <w:marLeft w:val="0"/>
          <w:marRight w:val="0"/>
          <w:marTop w:val="0"/>
          <w:marBottom w:val="0"/>
          <w:divBdr>
            <w:top w:val="none" w:sz="0" w:space="0" w:color="auto"/>
            <w:left w:val="none" w:sz="0" w:space="0" w:color="auto"/>
            <w:bottom w:val="none" w:sz="0" w:space="0" w:color="auto"/>
            <w:right w:val="none" w:sz="0" w:space="0" w:color="auto"/>
          </w:divBdr>
        </w:div>
        <w:div w:id="1707178805">
          <w:marLeft w:val="0"/>
          <w:marRight w:val="0"/>
          <w:marTop w:val="0"/>
          <w:marBottom w:val="0"/>
          <w:divBdr>
            <w:top w:val="none" w:sz="0" w:space="0" w:color="auto"/>
            <w:left w:val="none" w:sz="0" w:space="0" w:color="auto"/>
            <w:bottom w:val="none" w:sz="0" w:space="0" w:color="auto"/>
            <w:right w:val="none" w:sz="0" w:space="0" w:color="auto"/>
          </w:divBdr>
        </w:div>
        <w:div w:id="1336612605">
          <w:marLeft w:val="0"/>
          <w:marRight w:val="0"/>
          <w:marTop w:val="0"/>
          <w:marBottom w:val="0"/>
          <w:divBdr>
            <w:top w:val="none" w:sz="0" w:space="0" w:color="auto"/>
            <w:left w:val="none" w:sz="0" w:space="0" w:color="auto"/>
            <w:bottom w:val="none" w:sz="0" w:space="0" w:color="auto"/>
            <w:right w:val="none" w:sz="0" w:space="0" w:color="auto"/>
          </w:divBdr>
        </w:div>
        <w:div w:id="2141259843">
          <w:marLeft w:val="0"/>
          <w:marRight w:val="0"/>
          <w:marTop w:val="0"/>
          <w:marBottom w:val="0"/>
          <w:divBdr>
            <w:top w:val="none" w:sz="0" w:space="0" w:color="auto"/>
            <w:left w:val="none" w:sz="0" w:space="0" w:color="auto"/>
            <w:bottom w:val="none" w:sz="0" w:space="0" w:color="auto"/>
            <w:right w:val="none" w:sz="0" w:space="0" w:color="auto"/>
          </w:divBdr>
        </w:div>
        <w:div w:id="150486692">
          <w:marLeft w:val="0"/>
          <w:marRight w:val="0"/>
          <w:marTop w:val="0"/>
          <w:marBottom w:val="0"/>
          <w:divBdr>
            <w:top w:val="none" w:sz="0" w:space="0" w:color="auto"/>
            <w:left w:val="none" w:sz="0" w:space="0" w:color="auto"/>
            <w:bottom w:val="none" w:sz="0" w:space="0" w:color="auto"/>
            <w:right w:val="none" w:sz="0" w:space="0" w:color="auto"/>
          </w:divBdr>
        </w:div>
        <w:div w:id="981035895">
          <w:marLeft w:val="0"/>
          <w:marRight w:val="0"/>
          <w:marTop w:val="0"/>
          <w:marBottom w:val="0"/>
          <w:divBdr>
            <w:top w:val="none" w:sz="0" w:space="0" w:color="auto"/>
            <w:left w:val="none" w:sz="0" w:space="0" w:color="auto"/>
            <w:bottom w:val="none" w:sz="0" w:space="0" w:color="auto"/>
            <w:right w:val="none" w:sz="0" w:space="0" w:color="auto"/>
          </w:divBdr>
        </w:div>
        <w:div w:id="1647667669">
          <w:marLeft w:val="0"/>
          <w:marRight w:val="0"/>
          <w:marTop w:val="0"/>
          <w:marBottom w:val="0"/>
          <w:divBdr>
            <w:top w:val="none" w:sz="0" w:space="0" w:color="auto"/>
            <w:left w:val="none" w:sz="0" w:space="0" w:color="auto"/>
            <w:bottom w:val="none" w:sz="0" w:space="0" w:color="auto"/>
            <w:right w:val="none" w:sz="0" w:space="0" w:color="auto"/>
          </w:divBdr>
        </w:div>
        <w:div w:id="810825989">
          <w:marLeft w:val="0"/>
          <w:marRight w:val="0"/>
          <w:marTop w:val="0"/>
          <w:marBottom w:val="0"/>
          <w:divBdr>
            <w:top w:val="none" w:sz="0" w:space="0" w:color="auto"/>
            <w:left w:val="none" w:sz="0" w:space="0" w:color="auto"/>
            <w:bottom w:val="none" w:sz="0" w:space="0" w:color="auto"/>
            <w:right w:val="none" w:sz="0" w:space="0" w:color="auto"/>
          </w:divBdr>
        </w:div>
        <w:div w:id="449321148">
          <w:marLeft w:val="0"/>
          <w:marRight w:val="0"/>
          <w:marTop w:val="0"/>
          <w:marBottom w:val="0"/>
          <w:divBdr>
            <w:top w:val="none" w:sz="0" w:space="0" w:color="auto"/>
            <w:left w:val="none" w:sz="0" w:space="0" w:color="auto"/>
            <w:bottom w:val="none" w:sz="0" w:space="0" w:color="auto"/>
            <w:right w:val="none" w:sz="0" w:space="0" w:color="auto"/>
          </w:divBdr>
        </w:div>
        <w:div w:id="1622229342">
          <w:marLeft w:val="0"/>
          <w:marRight w:val="0"/>
          <w:marTop w:val="0"/>
          <w:marBottom w:val="0"/>
          <w:divBdr>
            <w:top w:val="none" w:sz="0" w:space="0" w:color="auto"/>
            <w:left w:val="none" w:sz="0" w:space="0" w:color="auto"/>
            <w:bottom w:val="none" w:sz="0" w:space="0" w:color="auto"/>
            <w:right w:val="none" w:sz="0" w:space="0" w:color="auto"/>
          </w:divBdr>
        </w:div>
        <w:div w:id="1292009386">
          <w:marLeft w:val="0"/>
          <w:marRight w:val="0"/>
          <w:marTop w:val="0"/>
          <w:marBottom w:val="0"/>
          <w:divBdr>
            <w:top w:val="none" w:sz="0" w:space="0" w:color="auto"/>
            <w:left w:val="none" w:sz="0" w:space="0" w:color="auto"/>
            <w:bottom w:val="none" w:sz="0" w:space="0" w:color="auto"/>
            <w:right w:val="none" w:sz="0" w:space="0" w:color="auto"/>
          </w:divBdr>
        </w:div>
        <w:div w:id="953556132">
          <w:marLeft w:val="0"/>
          <w:marRight w:val="0"/>
          <w:marTop w:val="0"/>
          <w:marBottom w:val="0"/>
          <w:divBdr>
            <w:top w:val="none" w:sz="0" w:space="0" w:color="auto"/>
            <w:left w:val="none" w:sz="0" w:space="0" w:color="auto"/>
            <w:bottom w:val="none" w:sz="0" w:space="0" w:color="auto"/>
            <w:right w:val="none" w:sz="0" w:space="0" w:color="auto"/>
          </w:divBdr>
        </w:div>
        <w:div w:id="1345935232">
          <w:marLeft w:val="0"/>
          <w:marRight w:val="0"/>
          <w:marTop w:val="0"/>
          <w:marBottom w:val="0"/>
          <w:divBdr>
            <w:top w:val="none" w:sz="0" w:space="0" w:color="auto"/>
            <w:left w:val="none" w:sz="0" w:space="0" w:color="auto"/>
            <w:bottom w:val="none" w:sz="0" w:space="0" w:color="auto"/>
            <w:right w:val="none" w:sz="0" w:space="0" w:color="auto"/>
          </w:divBdr>
        </w:div>
        <w:div w:id="1539707839">
          <w:marLeft w:val="0"/>
          <w:marRight w:val="0"/>
          <w:marTop w:val="0"/>
          <w:marBottom w:val="0"/>
          <w:divBdr>
            <w:top w:val="none" w:sz="0" w:space="0" w:color="auto"/>
            <w:left w:val="none" w:sz="0" w:space="0" w:color="auto"/>
            <w:bottom w:val="none" w:sz="0" w:space="0" w:color="auto"/>
            <w:right w:val="none" w:sz="0" w:space="0" w:color="auto"/>
          </w:divBdr>
        </w:div>
        <w:div w:id="252397395">
          <w:marLeft w:val="0"/>
          <w:marRight w:val="0"/>
          <w:marTop w:val="0"/>
          <w:marBottom w:val="0"/>
          <w:divBdr>
            <w:top w:val="none" w:sz="0" w:space="0" w:color="auto"/>
            <w:left w:val="none" w:sz="0" w:space="0" w:color="auto"/>
            <w:bottom w:val="none" w:sz="0" w:space="0" w:color="auto"/>
            <w:right w:val="none" w:sz="0" w:space="0" w:color="auto"/>
          </w:divBdr>
        </w:div>
        <w:div w:id="1177573642">
          <w:marLeft w:val="0"/>
          <w:marRight w:val="0"/>
          <w:marTop w:val="0"/>
          <w:marBottom w:val="0"/>
          <w:divBdr>
            <w:top w:val="none" w:sz="0" w:space="0" w:color="auto"/>
            <w:left w:val="none" w:sz="0" w:space="0" w:color="auto"/>
            <w:bottom w:val="none" w:sz="0" w:space="0" w:color="auto"/>
            <w:right w:val="none" w:sz="0" w:space="0" w:color="auto"/>
          </w:divBdr>
        </w:div>
        <w:div w:id="172958543">
          <w:marLeft w:val="0"/>
          <w:marRight w:val="0"/>
          <w:marTop w:val="0"/>
          <w:marBottom w:val="0"/>
          <w:divBdr>
            <w:top w:val="none" w:sz="0" w:space="0" w:color="auto"/>
            <w:left w:val="none" w:sz="0" w:space="0" w:color="auto"/>
            <w:bottom w:val="none" w:sz="0" w:space="0" w:color="auto"/>
            <w:right w:val="none" w:sz="0" w:space="0" w:color="auto"/>
          </w:divBdr>
        </w:div>
        <w:div w:id="782648046">
          <w:marLeft w:val="0"/>
          <w:marRight w:val="0"/>
          <w:marTop w:val="0"/>
          <w:marBottom w:val="0"/>
          <w:divBdr>
            <w:top w:val="none" w:sz="0" w:space="0" w:color="auto"/>
            <w:left w:val="none" w:sz="0" w:space="0" w:color="auto"/>
            <w:bottom w:val="none" w:sz="0" w:space="0" w:color="auto"/>
            <w:right w:val="none" w:sz="0" w:space="0" w:color="auto"/>
          </w:divBdr>
        </w:div>
        <w:div w:id="1029645630">
          <w:marLeft w:val="0"/>
          <w:marRight w:val="0"/>
          <w:marTop w:val="0"/>
          <w:marBottom w:val="0"/>
          <w:divBdr>
            <w:top w:val="none" w:sz="0" w:space="0" w:color="auto"/>
            <w:left w:val="none" w:sz="0" w:space="0" w:color="auto"/>
            <w:bottom w:val="none" w:sz="0" w:space="0" w:color="auto"/>
            <w:right w:val="none" w:sz="0" w:space="0" w:color="auto"/>
          </w:divBdr>
        </w:div>
        <w:div w:id="1409378115">
          <w:marLeft w:val="0"/>
          <w:marRight w:val="0"/>
          <w:marTop w:val="0"/>
          <w:marBottom w:val="0"/>
          <w:divBdr>
            <w:top w:val="none" w:sz="0" w:space="0" w:color="auto"/>
            <w:left w:val="none" w:sz="0" w:space="0" w:color="auto"/>
            <w:bottom w:val="none" w:sz="0" w:space="0" w:color="auto"/>
            <w:right w:val="none" w:sz="0" w:space="0" w:color="auto"/>
          </w:divBdr>
        </w:div>
      </w:divsChild>
    </w:div>
    <w:div w:id="793862421">
      <w:bodyDiv w:val="1"/>
      <w:marLeft w:val="0"/>
      <w:marRight w:val="0"/>
      <w:marTop w:val="0"/>
      <w:marBottom w:val="0"/>
      <w:divBdr>
        <w:top w:val="none" w:sz="0" w:space="0" w:color="auto"/>
        <w:left w:val="none" w:sz="0" w:space="0" w:color="auto"/>
        <w:bottom w:val="none" w:sz="0" w:space="0" w:color="auto"/>
        <w:right w:val="none" w:sz="0" w:space="0" w:color="auto"/>
      </w:divBdr>
    </w:div>
    <w:div w:id="817650253">
      <w:bodyDiv w:val="1"/>
      <w:marLeft w:val="0"/>
      <w:marRight w:val="0"/>
      <w:marTop w:val="0"/>
      <w:marBottom w:val="0"/>
      <w:divBdr>
        <w:top w:val="none" w:sz="0" w:space="0" w:color="auto"/>
        <w:left w:val="none" w:sz="0" w:space="0" w:color="auto"/>
        <w:bottom w:val="none" w:sz="0" w:space="0" w:color="auto"/>
        <w:right w:val="none" w:sz="0" w:space="0" w:color="auto"/>
      </w:divBdr>
    </w:div>
    <w:div w:id="828445360">
      <w:bodyDiv w:val="1"/>
      <w:marLeft w:val="0"/>
      <w:marRight w:val="0"/>
      <w:marTop w:val="0"/>
      <w:marBottom w:val="0"/>
      <w:divBdr>
        <w:top w:val="none" w:sz="0" w:space="0" w:color="auto"/>
        <w:left w:val="none" w:sz="0" w:space="0" w:color="auto"/>
        <w:bottom w:val="none" w:sz="0" w:space="0" w:color="auto"/>
        <w:right w:val="none" w:sz="0" w:space="0" w:color="auto"/>
      </w:divBdr>
    </w:div>
    <w:div w:id="1064330325">
      <w:bodyDiv w:val="1"/>
      <w:marLeft w:val="0"/>
      <w:marRight w:val="0"/>
      <w:marTop w:val="0"/>
      <w:marBottom w:val="0"/>
      <w:divBdr>
        <w:top w:val="none" w:sz="0" w:space="0" w:color="auto"/>
        <w:left w:val="none" w:sz="0" w:space="0" w:color="auto"/>
        <w:bottom w:val="none" w:sz="0" w:space="0" w:color="auto"/>
        <w:right w:val="none" w:sz="0" w:space="0" w:color="auto"/>
      </w:divBdr>
    </w:div>
    <w:div w:id="1079868014">
      <w:bodyDiv w:val="1"/>
      <w:marLeft w:val="0"/>
      <w:marRight w:val="0"/>
      <w:marTop w:val="0"/>
      <w:marBottom w:val="0"/>
      <w:divBdr>
        <w:top w:val="none" w:sz="0" w:space="0" w:color="auto"/>
        <w:left w:val="none" w:sz="0" w:space="0" w:color="auto"/>
        <w:bottom w:val="none" w:sz="0" w:space="0" w:color="auto"/>
        <w:right w:val="none" w:sz="0" w:space="0" w:color="auto"/>
      </w:divBdr>
    </w:div>
    <w:div w:id="1081561463">
      <w:bodyDiv w:val="1"/>
      <w:marLeft w:val="0"/>
      <w:marRight w:val="0"/>
      <w:marTop w:val="0"/>
      <w:marBottom w:val="0"/>
      <w:divBdr>
        <w:top w:val="none" w:sz="0" w:space="0" w:color="auto"/>
        <w:left w:val="none" w:sz="0" w:space="0" w:color="auto"/>
        <w:bottom w:val="none" w:sz="0" w:space="0" w:color="auto"/>
        <w:right w:val="none" w:sz="0" w:space="0" w:color="auto"/>
      </w:divBdr>
    </w:div>
    <w:div w:id="1184904293">
      <w:bodyDiv w:val="1"/>
      <w:marLeft w:val="0"/>
      <w:marRight w:val="0"/>
      <w:marTop w:val="0"/>
      <w:marBottom w:val="0"/>
      <w:divBdr>
        <w:top w:val="none" w:sz="0" w:space="0" w:color="auto"/>
        <w:left w:val="none" w:sz="0" w:space="0" w:color="auto"/>
        <w:bottom w:val="none" w:sz="0" w:space="0" w:color="auto"/>
        <w:right w:val="none" w:sz="0" w:space="0" w:color="auto"/>
      </w:divBdr>
    </w:div>
    <w:div w:id="1244024996">
      <w:bodyDiv w:val="1"/>
      <w:marLeft w:val="0"/>
      <w:marRight w:val="0"/>
      <w:marTop w:val="0"/>
      <w:marBottom w:val="0"/>
      <w:divBdr>
        <w:top w:val="none" w:sz="0" w:space="0" w:color="auto"/>
        <w:left w:val="none" w:sz="0" w:space="0" w:color="auto"/>
        <w:bottom w:val="none" w:sz="0" w:space="0" w:color="auto"/>
        <w:right w:val="none" w:sz="0" w:space="0" w:color="auto"/>
      </w:divBdr>
    </w:div>
    <w:div w:id="1319579135">
      <w:bodyDiv w:val="1"/>
      <w:marLeft w:val="0"/>
      <w:marRight w:val="0"/>
      <w:marTop w:val="0"/>
      <w:marBottom w:val="0"/>
      <w:divBdr>
        <w:top w:val="none" w:sz="0" w:space="0" w:color="auto"/>
        <w:left w:val="none" w:sz="0" w:space="0" w:color="auto"/>
        <w:bottom w:val="none" w:sz="0" w:space="0" w:color="auto"/>
        <w:right w:val="none" w:sz="0" w:space="0" w:color="auto"/>
      </w:divBdr>
    </w:div>
    <w:div w:id="1370033570">
      <w:bodyDiv w:val="1"/>
      <w:marLeft w:val="0"/>
      <w:marRight w:val="0"/>
      <w:marTop w:val="0"/>
      <w:marBottom w:val="0"/>
      <w:divBdr>
        <w:top w:val="none" w:sz="0" w:space="0" w:color="auto"/>
        <w:left w:val="none" w:sz="0" w:space="0" w:color="auto"/>
        <w:bottom w:val="none" w:sz="0" w:space="0" w:color="auto"/>
        <w:right w:val="none" w:sz="0" w:space="0" w:color="auto"/>
      </w:divBdr>
    </w:div>
    <w:div w:id="1384138636">
      <w:bodyDiv w:val="1"/>
      <w:marLeft w:val="0"/>
      <w:marRight w:val="0"/>
      <w:marTop w:val="0"/>
      <w:marBottom w:val="0"/>
      <w:divBdr>
        <w:top w:val="none" w:sz="0" w:space="0" w:color="auto"/>
        <w:left w:val="none" w:sz="0" w:space="0" w:color="auto"/>
        <w:bottom w:val="none" w:sz="0" w:space="0" w:color="auto"/>
        <w:right w:val="none" w:sz="0" w:space="0" w:color="auto"/>
      </w:divBdr>
    </w:div>
    <w:div w:id="1391922578">
      <w:bodyDiv w:val="1"/>
      <w:marLeft w:val="0"/>
      <w:marRight w:val="0"/>
      <w:marTop w:val="0"/>
      <w:marBottom w:val="0"/>
      <w:divBdr>
        <w:top w:val="none" w:sz="0" w:space="0" w:color="auto"/>
        <w:left w:val="none" w:sz="0" w:space="0" w:color="auto"/>
        <w:bottom w:val="none" w:sz="0" w:space="0" w:color="auto"/>
        <w:right w:val="none" w:sz="0" w:space="0" w:color="auto"/>
      </w:divBdr>
    </w:div>
    <w:div w:id="1447848896">
      <w:bodyDiv w:val="1"/>
      <w:marLeft w:val="0"/>
      <w:marRight w:val="0"/>
      <w:marTop w:val="0"/>
      <w:marBottom w:val="0"/>
      <w:divBdr>
        <w:top w:val="none" w:sz="0" w:space="0" w:color="auto"/>
        <w:left w:val="none" w:sz="0" w:space="0" w:color="auto"/>
        <w:bottom w:val="none" w:sz="0" w:space="0" w:color="auto"/>
        <w:right w:val="none" w:sz="0" w:space="0" w:color="auto"/>
      </w:divBdr>
    </w:div>
    <w:div w:id="1462191682">
      <w:bodyDiv w:val="1"/>
      <w:marLeft w:val="0"/>
      <w:marRight w:val="0"/>
      <w:marTop w:val="0"/>
      <w:marBottom w:val="0"/>
      <w:divBdr>
        <w:top w:val="none" w:sz="0" w:space="0" w:color="auto"/>
        <w:left w:val="none" w:sz="0" w:space="0" w:color="auto"/>
        <w:bottom w:val="none" w:sz="0" w:space="0" w:color="auto"/>
        <w:right w:val="none" w:sz="0" w:space="0" w:color="auto"/>
      </w:divBdr>
    </w:div>
    <w:div w:id="1502428030">
      <w:bodyDiv w:val="1"/>
      <w:marLeft w:val="0"/>
      <w:marRight w:val="0"/>
      <w:marTop w:val="0"/>
      <w:marBottom w:val="0"/>
      <w:divBdr>
        <w:top w:val="none" w:sz="0" w:space="0" w:color="auto"/>
        <w:left w:val="none" w:sz="0" w:space="0" w:color="auto"/>
        <w:bottom w:val="none" w:sz="0" w:space="0" w:color="auto"/>
        <w:right w:val="none" w:sz="0" w:space="0" w:color="auto"/>
      </w:divBdr>
    </w:div>
    <w:div w:id="1548225174">
      <w:bodyDiv w:val="1"/>
      <w:marLeft w:val="0"/>
      <w:marRight w:val="0"/>
      <w:marTop w:val="0"/>
      <w:marBottom w:val="0"/>
      <w:divBdr>
        <w:top w:val="none" w:sz="0" w:space="0" w:color="auto"/>
        <w:left w:val="none" w:sz="0" w:space="0" w:color="auto"/>
        <w:bottom w:val="none" w:sz="0" w:space="0" w:color="auto"/>
        <w:right w:val="none" w:sz="0" w:space="0" w:color="auto"/>
      </w:divBdr>
    </w:div>
    <w:div w:id="1584872116">
      <w:bodyDiv w:val="1"/>
      <w:marLeft w:val="0"/>
      <w:marRight w:val="0"/>
      <w:marTop w:val="0"/>
      <w:marBottom w:val="0"/>
      <w:divBdr>
        <w:top w:val="none" w:sz="0" w:space="0" w:color="auto"/>
        <w:left w:val="none" w:sz="0" w:space="0" w:color="auto"/>
        <w:bottom w:val="none" w:sz="0" w:space="0" w:color="auto"/>
        <w:right w:val="none" w:sz="0" w:space="0" w:color="auto"/>
      </w:divBdr>
    </w:div>
    <w:div w:id="1668702543">
      <w:bodyDiv w:val="1"/>
      <w:marLeft w:val="0"/>
      <w:marRight w:val="0"/>
      <w:marTop w:val="0"/>
      <w:marBottom w:val="0"/>
      <w:divBdr>
        <w:top w:val="none" w:sz="0" w:space="0" w:color="auto"/>
        <w:left w:val="none" w:sz="0" w:space="0" w:color="auto"/>
        <w:bottom w:val="none" w:sz="0" w:space="0" w:color="auto"/>
        <w:right w:val="none" w:sz="0" w:space="0" w:color="auto"/>
      </w:divBdr>
    </w:div>
    <w:div w:id="1713268292">
      <w:bodyDiv w:val="1"/>
      <w:marLeft w:val="0"/>
      <w:marRight w:val="0"/>
      <w:marTop w:val="0"/>
      <w:marBottom w:val="0"/>
      <w:divBdr>
        <w:top w:val="none" w:sz="0" w:space="0" w:color="auto"/>
        <w:left w:val="none" w:sz="0" w:space="0" w:color="auto"/>
        <w:bottom w:val="none" w:sz="0" w:space="0" w:color="auto"/>
        <w:right w:val="none" w:sz="0" w:space="0" w:color="auto"/>
      </w:divBdr>
    </w:div>
    <w:div w:id="1715620211">
      <w:bodyDiv w:val="1"/>
      <w:marLeft w:val="0"/>
      <w:marRight w:val="0"/>
      <w:marTop w:val="0"/>
      <w:marBottom w:val="0"/>
      <w:divBdr>
        <w:top w:val="none" w:sz="0" w:space="0" w:color="auto"/>
        <w:left w:val="none" w:sz="0" w:space="0" w:color="auto"/>
        <w:bottom w:val="none" w:sz="0" w:space="0" w:color="auto"/>
        <w:right w:val="none" w:sz="0" w:space="0" w:color="auto"/>
      </w:divBdr>
    </w:div>
    <w:div w:id="1796412719">
      <w:bodyDiv w:val="1"/>
      <w:marLeft w:val="0"/>
      <w:marRight w:val="0"/>
      <w:marTop w:val="0"/>
      <w:marBottom w:val="0"/>
      <w:divBdr>
        <w:top w:val="none" w:sz="0" w:space="0" w:color="auto"/>
        <w:left w:val="none" w:sz="0" w:space="0" w:color="auto"/>
        <w:bottom w:val="none" w:sz="0" w:space="0" w:color="auto"/>
        <w:right w:val="none" w:sz="0" w:space="0" w:color="auto"/>
      </w:divBdr>
    </w:div>
    <w:div w:id="1802461246">
      <w:bodyDiv w:val="1"/>
      <w:marLeft w:val="0"/>
      <w:marRight w:val="0"/>
      <w:marTop w:val="0"/>
      <w:marBottom w:val="0"/>
      <w:divBdr>
        <w:top w:val="none" w:sz="0" w:space="0" w:color="auto"/>
        <w:left w:val="none" w:sz="0" w:space="0" w:color="auto"/>
        <w:bottom w:val="none" w:sz="0" w:space="0" w:color="auto"/>
        <w:right w:val="none" w:sz="0" w:space="0" w:color="auto"/>
      </w:divBdr>
    </w:div>
    <w:div w:id="1850480685">
      <w:bodyDiv w:val="1"/>
      <w:marLeft w:val="0"/>
      <w:marRight w:val="0"/>
      <w:marTop w:val="0"/>
      <w:marBottom w:val="0"/>
      <w:divBdr>
        <w:top w:val="none" w:sz="0" w:space="0" w:color="auto"/>
        <w:left w:val="none" w:sz="0" w:space="0" w:color="auto"/>
        <w:bottom w:val="none" w:sz="0" w:space="0" w:color="auto"/>
        <w:right w:val="none" w:sz="0" w:space="0" w:color="auto"/>
      </w:divBdr>
    </w:div>
    <w:div w:id="1871602083">
      <w:bodyDiv w:val="1"/>
      <w:marLeft w:val="0"/>
      <w:marRight w:val="0"/>
      <w:marTop w:val="0"/>
      <w:marBottom w:val="0"/>
      <w:divBdr>
        <w:top w:val="none" w:sz="0" w:space="0" w:color="auto"/>
        <w:left w:val="none" w:sz="0" w:space="0" w:color="auto"/>
        <w:bottom w:val="none" w:sz="0" w:space="0" w:color="auto"/>
        <w:right w:val="none" w:sz="0" w:space="0" w:color="auto"/>
      </w:divBdr>
    </w:div>
    <w:div w:id="1884902585">
      <w:bodyDiv w:val="1"/>
      <w:marLeft w:val="0"/>
      <w:marRight w:val="0"/>
      <w:marTop w:val="0"/>
      <w:marBottom w:val="0"/>
      <w:divBdr>
        <w:top w:val="none" w:sz="0" w:space="0" w:color="auto"/>
        <w:left w:val="none" w:sz="0" w:space="0" w:color="auto"/>
        <w:bottom w:val="none" w:sz="0" w:space="0" w:color="auto"/>
        <w:right w:val="none" w:sz="0" w:space="0" w:color="auto"/>
      </w:divBdr>
    </w:div>
    <w:div w:id="1893348161">
      <w:bodyDiv w:val="1"/>
      <w:marLeft w:val="0"/>
      <w:marRight w:val="0"/>
      <w:marTop w:val="0"/>
      <w:marBottom w:val="0"/>
      <w:divBdr>
        <w:top w:val="none" w:sz="0" w:space="0" w:color="auto"/>
        <w:left w:val="none" w:sz="0" w:space="0" w:color="auto"/>
        <w:bottom w:val="none" w:sz="0" w:space="0" w:color="auto"/>
        <w:right w:val="none" w:sz="0" w:space="0" w:color="auto"/>
      </w:divBdr>
    </w:div>
    <w:div w:id="1989287263">
      <w:bodyDiv w:val="1"/>
      <w:marLeft w:val="0"/>
      <w:marRight w:val="0"/>
      <w:marTop w:val="0"/>
      <w:marBottom w:val="0"/>
      <w:divBdr>
        <w:top w:val="none" w:sz="0" w:space="0" w:color="auto"/>
        <w:left w:val="none" w:sz="0" w:space="0" w:color="auto"/>
        <w:bottom w:val="none" w:sz="0" w:space="0" w:color="auto"/>
        <w:right w:val="none" w:sz="0" w:space="0" w:color="auto"/>
      </w:divBdr>
    </w:div>
    <w:div w:id="2032339792">
      <w:bodyDiv w:val="1"/>
      <w:marLeft w:val="0"/>
      <w:marRight w:val="0"/>
      <w:marTop w:val="0"/>
      <w:marBottom w:val="0"/>
      <w:divBdr>
        <w:top w:val="none" w:sz="0" w:space="0" w:color="auto"/>
        <w:left w:val="none" w:sz="0" w:space="0" w:color="auto"/>
        <w:bottom w:val="none" w:sz="0" w:space="0" w:color="auto"/>
        <w:right w:val="none" w:sz="0" w:space="0" w:color="auto"/>
      </w:divBdr>
    </w:div>
    <w:div w:id="20686025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251">
          <w:marLeft w:val="0"/>
          <w:marRight w:val="0"/>
          <w:marTop w:val="0"/>
          <w:marBottom w:val="0"/>
          <w:divBdr>
            <w:top w:val="none" w:sz="0" w:space="0" w:color="auto"/>
            <w:left w:val="none" w:sz="0" w:space="0" w:color="auto"/>
            <w:bottom w:val="none" w:sz="0" w:space="0" w:color="auto"/>
            <w:right w:val="none" w:sz="0" w:space="0" w:color="auto"/>
          </w:divBdr>
        </w:div>
        <w:div w:id="1661929974">
          <w:marLeft w:val="0"/>
          <w:marRight w:val="0"/>
          <w:marTop w:val="0"/>
          <w:marBottom w:val="0"/>
          <w:divBdr>
            <w:top w:val="none" w:sz="0" w:space="0" w:color="auto"/>
            <w:left w:val="none" w:sz="0" w:space="0" w:color="auto"/>
            <w:bottom w:val="none" w:sz="0" w:space="0" w:color="auto"/>
            <w:right w:val="none" w:sz="0" w:space="0" w:color="auto"/>
          </w:divBdr>
        </w:div>
        <w:div w:id="837888699">
          <w:marLeft w:val="0"/>
          <w:marRight w:val="0"/>
          <w:marTop w:val="0"/>
          <w:marBottom w:val="0"/>
          <w:divBdr>
            <w:top w:val="none" w:sz="0" w:space="0" w:color="auto"/>
            <w:left w:val="none" w:sz="0" w:space="0" w:color="auto"/>
            <w:bottom w:val="none" w:sz="0" w:space="0" w:color="auto"/>
            <w:right w:val="none" w:sz="0" w:space="0" w:color="auto"/>
          </w:divBdr>
        </w:div>
        <w:div w:id="1285234131">
          <w:marLeft w:val="0"/>
          <w:marRight w:val="0"/>
          <w:marTop w:val="0"/>
          <w:marBottom w:val="0"/>
          <w:divBdr>
            <w:top w:val="none" w:sz="0" w:space="0" w:color="auto"/>
            <w:left w:val="none" w:sz="0" w:space="0" w:color="auto"/>
            <w:bottom w:val="none" w:sz="0" w:space="0" w:color="auto"/>
            <w:right w:val="none" w:sz="0" w:space="0" w:color="auto"/>
          </w:divBdr>
        </w:div>
        <w:div w:id="1176654944">
          <w:marLeft w:val="0"/>
          <w:marRight w:val="0"/>
          <w:marTop w:val="0"/>
          <w:marBottom w:val="0"/>
          <w:divBdr>
            <w:top w:val="none" w:sz="0" w:space="0" w:color="auto"/>
            <w:left w:val="none" w:sz="0" w:space="0" w:color="auto"/>
            <w:bottom w:val="none" w:sz="0" w:space="0" w:color="auto"/>
            <w:right w:val="none" w:sz="0" w:space="0" w:color="auto"/>
          </w:divBdr>
        </w:div>
        <w:div w:id="2112554113">
          <w:marLeft w:val="0"/>
          <w:marRight w:val="0"/>
          <w:marTop w:val="0"/>
          <w:marBottom w:val="0"/>
          <w:divBdr>
            <w:top w:val="none" w:sz="0" w:space="0" w:color="auto"/>
            <w:left w:val="none" w:sz="0" w:space="0" w:color="auto"/>
            <w:bottom w:val="none" w:sz="0" w:space="0" w:color="auto"/>
            <w:right w:val="none" w:sz="0" w:space="0" w:color="auto"/>
          </w:divBdr>
        </w:div>
        <w:div w:id="1641498417">
          <w:marLeft w:val="0"/>
          <w:marRight w:val="0"/>
          <w:marTop w:val="0"/>
          <w:marBottom w:val="0"/>
          <w:divBdr>
            <w:top w:val="none" w:sz="0" w:space="0" w:color="auto"/>
            <w:left w:val="none" w:sz="0" w:space="0" w:color="auto"/>
            <w:bottom w:val="none" w:sz="0" w:space="0" w:color="auto"/>
            <w:right w:val="none" w:sz="0" w:space="0" w:color="auto"/>
          </w:divBdr>
        </w:div>
        <w:div w:id="1127968215">
          <w:marLeft w:val="0"/>
          <w:marRight w:val="0"/>
          <w:marTop w:val="0"/>
          <w:marBottom w:val="0"/>
          <w:divBdr>
            <w:top w:val="none" w:sz="0" w:space="0" w:color="auto"/>
            <w:left w:val="none" w:sz="0" w:space="0" w:color="auto"/>
            <w:bottom w:val="none" w:sz="0" w:space="0" w:color="auto"/>
            <w:right w:val="none" w:sz="0" w:space="0" w:color="auto"/>
          </w:divBdr>
        </w:div>
        <w:div w:id="9187838">
          <w:marLeft w:val="0"/>
          <w:marRight w:val="0"/>
          <w:marTop w:val="0"/>
          <w:marBottom w:val="0"/>
          <w:divBdr>
            <w:top w:val="none" w:sz="0" w:space="0" w:color="auto"/>
            <w:left w:val="none" w:sz="0" w:space="0" w:color="auto"/>
            <w:bottom w:val="none" w:sz="0" w:space="0" w:color="auto"/>
            <w:right w:val="none" w:sz="0" w:space="0" w:color="auto"/>
          </w:divBdr>
        </w:div>
        <w:div w:id="1796099534">
          <w:marLeft w:val="0"/>
          <w:marRight w:val="0"/>
          <w:marTop w:val="0"/>
          <w:marBottom w:val="0"/>
          <w:divBdr>
            <w:top w:val="none" w:sz="0" w:space="0" w:color="auto"/>
            <w:left w:val="none" w:sz="0" w:space="0" w:color="auto"/>
            <w:bottom w:val="none" w:sz="0" w:space="0" w:color="auto"/>
            <w:right w:val="none" w:sz="0" w:space="0" w:color="auto"/>
          </w:divBdr>
        </w:div>
        <w:div w:id="4795430">
          <w:marLeft w:val="0"/>
          <w:marRight w:val="0"/>
          <w:marTop w:val="0"/>
          <w:marBottom w:val="0"/>
          <w:divBdr>
            <w:top w:val="none" w:sz="0" w:space="0" w:color="auto"/>
            <w:left w:val="none" w:sz="0" w:space="0" w:color="auto"/>
            <w:bottom w:val="none" w:sz="0" w:space="0" w:color="auto"/>
            <w:right w:val="none" w:sz="0" w:space="0" w:color="auto"/>
          </w:divBdr>
        </w:div>
        <w:div w:id="1372343152">
          <w:marLeft w:val="0"/>
          <w:marRight w:val="0"/>
          <w:marTop w:val="0"/>
          <w:marBottom w:val="0"/>
          <w:divBdr>
            <w:top w:val="none" w:sz="0" w:space="0" w:color="auto"/>
            <w:left w:val="none" w:sz="0" w:space="0" w:color="auto"/>
            <w:bottom w:val="none" w:sz="0" w:space="0" w:color="auto"/>
            <w:right w:val="none" w:sz="0" w:space="0" w:color="auto"/>
          </w:divBdr>
        </w:div>
        <w:div w:id="356809881">
          <w:marLeft w:val="0"/>
          <w:marRight w:val="0"/>
          <w:marTop w:val="0"/>
          <w:marBottom w:val="0"/>
          <w:divBdr>
            <w:top w:val="none" w:sz="0" w:space="0" w:color="auto"/>
            <w:left w:val="none" w:sz="0" w:space="0" w:color="auto"/>
            <w:bottom w:val="none" w:sz="0" w:space="0" w:color="auto"/>
            <w:right w:val="none" w:sz="0" w:space="0" w:color="auto"/>
          </w:divBdr>
        </w:div>
        <w:div w:id="737292264">
          <w:marLeft w:val="0"/>
          <w:marRight w:val="0"/>
          <w:marTop w:val="0"/>
          <w:marBottom w:val="0"/>
          <w:divBdr>
            <w:top w:val="none" w:sz="0" w:space="0" w:color="auto"/>
            <w:left w:val="none" w:sz="0" w:space="0" w:color="auto"/>
            <w:bottom w:val="none" w:sz="0" w:space="0" w:color="auto"/>
            <w:right w:val="none" w:sz="0" w:space="0" w:color="auto"/>
          </w:divBdr>
        </w:div>
        <w:div w:id="1999307505">
          <w:marLeft w:val="0"/>
          <w:marRight w:val="0"/>
          <w:marTop w:val="0"/>
          <w:marBottom w:val="0"/>
          <w:divBdr>
            <w:top w:val="none" w:sz="0" w:space="0" w:color="auto"/>
            <w:left w:val="none" w:sz="0" w:space="0" w:color="auto"/>
            <w:bottom w:val="none" w:sz="0" w:space="0" w:color="auto"/>
            <w:right w:val="none" w:sz="0" w:space="0" w:color="auto"/>
          </w:divBdr>
        </w:div>
        <w:div w:id="1786922578">
          <w:marLeft w:val="0"/>
          <w:marRight w:val="0"/>
          <w:marTop w:val="0"/>
          <w:marBottom w:val="0"/>
          <w:divBdr>
            <w:top w:val="none" w:sz="0" w:space="0" w:color="auto"/>
            <w:left w:val="none" w:sz="0" w:space="0" w:color="auto"/>
            <w:bottom w:val="none" w:sz="0" w:space="0" w:color="auto"/>
            <w:right w:val="none" w:sz="0" w:space="0" w:color="auto"/>
          </w:divBdr>
        </w:div>
        <w:div w:id="1424301427">
          <w:marLeft w:val="0"/>
          <w:marRight w:val="0"/>
          <w:marTop w:val="0"/>
          <w:marBottom w:val="0"/>
          <w:divBdr>
            <w:top w:val="none" w:sz="0" w:space="0" w:color="auto"/>
            <w:left w:val="none" w:sz="0" w:space="0" w:color="auto"/>
            <w:bottom w:val="none" w:sz="0" w:space="0" w:color="auto"/>
            <w:right w:val="none" w:sz="0" w:space="0" w:color="auto"/>
          </w:divBdr>
        </w:div>
        <w:div w:id="1176840841">
          <w:marLeft w:val="0"/>
          <w:marRight w:val="0"/>
          <w:marTop w:val="0"/>
          <w:marBottom w:val="0"/>
          <w:divBdr>
            <w:top w:val="none" w:sz="0" w:space="0" w:color="auto"/>
            <w:left w:val="none" w:sz="0" w:space="0" w:color="auto"/>
            <w:bottom w:val="none" w:sz="0" w:space="0" w:color="auto"/>
            <w:right w:val="none" w:sz="0" w:space="0" w:color="auto"/>
          </w:divBdr>
        </w:div>
        <w:div w:id="1315184745">
          <w:marLeft w:val="0"/>
          <w:marRight w:val="0"/>
          <w:marTop w:val="0"/>
          <w:marBottom w:val="0"/>
          <w:divBdr>
            <w:top w:val="none" w:sz="0" w:space="0" w:color="auto"/>
            <w:left w:val="none" w:sz="0" w:space="0" w:color="auto"/>
            <w:bottom w:val="none" w:sz="0" w:space="0" w:color="auto"/>
            <w:right w:val="none" w:sz="0" w:space="0" w:color="auto"/>
          </w:divBdr>
        </w:div>
      </w:divsChild>
    </w:div>
    <w:div w:id="2070348375">
      <w:bodyDiv w:val="1"/>
      <w:marLeft w:val="0"/>
      <w:marRight w:val="0"/>
      <w:marTop w:val="0"/>
      <w:marBottom w:val="0"/>
      <w:divBdr>
        <w:top w:val="none" w:sz="0" w:space="0" w:color="auto"/>
        <w:left w:val="none" w:sz="0" w:space="0" w:color="auto"/>
        <w:bottom w:val="none" w:sz="0" w:space="0" w:color="auto"/>
        <w:right w:val="none" w:sz="0" w:space="0" w:color="auto"/>
      </w:divBdr>
    </w:div>
    <w:div w:id="208544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6.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5.xml"/><Relationship Id="rId4"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2.xml"/><Relationship Id="rId4"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3.xml"/><Relationship Id="rId4"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4.xml"/><Relationship Id="rId4"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'Кількість банків'!$C$1</c:f>
              <c:strCache>
                <c:ptCount val="1"/>
                <c:pt idx="0">
                  <c:v>Банки з іноземним капіталом</c:v>
                </c:pt>
              </c:strCache>
            </c:strRef>
          </c:tx>
          <c:spPr>
            <a:solidFill>
              <a:schemeClr val="accent2"/>
            </a:solidFill>
            <a:ln>
              <a:noFill/>
            </a:ln>
            <a:effectLst/>
          </c:spPr>
          <c:invertIfNegative val="0"/>
          <c:val>
            <c:numRef>
              <c:f>'Кількість банків'!$C$2:$C$11</c:f>
              <c:numCache>
                <c:formatCode>General</c:formatCode>
                <c:ptCount val="10"/>
                <c:pt idx="0">
                  <c:v>53</c:v>
                </c:pt>
                <c:pt idx="1">
                  <c:v>49</c:v>
                </c:pt>
                <c:pt idx="2">
                  <c:v>51</c:v>
                </c:pt>
                <c:pt idx="3">
                  <c:v>41</c:v>
                </c:pt>
                <c:pt idx="4">
                  <c:v>38</c:v>
                </c:pt>
                <c:pt idx="5">
                  <c:v>38</c:v>
                </c:pt>
                <c:pt idx="6">
                  <c:v>37</c:v>
                </c:pt>
                <c:pt idx="7">
                  <c:v>35</c:v>
                </c:pt>
                <c:pt idx="8">
                  <c:v>33</c:v>
                </c:pt>
                <c:pt idx="9">
                  <c:v>33</c:v>
                </c:pt>
              </c:numCache>
            </c:numRef>
          </c:val>
          <c:extLst>
            <c:ext xmlns:c16="http://schemas.microsoft.com/office/drawing/2014/chart" uri="{C3380CC4-5D6E-409C-BE32-E72D297353CC}">
              <c16:uniqueId val="{00000000-C2BA-4A99-8D5E-540B54D2EF3E}"/>
            </c:ext>
          </c:extLst>
        </c:ser>
        <c:ser>
          <c:idx val="2"/>
          <c:order val="2"/>
          <c:tx>
            <c:strRef>
              <c:f>'Кількість банків'!$D$1</c:f>
              <c:strCache>
                <c:ptCount val="1"/>
                <c:pt idx="0">
                  <c:v>Банки з вітчизняним капіталом</c:v>
                </c:pt>
              </c:strCache>
            </c:strRef>
          </c:tx>
          <c:spPr>
            <a:solidFill>
              <a:schemeClr val="accent3"/>
            </a:solidFill>
            <a:ln>
              <a:noFill/>
            </a:ln>
            <a:effectLst/>
          </c:spPr>
          <c:invertIfNegative val="0"/>
          <c:val>
            <c:numRef>
              <c:f>'Кількість банків'!$D$2:$D$11</c:f>
              <c:numCache>
                <c:formatCode>General</c:formatCode>
                <c:ptCount val="10"/>
                <c:pt idx="0">
                  <c:v>123</c:v>
                </c:pt>
                <c:pt idx="1">
                  <c:v>131</c:v>
                </c:pt>
                <c:pt idx="2">
                  <c:v>112</c:v>
                </c:pt>
                <c:pt idx="3">
                  <c:v>76</c:v>
                </c:pt>
                <c:pt idx="4">
                  <c:v>58</c:v>
                </c:pt>
                <c:pt idx="5">
                  <c:v>44</c:v>
                </c:pt>
                <c:pt idx="6">
                  <c:v>40</c:v>
                </c:pt>
                <c:pt idx="7">
                  <c:v>40</c:v>
                </c:pt>
                <c:pt idx="8">
                  <c:v>41</c:v>
                </c:pt>
                <c:pt idx="9">
                  <c:v>38</c:v>
                </c:pt>
              </c:numCache>
            </c:numRef>
          </c:val>
          <c:extLst>
            <c:ext xmlns:c16="http://schemas.microsoft.com/office/drawing/2014/chart" uri="{C3380CC4-5D6E-409C-BE32-E72D297353CC}">
              <c16:uniqueId val="{00000001-C2BA-4A99-8D5E-540B54D2EF3E}"/>
            </c:ext>
          </c:extLst>
        </c:ser>
        <c:dLbls>
          <c:showLegendKey val="0"/>
          <c:showVal val="0"/>
          <c:showCatName val="0"/>
          <c:showSerName val="0"/>
          <c:showPercent val="0"/>
          <c:showBubbleSize val="0"/>
        </c:dLbls>
        <c:gapWidth val="219"/>
        <c:axId val="411469968"/>
        <c:axId val="411466688"/>
      </c:barChart>
      <c:lineChart>
        <c:grouping val="stacked"/>
        <c:varyColors val="0"/>
        <c:ser>
          <c:idx val="0"/>
          <c:order val="0"/>
          <c:tx>
            <c:strRef>
              <c:f>'Кількість банків'!$B$1</c:f>
              <c:strCache>
                <c:ptCount val="1"/>
                <c:pt idx="0">
                  <c:v>Кількість комерційних банків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'Кількість банків'!$B$2:$B$11</c:f>
              <c:numCache>
                <c:formatCode>General</c:formatCode>
                <c:ptCount val="10"/>
                <c:pt idx="0">
                  <c:v>176</c:v>
                </c:pt>
                <c:pt idx="1">
                  <c:v>180</c:v>
                </c:pt>
                <c:pt idx="2">
                  <c:v>163</c:v>
                </c:pt>
                <c:pt idx="3">
                  <c:v>117</c:v>
                </c:pt>
                <c:pt idx="4">
                  <c:v>96</c:v>
                </c:pt>
                <c:pt idx="5">
                  <c:v>82</c:v>
                </c:pt>
                <c:pt idx="6">
                  <c:v>77</c:v>
                </c:pt>
                <c:pt idx="7">
                  <c:v>75</c:v>
                </c:pt>
                <c:pt idx="8">
                  <c:v>74</c:v>
                </c:pt>
                <c:pt idx="9">
                  <c:v>71</c:v>
                </c:pt>
              </c:numCache>
            </c:numRef>
          </c:val>
          <c:smooth val="0"/>
          <c:extLst>
            <c:ext xmlns:c16="http://schemas.microsoft.com/office/drawing/2014/chart" uri="{C3380CC4-5D6E-409C-BE32-E72D297353CC}">
              <c16:uniqueId val="{00000002-C2BA-4A99-8D5E-540B54D2EF3E}"/>
            </c:ext>
          </c:extLst>
        </c:ser>
        <c:dLbls>
          <c:showLegendKey val="0"/>
          <c:showVal val="0"/>
          <c:showCatName val="0"/>
          <c:showSerName val="0"/>
          <c:showPercent val="0"/>
          <c:showBubbleSize val="0"/>
        </c:dLbls>
        <c:marker val="1"/>
        <c:smooth val="0"/>
        <c:axId val="411469968"/>
        <c:axId val="411466688"/>
      </c:lineChart>
      <c:dateAx>
        <c:axId val="4114699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1466688"/>
        <c:crosses val="autoZero"/>
        <c:auto val="0"/>
        <c:lblOffset val="100"/>
        <c:baseTimeUnit val="days"/>
      </c:dateAx>
      <c:valAx>
        <c:axId val="41146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146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Лист1!$B$10</c:f>
              <c:strCache>
                <c:ptCount val="1"/>
                <c:pt idx="0">
                  <c:v>Активи</c:v>
                </c:pt>
              </c:strCache>
            </c:strRef>
          </c:tx>
          <c:spPr>
            <a:solidFill>
              <a:schemeClr val="accent1"/>
            </a:solidFill>
            <a:ln>
              <a:noFill/>
            </a:ln>
            <a:effectLst/>
          </c:spPr>
          <c:invertIfNegative val="0"/>
          <c:val>
            <c:numRef>
              <c:f>Лист1!$C$10:$G$10</c:f>
              <c:numCache>
                <c:formatCode>#\ ##0.000</c:formatCode>
                <c:ptCount val="5"/>
                <c:pt idx="0">
                  <c:v>1134.3910000000001</c:v>
                </c:pt>
                <c:pt idx="1">
                  <c:v>2473.0149999999999</c:v>
                </c:pt>
                <c:pt idx="2">
                  <c:v>2183.752</c:v>
                </c:pt>
                <c:pt idx="3">
                  <c:v>282.16800000000001</c:v>
                </c:pt>
                <c:pt idx="4">
                  <c:v>6073.3259999999991</c:v>
                </c:pt>
              </c:numCache>
            </c:numRef>
          </c:val>
          <c:extLst>
            <c:ext xmlns:c16="http://schemas.microsoft.com/office/drawing/2014/chart" uri="{C3380CC4-5D6E-409C-BE32-E72D297353CC}">
              <c16:uniqueId val="{00000000-DA9A-430A-9A02-E66242E9CABA}"/>
            </c:ext>
          </c:extLst>
        </c:ser>
        <c:ser>
          <c:idx val="1"/>
          <c:order val="1"/>
          <c:tx>
            <c:strRef>
              <c:f>Лист1!$B$11</c:f>
              <c:strCache>
                <c:ptCount val="1"/>
                <c:pt idx="0">
                  <c:v>Зобов'язання</c:v>
                </c:pt>
              </c:strCache>
            </c:strRef>
          </c:tx>
          <c:spPr>
            <a:solidFill>
              <a:schemeClr val="accent2"/>
            </a:solidFill>
            <a:ln>
              <a:noFill/>
            </a:ln>
            <a:effectLst/>
          </c:spPr>
          <c:invertIfNegative val="0"/>
          <c:val>
            <c:numRef>
              <c:f>Лист1!$C$11:$G$11</c:f>
              <c:numCache>
                <c:formatCode>#\ ##0.000</c:formatCode>
                <c:ptCount val="5"/>
                <c:pt idx="0">
                  <c:v>1737.047</c:v>
                </c:pt>
                <c:pt idx="1">
                  <c:v>1674.8440000000001</c:v>
                </c:pt>
                <c:pt idx="2">
                  <c:v>1198.2619999999999</c:v>
                </c:pt>
                <c:pt idx="3">
                  <c:v>58</c:v>
                </c:pt>
                <c:pt idx="4">
                  <c:v>4610.2110000000002</c:v>
                </c:pt>
              </c:numCache>
            </c:numRef>
          </c:val>
          <c:extLst>
            <c:ext xmlns:c16="http://schemas.microsoft.com/office/drawing/2014/chart" uri="{C3380CC4-5D6E-409C-BE32-E72D297353CC}">
              <c16:uniqueId val="{00000001-DA9A-430A-9A02-E66242E9CABA}"/>
            </c:ext>
          </c:extLst>
        </c:ser>
        <c:dLbls>
          <c:showLegendKey val="0"/>
          <c:showVal val="0"/>
          <c:showCatName val="0"/>
          <c:showSerName val="0"/>
          <c:showPercent val="0"/>
          <c:showBubbleSize val="0"/>
        </c:dLbls>
        <c:gapWidth val="219"/>
        <c:overlap val="-27"/>
        <c:axId val="439379448"/>
        <c:axId val="439385680"/>
      </c:barChart>
      <c:catAx>
        <c:axId val="43937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39385680"/>
        <c:crosses val="autoZero"/>
        <c:auto val="1"/>
        <c:lblAlgn val="ctr"/>
        <c:lblOffset val="100"/>
        <c:noMultiLvlLbl val="0"/>
      </c:catAx>
      <c:valAx>
        <c:axId val="439385680"/>
        <c:scaling>
          <c:orientation val="minMax"/>
        </c:scaling>
        <c:delete val="0"/>
        <c:axPos val="l"/>
        <c:majorGridlines>
          <c:spPr>
            <a:ln w="9525" cap="flat" cmpd="sng" algn="ctr">
              <a:solidFill>
                <a:schemeClr val="tx1">
                  <a:lumMod val="15000"/>
                  <a:lumOff val="85000"/>
                </a:schemeClr>
              </a:solidFill>
              <a:round/>
            </a:ln>
            <a:effectLst/>
          </c:spPr>
        </c:maj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3937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'модель Альтмана'!$B$13</c:f>
              <c:strCache>
                <c:ptCount val="1"/>
                <c:pt idx="0">
                  <c:v>Розрахунок Z-score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'модель Альтмана'!$A$14:$A$18</c:f>
              <c:numCache>
                <c:formatCode>General</c:formatCode>
                <c:ptCount val="5"/>
                <c:pt idx="0">
                  <c:v>2017</c:v>
                </c:pt>
                <c:pt idx="1">
                  <c:v>2018</c:v>
                </c:pt>
                <c:pt idx="2">
                  <c:v>2019</c:v>
                </c:pt>
                <c:pt idx="3">
                  <c:v>2020</c:v>
                </c:pt>
                <c:pt idx="4">
                  <c:v>2021</c:v>
                </c:pt>
              </c:numCache>
            </c:numRef>
          </c:cat>
          <c:val>
            <c:numRef>
              <c:f>'модель Альтмана'!$B$14:$B$18</c:f>
              <c:numCache>
                <c:formatCode>General</c:formatCode>
                <c:ptCount val="5"/>
                <c:pt idx="0">
                  <c:v>0.96599999999999997</c:v>
                </c:pt>
                <c:pt idx="1">
                  <c:v>1.274</c:v>
                </c:pt>
                <c:pt idx="2">
                  <c:v>1.2729999999999999</c:v>
                </c:pt>
                <c:pt idx="3">
                  <c:v>0.998</c:v>
                </c:pt>
                <c:pt idx="4">
                  <c:v>2.8159999999999998</c:v>
                </c:pt>
              </c:numCache>
            </c:numRef>
          </c:val>
          <c:smooth val="0"/>
          <c:extLst>
            <c:ext xmlns:c16="http://schemas.microsoft.com/office/drawing/2014/chart" uri="{C3380CC4-5D6E-409C-BE32-E72D297353CC}">
              <c16:uniqueId val="{00000000-E1EB-4D6C-8034-D422552C1295}"/>
            </c:ext>
          </c:extLst>
        </c:ser>
        <c:dLbls>
          <c:showLegendKey val="0"/>
          <c:showVal val="0"/>
          <c:showCatName val="0"/>
          <c:showSerName val="0"/>
          <c:showPercent val="0"/>
          <c:showBubbleSize val="0"/>
        </c:dLbls>
        <c:marker val="1"/>
        <c:smooth val="0"/>
        <c:axId val="411669456"/>
        <c:axId val="411668144"/>
        <c:extLst>
          <c:ext xmlns:c15="http://schemas.microsoft.com/office/drawing/2012/chart" uri="{02D57815-91ED-43cb-92C2-25804820EDAC}">
            <c15:filteredLineSeries>
              <c15:ser>
                <c:idx val="1"/>
                <c:order val="1"/>
                <c:tx>
                  <c:strRef>
                    <c:extLst>
                      <c:ext uri="{02D57815-91ED-43cb-92C2-25804820EDAC}">
                        <c15:formulaRef>
                          <c15:sqref>'модель Альтмана'!$C$13</c15:sqref>
                        </c15:formulaRef>
                      </c:ext>
                    </c:extLst>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'модель Альтмана'!$A$14:$A$18</c15:sqref>
                        </c15:formulaRef>
                      </c:ext>
                    </c:extLst>
                    <c:numCache>
                      <c:formatCode>General</c:formatCode>
                      <c:ptCount val="5"/>
                      <c:pt idx="0">
                        <c:v>2017</c:v>
                      </c:pt>
                      <c:pt idx="1">
                        <c:v>2018</c:v>
                      </c:pt>
                      <c:pt idx="2">
                        <c:v>2019</c:v>
                      </c:pt>
                      <c:pt idx="3">
                        <c:v>2020</c:v>
                      </c:pt>
                      <c:pt idx="4">
                        <c:v>2021</c:v>
                      </c:pt>
                    </c:numCache>
                  </c:numRef>
                </c:cat>
                <c:val>
                  <c:numRef>
                    <c:extLst>
                      <c:ext uri="{02D57815-91ED-43cb-92C2-25804820EDAC}">
                        <c15:formulaRef>
                          <c15:sqref>'модель Альтмана'!$C$14:$C$18</c15:sqref>
                        </c15:formulaRef>
                      </c:ext>
                    </c:extLst>
                    <c:numCache>
                      <c:formatCode>General</c:formatCode>
                      <c:ptCount val="5"/>
                    </c:numCache>
                  </c:numRef>
                </c:val>
                <c:smooth val="0"/>
                <c:extLst>
                  <c:ext xmlns:c16="http://schemas.microsoft.com/office/drawing/2014/chart" uri="{C3380CC4-5D6E-409C-BE32-E72D297353CC}">
                    <c16:uniqueId val="{00000001-E1EB-4D6C-8034-D422552C1295}"/>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'модель Альтмана'!$D$13</c15:sqref>
                        </c15:formulaRef>
                      </c:ext>
                    </c:extLst>
                    <c:strCache>
                      <c:ptCount val="1"/>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'модель Альтмана'!$A$14:$A$18</c15:sqref>
                        </c15:formulaRef>
                      </c:ext>
                    </c:extLst>
                    <c:numCache>
                      <c:formatCode>General</c:formatCode>
                      <c:ptCount val="5"/>
                      <c:pt idx="0">
                        <c:v>2017</c:v>
                      </c:pt>
                      <c:pt idx="1">
                        <c:v>2018</c:v>
                      </c:pt>
                      <c:pt idx="2">
                        <c:v>2019</c:v>
                      </c:pt>
                      <c:pt idx="3">
                        <c:v>2020</c:v>
                      </c:pt>
                      <c:pt idx="4">
                        <c:v>2021</c:v>
                      </c:pt>
                    </c:numCache>
                  </c:numRef>
                </c:cat>
                <c:val>
                  <c:numRef>
                    <c:extLst xmlns:c15="http://schemas.microsoft.com/office/drawing/2012/chart">
                      <c:ext xmlns:c15="http://schemas.microsoft.com/office/drawing/2012/chart" uri="{02D57815-91ED-43cb-92C2-25804820EDAC}">
                        <c15:formulaRef>
                          <c15:sqref>'модель Альтмана'!$D$14:$D$18</c15:sqref>
                        </c15:formulaRef>
                      </c:ext>
                    </c:extLst>
                    <c:numCache>
                      <c:formatCode>General</c:formatCode>
                      <c:ptCount val="5"/>
                    </c:numCache>
                  </c:numRef>
                </c:val>
                <c:smooth val="0"/>
                <c:extLst xmlns:c15="http://schemas.microsoft.com/office/drawing/2012/chart">
                  <c:ext xmlns:c16="http://schemas.microsoft.com/office/drawing/2014/chart" uri="{C3380CC4-5D6E-409C-BE32-E72D297353CC}">
                    <c16:uniqueId val="{00000002-E1EB-4D6C-8034-D422552C1295}"/>
                  </c:ext>
                </c:extLst>
              </c15:ser>
            </c15:filteredLineSeries>
          </c:ext>
        </c:extLst>
      </c:lineChart>
      <c:catAx>
        <c:axId val="4116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1668144"/>
        <c:crosses val="autoZero"/>
        <c:auto val="1"/>
        <c:lblAlgn val="ctr"/>
        <c:lblOffset val="100"/>
        <c:noMultiLvlLbl val="0"/>
      </c:catAx>
      <c:valAx>
        <c:axId val="411668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16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Лист7!$A$2:$A$6</c:f>
              <c:strCache>
                <c:ptCount val="5"/>
                <c:pt idx="0">
                  <c:v>Коефіцієнт загальної ліквідності (y1)</c:v>
                </c:pt>
                <c:pt idx="1">
                  <c:v>Коефіцієнт генеральної ліквідності зобов’язань (y2)</c:v>
                </c:pt>
                <c:pt idx="2">
                  <c:v>Коефіцієнт співвідношення високоліквідних активів до робочих активів банку (у3)</c:v>
                </c:pt>
                <c:pt idx="3">
                  <c:v>Коефіцієнт ліквідного співвідношення виданих кредитів і залучених депозитів (для визначення незбалансованої ліквідності) (y4)</c:v>
                </c:pt>
                <c:pt idx="4">
                  <c:v>Норматив короткострокової ліквідності (у5)</c:v>
                </c:pt>
              </c:strCache>
            </c:strRef>
          </c:cat>
          <c:val>
            <c:numRef>
              <c:f>Лист7!$B$2:$B$6</c:f>
              <c:numCache>
                <c:formatCode>0.0</c:formatCode>
                <c:ptCount val="5"/>
                <c:pt idx="0">
                  <c:v>111.9</c:v>
                </c:pt>
                <c:pt idx="1">
                  <c:v>13.4</c:v>
                </c:pt>
                <c:pt idx="2">
                  <c:v>3.2</c:v>
                </c:pt>
                <c:pt idx="3">
                  <c:v>85.3</c:v>
                </c:pt>
                <c:pt idx="4">
                  <c:v>35.5</c:v>
                </c:pt>
              </c:numCache>
            </c:numRef>
          </c:val>
          <c:extLst>
            <c:ext xmlns:c16="http://schemas.microsoft.com/office/drawing/2014/chart" uri="{C3380CC4-5D6E-409C-BE32-E72D297353CC}">
              <c16:uniqueId val="{00000000-C992-4108-91FB-BAC791052A6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Лист7!$A$2:$A$6</c:f>
              <c:strCache>
                <c:ptCount val="5"/>
                <c:pt idx="0">
                  <c:v>Коефіцієнт загальної ліквідності (y1)</c:v>
                </c:pt>
                <c:pt idx="1">
                  <c:v>Коефіцієнт генеральної ліквідності зобов’язань (y2)</c:v>
                </c:pt>
                <c:pt idx="2">
                  <c:v>Коефіцієнт співвідношення високоліквідних активів до робочих активів банку (у3)</c:v>
                </c:pt>
                <c:pt idx="3">
                  <c:v>Коефіцієнт ліквідного співвідношення виданих кредитів і залучених депозитів (для визначення незбалансованої ліквідності) (y4)</c:v>
                </c:pt>
                <c:pt idx="4">
                  <c:v>Норматив короткострокової ліквідності (у5)</c:v>
                </c:pt>
              </c:strCache>
            </c:strRef>
          </c:cat>
          <c:val>
            <c:numRef>
              <c:f>Лист7!$C$2:$C$6</c:f>
              <c:numCache>
                <c:formatCode>0.0</c:formatCode>
                <c:ptCount val="5"/>
                <c:pt idx="0">
                  <c:v>137.5</c:v>
                </c:pt>
                <c:pt idx="1">
                  <c:v>27.8</c:v>
                </c:pt>
                <c:pt idx="2">
                  <c:v>22.3</c:v>
                </c:pt>
                <c:pt idx="3">
                  <c:v>123.4</c:v>
                </c:pt>
                <c:pt idx="4">
                  <c:v>211.7</c:v>
                </c:pt>
              </c:numCache>
            </c:numRef>
          </c:val>
          <c:extLst>
            <c:ext xmlns:c16="http://schemas.microsoft.com/office/drawing/2014/chart" uri="{C3380CC4-5D6E-409C-BE32-E72D297353CC}">
              <c16:uniqueId val="{00000001-C992-4108-91FB-BAC791052A6A}"/>
            </c:ext>
          </c:extLst>
        </c:ser>
        <c:dLbls>
          <c:showLegendKey val="0"/>
          <c:showVal val="0"/>
          <c:showCatName val="0"/>
          <c:showSerName val="0"/>
          <c:showPercent val="0"/>
          <c:showBubbleSize val="0"/>
        </c:dLbls>
        <c:gapWidth val="182"/>
        <c:axId val="553257248"/>
        <c:axId val="553251016"/>
      </c:barChart>
      <c:catAx>
        <c:axId val="553257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53251016"/>
        <c:crosses val="autoZero"/>
        <c:auto val="1"/>
        <c:lblAlgn val="ctr"/>
        <c:lblOffset val="100"/>
        <c:noMultiLvlLbl val="0"/>
      </c:catAx>
      <c:valAx>
        <c:axId val="5532510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5325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Лист2!$A$2</c:f>
              <c:strCache>
                <c:ptCount val="1"/>
                <c:pt idx="0">
                  <c:v>Чисті активи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Лист2!$B$1:$F$1</c:f>
              <c:numCache>
                <c:formatCode>General</c:formatCode>
                <c:ptCount val="5"/>
                <c:pt idx="0">
                  <c:v>2017</c:v>
                </c:pt>
                <c:pt idx="1">
                  <c:v>2018</c:v>
                </c:pt>
                <c:pt idx="2">
                  <c:v>2019</c:v>
                </c:pt>
                <c:pt idx="3">
                  <c:v>2020</c:v>
                </c:pt>
                <c:pt idx="4">
                  <c:v>2021</c:v>
                </c:pt>
              </c:numCache>
            </c:numRef>
          </c:cat>
          <c:val>
            <c:numRef>
              <c:f>Лист2!$B$2:$F$2</c:f>
              <c:numCache>
                <c:formatCode>#,##0</c:formatCode>
                <c:ptCount val="5"/>
                <c:pt idx="0">
                  <c:v>3579</c:v>
                </c:pt>
                <c:pt idx="1">
                  <c:v>4205</c:v>
                </c:pt>
                <c:pt idx="2">
                  <c:v>5406</c:v>
                </c:pt>
                <c:pt idx="3">
                  <c:v>5082</c:v>
                </c:pt>
                <c:pt idx="4">
                  <c:v>6073</c:v>
                </c:pt>
              </c:numCache>
            </c:numRef>
          </c:val>
          <c:extLst>
            <c:ext xmlns:c16="http://schemas.microsoft.com/office/drawing/2014/chart" uri="{C3380CC4-5D6E-409C-BE32-E72D297353CC}">
              <c16:uniqueId val="{00000000-4805-43D1-AA22-50C3B18043F2}"/>
            </c:ext>
          </c:extLst>
        </c:ser>
        <c:dLbls>
          <c:dLblPos val="outEnd"/>
          <c:showLegendKey val="0"/>
          <c:showVal val="1"/>
          <c:showCatName val="0"/>
          <c:showSerName val="0"/>
          <c:showPercent val="0"/>
          <c:showBubbleSize val="0"/>
        </c:dLbls>
        <c:gapWidth val="219"/>
        <c:overlap val="-27"/>
        <c:axId val="418549024"/>
        <c:axId val="418554272"/>
      </c:barChart>
      <c:catAx>
        <c:axId val="418549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Рік</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8554272"/>
        <c:crosses val="autoZero"/>
        <c:auto val="1"/>
        <c:lblAlgn val="ctr"/>
        <c:lblOffset val="100"/>
        <c:noMultiLvlLbl val="0"/>
      </c:catAx>
      <c:valAx>
        <c:axId val="41855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Чисті активи, млн.грн</a:t>
                </a:r>
              </a:p>
            </c:rich>
          </c:tx>
          <c:layout>
            <c:manualLayout>
              <c:xMode val="edge"/>
              <c:yMode val="edge"/>
              <c:x val="2.5000000000000001E-2"/>
              <c:y val="0.326300306211723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854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Лист2!$A$3</c:f>
              <c:strCache>
                <c:ptCount val="1"/>
                <c:pt idx="0">
                  <c:v>Кредитно-інвестиційний портфель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Лист2!$B$1:$F$1</c:f>
              <c:numCache>
                <c:formatCode>General</c:formatCode>
                <c:ptCount val="5"/>
                <c:pt idx="0">
                  <c:v>2017</c:v>
                </c:pt>
                <c:pt idx="1">
                  <c:v>2018</c:v>
                </c:pt>
                <c:pt idx="2">
                  <c:v>2019</c:v>
                </c:pt>
                <c:pt idx="3">
                  <c:v>2020</c:v>
                </c:pt>
                <c:pt idx="4">
                  <c:v>2021</c:v>
                </c:pt>
              </c:numCache>
            </c:numRef>
          </c:cat>
          <c:val>
            <c:numRef>
              <c:f>Лист2!$B$3:$F$3</c:f>
              <c:numCache>
                <c:formatCode>#,##0</c:formatCode>
                <c:ptCount val="5"/>
                <c:pt idx="0">
                  <c:v>3010</c:v>
                </c:pt>
                <c:pt idx="1">
                  <c:v>3504</c:v>
                </c:pt>
                <c:pt idx="2">
                  <c:v>4308</c:v>
                </c:pt>
                <c:pt idx="3">
                  <c:v>3933</c:v>
                </c:pt>
                <c:pt idx="4">
                  <c:v>4943</c:v>
                </c:pt>
              </c:numCache>
            </c:numRef>
          </c:val>
          <c:extLst>
            <c:ext xmlns:c16="http://schemas.microsoft.com/office/drawing/2014/chart" uri="{C3380CC4-5D6E-409C-BE32-E72D297353CC}">
              <c16:uniqueId val="{00000000-A6B5-495D-B24C-035C05918C1A}"/>
            </c:ext>
          </c:extLst>
        </c:ser>
        <c:dLbls>
          <c:dLblPos val="outEnd"/>
          <c:showLegendKey val="0"/>
          <c:showVal val="1"/>
          <c:showCatName val="0"/>
          <c:showSerName val="0"/>
          <c:showPercent val="0"/>
          <c:showBubbleSize val="0"/>
        </c:dLbls>
        <c:gapWidth val="219"/>
        <c:overlap val="-27"/>
        <c:axId val="422035648"/>
        <c:axId val="422034336"/>
      </c:barChart>
      <c:catAx>
        <c:axId val="422035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Рік</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2034336"/>
        <c:crosses val="autoZero"/>
        <c:auto val="1"/>
        <c:lblAlgn val="ctr"/>
        <c:lblOffset val="100"/>
        <c:noMultiLvlLbl val="0"/>
      </c:catAx>
      <c:valAx>
        <c:axId val="42203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Кредитно-інвестиційний портфель, млн. грн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203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Лист2!$A$4</c:f>
              <c:strCache>
                <c:ptCount val="1"/>
                <c:pt idx="0">
                  <c:v>Кошти клієнтів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Лист2!$B$1:$F$1</c:f>
              <c:numCache>
                <c:formatCode>General</c:formatCode>
                <c:ptCount val="5"/>
                <c:pt idx="0">
                  <c:v>2017</c:v>
                </c:pt>
                <c:pt idx="1">
                  <c:v>2018</c:v>
                </c:pt>
                <c:pt idx="2">
                  <c:v>2019</c:v>
                </c:pt>
                <c:pt idx="3">
                  <c:v>2020</c:v>
                </c:pt>
                <c:pt idx="4">
                  <c:v>2021</c:v>
                </c:pt>
              </c:numCache>
            </c:numRef>
          </c:cat>
          <c:val>
            <c:numRef>
              <c:f>Лист2!$B$4:$F$4</c:f>
              <c:numCache>
                <c:formatCode>#,##0</c:formatCode>
                <c:ptCount val="5"/>
                <c:pt idx="0">
                  <c:v>3006</c:v>
                </c:pt>
                <c:pt idx="1">
                  <c:v>3286</c:v>
                </c:pt>
                <c:pt idx="2">
                  <c:v>4191</c:v>
                </c:pt>
                <c:pt idx="3">
                  <c:v>3829</c:v>
                </c:pt>
                <c:pt idx="4">
                  <c:v>4238</c:v>
                </c:pt>
              </c:numCache>
            </c:numRef>
          </c:val>
          <c:extLst>
            <c:ext xmlns:c16="http://schemas.microsoft.com/office/drawing/2014/chart" uri="{C3380CC4-5D6E-409C-BE32-E72D297353CC}">
              <c16:uniqueId val="{00000000-5782-4232-8E14-4E31C3DD9E50}"/>
            </c:ext>
          </c:extLst>
        </c:ser>
        <c:dLbls>
          <c:showLegendKey val="0"/>
          <c:showVal val="0"/>
          <c:showCatName val="0"/>
          <c:showSerName val="0"/>
          <c:showPercent val="0"/>
          <c:showBubbleSize val="0"/>
        </c:dLbls>
        <c:gapWidth val="219"/>
        <c:overlap val="-27"/>
        <c:axId val="534673480"/>
        <c:axId val="534671512"/>
      </c:barChart>
      <c:catAx>
        <c:axId val="534673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Рік</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34671512"/>
        <c:crosses val="autoZero"/>
        <c:auto val="1"/>
        <c:lblAlgn val="ctr"/>
        <c:lblOffset val="100"/>
        <c:noMultiLvlLbl val="0"/>
      </c:catAx>
      <c:valAx>
        <c:axId val="534671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Кошти клієнтів, млн. грн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34673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Лист2!$A$5</c:f>
              <c:strCache>
                <c:ptCount val="1"/>
                <c:pt idx="0">
                  <c:v>Статутний капітал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Лист2!$B$1:$F$1</c:f>
              <c:numCache>
                <c:formatCode>General</c:formatCode>
                <c:ptCount val="5"/>
                <c:pt idx="0">
                  <c:v>2017</c:v>
                </c:pt>
                <c:pt idx="1">
                  <c:v>2018</c:v>
                </c:pt>
                <c:pt idx="2">
                  <c:v>2019</c:v>
                </c:pt>
                <c:pt idx="3">
                  <c:v>2020</c:v>
                </c:pt>
                <c:pt idx="4">
                  <c:v>2021</c:v>
                </c:pt>
              </c:numCache>
            </c:numRef>
          </c:cat>
          <c:val>
            <c:numRef>
              <c:f>Лист2!$B$5:$F$5</c:f>
              <c:numCache>
                <c:formatCode>#,##0</c:formatCode>
                <c:ptCount val="5"/>
                <c:pt idx="0">
                  <c:v>299</c:v>
                </c:pt>
                <c:pt idx="1">
                  <c:v>299</c:v>
                </c:pt>
                <c:pt idx="2">
                  <c:v>299</c:v>
                </c:pt>
                <c:pt idx="3">
                  <c:v>299</c:v>
                </c:pt>
                <c:pt idx="4">
                  <c:v>323</c:v>
                </c:pt>
              </c:numCache>
            </c:numRef>
          </c:val>
          <c:extLst>
            <c:ext xmlns:c16="http://schemas.microsoft.com/office/drawing/2014/chart" uri="{C3380CC4-5D6E-409C-BE32-E72D297353CC}">
              <c16:uniqueId val="{00000000-8104-4612-BB45-2A48FF54DC83}"/>
            </c:ext>
          </c:extLst>
        </c:ser>
        <c:ser>
          <c:idx val="1"/>
          <c:order val="1"/>
          <c:tx>
            <c:strRef>
              <c:f>Лист2!$A$6</c:f>
              <c:strCache>
                <c:ptCount val="1"/>
                <c:pt idx="0">
                  <c:v>Власний капітал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Лист2!$B$1:$F$1</c:f>
              <c:numCache>
                <c:formatCode>General</c:formatCode>
                <c:ptCount val="5"/>
                <c:pt idx="0">
                  <c:v>2017</c:v>
                </c:pt>
                <c:pt idx="1">
                  <c:v>2018</c:v>
                </c:pt>
                <c:pt idx="2">
                  <c:v>2019</c:v>
                </c:pt>
                <c:pt idx="3">
                  <c:v>2020</c:v>
                </c:pt>
                <c:pt idx="4">
                  <c:v>2021</c:v>
                </c:pt>
              </c:numCache>
            </c:numRef>
          </c:cat>
          <c:val>
            <c:numRef>
              <c:f>Лист2!$B$6:$F$6</c:f>
              <c:numCache>
                <c:formatCode>#,##0</c:formatCode>
                <c:ptCount val="5"/>
                <c:pt idx="0">
                  <c:v>423</c:v>
                </c:pt>
                <c:pt idx="1">
                  <c:v>718</c:v>
                </c:pt>
                <c:pt idx="2">
                  <c:v>927</c:v>
                </c:pt>
                <c:pt idx="3">
                  <c:v>932</c:v>
                </c:pt>
                <c:pt idx="4">
                  <c:v>1463</c:v>
                </c:pt>
              </c:numCache>
            </c:numRef>
          </c:val>
          <c:extLst>
            <c:ext xmlns:c16="http://schemas.microsoft.com/office/drawing/2014/chart" uri="{C3380CC4-5D6E-409C-BE32-E72D297353CC}">
              <c16:uniqueId val="{00000001-8104-4612-BB45-2A48FF54DC83}"/>
            </c:ext>
          </c:extLst>
        </c:ser>
        <c:dLbls>
          <c:showLegendKey val="0"/>
          <c:showVal val="1"/>
          <c:showCatName val="0"/>
          <c:showSerName val="0"/>
          <c:showPercent val="0"/>
          <c:showBubbleSize val="0"/>
        </c:dLbls>
        <c:gapWidth val="219"/>
        <c:overlap val="-27"/>
        <c:axId val="422065120"/>
        <c:axId val="422064136"/>
      </c:barChart>
      <c:lineChart>
        <c:grouping val="standard"/>
        <c:varyColors val="0"/>
        <c:ser>
          <c:idx val="2"/>
          <c:order val="2"/>
          <c:tx>
            <c:strRef>
              <c:f>Лист2!$A$7</c:f>
              <c:strCache>
                <c:ptCount val="1"/>
                <c:pt idx="0">
                  <c:v>Рівень адекватності капіталу, %</c:v>
                </c:pt>
              </c:strCache>
            </c:strRef>
          </c:tx>
          <c:spPr>
            <a:ln w="28575" cap="rnd">
              <a:solidFill>
                <a:schemeClr val="accent3"/>
              </a:solidFill>
              <a:round/>
            </a:ln>
            <a:effectLst/>
          </c:spPr>
          <c:marker>
            <c:symbol val="none"/>
          </c:marker>
          <c:dLbls>
            <c:dLbl>
              <c:idx val="0"/>
              <c:layout>
                <c:manualLayout>
                  <c:x val="-1.9444444444444445E-2"/>
                  <c:y val="-6.018518518518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04-4612-BB45-2A48FF54DC83}"/>
                </c:ext>
              </c:extLst>
            </c:dLbl>
            <c:dLbl>
              <c:idx val="1"/>
              <c:layout>
                <c:manualLayout>
                  <c:x val="-1.6666666666666666E-2"/>
                  <c:y val="-7.407407407407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04-4612-BB45-2A48FF54DC83}"/>
                </c:ext>
              </c:extLst>
            </c:dLbl>
            <c:dLbl>
              <c:idx val="2"/>
              <c:layout>
                <c:manualLayout>
                  <c:x val="-1.3888888888888888E-2"/>
                  <c:y val="-8.3333333333333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04-4612-BB45-2A48FF54DC83}"/>
                </c:ext>
              </c:extLst>
            </c:dLbl>
            <c:dLbl>
              <c:idx val="3"/>
              <c:layout>
                <c:manualLayout>
                  <c:x val="0"/>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04-4612-BB45-2A48FF54DC83}"/>
                </c:ext>
              </c:extLst>
            </c:dLbl>
            <c:dLbl>
              <c:idx val="4"/>
              <c:layout>
                <c:manualLayout>
                  <c:x val="-6.6666666666666666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04-4612-BB45-2A48FF54DC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Лист2!$B$1:$F$1</c:f>
              <c:numCache>
                <c:formatCode>General</c:formatCode>
                <c:ptCount val="5"/>
                <c:pt idx="0">
                  <c:v>2017</c:v>
                </c:pt>
                <c:pt idx="1">
                  <c:v>2018</c:v>
                </c:pt>
                <c:pt idx="2">
                  <c:v>2019</c:v>
                </c:pt>
                <c:pt idx="3">
                  <c:v>2020</c:v>
                </c:pt>
                <c:pt idx="4">
                  <c:v>2021</c:v>
                </c:pt>
              </c:numCache>
            </c:numRef>
          </c:cat>
          <c:val>
            <c:numRef>
              <c:f>Лист2!$B$7:$F$7</c:f>
              <c:numCache>
                <c:formatCode>#\ ##0.0</c:formatCode>
                <c:ptCount val="5"/>
                <c:pt idx="0">
                  <c:v>15.4</c:v>
                </c:pt>
                <c:pt idx="1">
                  <c:v>16.899999999999999</c:v>
                </c:pt>
                <c:pt idx="2">
                  <c:v>20.100000000000001</c:v>
                </c:pt>
                <c:pt idx="3">
                  <c:v>21.5</c:v>
                </c:pt>
                <c:pt idx="4">
                  <c:v>14.9</c:v>
                </c:pt>
              </c:numCache>
            </c:numRef>
          </c:val>
          <c:smooth val="0"/>
          <c:extLst>
            <c:ext xmlns:c16="http://schemas.microsoft.com/office/drawing/2014/chart" uri="{C3380CC4-5D6E-409C-BE32-E72D297353CC}">
              <c16:uniqueId val="{00000007-8104-4612-BB45-2A48FF54DC83}"/>
            </c:ext>
          </c:extLst>
        </c:ser>
        <c:dLbls>
          <c:showLegendKey val="0"/>
          <c:showVal val="1"/>
          <c:showCatName val="0"/>
          <c:showSerName val="0"/>
          <c:showPercent val="0"/>
          <c:showBubbleSize val="0"/>
        </c:dLbls>
        <c:marker val="1"/>
        <c:smooth val="0"/>
        <c:axId val="343815008"/>
        <c:axId val="343814680"/>
      </c:lineChart>
      <c:catAx>
        <c:axId val="42206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2064136"/>
        <c:crosses val="autoZero"/>
        <c:auto val="1"/>
        <c:lblAlgn val="ctr"/>
        <c:lblOffset val="100"/>
        <c:noMultiLvlLbl val="0"/>
      </c:catAx>
      <c:valAx>
        <c:axId val="422064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2065120"/>
        <c:crosses val="autoZero"/>
        <c:crossBetween val="between"/>
      </c:valAx>
      <c:valAx>
        <c:axId val="343814680"/>
        <c:scaling>
          <c:orientation val="minMax"/>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3815008"/>
        <c:crosses val="max"/>
        <c:crossBetween val="between"/>
      </c:valAx>
      <c:catAx>
        <c:axId val="343815008"/>
        <c:scaling>
          <c:orientation val="minMax"/>
        </c:scaling>
        <c:delete val="1"/>
        <c:axPos val="b"/>
        <c:numFmt formatCode="General" sourceLinked="1"/>
        <c:majorTickMark val="out"/>
        <c:minorTickMark val="none"/>
        <c:tickLblPos val="nextTo"/>
        <c:crossAx val="343814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Лист2!$A$8</c:f>
              <c:strCache>
                <c:ptCount val="1"/>
                <c:pt idx="0">
                  <c:v>Чистий процентний дохід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Лист2!$B$1:$F$1</c:f>
              <c:numCache>
                <c:formatCode>General</c:formatCode>
                <c:ptCount val="5"/>
                <c:pt idx="0">
                  <c:v>2017</c:v>
                </c:pt>
                <c:pt idx="1">
                  <c:v>2018</c:v>
                </c:pt>
                <c:pt idx="2">
                  <c:v>2019</c:v>
                </c:pt>
                <c:pt idx="3">
                  <c:v>2020</c:v>
                </c:pt>
                <c:pt idx="4">
                  <c:v>2021</c:v>
                </c:pt>
              </c:numCache>
            </c:numRef>
          </c:cat>
          <c:val>
            <c:numRef>
              <c:f>Лист2!$B$8:$F$8</c:f>
              <c:numCache>
                <c:formatCode>#,##0</c:formatCode>
                <c:ptCount val="5"/>
                <c:pt idx="0" formatCode="General">
                  <c:v>791</c:v>
                </c:pt>
                <c:pt idx="1">
                  <c:v>1265</c:v>
                </c:pt>
                <c:pt idx="2">
                  <c:v>1610</c:v>
                </c:pt>
                <c:pt idx="3">
                  <c:v>1675</c:v>
                </c:pt>
                <c:pt idx="4">
                  <c:v>2065</c:v>
                </c:pt>
              </c:numCache>
            </c:numRef>
          </c:val>
          <c:extLst>
            <c:ext xmlns:c16="http://schemas.microsoft.com/office/drawing/2014/chart" uri="{C3380CC4-5D6E-409C-BE32-E72D297353CC}">
              <c16:uniqueId val="{00000000-1337-46FC-A952-06E577C19D6B}"/>
            </c:ext>
          </c:extLst>
        </c:ser>
        <c:ser>
          <c:idx val="1"/>
          <c:order val="1"/>
          <c:tx>
            <c:strRef>
              <c:f>Лист2!$A$9</c:f>
              <c:strCache>
                <c:ptCount val="1"/>
                <c:pt idx="0">
                  <c:v>Чистий комісійний дохід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Лист2!$B$1:$F$1</c:f>
              <c:numCache>
                <c:formatCode>General</c:formatCode>
                <c:ptCount val="5"/>
                <c:pt idx="0">
                  <c:v>2017</c:v>
                </c:pt>
                <c:pt idx="1">
                  <c:v>2018</c:v>
                </c:pt>
                <c:pt idx="2">
                  <c:v>2019</c:v>
                </c:pt>
                <c:pt idx="3">
                  <c:v>2020</c:v>
                </c:pt>
                <c:pt idx="4">
                  <c:v>2021</c:v>
                </c:pt>
              </c:numCache>
            </c:numRef>
          </c:cat>
          <c:val>
            <c:numRef>
              <c:f>Лист2!$B$9:$F$9</c:f>
              <c:numCache>
                <c:formatCode>#,##0</c:formatCode>
                <c:ptCount val="5"/>
                <c:pt idx="0" formatCode="General">
                  <c:v>127</c:v>
                </c:pt>
                <c:pt idx="1">
                  <c:v>132</c:v>
                </c:pt>
                <c:pt idx="2">
                  <c:v>172</c:v>
                </c:pt>
                <c:pt idx="3">
                  <c:v>134</c:v>
                </c:pt>
                <c:pt idx="4">
                  <c:v>156</c:v>
                </c:pt>
              </c:numCache>
            </c:numRef>
          </c:val>
          <c:extLst>
            <c:ext xmlns:c16="http://schemas.microsoft.com/office/drawing/2014/chart" uri="{C3380CC4-5D6E-409C-BE32-E72D297353CC}">
              <c16:uniqueId val="{00000001-1337-46FC-A952-06E577C19D6B}"/>
            </c:ext>
          </c:extLst>
        </c:ser>
        <c:ser>
          <c:idx val="2"/>
          <c:order val="2"/>
          <c:tx>
            <c:strRef>
              <c:f>Лист2!$A$10</c:f>
              <c:strCache>
                <c:ptCount val="1"/>
                <c:pt idx="0">
                  <c:v>Інший операційний дохід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Лист2!$B$1:$F$1</c:f>
              <c:numCache>
                <c:formatCode>General</c:formatCode>
                <c:ptCount val="5"/>
                <c:pt idx="0">
                  <c:v>2017</c:v>
                </c:pt>
                <c:pt idx="1">
                  <c:v>2018</c:v>
                </c:pt>
                <c:pt idx="2">
                  <c:v>2019</c:v>
                </c:pt>
                <c:pt idx="3">
                  <c:v>2020</c:v>
                </c:pt>
                <c:pt idx="4">
                  <c:v>2021</c:v>
                </c:pt>
              </c:numCache>
            </c:numRef>
          </c:cat>
          <c:val>
            <c:numRef>
              <c:f>Лист2!$B$10:$F$10</c:f>
              <c:numCache>
                <c:formatCode>#,##0</c:formatCode>
                <c:ptCount val="5"/>
                <c:pt idx="0" formatCode="General">
                  <c:v>954</c:v>
                </c:pt>
                <c:pt idx="1">
                  <c:v>44</c:v>
                </c:pt>
                <c:pt idx="2">
                  <c:v>61</c:v>
                </c:pt>
                <c:pt idx="3">
                  <c:v>51</c:v>
                </c:pt>
                <c:pt idx="4">
                  <c:v>37</c:v>
                </c:pt>
              </c:numCache>
            </c:numRef>
          </c:val>
          <c:extLst>
            <c:ext xmlns:c16="http://schemas.microsoft.com/office/drawing/2014/chart" uri="{C3380CC4-5D6E-409C-BE32-E72D297353CC}">
              <c16:uniqueId val="{00000002-1337-46FC-A952-06E577C19D6B}"/>
            </c:ext>
          </c:extLst>
        </c:ser>
        <c:dLbls>
          <c:showLegendKey val="0"/>
          <c:showVal val="0"/>
          <c:showCatName val="0"/>
          <c:showSerName val="0"/>
          <c:showPercent val="0"/>
          <c:showBubbleSize val="0"/>
        </c:dLbls>
        <c:gapWidth val="219"/>
        <c:axId val="417347304"/>
        <c:axId val="417350912"/>
      </c:barChart>
      <c:lineChart>
        <c:grouping val="standard"/>
        <c:varyColors val="0"/>
        <c:ser>
          <c:idx val="3"/>
          <c:order val="3"/>
          <c:tx>
            <c:strRef>
              <c:f>Лист2!$A$11</c:f>
              <c:strCache>
                <c:ptCount val="1"/>
                <c:pt idx="0">
                  <c:v>Прибуток за рік</c:v>
                </c:pt>
              </c:strCache>
            </c:strRef>
          </c:tx>
          <c:spPr>
            <a:ln w="28575" cap="rnd">
              <a:solidFill>
                <a:schemeClr val="accent4"/>
              </a:solidFill>
              <a:round/>
            </a:ln>
            <a:effectLst/>
          </c:spPr>
          <c:marker>
            <c:symbol val="none"/>
          </c:marker>
          <c:dLbls>
            <c:dLbl>
              <c:idx val="0"/>
              <c:layout>
                <c:manualLayout>
                  <c:x val="3.6111111111111108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37-46FC-A952-06E577C19D6B}"/>
                </c:ext>
              </c:extLst>
            </c:dLbl>
            <c:dLbl>
              <c:idx val="1"/>
              <c:layout>
                <c:manualLayout>
                  <c:x val="-1.1111111111111059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37-46FC-A952-06E577C19D6B}"/>
                </c:ext>
              </c:extLst>
            </c:dLbl>
            <c:dLbl>
              <c:idx val="2"/>
              <c:layout>
                <c:manualLayout>
                  <c:x val="8.3333333333333332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37-46FC-A952-06E577C19D6B}"/>
                </c:ext>
              </c:extLst>
            </c:dLbl>
            <c:dLbl>
              <c:idx val="3"/>
              <c:layout>
                <c:manualLayout>
                  <c:x val="1.666666666666656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37-46FC-A952-06E577C19D6B}"/>
                </c:ext>
              </c:extLst>
            </c:dLbl>
            <c:dLbl>
              <c:idx val="4"/>
              <c:layout>
                <c:manualLayout>
                  <c:x val="2.7777777777777779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37-46FC-A952-06E577C19D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Лист2!$B$1:$F$1</c:f>
              <c:numCache>
                <c:formatCode>General</c:formatCode>
                <c:ptCount val="5"/>
                <c:pt idx="0">
                  <c:v>2017</c:v>
                </c:pt>
                <c:pt idx="1">
                  <c:v>2018</c:v>
                </c:pt>
                <c:pt idx="2">
                  <c:v>2019</c:v>
                </c:pt>
                <c:pt idx="3">
                  <c:v>2020</c:v>
                </c:pt>
                <c:pt idx="4">
                  <c:v>2021</c:v>
                </c:pt>
              </c:numCache>
            </c:numRef>
          </c:cat>
          <c:val>
            <c:numRef>
              <c:f>Лист2!$B$11:$F$11</c:f>
              <c:numCache>
                <c:formatCode>#,##0</c:formatCode>
                <c:ptCount val="5"/>
                <c:pt idx="0" formatCode="General">
                  <c:v>139</c:v>
                </c:pt>
                <c:pt idx="1">
                  <c:v>336</c:v>
                </c:pt>
                <c:pt idx="2">
                  <c:v>378</c:v>
                </c:pt>
                <c:pt idx="3">
                  <c:v>225</c:v>
                </c:pt>
                <c:pt idx="4">
                  <c:v>581</c:v>
                </c:pt>
              </c:numCache>
            </c:numRef>
          </c:val>
          <c:smooth val="0"/>
          <c:extLst>
            <c:ext xmlns:c16="http://schemas.microsoft.com/office/drawing/2014/chart" uri="{C3380CC4-5D6E-409C-BE32-E72D297353CC}">
              <c16:uniqueId val="{00000008-1337-46FC-A952-06E577C19D6B}"/>
            </c:ext>
          </c:extLst>
        </c:ser>
        <c:dLbls>
          <c:showLegendKey val="0"/>
          <c:showVal val="0"/>
          <c:showCatName val="0"/>
          <c:showSerName val="0"/>
          <c:showPercent val="0"/>
          <c:showBubbleSize val="0"/>
        </c:dLbls>
        <c:marker val="1"/>
        <c:smooth val="0"/>
        <c:axId val="536862120"/>
        <c:axId val="536861136"/>
      </c:lineChart>
      <c:catAx>
        <c:axId val="417347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7350912"/>
        <c:crosses val="autoZero"/>
        <c:auto val="1"/>
        <c:lblAlgn val="ctr"/>
        <c:lblOffset val="100"/>
        <c:noMultiLvlLbl val="0"/>
      </c:catAx>
      <c:valAx>
        <c:axId val="41735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17347304"/>
        <c:crosses val="autoZero"/>
        <c:crossBetween val="between"/>
      </c:valAx>
      <c:valAx>
        <c:axId val="5368611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36862120"/>
        <c:crosses val="max"/>
        <c:crossBetween val="between"/>
      </c:valAx>
      <c:catAx>
        <c:axId val="536862120"/>
        <c:scaling>
          <c:orientation val="minMax"/>
        </c:scaling>
        <c:delete val="1"/>
        <c:axPos val="b"/>
        <c:numFmt formatCode="General" sourceLinked="1"/>
        <c:majorTickMark val="out"/>
        <c:minorTickMark val="none"/>
        <c:tickLblPos val="nextTo"/>
        <c:crossAx val="536861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31750" cap="rnd">
              <a:solidFill>
                <a:schemeClr val="accent1"/>
              </a:solidFill>
              <a:round/>
            </a:ln>
            <a:effectLst/>
          </c:spPr>
          <c:marker>
            <c:symbol val="none"/>
          </c:marker>
          <c:dLbls>
            <c:dLbl>
              <c:idx val="0"/>
              <c:layout>
                <c:manualLayout>
                  <c:x val="-6.1173665791776029E-2"/>
                  <c:y val="-9.8722415795586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27-432B-8BDB-E3B67E8C858B}"/>
                </c:ext>
              </c:extLst>
            </c:dLbl>
            <c:dLbl>
              <c:idx val="1"/>
              <c:layout>
                <c:manualLayout>
                  <c:x val="-5.8395888013998247E-2"/>
                  <c:y val="9.2915214866434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27-432B-8BDB-E3B67E8C858B}"/>
                </c:ext>
              </c:extLst>
            </c:dLbl>
            <c:dLbl>
              <c:idx val="2"/>
              <c:layout>
                <c:manualLayout>
                  <c:x val="-5.5618110236220472E-2"/>
                  <c:y val="-9.29152148664343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27-432B-8BDB-E3B67E8C858B}"/>
                </c:ext>
              </c:extLst>
            </c:dLbl>
            <c:dLbl>
              <c:idx val="3"/>
              <c:layout>
                <c:manualLayout>
                  <c:x val="-6.1173665791776029E-2"/>
                  <c:y val="6.9686411149825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27-432B-8BDB-E3B67E8C858B}"/>
                </c:ext>
              </c:extLst>
            </c:dLbl>
            <c:dLbl>
              <c:idx val="4"/>
              <c:layout>
                <c:manualLayout>
                  <c:x val="-6.1173665791776029E-2"/>
                  <c:y val="-7.54936120789779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27-432B-8BDB-E3B67E8C85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Ліквідність!$D$5:$H$5</c:f>
              <c:numCache>
                <c:formatCode>General</c:formatCode>
                <c:ptCount val="5"/>
                <c:pt idx="0">
                  <c:v>166.92</c:v>
                </c:pt>
                <c:pt idx="1">
                  <c:v>212.58</c:v>
                </c:pt>
                <c:pt idx="2">
                  <c:v>189.54</c:v>
                </c:pt>
                <c:pt idx="3">
                  <c:v>100.25</c:v>
                </c:pt>
                <c:pt idx="4">
                  <c:v>114.55</c:v>
                </c:pt>
              </c:numCache>
            </c:numRef>
          </c:val>
          <c:smooth val="0"/>
          <c:extLst>
            <c:ext xmlns:c16="http://schemas.microsoft.com/office/drawing/2014/chart" uri="{C3380CC4-5D6E-409C-BE32-E72D297353CC}">
              <c16:uniqueId val="{00000005-AA27-432B-8BDB-E3B67E8C858B}"/>
            </c:ext>
          </c:extLst>
        </c:ser>
        <c:dLbls>
          <c:dLblPos val="ctr"/>
          <c:showLegendKey val="0"/>
          <c:showVal val="1"/>
          <c:showCatName val="0"/>
          <c:showSerName val="0"/>
          <c:showPercent val="0"/>
          <c:showBubbleSize val="0"/>
        </c:dLbls>
        <c:smooth val="0"/>
        <c:axId val="426136016"/>
        <c:axId val="426135360"/>
      </c:lineChart>
      <c:catAx>
        <c:axId val="4261360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Рік</a:t>
                </a:r>
              </a:p>
            </c:rich>
          </c:tx>
          <c:layout>
            <c:manualLayout>
              <c:xMode val="edge"/>
              <c:yMode val="edge"/>
              <c:x val="0.46529046369203847"/>
              <c:y val="0.8478220710216101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426135360"/>
        <c:crosses val="autoZero"/>
        <c:auto val="1"/>
        <c:lblAlgn val="ctr"/>
        <c:lblOffset val="100"/>
        <c:noMultiLvlLbl val="0"/>
      </c:catAx>
      <c:valAx>
        <c:axId val="4261353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Показник ліквідності , %</a:t>
                </a:r>
              </a:p>
            </c:rich>
          </c:tx>
          <c:layout>
            <c:manualLayout>
              <c:xMode val="edge"/>
              <c:yMode val="edge"/>
              <c:x val="2.5000000000000001E-2"/>
              <c:y val="7.8605265805189006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42613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Ліквідність!$B$6</c:f>
              <c:strCache>
                <c:ptCount val="1"/>
                <c:pt idx="0">
                  <c:v>LСRвв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Ліквідність!$F$6:$H$6</c:f>
              <c:numCache>
                <c:formatCode>General</c:formatCode>
                <c:ptCount val="3"/>
                <c:pt idx="0">
                  <c:v>482.45</c:v>
                </c:pt>
                <c:pt idx="1">
                  <c:v>447.3</c:v>
                </c:pt>
                <c:pt idx="2">
                  <c:v>304.7</c:v>
                </c:pt>
              </c:numCache>
            </c:numRef>
          </c:val>
          <c:smooth val="0"/>
          <c:extLst>
            <c:ext xmlns:c16="http://schemas.microsoft.com/office/drawing/2014/chart" uri="{C3380CC4-5D6E-409C-BE32-E72D297353CC}">
              <c16:uniqueId val="{00000000-38BD-4C44-81D4-91CC802135C9}"/>
            </c:ext>
          </c:extLst>
        </c:ser>
        <c:ser>
          <c:idx val="1"/>
          <c:order val="1"/>
          <c:tx>
            <c:strRef>
              <c:f>Ліквідність!$B$7</c:f>
              <c:strCache>
                <c:ptCount val="1"/>
                <c:pt idx="0">
                  <c:v>LСRів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6.6729221347331585E-2"/>
                  <c:y val="8.46537452049262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BD-4C44-81D4-91CC802135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Ліквідність!$F$7:$H$7</c:f>
              <c:numCache>
                <c:formatCode>General</c:formatCode>
                <c:ptCount val="3"/>
                <c:pt idx="0">
                  <c:v>279.97000000000003</c:v>
                </c:pt>
                <c:pt idx="1">
                  <c:v>377.08</c:v>
                </c:pt>
                <c:pt idx="2">
                  <c:v>207.07</c:v>
                </c:pt>
              </c:numCache>
            </c:numRef>
          </c:val>
          <c:smooth val="0"/>
          <c:extLst>
            <c:ext xmlns:c16="http://schemas.microsoft.com/office/drawing/2014/chart" uri="{C3380CC4-5D6E-409C-BE32-E72D297353CC}">
              <c16:uniqueId val="{00000002-38BD-4C44-81D4-91CC802135C9}"/>
            </c:ext>
          </c:extLst>
        </c:ser>
        <c:dLbls>
          <c:showLegendKey val="0"/>
          <c:showVal val="0"/>
          <c:showCatName val="0"/>
          <c:showSerName val="0"/>
          <c:showPercent val="0"/>
          <c:showBubbleSize val="0"/>
        </c:dLbls>
        <c:marker val="1"/>
        <c:smooth val="0"/>
        <c:axId val="422311032"/>
        <c:axId val="422308736"/>
      </c:lineChart>
      <c:dateAx>
        <c:axId val="422311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Рік</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2308736"/>
        <c:crosses val="autoZero"/>
        <c:auto val="0"/>
        <c:lblOffset val="100"/>
        <c:baseTimeUnit val="days"/>
      </c:dateAx>
      <c:valAx>
        <c:axId val="422308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Показник ліквідності,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231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Доп.ліквідність!$A$2</c:f>
              <c:strCache>
                <c:ptCount val="1"/>
                <c:pt idx="0">
                  <c:v>Коефіцієнт загальної ліквідності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Доп.ліквідність!$C$2:$G$2</c:f>
              <c:numCache>
                <c:formatCode>General</c:formatCode>
                <c:ptCount val="5"/>
                <c:pt idx="0">
                  <c:v>113.4</c:v>
                </c:pt>
                <c:pt idx="1">
                  <c:v>120.59</c:v>
                </c:pt>
                <c:pt idx="2">
                  <c:v>120.7</c:v>
                </c:pt>
                <c:pt idx="3">
                  <c:v>122.46</c:v>
                </c:pt>
                <c:pt idx="4">
                  <c:v>131.74</c:v>
                </c:pt>
              </c:numCache>
            </c:numRef>
          </c:val>
          <c:smooth val="0"/>
          <c:extLst>
            <c:ext xmlns:c16="http://schemas.microsoft.com/office/drawing/2014/chart" uri="{C3380CC4-5D6E-409C-BE32-E72D297353CC}">
              <c16:uniqueId val="{00000000-4963-4B31-BBF8-92282A3F56D4}"/>
            </c:ext>
          </c:extLst>
        </c:ser>
        <c:ser>
          <c:idx val="1"/>
          <c:order val="1"/>
          <c:tx>
            <c:strRef>
              <c:f>Доп.ліквідність!$A$3</c:f>
              <c:strCache>
                <c:ptCount val="1"/>
                <c:pt idx="0">
                  <c:v>Коефіцієнт співвідношення високоліквідних активів до робочих активів банку</c:v>
                </c:pt>
              </c:strCache>
            </c:strRef>
          </c:tx>
          <c:spPr>
            <a:ln w="28575" cap="rnd">
              <a:solidFill>
                <a:schemeClr val="accent2"/>
              </a:solidFill>
              <a:round/>
            </a:ln>
            <a:effectLst/>
          </c:spPr>
          <c:marker>
            <c:symbol val="none"/>
          </c:marker>
          <c:dLbls>
            <c:dLbl>
              <c:idx val="0"/>
              <c:layout>
                <c:manualLayout>
                  <c:x val="-2.9062554680664918E-2"/>
                  <c:y val="2.5497594050743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63-4B31-BBF8-92282A3F56D4}"/>
                </c:ext>
              </c:extLst>
            </c:dLbl>
            <c:dLbl>
              <c:idx val="1"/>
              <c:layout>
                <c:manualLayout>
                  <c:x val="-4.3729221347331586E-2"/>
                  <c:y val="3.4756853310002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63-4B31-BBF8-92282A3F56D4}"/>
                </c:ext>
              </c:extLst>
            </c:dLbl>
            <c:dLbl>
              <c:idx val="2"/>
              <c:layout>
                <c:manualLayout>
                  <c:x val="-3.5395888013998351E-2"/>
                  <c:y val="2.5497594050743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63-4B31-BBF8-92282A3F56D4}"/>
                </c:ext>
              </c:extLst>
            </c:dLbl>
            <c:dLbl>
              <c:idx val="3"/>
              <c:layout>
                <c:manualLayout>
                  <c:x val="-6.8403324584426946E-3"/>
                  <c:y val="2.5497594050743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63-4B31-BBF8-92282A3F56D4}"/>
                </c:ext>
              </c:extLst>
            </c:dLbl>
            <c:dLbl>
              <c:idx val="4"/>
              <c:layout>
                <c:manualLayout>
                  <c:x val="-1.8729221347331685E-2"/>
                  <c:y val="2.5497594050743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63-4B31-BBF8-92282A3F56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Доп.ліквідність!$C$3:$G$3</c:f>
              <c:numCache>
                <c:formatCode>General</c:formatCode>
                <c:ptCount val="5"/>
                <c:pt idx="0">
                  <c:v>9.08</c:v>
                </c:pt>
                <c:pt idx="1">
                  <c:v>12.71</c:v>
                </c:pt>
                <c:pt idx="2">
                  <c:v>16.87</c:v>
                </c:pt>
                <c:pt idx="3">
                  <c:v>17.600000000000001</c:v>
                </c:pt>
                <c:pt idx="4">
                  <c:v>12.76</c:v>
                </c:pt>
              </c:numCache>
            </c:numRef>
          </c:val>
          <c:smooth val="0"/>
          <c:extLst>
            <c:ext xmlns:c16="http://schemas.microsoft.com/office/drawing/2014/chart" uri="{C3380CC4-5D6E-409C-BE32-E72D297353CC}">
              <c16:uniqueId val="{00000006-4963-4B31-BBF8-92282A3F56D4}"/>
            </c:ext>
          </c:extLst>
        </c:ser>
        <c:ser>
          <c:idx val="2"/>
          <c:order val="2"/>
          <c:tx>
            <c:strRef>
              <c:f>Доп.ліквідність!$A$4</c:f>
              <c:strCache>
                <c:ptCount val="1"/>
                <c:pt idx="0">
                  <c:v>Коефіцієнт ліквідного співвідношеннявиданих кредитів і залучених депозитів (для визначення незбалансованої ліквідності)</c:v>
                </c:pt>
              </c:strCache>
            </c:strRef>
          </c:tx>
          <c:spPr>
            <a:ln w="28575" cap="rnd">
              <a:solidFill>
                <a:schemeClr val="accent3"/>
              </a:solidFill>
              <a:round/>
            </a:ln>
            <a:effectLst/>
          </c:spPr>
          <c:marker>
            <c:symbol val="none"/>
          </c:marker>
          <c:dLbls>
            <c:dLbl>
              <c:idx val="0"/>
              <c:layout>
                <c:manualLayout>
                  <c:x val="-4.3729221347331586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63-4B31-BBF8-92282A3F56D4}"/>
                </c:ext>
              </c:extLst>
            </c:dLbl>
            <c:dLbl>
              <c:idx val="1"/>
              <c:layout>
                <c:manualLayout>
                  <c:x val="-5.5618110236220472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63-4B31-BBF8-92282A3F56D4}"/>
                </c:ext>
              </c:extLst>
            </c:dLbl>
            <c:dLbl>
              <c:idx val="2"/>
              <c:layout>
                <c:manualLayout>
                  <c:x val="-5.4840332458442692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63-4B31-BBF8-92282A3F56D4}"/>
                </c:ext>
              </c:extLst>
            </c:dLbl>
            <c:dLbl>
              <c:idx val="3"/>
              <c:layout>
                <c:manualLayout>
                  <c:x val="-5.2062554680664917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63-4B31-BBF8-92282A3F56D4}"/>
                </c:ext>
              </c:extLst>
            </c:dLbl>
            <c:dLbl>
              <c:idx val="4"/>
              <c:layout>
                <c:manualLayout>
                  <c:x val="-6.1173665791776133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63-4B31-BBF8-92282A3F56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Доп.ліквідність!$C$4:$G$4</c:f>
              <c:numCache>
                <c:formatCode>General</c:formatCode>
                <c:ptCount val="5"/>
                <c:pt idx="0">
                  <c:v>87.08</c:v>
                </c:pt>
                <c:pt idx="1">
                  <c:v>100.65</c:v>
                </c:pt>
                <c:pt idx="2">
                  <c:v>98.75</c:v>
                </c:pt>
                <c:pt idx="3">
                  <c:v>99.01</c:v>
                </c:pt>
                <c:pt idx="4">
                  <c:v>113.38</c:v>
                </c:pt>
              </c:numCache>
            </c:numRef>
          </c:val>
          <c:smooth val="0"/>
          <c:extLst>
            <c:ext xmlns:c16="http://schemas.microsoft.com/office/drawing/2014/chart" uri="{C3380CC4-5D6E-409C-BE32-E72D297353CC}">
              <c16:uniqueId val="{0000000C-4963-4B31-BBF8-92282A3F56D4}"/>
            </c:ext>
          </c:extLst>
        </c:ser>
        <c:ser>
          <c:idx val="3"/>
          <c:order val="3"/>
          <c:tx>
            <c:strRef>
              <c:f>Доп.ліквідність!$A$5</c:f>
              <c:strCache>
                <c:ptCount val="1"/>
                <c:pt idx="0">
                  <c:v>Коефіцієнт генеральної ліквідності зобов’язань</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Доп.ліквідність!$C$5:$G$5</c:f>
              <c:numCache>
                <c:formatCode>General</c:formatCode>
                <c:ptCount val="5"/>
                <c:pt idx="0">
                  <c:v>13.39</c:v>
                </c:pt>
                <c:pt idx="1">
                  <c:v>17.23</c:v>
                </c:pt>
                <c:pt idx="2">
                  <c:v>21.42</c:v>
                </c:pt>
                <c:pt idx="3">
                  <c:v>22.88</c:v>
                </c:pt>
                <c:pt idx="4">
                  <c:v>19.86</c:v>
                </c:pt>
              </c:numCache>
            </c:numRef>
          </c:val>
          <c:smooth val="0"/>
          <c:extLst>
            <c:ext xmlns:c16="http://schemas.microsoft.com/office/drawing/2014/chart" uri="{C3380CC4-5D6E-409C-BE32-E72D297353CC}">
              <c16:uniqueId val="{0000000D-4963-4B31-BBF8-92282A3F56D4}"/>
            </c:ext>
          </c:extLst>
        </c:ser>
        <c:dLbls>
          <c:showLegendKey val="0"/>
          <c:showVal val="0"/>
          <c:showCatName val="0"/>
          <c:showSerName val="0"/>
          <c:showPercent val="0"/>
          <c:showBubbleSize val="0"/>
        </c:dLbls>
        <c:smooth val="0"/>
        <c:axId val="421166400"/>
        <c:axId val="421166072"/>
      </c:lineChart>
      <c:catAx>
        <c:axId val="4211664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1166072"/>
        <c:crosses val="autoZero"/>
        <c:auto val="1"/>
        <c:lblAlgn val="ctr"/>
        <c:lblOffset val="100"/>
        <c:noMultiLvlLbl val="0"/>
      </c:catAx>
      <c:valAx>
        <c:axId val="42116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116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0.07966</cdr:x>
      <cdr:y>0.72316</cdr:y>
    </cdr:from>
    <cdr:to>
      <cdr:x>0.97119</cdr:x>
      <cdr:y>0.80226</cdr:y>
    </cdr:to>
    <cdr:sp macro="" textlink="">
      <cdr:nvSpPr>
        <cdr:cNvPr id="2" name="Прямоугольник 1"/>
        <cdr:cNvSpPr/>
      </cdr:nvSpPr>
      <cdr:spPr>
        <a:xfrm xmlns:a="http://schemas.openxmlformats.org/drawingml/2006/main">
          <a:off x="364210" y="1983783"/>
          <a:ext cx="4076054" cy="216975"/>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uk-UA" sz="1000"/>
            <a:t>2012      2013    2014      2015    2016      2017     2018     2019      2020   2021</a:t>
          </a:r>
        </a:p>
      </cdr:txBody>
    </cdr:sp>
  </cdr:relSizeAnchor>
</c:userShapes>
</file>

<file path=word/drawings/drawing2.xml><?xml version="1.0" encoding="utf-8"?>
<c:userShapes xmlns:c="http://schemas.openxmlformats.org/drawingml/2006/chart">
  <cdr:relSizeAnchor xmlns:cdr="http://schemas.openxmlformats.org/drawingml/2006/chartDrawing">
    <cdr:from>
      <cdr:x>0.12333</cdr:x>
      <cdr:y>0.75017</cdr:y>
    </cdr:from>
    <cdr:to>
      <cdr:x>0.91167</cdr:x>
      <cdr:y>0.8676</cdr:y>
    </cdr:to>
    <cdr:sp macro="" textlink="">
      <cdr:nvSpPr>
        <cdr:cNvPr id="2" name="Прямоугольник 1"/>
        <cdr:cNvSpPr/>
      </cdr:nvSpPr>
      <cdr:spPr>
        <a:xfrm xmlns:a="http://schemas.openxmlformats.org/drawingml/2006/main">
          <a:off x="563880" y="1640586"/>
          <a:ext cx="3604260" cy="25679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a:solidFill>
                <a:schemeClr val="tx1"/>
              </a:solidFill>
            </a:rPr>
            <a:t>        2017             2018                2019               2020         2021</a:t>
          </a:r>
        </a:p>
      </cdr:txBody>
    </cdr:sp>
  </cdr:relSizeAnchor>
</c:userShapes>
</file>

<file path=word/drawings/drawing3.xml><?xml version="1.0" encoding="utf-8"?>
<c:userShapes xmlns:c="http://schemas.openxmlformats.org/drawingml/2006/chart">
  <cdr:relSizeAnchor xmlns:cdr="http://schemas.openxmlformats.org/drawingml/2006/chartDrawing">
    <cdr:from>
      <cdr:x>0.12167</cdr:x>
      <cdr:y>0.66462</cdr:y>
    </cdr:from>
    <cdr:to>
      <cdr:x>0.95167</cdr:x>
      <cdr:y>0.74154</cdr:y>
    </cdr:to>
    <cdr:sp macro="" textlink="">
      <cdr:nvSpPr>
        <cdr:cNvPr id="2" name="Прямоугольник 1"/>
        <cdr:cNvSpPr/>
      </cdr:nvSpPr>
      <cdr:spPr>
        <a:xfrm xmlns:a="http://schemas.openxmlformats.org/drawingml/2006/main">
          <a:off x="556260" y="1645920"/>
          <a:ext cx="3794760" cy="1905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sz="1000">
              <a:solidFill>
                <a:schemeClr val="tx1"/>
              </a:solidFill>
            </a:rPr>
            <a:t>             </a:t>
          </a:r>
          <a:r>
            <a:rPr lang="uk-UA" sz="1000" baseline="0">
              <a:solidFill>
                <a:schemeClr val="tx1"/>
              </a:solidFill>
            </a:rPr>
            <a:t> </a:t>
          </a:r>
          <a:r>
            <a:rPr lang="uk-UA" sz="1000">
              <a:solidFill>
                <a:schemeClr val="tx1"/>
              </a:solidFill>
            </a:rPr>
            <a:t>2019                                    2020                                        2021</a:t>
          </a:r>
        </a:p>
      </cdr:txBody>
    </cdr:sp>
  </cdr:relSizeAnchor>
</c:userShapes>
</file>

<file path=word/drawings/drawing4.xml><?xml version="1.0" encoding="utf-8"?>
<c:userShapes xmlns:c="http://schemas.openxmlformats.org/drawingml/2006/chart">
  <cdr:relSizeAnchor xmlns:cdr="http://schemas.openxmlformats.org/drawingml/2006/chartDrawing">
    <cdr:from>
      <cdr:x>0.14</cdr:x>
      <cdr:y>0.47981</cdr:y>
    </cdr:from>
    <cdr:to>
      <cdr:x>0.95333</cdr:x>
      <cdr:y>0.56314</cdr:y>
    </cdr:to>
    <cdr:sp macro="" textlink="">
      <cdr:nvSpPr>
        <cdr:cNvPr id="2" name="Прямоугольник 1"/>
        <cdr:cNvSpPr/>
      </cdr:nvSpPr>
      <cdr:spPr>
        <a:xfrm xmlns:a="http://schemas.openxmlformats.org/drawingml/2006/main">
          <a:off x="642214" y="1422249"/>
          <a:ext cx="3730940" cy="24700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sz="1000">
              <a:solidFill>
                <a:schemeClr val="tx1"/>
              </a:solidFill>
              <a:latin typeface="Times New Roman" panose="02020603050405020304" pitchFamily="18" charset="0"/>
              <a:cs typeface="Times New Roman" panose="02020603050405020304" pitchFamily="18" charset="0"/>
            </a:rPr>
            <a:t>2017              2018                   2019</a:t>
          </a:r>
          <a:r>
            <a:rPr lang="uk-UA" sz="1000" baseline="0">
              <a:solidFill>
                <a:schemeClr val="tx1"/>
              </a:solidFill>
              <a:latin typeface="Times New Roman" panose="02020603050405020304" pitchFamily="18" charset="0"/>
              <a:cs typeface="Times New Roman" panose="02020603050405020304" pitchFamily="18" charset="0"/>
            </a:rPr>
            <a:t>                      2020                2021</a:t>
          </a:r>
          <a:endParaRPr lang="uk-UA"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0.15167</cdr:x>
      <cdr:y>0.79722</cdr:y>
    </cdr:from>
    <cdr:to>
      <cdr:x>1</cdr:x>
      <cdr:y>0.88056</cdr:y>
    </cdr:to>
    <cdr:sp macro="" textlink="">
      <cdr:nvSpPr>
        <cdr:cNvPr id="2" name="Прямоугольник 1"/>
        <cdr:cNvSpPr/>
      </cdr:nvSpPr>
      <cdr:spPr>
        <a:xfrm xmlns:a="http://schemas.openxmlformats.org/drawingml/2006/main">
          <a:off x="693420" y="2186940"/>
          <a:ext cx="3878580" cy="2286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a:solidFill>
                <a:schemeClr val="tx1"/>
              </a:solidFill>
              <a:latin typeface="Times New Roman" panose="02020603050405020304" pitchFamily="18" charset="0"/>
              <a:cs typeface="Times New Roman" panose="02020603050405020304" pitchFamily="18" charset="0"/>
            </a:rPr>
            <a:t>до 1 міс.       1-12</a:t>
          </a:r>
          <a:r>
            <a:rPr lang="uk-UA" baseline="0">
              <a:solidFill>
                <a:schemeClr val="tx1"/>
              </a:solidFill>
              <a:latin typeface="Times New Roman" panose="02020603050405020304" pitchFamily="18" charset="0"/>
              <a:cs typeface="Times New Roman" panose="02020603050405020304" pitchFamily="18" charset="0"/>
            </a:rPr>
            <a:t> міс.        1-5 років     понад 5 років   усього</a:t>
          </a:r>
          <a:endParaRPr lang="uk-UA">
            <a:solidFill>
              <a:schemeClr val="tx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08EDA-0131-437F-9D32-9C69E8874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7484</TotalTime>
  <Pages>107</Pages>
  <Words>113192</Words>
  <Characters>64520</Characters>
  <Application>Microsoft Office Word</Application>
  <DocSecurity>0</DocSecurity>
  <Lines>537</Lines>
  <Paragraphs>354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177358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Ірина</dc:creator>
  <cp:keywords/>
  <dc:description/>
  <cp:lastModifiedBy>Ірина</cp:lastModifiedBy>
  <cp:revision>792</cp:revision>
  <cp:lastPrinted>2022-11-11T19:39:00Z</cp:lastPrinted>
  <dcterms:created xsi:type="dcterms:W3CDTF">2022-11-07T18:53:00Z</dcterms:created>
  <dcterms:modified xsi:type="dcterms:W3CDTF">2022-11-25T01:25:00Z</dcterms:modified>
</cp:coreProperties>
</file>