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A1172F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A1172F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СУЧАСНА СВІТОВА ЛІТЕРАТУРА</w:t>
            </w:r>
          </w:p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 Середня освіта. Українська мова та література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48553B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9"/>
        <w:gridCol w:w="273"/>
        <w:gridCol w:w="2048"/>
        <w:gridCol w:w="273"/>
        <w:gridCol w:w="1349"/>
        <w:gridCol w:w="717"/>
        <w:gridCol w:w="272"/>
        <w:gridCol w:w="2248"/>
      </w:tblGrid>
      <w:tr w:rsidR="00EE4FD8" w:rsidRPr="00A1172F" w:rsidTr="008201F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E8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E4FD8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810AE" w:rsidRPr="00A1172F" w:rsidTr="008201F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810AE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anna-galenko</w:t>
            </w:r>
            <w:proofErr w:type="spellEnd"/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81603A" w:rsidP="00E8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E81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066-8001302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E810AE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810AE" w:rsidRPr="00A1172F" w:rsidTr="008201F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48553B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FD" w:rsidRDefault="00BD7662" w:rsidP="008201FD">
            <w:pPr>
              <w:pStyle w:val="a0"/>
              <w:ind w:firstLine="0"/>
              <w:rPr>
                <w:sz w:val="22"/>
              </w:rPr>
            </w:pPr>
            <w:r w:rsidRPr="00BD7662">
              <w:rPr>
                <w:sz w:val="22"/>
              </w:rPr>
              <w:t>Курс «Сучасн</w:t>
            </w:r>
            <w:r>
              <w:rPr>
                <w:sz w:val="22"/>
              </w:rPr>
              <w:t xml:space="preserve">а світова </w:t>
            </w:r>
            <w:r w:rsidRPr="008201FD">
              <w:rPr>
                <w:sz w:val="22"/>
              </w:rPr>
              <w:t xml:space="preserve">література» покликаний сформувати комплекс професійної компетентності щодо основних питань з сучасної літератури, ознайомити здобувачів вищої освіти з актуальними тенденціями сучасної світової літератури, </w:t>
            </w:r>
            <w:r w:rsidR="008201FD" w:rsidRPr="008201FD">
              <w:rPr>
                <w:sz w:val="22"/>
              </w:rPr>
              <w:t>з</w:t>
            </w:r>
            <w:r w:rsidRPr="008201FD">
              <w:rPr>
                <w:sz w:val="22"/>
              </w:rPr>
              <w:t xml:space="preserve"> розмаїттям стилів і методів.</w:t>
            </w:r>
          </w:p>
          <w:p w:rsidR="0081603A" w:rsidRPr="00A1172F" w:rsidRDefault="008201FD" w:rsidP="00BD7662">
            <w:pPr>
              <w:pStyle w:val="a0"/>
              <w:ind w:firstLine="0"/>
              <w:rPr>
                <w:sz w:val="22"/>
              </w:rPr>
            </w:pPr>
            <w:r>
              <w:rPr>
                <w:sz w:val="22"/>
              </w:rPr>
              <w:t>Вивчення дисципліни спрямоване на</w:t>
            </w:r>
            <w:r w:rsidR="00BD7662" w:rsidRPr="00BD7662">
              <w:rPr>
                <w:sz w:val="22"/>
              </w:rPr>
              <w:t xml:space="preserve"> формування у здобувачів вищої освітисистемних уявлень про основні тенденції розвитку світової літератури межіХХ-ХХІ століть</w:t>
            </w:r>
            <w:r>
              <w:rPr>
                <w:sz w:val="22"/>
              </w:rPr>
              <w:t xml:space="preserve"> як виду мистецтва</w:t>
            </w:r>
            <w:r w:rsidR="00BD7662" w:rsidRPr="00BD7662">
              <w:rPr>
                <w:sz w:val="22"/>
              </w:rPr>
              <w:t>, змінилітературних напрямків, їх національну специфіку та взаємодію, розвиток</w:t>
            </w:r>
            <w:r>
              <w:rPr>
                <w:sz w:val="22"/>
              </w:rPr>
              <w:t xml:space="preserve"> т</w:t>
            </w:r>
            <w:r w:rsidR="00BD7662" w:rsidRPr="00BD7662">
              <w:rPr>
                <w:sz w:val="22"/>
              </w:rPr>
              <w:t>ворчого методу письменника як естетичного феномену.</w:t>
            </w:r>
          </w:p>
        </w:tc>
      </w:tr>
      <w:tr w:rsidR="000521BE" w:rsidRPr="0048553B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3EE" w:rsidRPr="00E873EE" w:rsidRDefault="00E873EE" w:rsidP="00D14DEE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D27483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Знання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:основні етапи, філософські та мовно-художні аспекти формування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л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ітератури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постмодернізму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провідні жанри </w:t>
            </w:r>
            <w:r w:rsidR="00D14DEE">
              <w:rPr>
                <w:rFonts w:ascii="Times New Roman" w:eastAsia="Times New Roman" w:hAnsi="Times New Roman" w:cs="Times New Roman"/>
                <w:szCs w:val="24"/>
                <w:lang w:val="uk-UA"/>
              </w:rPr>
              <w:t>та стилі доби в їхній динаміці;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творчість провідних митців доби та видатних перекладачів їхніх творів.</w:t>
            </w:r>
          </w:p>
          <w:p w:rsidR="00E873EE" w:rsidRPr="00E873EE" w:rsidRDefault="00D14DEE" w:rsidP="00E873EE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уміння: 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визначати основні чинни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ки й аспекти розвитку літературних течій, напрямів сучасної літератури;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визначати основні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особливості періоду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розвитку літератури, вміти характеризуватилітературну добу за історичними, ідейно-художніми передумовами,мовно-художніми особливостями, системою жанрів і жанрових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різновидів; 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розрізняти твори, які презентують літературну добу, за особливостями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їхньої поетики, проблематикою; 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виявляти в ході літературознавчих і філологічного аналізів творів,зіставлення оригіналу й перекладних варіантів риси авторського стилю,поетики, особливості семантики творів видатних митців доби.</w:t>
            </w:r>
          </w:p>
          <w:p w:rsidR="00E873EE" w:rsidRPr="00E873EE" w:rsidRDefault="00D27483" w:rsidP="00E873EE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D27483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Н</w:t>
            </w:r>
            <w:r w:rsidR="00E873EE" w:rsidRPr="00D27483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авички</w:t>
            </w:r>
            <w:r w:rsidR="00E873EE"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:самостійного опрацювання літературних творів, визначених для</w:t>
            </w:r>
          </w:p>
          <w:p w:rsidR="00E873EE" w:rsidRPr="00E873EE" w:rsidRDefault="00E873EE" w:rsidP="00E873EE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обов’язкового й рекомендованого прочитання, у формі «літературного</w:t>
            </w:r>
          </w:p>
          <w:p w:rsidR="0081603A" w:rsidRPr="00E810AE" w:rsidRDefault="00E873EE" w:rsidP="00D27483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val="uk-UA"/>
              </w:rPr>
            </w:pP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словни</w:t>
            </w:r>
            <w:r w:rsidR="008D1D2E">
              <w:rPr>
                <w:rFonts w:ascii="Times New Roman" w:eastAsia="Times New Roman" w:hAnsi="Times New Roman" w:cs="Times New Roman"/>
                <w:szCs w:val="24"/>
                <w:lang w:val="uk-UA"/>
              </w:rPr>
              <w:t>ч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ка» та «читацького щоденника»; тезового конспектування рекомендованого списку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літературнокритичних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матеріалів;самостійної підготовки повідомлень до лекці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йних і практичних занять 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на літературну тему; опрацювання програмних тем курсу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дослідницької, зіставної, творчо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>ї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роботи з літературнимтекстом, його фрагментами і перекладними зраз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ками; 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систематизації та оформлення результатів власної роботи злітературним і літературно-критичним матеріалом у форматі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сучаснихмедіатекстів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– презентацій, доповідей, есе, рецензій,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літературнихкоментарів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, опорних схем-таблиць,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сенканів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і хмар тегів,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буктрейлерівтощо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; аналізу та інтерпретування літературного тексту як предметамистецтва, художнього образу й явища певної літературної доби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осмислення, оцінювання й відбору канонічних творів світовогокрасного письменства у контексті історико-культурного їхфункціонування, а також в умовах сучасного розвиткулітературознавства й літературної критики, </w:t>
            </w:r>
            <w:proofErr w:type="spellStart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медіакультури</w:t>
            </w:r>
            <w:proofErr w:type="spellEnd"/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; усвідомлення передумов і чинників ґенези світового літературногопроцесу, що зумовлюють розвиток філологічної науки</w:t>
            </w:r>
            <w:r w:rsidR="00D27483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визначення рівня майстерності літературного твору як виявлення особливих творчих здібностей іпрофесійних філологічних навичок у роботі з творами зарубіжноїлітератури.</w:t>
            </w:r>
          </w:p>
        </w:tc>
      </w:tr>
      <w:tr w:rsidR="000521BE" w:rsidRPr="0048553B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E810AE" w:rsidRDefault="000521BE" w:rsidP="00EC7503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EC7503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Базові знання, </w:t>
            </w:r>
            <w:r w:rsidR="00EC7503" w:rsidRPr="00EC7503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здобуті</w:t>
            </w:r>
            <w:r w:rsidR="00F0647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при вивченні дисциплін «Вступ до літературознавства та історія літературознавства», «Історія світової літератури», які вивчалися на </w:t>
            </w:r>
            <w:proofErr w:type="spellStart"/>
            <w:r w:rsidR="00F0647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бакалавраті</w:t>
            </w:r>
            <w:proofErr w:type="spellEnd"/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EC7503" w:rsidRDefault="00EC7503" w:rsidP="00EC7503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</w:p>
    <w:p w:rsidR="005F40C3" w:rsidRDefault="00EC7503" w:rsidP="005F40C3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Вивчення курсу спрямоване на формування таких фахових компетентностей: </w:t>
      </w:r>
    </w:p>
    <w:p w:rsidR="005F40C3" w:rsidRDefault="00EC750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здатність використовувати сучасні методи аналізу літературних явищз позицій сучасного літературознавства</w:t>
      </w:r>
      <w:r w:rsidR="005F40C3">
        <w:rPr>
          <w:color w:val="000000"/>
        </w:rPr>
        <w:t>;</w:t>
      </w:r>
    </w:p>
    <w:p w:rsidR="005F40C3" w:rsidRDefault="005F40C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здатність </w:t>
      </w:r>
      <w:r w:rsidR="00EC7503">
        <w:rPr>
          <w:color w:val="000000"/>
        </w:rPr>
        <w:t>використовувати осн</w:t>
      </w:r>
      <w:r>
        <w:rPr>
          <w:color w:val="000000"/>
        </w:rPr>
        <w:t>овні літературознавчі категорії;</w:t>
      </w:r>
    </w:p>
    <w:p w:rsidR="005F40C3" w:rsidRDefault="005F40C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F40C3">
        <w:rPr>
          <w:color w:val="000000"/>
        </w:rPr>
        <w:t xml:space="preserve">здатність аналізувати основні тенденції розвитку світової літератури у зв’язку з основними історичними подіями певного періоду; </w:t>
      </w:r>
    </w:p>
    <w:p w:rsidR="005F40C3" w:rsidRDefault="005F40C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F40C3">
        <w:rPr>
          <w:color w:val="000000"/>
        </w:rPr>
        <w:t xml:space="preserve">здатність до розвитку художніх смаків; </w:t>
      </w:r>
    </w:p>
    <w:p w:rsidR="00EC7503" w:rsidRDefault="005F40C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F40C3">
        <w:rPr>
          <w:color w:val="000000"/>
        </w:rPr>
        <w:lastRenderedPageBreak/>
        <w:t>вміння використовувати знання, отримані на заняттях з дисципліни, для оцінювання культурного жит</w:t>
      </w:r>
      <w:r>
        <w:rPr>
          <w:color w:val="000000"/>
        </w:rPr>
        <w:t>тя сучасного суспільства;</w:t>
      </w:r>
    </w:p>
    <w:p w:rsidR="005F40C3" w:rsidRDefault="005F40C3" w:rsidP="005F40C3">
      <w:pPr>
        <w:pStyle w:val="a9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здатність виявляти готовність до науково-дослідної роботи з відповідних літературознавчих і психолого-педагогічних проблем, використовуючи необхідні методи збирання фактичного матеріалу для дослідження та його наукової </w:t>
      </w:r>
      <w:r w:rsidRPr="005F40C3">
        <w:rPr>
          <w:color w:val="000000"/>
        </w:rPr>
        <w:t>інтерпретації</w:t>
      </w:r>
      <w:r>
        <w:rPr>
          <w:color w:val="000000"/>
        </w:rPr>
        <w:t>.</w:t>
      </w:r>
    </w:p>
    <w:p w:rsidR="005F40C3" w:rsidRPr="005F40C3" w:rsidRDefault="005F40C3" w:rsidP="005F40C3">
      <w:pPr>
        <w:pStyle w:val="a9"/>
        <w:spacing w:before="0" w:beforeAutospacing="0" w:after="0" w:afterAutospacing="0"/>
        <w:ind w:left="1080"/>
        <w:jc w:val="both"/>
        <w:rPr>
          <w:color w:val="000000"/>
        </w:rPr>
      </w:pPr>
    </w:p>
    <w:p w:rsidR="0088364E" w:rsidRPr="005F40C3" w:rsidRDefault="005F40C3" w:rsidP="005F40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результаті вивчення дисципліни, здобувач вищої освіти буде:</w:t>
      </w:r>
    </w:p>
    <w:p w:rsidR="0088364E" w:rsidRPr="005F40C3" w:rsidRDefault="0088364E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знати сучасні філологічні й дидактичні засади вивчення зарубіжної літератури;</w:t>
      </w:r>
    </w:p>
    <w:p w:rsidR="0088364E" w:rsidRPr="005F40C3" w:rsidRDefault="0088364E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обізнаний із елементами теоретичного й експериментального дослідження в професійній сфері та методами їхньої реалізації;</w:t>
      </w:r>
    </w:p>
    <w:p w:rsidR="0088364E" w:rsidRPr="005F40C3" w:rsidRDefault="0088364E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розбиратися в мовному дискурсі ху</w:t>
      </w:r>
      <w:r w:rsidR="005F40C3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дожньої літератури й сучасності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F40C3" w:rsidRPr="005F40C3" w:rsidRDefault="0088364E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виділяти специфіку перебігу літературного процесу різних країн у культурному контексті, літературні напрями, течії, жанри, стилі, здобутки національних літератур, худ</w:t>
      </w:r>
      <w:r w:rsidR="005F40C3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ожні твори класики й сучасності;</w:t>
      </w:r>
    </w:p>
    <w:p w:rsidR="005F40C3" w:rsidRPr="005F40C3" w:rsidRDefault="005F40C3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мати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творчо-критичне мислення, творчо використовує різні теорії й 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світовий 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освід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процесі вирішення с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оціальних і професійних завдань;</w:t>
      </w:r>
    </w:p>
    <w:p w:rsidR="005F40C3" w:rsidRPr="005F40C3" w:rsidRDefault="005F40C3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володіти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різними видами аналізу художнього твору, визначає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ціональної та світової культури;</w:t>
      </w:r>
    </w:p>
    <w:p w:rsidR="005F40C3" w:rsidRPr="005F40C3" w:rsidRDefault="005F40C3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здійснювати порівняльний аналіз мовних та літературних фактів, явищ, визначати їх особливості;</w:t>
      </w:r>
    </w:p>
    <w:p w:rsidR="0088364E" w:rsidRPr="005F40C3" w:rsidRDefault="005F40C3" w:rsidP="005F40C3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застосовувати</w:t>
      </w:r>
      <w:r w:rsidR="0088364E"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сучасні методики й технології</w:t>
      </w:r>
      <w:r w:rsidRPr="005F40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роботи з літературно-художнім текстом.</w:t>
      </w:r>
    </w:p>
    <w:p w:rsidR="0088364E" w:rsidRDefault="0088364E" w:rsidP="0088364E">
      <w:pPr>
        <w:rPr>
          <w:rFonts w:ascii="TimesNewRomanPS-BoldItalicMT" w:hAnsi="TimesNewRomanPS-BoldItalicMT"/>
          <w:color w:val="000000"/>
          <w:sz w:val="26"/>
          <w:szCs w:val="26"/>
          <w:lang w:val="uk-UA"/>
        </w:rPr>
      </w:pPr>
    </w:p>
    <w:p w:rsidR="0081603A" w:rsidRPr="00A1172F" w:rsidRDefault="0081603A">
      <w:pPr>
        <w:rPr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72E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A1172F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8D1D2E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15772B" w:rsidRDefault="00E86DBF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Постмодернізм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proofErr w:type="gramStart"/>
            <w:r w:rsidRPr="0015772B">
              <w:rPr>
                <w:rFonts w:ascii="Times New Roman" w:hAnsi="Times New Roman" w:cs="Times New Roman"/>
              </w:rPr>
              <w:t>л</w:t>
            </w:r>
            <w:proofErr w:type="gramEnd"/>
            <w:r w:rsidRPr="0015772B">
              <w:rPr>
                <w:rFonts w:ascii="Times New Roman" w:hAnsi="Times New Roman" w:cs="Times New Roman"/>
              </w:rPr>
              <w:t>ітературнийнапрямок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на межі </w:t>
            </w: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ХХ-ХХІст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1603A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E86DBF" w:rsidRPr="0015772B" w:rsidRDefault="00E86DBF" w:rsidP="0015772B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Сучасна література: співвідношення та взаємодія різних стилів, напрямів, течій.</w:t>
            </w:r>
          </w:p>
          <w:p w:rsidR="00E86DBF" w:rsidRPr="0015772B" w:rsidRDefault="00E86DBF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Основніпоняттяестетикипостмодернізму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E86DBF" w:rsidRPr="0015772B" w:rsidRDefault="00E86DBF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Структуралізм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постструктуралізм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деконструктивізм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E86DBF" w:rsidRPr="0015772B" w:rsidRDefault="00E86DBF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Французький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антироман</w:t>
            </w:r>
            <w:proofErr w:type="spellEnd"/>
            <w:r w:rsidRPr="0015772B">
              <w:rPr>
                <w:rFonts w:ascii="Times New Roman" w:hAnsi="Times New Roman" w:cs="Times New Roman"/>
              </w:rPr>
              <w:t>» та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антидрама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». </w:t>
            </w:r>
          </w:p>
          <w:p w:rsidR="0081603A" w:rsidRPr="0015772B" w:rsidRDefault="00E86DBF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Руйнування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роману в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творахпостмодерні</w:t>
            </w:r>
            <w:proofErr w:type="gramStart"/>
            <w:r w:rsidRPr="0015772B">
              <w:rPr>
                <w:rFonts w:ascii="Times New Roman" w:hAnsi="Times New Roman" w:cs="Times New Roman"/>
              </w:rPr>
              <w:t>ст</w:t>
            </w:r>
            <w:proofErr w:type="gramEnd"/>
            <w:r w:rsidRPr="0015772B">
              <w:rPr>
                <w:rFonts w:ascii="Times New Roman" w:hAnsi="Times New Roman" w:cs="Times New Roman"/>
              </w:rPr>
              <w:t>ів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(А. </w:t>
            </w:r>
            <w:proofErr w:type="spellStart"/>
            <w:r w:rsidRPr="0015772B">
              <w:rPr>
                <w:rFonts w:ascii="Times New Roman" w:hAnsi="Times New Roman" w:cs="Times New Roman"/>
              </w:rPr>
              <w:t>Роб-Грій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7A61">
              <w:rPr>
                <w:rFonts w:ascii="Times New Roman" w:hAnsi="Times New Roman" w:cs="Times New Roman"/>
              </w:rPr>
              <w:t>М.</w:t>
            </w:r>
            <w:r w:rsidRPr="0015772B">
              <w:rPr>
                <w:rFonts w:ascii="Times New Roman" w:hAnsi="Times New Roman" w:cs="Times New Roman"/>
              </w:rPr>
              <w:t>Бютор</w:t>
            </w:r>
            <w:proofErr w:type="spellEnd"/>
            <w:r w:rsidRPr="0015772B">
              <w:rPr>
                <w:rFonts w:ascii="Times New Roman" w:hAnsi="Times New Roman" w:cs="Times New Roman"/>
              </w:rPr>
              <w:t>, Н. 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Саррот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Моріак</w:t>
            </w:r>
            <w:proofErr w:type="spellEnd"/>
            <w:r w:rsidRPr="0015772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72" w:type="dxa"/>
            <w:shd w:val="clear" w:color="auto" w:fill="auto"/>
          </w:tcPr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літературознавчий аналіз текстів, </w:t>
            </w:r>
          </w:p>
          <w:p w:rsid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укладання «літературного словнич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ка»,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дослідницька робота з літературним текстом,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</w:t>
            </w:r>
          </w:p>
          <w:p w:rsidR="008D1D2E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опорних схем-таблиць</w:t>
            </w:r>
          </w:p>
        </w:tc>
      </w:tr>
      <w:tr w:rsidR="0015772B" w:rsidRPr="00A1172F" w:rsidTr="00864DA5">
        <w:tc>
          <w:tcPr>
            <w:tcW w:w="407" w:type="dxa"/>
            <w:shd w:val="clear" w:color="auto" w:fill="auto"/>
          </w:tcPr>
          <w:p w:rsidR="0015772B" w:rsidRPr="00A1172F" w:rsidRDefault="0015772B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5772B">
              <w:rPr>
                <w:bCs/>
                <w:sz w:val="22"/>
                <w:szCs w:val="22"/>
                <w:shd w:val="clear" w:color="auto" w:fill="FFFFFF"/>
              </w:rPr>
              <w:t>Сучасна німецькомовна література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німецькоїлітературикінця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століття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Основнітенденціїрозвиткупіслявоєнної</w:t>
            </w:r>
            <w:proofErr w:type="gramStart"/>
            <w:r w:rsidRPr="0015772B">
              <w:rPr>
                <w:rFonts w:ascii="Times New Roman" w:hAnsi="Times New Roman" w:cs="Times New Roman"/>
              </w:rPr>
              <w:t>австр</w:t>
            </w:r>
            <w:proofErr w:type="gramEnd"/>
            <w:r w:rsidRPr="0015772B">
              <w:rPr>
                <w:rFonts w:ascii="Times New Roman" w:hAnsi="Times New Roman" w:cs="Times New Roman"/>
              </w:rPr>
              <w:t>ійськоїлітератури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Критика «фейлетонної доби». Г.Гессе «Гра в бісер».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lastRenderedPageBreak/>
              <w:t>Місце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Петера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Хандке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сучаснійнімецькомовнійлітературі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D67A61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Зображеннядуховноїкризисучасногозахідногосуспільства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творчостіЕльфрідиЄлінек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літературознавчий аналіз текстів, 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укладання «читацького щоденника»; 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творча робота з літературним текстом,</w:t>
            </w:r>
          </w:p>
          <w:p w:rsidR="0015772B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написання есе, аналіз та інтерпретування літературного тексту</w:t>
            </w:r>
          </w:p>
        </w:tc>
      </w:tr>
      <w:tr w:rsidR="0015772B" w:rsidRPr="00A1172F" w:rsidTr="00864DA5">
        <w:tc>
          <w:tcPr>
            <w:tcW w:w="407" w:type="dxa"/>
            <w:shd w:val="clear" w:color="auto" w:fill="auto"/>
          </w:tcPr>
          <w:p w:rsidR="0015772B" w:rsidRPr="00A1172F" w:rsidRDefault="0015772B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Новітня французька література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французькогопостмодернізму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772B">
              <w:rPr>
                <w:rFonts w:ascii="Times New Roman" w:hAnsi="Times New Roman" w:cs="Times New Roman"/>
              </w:rPr>
              <w:t>Соц</w:t>
            </w:r>
            <w:proofErr w:type="gramEnd"/>
            <w:r w:rsidRPr="0015772B">
              <w:rPr>
                <w:rFonts w:ascii="Times New Roman" w:hAnsi="Times New Roman" w:cs="Times New Roman"/>
              </w:rPr>
              <w:t>іально-історичніподіїдоби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їхвплив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літературу</w:t>
            </w:r>
            <w:proofErr w:type="spellEnd"/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Новітнітенденції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французькійдраматургії</w:t>
            </w:r>
            <w:proofErr w:type="spellEnd"/>
            <w:r w:rsidRPr="0015772B">
              <w:rPr>
                <w:rFonts w:ascii="Times New Roman" w:hAnsi="Times New Roman" w:cs="Times New Roman"/>
              </w:rPr>
              <w:t>: «театр абсурду» (</w:t>
            </w:r>
            <w:proofErr w:type="spellStart"/>
            <w:r w:rsidRPr="0015772B">
              <w:rPr>
                <w:rFonts w:ascii="Times New Roman" w:hAnsi="Times New Roman" w:cs="Times New Roman"/>
              </w:rPr>
              <w:t>основнірисиестетики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).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  <w:lang w:val="uk-UA"/>
              </w:rPr>
              <w:t>Неоміфологізм</w:t>
            </w:r>
            <w:proofErr w:type="spellEnd"/>
            <w:r w:rsidRPr="0015772B">
              <w:rPr>
                <w:rFonts w:ascii="Times New Roman" w:hAnsi="Times New Roman" w:cs="Times New Roman"/>
                <w:lang w:val="uk-UA"/>
              </w:rPr>
              <w:t xml:space="preserve"> у французькій літературі останньої треті ХХ століття.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772B">
              <w:rPr>
                <w:rFonts w:ascii="Times New Roman" w:hAnsi="Times New Roman" w:cs="Times New Roman"/>
                <w:lang w:val="uk-UA"/>
              </w:rPr>
              <w:t>«Покоління відчуження» у французькій літературі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772B">
              <w:rPr>
                <w:rFonts w:ascii="Times New Roman" w:hAnsi="Times New Roman" w:cs="Times New Roman"/>
                <w:lang w:val="uk-UA"/>
              </w:rPr>
              <w:t>Явище «</w:t>
            </w:r>
            <w:proofErr w:type="spellStart"/>
            <w:r w:rsidRPr="0015772B">
              <w:rPr>
                <w:rFonts w:ascii="Times New Roman" w:hAnsi="Times New Roman" w:cs="Times New Roman"/>
                <w:lang w:val="uk-UA"/>
              </w:rPr>
              <w:t>депресіонізму</w:t>
            </w:r>
            <w:proofErr w:type="spellEnd"/>
            <w:r w:rsidRPr="0015772B">
              <w:rPr>
                <w:rFonts w:ascii="Times New Roman" w:hAnsi="Times New Roman" w:cs="Times New Roman"/>
                <w:lang w:val="uk-UA"/>
              </w:rPr>
              <w:t xml:space="preserve">» у французькій літературі межі ХХ-ХХІ століть.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мінімалі</w:t>
            </w:r>
            <w:proofErr w:type="gramStart"/>
            <w:r w:rsidRPr="0015772B">
              <w:rPr>
                <w:rFonts w:ascii="Times New Roman" w:hAnsi="Times New Roman" w:cs="Times New Roman"/>
              </w:rPr>
              <w:t>ст</w:t>
            </w:r>
            <w:proofErr w:type="gramEnd"/>
            <w:r w:rsidRPr="0015772B">
              <w:rPr>
                <w:rFonts w:ascii="Times New Roman" w:hAnsi="Times New Roman" w:cs="Times New Roman"/>
              </w:rPr>
              <w:t>ів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 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французькійлітературі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1980-90-х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(Ж.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Ешноз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Ж.-Ф.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Туссен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). </w:t>
            </w:r>
          </w:p>
          <w:p w:rsidR="0015772B" w:rsidRPr="0015772B" w:rsidRDefault="0015772B" w:rsidP="001577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як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читаннязнакі</w:t>
            </w:r>
            <w:proofErr w:type="gramStart"/>
            <w:r w:rsidRPr="0015772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5772B">
              <w:rPr>
                <w:rFonts w:ascii="Times New Roman" w:hAnsi="Times New Roman" w:cs="Times New Roman"/>
              </w:rPr>
              <w:t xml:space="preserve">» (у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творчості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ПаскаляКіньяра</w:t>
            </w:r>
            <w:proofErr w:type="spellEnd"/>
            <w:r w:rsidRPr="0015772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72" w:type="dxa"/>
            <w:shd w:val="clear" w:color="auto" w:fill="auto"/>
          </w:tcPr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літературознавчий аналіз текстів, 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укладання «читацького щоденника»; </w:t>
            </w:r>
          </w:p>
          <w:p w:rsidR="00457985" w:rsidRPr="00457985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творча робота з літературним текстом,</w:t>
            </w:r>
          </w:p>
          <w:p w:rsidR="0015772B" w:rsidRPr="00A1172F" w:rsidRDefault="00457985" w:rsidP="004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презентацій, хмар тегів</w:t>
            </w:r>
            <w:r w:rsidRPr="004579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аналіз та інтерпретування літературного тексту</w:t>
            </w:r>
          </w:p>
        </w:tc>
      </w:tr>
      <w:tr w:rsidR="0015772B" w:rsidRPr="00A1172F" w:rsidTr="00864DA5">
        <w:tc>
          <w:tcPr>
            <w:tcW w:w="407" w:type="dxa"/>
            <w:shd w:val="clear" w:color="auto" w:fill="auto"/>
          </w:tcPr>
          <w:p w:rsidR="0015772B" w:rsidRPr="00A1172F" w:rsidRDefault="0015772B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Англомовна література у сучасному дискурсі</w:t>
            </w:r>
          </w:p>
          <w:p w:rsidR="0015772B" w:rsidRPr="0015772B" w:rsidRDefault="0015772B" w:rsidP="0015772B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Естетика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історіографічноїметапрози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72B">
              <w:rPr>
                <w:rFonts w:ascii="Times New Roman" w:hAnsi="Times New Roman" w:cs="Times New Roman"/>
              </w:rPr>
              <w:t>Роман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Заповіт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Оскара Уайльда» </w:t>
            </w:r>
            <w:proofErr w:type="spellStart"/>
            <w:proofErr w:type="gramStart"/>
            <w:r w:rsidRPr="0015772B">
              <w:rPr>
                <w:rFonts w:ascii="Times New Roman" w:hAnsi="Times New Roman" w:cs="Times New Roman"/>
              </w:rPr>
              <w:t>П</w:t>
            </w:r>
            <w:proofErr w:type="gramEnd"/>
            <w:r w:rsidRPr="0015772B">
              <w:rPr>
                <w:rFonts w:ascii="Times New Roman" w:hAnsi="Times New Roman" w:cs="Times New Roman"/>
              </w:rPr>
              <w:t>ітераАкройда</w:t>
            </w:r>
            <w:proofErr w:type="spellEnd"/>
            <w:r w:rsidRPr="0015772B">
              <w:rPr>
                <w:rFonts w:ascii="Times New Roman" w:hAnsi="Times New Roman" w:cs="Times New Roman"/>
              </w:rPr>
              <w:t>.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Своє</w:t>
            </w:r>
            <w:proofErr w:type="gramStart"/>
            <w:r w:rsidRPr="0015772B">
              <w:rPr>
                <w:rFonts w:ascii="Times New Roman" w:hAnsi="Times New Roman" w:cs="Times New Roman"/>
              </w:rPr>
              <w:t>р</w:t>
            </w:r>
            <w:proofErr w:type="gramEnd"/>
            <w:r w:rsidRPr="0015772B">
              <w:rPr>
                <w:rFonts w:ascii="Times New Roman" w:hAnsi="Times New Roman" w:cs="Times New Roman"/>
              </w:rPr>
              <w:t>ідністьпоетикитворчостіГремаСвіфта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Роман «Земля води».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Жанровий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синкретизм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інтертекстуальність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роману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АнтоніїБайє</w:t>
            </w:r>
            <w:proofErr w:type="gramStart"/>
            <w:r w:rsidRPr="0015772B">
              <w:rPr>
                <w:rFonts w:ascii="Times New Roman" w:hAnsi="Times New Roman" w:cs="Times New Roman"/>
              </w:rPr>
              <w:t>тт</w:t>
            </w:r>
            <w:proofErr w:type="spellEnd"/>
            <w:proofErr w:type="gramEnd"/>
            <w:r w:rsidRPr="001577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Володіти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Традиції</w:t>
            </w:r>
            <w:proofErr w:type="gramStart"/>
            <w:r w:rsidRPr="0015772B">
              <w:rPr>
                <w:rFonts w:ascii="Times New Roman" w:hAnsi="Times New Roman" w:cs="Times New Roman"/>
              </w:rPr>
              <w:t>англ</w:t>
            </w:r>
            <w:proofErr w:type="gramEnd"/>
            <w:r w:rsidRPr="0015772B">
              <w:rPr>
                <w:rFonts w:ascii="Times New Roman" w:hAnsi="Times New Roman" w:cs="Times New Roman"/>
              </w:rPr>
              <w:t>ійськоїкласики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романіпостмоденізму</w:t>
            </w:r>
            <w:proofErr w:type="spellEnd"/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Основнітенденціїрозвиткуканадськоїлітературиостанньоїтретини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століття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Рисифемінізму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жанроверозмаїттяпрози</w:t>
            </w:r>
            <w:proofErr w:type="spellEnd"/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Своє</w:t>
            </w:r>
            <w:proofErr w:type="gramStart"/>
            <w:r w:rsidRPr="0015772B">
              <w:rPr>
                <w:rFonts w:ascii="Times New Roman" w:hAnsi="Times New Roman" w:cs="Times New Roman"/>
              </w:rPr>
              <w:t>р</w:t>
            </w:r>
            <w:proofErr w:type="gramEnd"/>
            <w:r w:rsidRPr="0015772B">
              <w:rPr>
                <w:rFonts w:ascii="Times New Roman" w:hAnsi="Times New Roman" w:cs="Times New Roman"/>
              </w:rPr>
              <w:t>ідністьтворчого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методу Дугласа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Коупленда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Ідейно-художніособливості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роману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Х».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Жанрова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проблемно-тематичнапалітрасучасноїлітерату</w:t>
            </w:r>
            <w:r w:rsidRPr="0015772B">
              <w:rPr>
                <w:rFonts w:ascii="Times New Roman" w:hAnsi="Times New Roman" w:cs="Times New Roman"/>
                <w:lang w:val="uk-UA"/>
              </w:rPr>
              <w:t>ри</w:t>
            </w:r>
            <w:r w:rsidRPr="0015772B">
              <w:rPr>
                <w:rFonts w:ascii="Times New Roman" w:hAnsi="Times New Roman" w:cs="Times New Roman"/>
              </w:rPr>
              <w:t>Великобританії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Явище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«неоготики» в </w:t>
            </w:r>
            <w:proofErr w:type="spellStart"/>
            <w:proofErr w:type="gramStart"/>
            <w:r w:rsidRPr="0015772B">
              <w:rPr>
                <w:rFonts w:ascii="Times New Roman" w:hAnsi="Times New Roman" w:cs="Times New Roman"/>
              </w:rPr>
              <w:t>англ</w:t>
            </w:r>
            <w:proofErr w:type="gramEnd"/>
            <w:r w:rsidRPr="0015772B">
              <w:rPr>
                <w:rFonts w:ascii="Times New Roman" w:hAnsi="Times New Roman" w:cs="Times New Roman"/>
              </w:rPr>
              <w:t>ійськійлітературікінця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століття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жанру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історичного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роману.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Іронічнийреалізм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>»</w:t>
            </w:r>
            <w:proofErr w:type="gramStart"/>
            <w:r w:rsidRPr="0015772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5772B" w:rsidRPr="00D67A61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Поєднанняфілософічності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комічності</w:t>
            </w:r>
            <w:proofErr w:type="spellEnd"/>
            <w:r w:rsidRPr="0015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457985" w:rsidRPr="003E7169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обговоренні,</w:t>
            </w:r>
          </w:p>
          <w:p w:rsidR="00457985" w:rsidRPr="003E7169" w:rsidRDefault="00457985" w:rsidP="0045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укладання «літературного словничка»,</w:t>
            </w:r>
          </w:p>
          <w:p w:rsidR="0015772B" w:rsidRPr="003E7169" w:rsidRDefault="00457985" w:rsidP="003E71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зіставна, творча робота з літературним текстом, створення </w:t>
            </w:r>
            <w:proofErr w:type="spellStart"/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медіатекстів–сенканів</w:t>
            </w:r>
            <w:proofErr w:type="spellEnd"/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хмар тегів, </w:t>
            </w:r>
            <w:proofErr w:type="spellStart"/>
            <w:r w:rsidRPr="003E71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буктрейлерів</w:t>
            </w:r>
            <w:proofErr w:type="spellEnd"/>
          </w:p>
        </w:tc>
      </w:tr>
      <w:tr w:rsidR="0015772B" w:rsidRPr="00A1172F" w:rsidTr="00864DA5">
        <w:tc>
          <w:tcPr>
            <w:tcW w:w="407" w:type="dxa"/>
            <w:shd w:val="clear" w:color="auto" w:fill="auto"/>
          </w:tcPr>
          <w:p w:rsidR="0015772B" w:rsidRPr="00A1172F" w:rsidRDefault="0015772B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772B">
              <w:rPr>
                <w:rFonts w:ascii="Times New Roman" w:hAnsi="Times New Roman" w:cs="Times New Roman"/>
                <w:lang w:val="uk-UA"/>
              </w:rPr>
              <w:t>Література США на межі століть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американськоїлітератури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1960-90-х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рокі</w:t>
            </w:r>
            <w:proofErr w:type="gramStart"/>
            <w:r w:rsidRPr="0015772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Основнітечії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тенденції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Явищемультикультуралізму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72B">
              <w:rPr>
                <w:rFonts w:ascii="Times New Roman" w:hAnsi="Times New Roman" w:cs="Times New Roman"/>
              </w:rPr>
              <w:t xml:space="preserve">Роман Дона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Делілло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шум» як сатира на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суспільствоспоживання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Своє</w:t>
            </w:r>
            <w:proofErr w:type="gramStart"/>
            <w:r w:rsidRPr="0015772B">
              <w:rPr>
                <w:rFonts w:ascii="Times New Roman" w:hAnsi="Times New Roman" w:cs="Times New Roman"/>
              </w:rPr>
              <w:t>р</w:t>
            </w:r>
            <w:proofErr w:type="gramEnd"/>
            <w:r w:rsidRPr="0015772B">
              <w:rPr>
                <w:rFonts w:ascii="Times New Roman" w:hAnsi="Times New Roman" w:cs="Times New Roman"/>
              </w:rPr>
              <w:t>ідністьпостмодерністського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методу автора.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ОсобливостіпоетикироманівЧакаПаланіка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мінімалізм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маргіналізаціяхарактерів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іронія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чорнийгумор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D67A61" w:rsidRDefault="0015772B" w:rsidP="00D67A61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Дж.Селінджер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«Над прірвою у житі». Духовна опозиція як наслідок протесту проти «дорослих» правил гри.</w:t>
            </w:r>
          </w:p>
        </w:tc>
        <w:tc>
          <w:tcPr>
            <w:tcW w:w="1972" w:type="dxa"/>
            <w:shd w:val="clear" w:color="auto" w:fill="auto"/>
          </w:tcPr>
          <w:p w:rsidR="00CF704C" w:rsidRP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Участь в </w:t>
            </w: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обговоренні,</w:t>
            </w:r>
          </w:p>
          <w:p w:rsidR="00CF704C" w:rsidRP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літературознавчий аналіз текстів, </w:t>
            </w:r>
          </w:p>
          <w:p w:rsidR="00CF704C" w:rsidRP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укладання «читацького щоденника»; </w:t>
            </w:r>
          </w:p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повідомлень, </w:t>
            </w: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творча робота з літературним текстом, </w:t>
            </w:r>
          </w:p>
          <w:p w:rsidR="00CF704C" w:rsidRP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презентацій, </w:t>
            </w:r>
            <w:proofErr w:type="spellStart"/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буктрейлерів</w:t>
            </w:r>
            <w:proofErr w:type="spellEnd"/>
            <w:r w:rsidRPr="00CF70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тощо; </w:t>
            </w:r>
          </w:p>
          <w:p w:rsidR="0015772B" w:rsidRPr="00CF704C" w:rsidRDefault="0015772B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15772B" w:rsidRPr="00A1172F" w:rsidTr="00864DA5">
        <w:trPr>
          <w:trHeight w:val="2143"/>
        </w:trPr>
        <w:tc>
          <w:tcPr>
            <w:tcW w:w="407" w:type="dxa"/>
            <w:shd w:val="clear" w:color="auto" w:fill="auto"/>
          </w:tcPr>
          <w:p w:rsidR="0015772B" w:rsidRPr="00A1172F" w:rsidRDefault="0015772B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Міф та реальність у сучасній літературі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Магічнийреалізм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естетика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представники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, роль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міфу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концепції</w:t>
            </w:r>
            <w:proofErr w:type="gramStart"/>
            <w:r w:rsidRPr="0015772B">
              <w:rPr>
                <w:rFonts w:ascii="Times New Roman" w:hAnsi="Times New Roman" w:cs="Times New Roman"/>
              </w:rPr>
              <w:t>св</w:t>
            </w:r>
            <w:proofErr w:type="gramEnd"/>
            <w:r w:rsidRPr="0015772B">
              <w:rPr>
                <w:rFonts w:ascii="Times New Roman" w:hAnsi="Times New Roman" w:cs="Times New Roman"/>
              </w:rPr>
              <w:t>ітулатиноамериканськихписьменників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lang w:val="uk-UA"/>
              </w:rPr>
              <w:t>Роман</w:t>
            </w: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Х. </w:t>
            </w: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Кортасар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«Гра в класики». Маніакальний пошук особистістю причин справжнього життя.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ПовістьАлєхоКарпентьєра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«Концерт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бароко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 як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ілюстраціяпостмодерногопогляду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автора на культуру.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Жанровий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синкретизм роману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Спокута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Естетичні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погляди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ДженетВінтерсон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Проблема </w:t>
            </w:r>
            <w:proofErr w:type="spellStart"/>
            <w:proofErr w:type="gramStart"/>
            <w:r w:rsidRPr="0015772B">
              <w:rPr>
                <w:rFonts w:ascii="Times New Roman" w:hAnsi="Times New Roman" w:cs="Times New Roman"/>
              </w:rPr>
              <w:t>м</w:t>
            </w:r>
            <w:proofErr w:type="gramEnd"/>
            <w:r w:rsidRPr="0015772B">
              <w:rPr>
                <w:rFonts w:ascii="Times New Roman" w:hAnsi="Times New Roman" w:cs="Times New Roman"/>
              </w:rPr>
              <w:t>іфу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творчостіписьменниці</w:t>
            </w:r>
            <w:proofErr w:type="spellEnd"/>
            <w:r w:rsidRPr="0015772B">
              <w:rPr>
                <w:rFonts w:ascii="Times New Roman" w:hAnsi="Times New Roman" w:cs="Times New Roman"/>
              </w:rPr>
              <w:t>.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Японськалітератураостанньоїтреті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ХХ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століття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Специфікахудожнього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методу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Кобо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Абе.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Своє</w:t>
            </w:r>
            <w:proofErr w:type="gramStart"/>
            <w:r w:rsidRPr="0015772B">
              <w:rPr>
                <w:rFonts w:ascii="Times New Roman" w:hAnsi="Times New Roman" w:cs="Times New Roman"/>
              </w:rPr>
              <w:t>р</w:t>
            </w:r>
            <w:proofErr w:type="gramEnd"/>
            <w:r w:rsidRPr="0015772B">
              <w:rPr>
                <w:rFonts w:ascii="Times New Roman" w:hAnsi="Times New Roman" w:cs="Times New Roman"/>
              </w:rPr>
              <w:t>ідністьроманістикиХарукіМуракамі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72B">
              <w:rPr>
                <w:rFonts w:ascii="Times New Roman" w:hAnsi="Times New Roman" w:cs="Times New Roman"/>
              </w:rPr>
              <w:t>Романнатворчість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Умберто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Еко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характеристика. 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772B">
              <w:rPr>
                <w:rFonts w:ascii="Times New Roman" w:hAnsi="Times New Roman" w:cs="Times New Roman"/>
              </w:rPr>
              <w:t xml:space="preserve">Роман «Декоратор» як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варіаціяна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 теми «</w:t>
            </w:r>
            <w:proofErr w:type="spellStart"/>
            <w:r w:rsidRPr="0015772B">
              <w:rPr>
                <w:rFonts w:ascii="Times New Roman" w:hAnsi="Times New Roman" w:cs="Times New Roman"/>
              </w:rPr>
              <w:t>Парфумера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» П. </w:t>
            </w:r>
            <w:proofErr w:type="spellStart"/>
            <w:r w:rsidRPr="0015772B">
              <w:rPr>
                <w:rFonts w:ascii="Times New Roman" w:hAnsi="Times New Roman" w:cs="Times New Roman"/>
              </w:rPr>
              <w:t>Зюскінда</w:t>
            </w:r>
            <w:proofErr w:type="spellEnd"/>
            <w:r w:rsidRPr="0015772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підготовка 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повідомлень </w:t>
            </w:r>
          </w:p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написання есе,</w:t>
            </w:r>
          </w:p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аналіз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та інтерпретування літературного тексту як предметамистецтва, художнього образу й явища певної літературної доби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</w:t>
            </w:r>
          </w:p>
          <w:p w:rsidR="0015772B" w:rsidRPr="00A1172F" w:rsidRDefault="0015772B" w:rsidP="00CF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772B" w:rsidRPr="0015772B" w:rsidTr="00CF704C">
        <w:trPr>
          <w:trHeight w:val="450"/>
        </w:trPr>
        <w:tc>
          <w:tcPr>
            <w:tcW w:w="407" w:type="dxa"/>
            <w:shd w:val="clear" w:color="auto" w:fill="auto"/>
          </w:tcPr>
          <w:p w:rsidR="0015772B" w:rsidRPr="00A1172F" w:rsidRDefault="0015772B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15772B" w:rsidRPr="0015772B" w:rsidRDefault="0015772B" w:rsidP="0015772B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Роман-антиутопія як розповсюджений  жанр сучасної літератури. Світова фантастика </w:t>
            </w: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ХХ-ХХІст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.</w:t>
            </w:r>
          </w:p>
          <w:p w:rsidR="0015772B" w:rsidRPr="0015772B" w:rsidRDefault="0015772B" w:rsidP="001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5772B" w:rsidRPr="0015772B" w:rsidRDefault="0015772B" w:rsidP="0000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1/0/2</w:t>
            </w:r>
          </w:p>
        </w:tc>
        <w:tc>
          <w:tcPr>
            <w:tcW w:w="3805" w:type="dxa"/>
            <w:shd w:val="clear" w:color="auto" w:fill="auto"/>
          </w:tcPr>
          <w:p w:rsidR="0015772B" w:rsidRPr="0015772B" w:rsidRDefault="0015772B" w:rsidP="0015772B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Нові обрії жанру фан</w:t>
            </w:r>
            <w:r w:rsidRPr="0015772B">
              <w:rPr>
                <w:rFonts w:ascii="Times New Roman" w:eastAsia="Times New Roman" w:hAnsi="Times New Roman" w:cs="Times New Roman"/>
                <w:lang w:val="uk-UA" w:eastAsia="uk-UA"/>
              </w:rPr>
              <w:softHyphen/>
            </w:r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тастики (С.Лем, Р.Бредбері, брати </w:t>
            </w:r>
            <w:proofErr w:type="spellStart"/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Стругацькі</w:t>
            </w:r>
            <w:proofErr w:type="spellEnd"/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, С.Кінг, А.</w:t>
            </w:r>
            <w:proofErr w:type="spellStart"/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Азімов</w:t>
            </w:r>
            <w:proofErr w:type="spellEnd"/>
            <w:r w:rsidRPr="0015772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та інші).</w:t>
            </w:r>
          </w:p>
          <w:p w:rsidR="0015772B" w:rsidRPr="0015772B" w:rsidRDefault="0015772B" w:rsidP="0015772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48553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Рей </w:t>
            </w:r>
            <w:proofErr w:type="spellStart"/>
            <w:r w:rsidRPr="0048553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ДуґласБредбері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. </w:t>
            </w:r>
            <w:r w:rsidRPr="0048553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«</w:t>
            </w:r>
            <w:r w:rsidRPr="0015772B">
              <w:rPr>
                <w:rFonts w:ascii="Times New Roman" w:hAnsi="Times New Roman" w:cs="Times New Roman"/>
                <w:lang w:val="uk-UA"/>
              </w:rPr>
              <w:t>Усмішка». «</w:t>
            </w:r>
            <w:r w:rsidRPr="0048553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451° за Фаренгейтом»</w:t>
            </w: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, «Кульбабове </w:t>
            </w: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вино».</w:t>
            </w:r>
            <w:r w:rsidRPr="0048553B">
              <w:rPr>
                <w:rFonts w:ascii="Times New Roman" w:hAnsi="Times New Roman" w:cs="Times New Roman"/>
                <w:lang w:val="uk-UA"/>
              </w:rPr>
              <w:t>Тривога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Pr="0048553B">
              <w:rPr>
                <w:rFonts w:ascii="Times New Roman" w:hAnsi="Times New Roman" w:cs="Times New Roman"/>
                <w:lang w:val="uk-UA"/>
              </w:rPr>
              <w:t>майбутнєсуспільства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 xml:space="preserve"> в романі-антиутопії «451° за </w:t>
            </w:r>
            <w:proofErr w:type="spellStart"/>
            <w:r w:rsidRPr="0048553B">
              <w:rPr>
                <w:rFonts w:ascii="Times New Roman" w:hAnsi="Times New Roman" w:cs="Times New Roman"/>
                <w:lang w:val="uk-UA"/>
              </w:rPr>
              <w:t>Фаренгейтом».Темазнеціненнякультури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5772B">
              <w:rPr>
                <w:rFonts w:ascii="Times New Roman" w:hAnsi="Times New Roman" w:cs="Times New Roman"/>
                <w:lang w:val="uk-UA"/>
              </w:rPr>
              <w:t>М</w:t>
            </w:r>
            <w:r w:rsidRPr="0048553B">
              <w:rPr>
                <w:rFonts w:ascii="Times New Roman" w:hAnsi="Times New Roman" w:cs="Times New Roman"/>
                <w:lang w:val="uk-UA"/>
              </w:rPr>
              <w:t>отивипожежі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 xml:space="preserve">, тотального контролю, </w:t>
            </w:r>
            <w:r w:rsidRPr="0015772B">
              <w:rPr>
                <w:rFonts w:ascii="Times New Roman" w:hAnsi="Times New Roman" w:cs="Times New Roman"/>
                <w:lang w:val="uk-UA"/>
              </w:rPr>
              <w:t xml:space="preserve">переслідування </w:t>
            </w:r>
            <w:r w:rsidRPr="0048553B">
              <w:rPr>
                <w:rFonts w:ascii="Times New Roman" w:hAnsi="Times New Roman" w:cs="Times New Roman"/>
                <w:lang w:val="uk-UA"/>
              </w:rPr>
              <w:lastRenderedPageBreak/>
              <w:t xml:space="preserve">інакомислення. </w:t>
            </w:r>
            <w:bookmarkStart w:id="0" w:name="_GoBack"/>
            <w:bookmarkEnd w:id="0"/>
            <w:proofErr w:type="spellStart"/>
            <w:r w:rsidRPr="0048553B">
              <w:rPr>
                <w:rFonts w:ascii="Times New Roman" w:hAnsi="Times New Roman" w:cs="Times New Roman"/>
                <w:lang w:val="uk-UA"/>
              </w:rPr>
              <w:t>Важкепрозрінняособистості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48553B">
              <w:rPr>
                <w:rFonts w:ascii="Times New Roman" w:hAnsi="Times New Roman" w:cs="Times New Roman"/>
                <w:lang w:val="uk-UA"/>
              </w:rPr>
              <w:t>тоталітарномусуспільстві</w:t>
            </w:r>
            <w:proofErr w:type="spellEnd"/>
            <w:r w:rsidRPr="0048553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5772B" w:rsidRPr="00D67A61" w:rsidRDefault="0015772B" w:rsidP="00D67A61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П.</w:t>
            </w:r>
            <w:proofErr w:type="spellStart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Коельо</w:t>
            </w:r>
            <w:proofErr w:type="spellEnd"/>
            <w:r w:rsidRPr="0015772B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«Алхімік». Життя щедре до тих, хто йде</w:t>
            </w:r>
            <w:r w:rsidR="00D67A61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за покликом своєї долі.</w:t>
            </w:r>
          </w:p>
        </w:tc>
        <w:tc>
          <w:tcPr>
            <w:tcW w:w="1972" w:type="dxa"/>
            <w:shd w:val="clear" w:color="auto" w:fill="auto"/>
          </w:tcPr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>підготовка повідомлень,</w:t>
            </w:r>
          </w:p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написання есе,</w:t>
            </w:r>
          </w:p>
          <w:p w:rsidR="00CF704C" w:rsidRDefault="00CF704C" w:rsidP="00CF7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аналіз</w:t>
            </w:r>
            <w:r w:rsidRPr="00E873E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та інтерпретування літературного тексту як предметамистецтва, художнього образу й явища певної літературної доби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</w:t>
            </w:r>
          </w:p>
          <w:p w:rsidR="0015772B" w:rsidRPr="00A1172F" w:rsidRDefault="0015772B" w:rsidP="008D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4DA5" w:rsidRPr="00A1172F" w:rsidRDefault="00864DA5">
      <w:pPr>
        <w:rPr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A1172F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F6587" w:rsidRPr="00B00E62" w:rsidRDefault="00EF6587" w:rsidP="00EF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РЕКОМЕНДОВАНА ЛІТЕРАТУРА</w:t>
      </w:r>
    </w:p>
    <w:p w:rsidR="00EF6587" w:rsidRPr="00B00E62" w:rsidRDefault="00EF6587" w:rsidP="0077732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Основна</w:t>
      </w:r>
      <w:proofErr w:type="spellEnd"/>
      <w:r w:rsidRPr="00B0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Бовсунівська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Жанровімодифікаціїсучасного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роману.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Харків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Вид-во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Діса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плюс», 2015.  368 </w:t>
      </w:r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Грінчак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Історіязарубіжноїлітератури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ХХ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століття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URL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: </w:t>
      </w:r>
      <w:hyperlink r:id="rId6" w:history="1">
        <w:r w:rsidRPr="00EF65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http://b-ko.com/book_103.html</w:t>
        </w:r>
      </w:hyperlink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ДавиденкоГ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., 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ЧайкаО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.,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ГричаникН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КушнєрьоваМ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Історіяновітньоїзарубіжноїлітерат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ури</w:t>
      </w:r>
      <w:proofErr w:type="spellEnd"/>
      <w:proofErr w:type="gramStart"/>
      <w:r w:rsidRPr="00EF65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:</w:t>
      </w:r>
      <w:proofErr w:type="gramEnd"/>
      <w:r w:rsidRPr="00EF65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навчальнийпосібник</w:t>
      </w:r>
      <w:proofErr w:type="spellEnd"/>
      <w:r w:rsidRPr="00EF65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2008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274 c.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Давиденко Г., Стрельчук Г.,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Гричаник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рубіжноїлітератури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століття</w:t>
      </w:r>
      <w:proofErr w:type="spellEnd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навчальнийпосібник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3-тє вид.,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перероб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та доп.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учбовоїлітератури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2011. 488 с. 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Денисова Т.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Історіяамериканськоїлітератури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ХХ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століття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іб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студ. </w:t>
      </w:r>
      <w:proofErr w:type="spellStart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</w:t>
      </w:r>
      <w:proofErr w:type="spellEnd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</w:t>
      </w:r>
      <w:proofErr w:type="spellEnd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Довіра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2002. 318 с. </w:t>
      </w:r>
    </w:p>
    <w:p w:rsidR="00EF6587" w:rsidRPr="00215E9B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NewRomanPSMT" w:hAnsi="TimesNewRomanPSMT"/>
          <w:color w:val="020202"/>
          <w:sz w:val="26"/>
          <w:szCs w:val="26"/>
        </w:rPr>
        <w:t xml:space="preserve">Кузьменко В. І.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Істор</w:t>
      </w:r>
      <w:r w:rsidR="0077732B">
        <w:rPr>
          <w:rFonts w:ascii="TimesNewRomanPSMT" w:hAnsi="TimesNewRomanPSMT"/>
          <w:color w:val="000000"/>
          <w:sz w:val="26"/>
          <w:szCs w:val="26"/>
        </w:rPr>
        <w:t>іязарубіжноїлітератури</w:t>
      </w:r>
      <w:proofErr w:type="spellEnd"/>
      <w:r w:rsidR="0077732B">
        <w:rPr>
          <w:rFonts w:ascii="TimesNewRomanPSMT" w:hAnsi="TimesNewRomanPSMT"/>
          <w:color w:val="000000"/>
          <w:sz w:val="26"/>
          <w:szCs w:val="26"/>
        </w:rPr>
        <w:t xml:space="preserve"> ХХ ст.: </w:t>
      </w:r>
      <w:proofErr w:type="spellStart"/>
      <w:r w:rsidR="0077732B">
        <w:rPr>
          <w:rFonts w:ascii="TimesNewRomanPSMT" w:hAnsi="TimesNewRomanPSMT"/>
          <w:color w:val="000000"/>
          <w:sz w:val="26"/>
          <w:szCs w:val="26"/>
        </w:rPr>
        <w:t>навчальний</w:t>
      </w:r>
      <w:r>
        <w:rPr>
          <w:rFonts w:ascii="TimesNewRomanPSMT" w:hAnsi="TimesNewRomanPSMT"/>
          <w:color w:val="000000"/>
          <w:sz w:val="26"/>
          <w:szCs w:val="26"/>
        </w:rPr>
        <w:t>посібник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proofErr w:type="spellStart"/>
      <w:r w:rsidRPr="00215E9B">
        <w:rPr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215E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15E9B">
        <w:rPr>
          <w:rFonts w:ascii="Times New Roman" w:hAnsi="Times New Roman" w:cs="Times New Roman"/>
          <w:color w:val="000000"/>
          <w:sz w:val="24"/>
          <w:szCs w:val="24"/>
        </w:rPr>
        <w:t>Видавничий</w:t>
      </w:r>
      <w:proofErr w:type="spellEnd"/>
      <w:r w:rsidRPr="00215E9B">
        <w:rPr>
          <w:rFonts w:ascii="Times New Roman" w:hAnsi="Times New Roman" w:cs="Times New Roman"/>
          <w:color w:val="000000"/>
          <w:sz w:val="24"/>
          <w:szCs w:val="24"/>
        </w:rPr>
        <w:t xml:space="preserve"> центр «</w:t>
      </w:r>
      <w:proofErr w:type="spellStart"/>
      <w:r w:rsidRPr="00215E9B">
        <w:rPr>
          <w:rFonts w:ascii="Times New Roman" w:hAnsi="Times New Roman" w:cs="Times New Roman"/>
          <w:color w:val="000000"/>
          <w:sz w:val="24"/>
          <w:szCs w:val="24"/>
        </w:rPr>
        <w:t>Академія</w:t>
      </w:r>
      <w:proofErr w:type="spellEnd"/>
      <w:r w:rsidRPr="00215E9B">
        <w:rPr>
          <w:rFonts w:ascii="Times New Roman" w:hAnsi="Times New Roman" w:cs="Times New Roman"/>
          <w:color w:val="000000"/>
          <w:sz w:val="24"/>
          <w:szCs w:val="24"/>
        </w:rPr>
        <w:t>», 2012. 432 с.</w:t>
      </w:r>
    </w:p>
    <w:p w:rsidR="00EF6587" w:rsidRPr="00215E9B" w:rsidRDefault="0077732B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Style w:val="a7"/>
          <w:rFonts w:eastAsiaTheme="minorHAnsi"/>
          <w:color w:val="000000"/>
          <w:szCs w:val="24"/>
          <w:lang w:eastAsia="uk-UA"/>
        </w:rPr>
      </w:pPr>
      <w:r>
        <w:rPr>
          <w:rStyle w:val="a7"/>
          <w:rFonts w:eastAsiaTheme="minorHAnsi"/>
          <w:szCs w:val="24"/>
        </w:rPr>
        <w:t xml:space="preserve">Лексикон загального та порівняльного літературознавства / За </w:t>
      </w:r>
      <w:r w:rsidR="00EF6587" w:rsidRPr="00215E9B">
        <w:rPr>
          <w:rStyle w:val="a7"/>
          <w:rFonts w:eastAsiaTheme="minorHAnsi"/>
          <w:szCs w:val="24"/>
        </w:rPr>
        <w:t xml:space="preserve">ред. А. Волкова. – Чернівці: Золоті литаври, 2001. – 636 с.  </w:t>
      </w:r>
    </w:p>
    <w:p w:rsidR="00EF6587" w:rsidRPr="00215E9B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8553B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Pr="0048553B">
        <w:rPr>
          <w:rFonts w:ascii="Times New Roman" w:hAnsi="Times New Roman" w:cs="Times New Roman"/>
          <w:sz w:val="24"/>
          <w:szCs w:val="24"/>
          <w:lang w:val="uk-UA"/>
        </w:rPr>
        <w:t xml:space="preserve"> О. М. </w:t>
      </w:r>
      <w:r w:rsidRPr="00215E9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553B">
        <w:rPr>
          <w:rFonts w:ascii="Times New Roman" w:hAnsi="Times New Roman" w:cs="Times New Roman"/>
          <w:sz w:val="24"/>
          <w:szCs w:val="24"/>
          <w:lang w:val="uk-UA"/>
        </w:rPr>
        <w:t>Світовалітературадругоїполовини</w:t>
      </w:r>
      <w:proofErr w:type="spellEnd"/>
      <w:r w:rsidRPr="0048553B">
        <w:rPr>
          <w:rFonts w:ascii="Times New Roman" w:hAnsi="Times New Roman" w:cs="Times New Roman"/>
          <w:sz w:val="24"/>
          <w:szCs w:val="24"/>
          <w:lang w:val="uk-UA"/>
        </w:rPr>
        <w:t xml:space="preserve"> ХХ століття: тенденції і здобутки // </w:t>
      </w:r>
      <w:proofErr w:type="spellStart"/>
      <w:r w:rsidRPr="0048553B">
        <w:rPr>
          <w:rFonts w:ascii="Times New Roman" w:hAnsi="Times New Roman" w:cs="Times New Roman"/>
          <w:sz w:val="24"/>
          <w:szCs w:val="24"/>
          <w:lang w:val="uk-UA"/>
        </w:rPr>
        <w:t>Харківськийдерж</w:t>
      </w:r>
      <w:proofErr w:type="spellEnd"/>
      <w:r w:rsidRPr="0048553B">
        <w:rPr>
          <w:rFonts w:ascii="Times New Roman" w:hAnsi="Times New Roman" w:cs="Times New Roman"/>
          <w:sz w:val="24"/>
          <w:szCs w:val="24"/>
          <w:lang w:val="uk-UA"/>
        </w:rPr>
        <w:t xml:space="preserve">. пед. ун-т ім. </w:t>
      </w:r>
      <w:r w:rsidRPr="00215E9B">
        <w:rPr>
          <w:rFonts w:ascii="Times New Roman" w:hAnsi="Times New Roman" w:cs="Times New Roman"/>
          <w:sz w:val="24"/>
          <w:szCs w:val="24"/>
        </w:rPr>
        <w:t xml:space="preserve">Г. С. Сковороди. </w:t>
      </w:r>
      <w:proofErr w:type="spellStart"/>
      <w:r w:rsidRPr="00215E9B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215E9B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 xml:space="preserve">иски. Сер.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Літературознавство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5E9B">
        <w:rPr>
          <w:rFonts w:ascii="Times New Roman" w:hAnsi="Times New Roman" w:cs="Times New Roman"/>
          <w:sz w:val="24"/>
          <w:szCs w:val="24"/>
        </w:rPr>
        <w:t xml:space="preserve"> Х., 1998. 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Енциклопедіяпостмодернізму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за </w:t>
      </w:r>
      <w:proofErr w:type="spellStart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</w:t>
      </w:r>
      <w:proofErr w:type="spellEnd"/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Чарлза Е.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Вінквіста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Віктора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Е. Тейлор</w:t>
      </w:r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; пер. </w:t>
      </w:r>
      <w:proofErr w:type="spellStart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зангл</w:t>
      </w:r>
      <w:proofErr w:type="spellEnd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В. Шовкун. </w:t>
      </w:r>
      <w:proofErr w:type="spellStart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2003. 503 с.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Павличко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Зарубіжналітература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ідження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критичністатті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2001. 324 с.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Павличко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Літера</w:t>
      </w:r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тураВеликобританії</w:t>
      </w:r>
      <w:proofErr w:type="spellEnd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ХХ ст. </w:t>
      </w:r>
      <w:proofErr w:type="spellStart"/>
      <w:r w:rsidR="008D1D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1993. 298 с.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Фесенко В.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Алхімія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слова живого.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Французький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 1945-2005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Промінь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2005. 383 с.</w:t>
      </w:r>
    </w:p>
    <w:p w:rsidR="00EF6587" w:rsidRPr="00B00E62" w:rsidRDefault="00EF6587" w:rsidP="0077732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ХассанІхаб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Культура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постмодернізму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Вікно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св</w:t>
      </w:r>
      <w:proofErr w:type="gram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іт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1999. №6. С. 99–111.</w:t>
      </w:r>
    </w:p>
    <w:p w:rsidR="00EF6587" w:rsidRPr="00B00E62" w:rsidRDefault="00EF6587" w:rsidP="0077732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6587" w:rsidRPr="00B00E62" w:rsidRDefault="00EF6587" w:rsidP="0077732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поміжна</w:t>
      </w:r>
      <w:proofErr w:type="spellEnd"/>
      <w:r w:rsidRPr="00B00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 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Бабелюк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Принципипостмодерністськоготекстотвореннясучасноїамериканськоїпрозималоїформи: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монографія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Дрогобич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2009. 296 с.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ігун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Митець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йоготворіння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постмодерністськоїдоби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Всесвітнялітература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. 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2002. №5–6. С. 75–81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Бегун Б. Феномен постмодернизма.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Всесвітнялітература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культура в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навчальних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закладах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України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2002. № 3. С. 3–9. 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Зубрицька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Homolegens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читання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</w:t>
      </w:r>
      <w:proofErr w:type="spellStart"/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іокультурний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феномен.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Літопис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2004. 352 с.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Киченко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Постмодернізм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роман: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метаморфозитрадиційного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жанру.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Всесвіт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2004.   № 11–12. С. 176–179.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Ковбасенко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Ю.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Літературапостмодернізму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по той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бікрізнихбокі</w:t>
      </w:r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Тема</w:t>
      </w:r>
      <w:r w:rsidR="007773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2002. №1. 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 2–21.</w:t>
      </w:r>
    </w:p>
    <w:p w:rsidR="00EF6587" w:rsidRPr="00B00E62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Литвиненко Т.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Лабіринт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естетикипостмодернізму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до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проблемицієїміфологеми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літературі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ХХ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</w:t>
      </w:r>
      <w:proofErr w:type="gram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сесвітнялітература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середніхнавчальних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закладах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2004. 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3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С. 32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35.</w:t>
      </w:r>
    </w:p>
    <w:p w:rsidR="00EF6587" w:rsidRPr="002E5E8F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Пахаренко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Постмодернізм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дзеркалілітературознавства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Всесвітнялітература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середніхнавчальних</w:t>
      </w:r>
      <w:proofErr w:type="spellEnd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закладах </w:t>
      </w:r>
      <w:proofErr w:type="spellStart"/>
      <w:r w:rsidRPr="00B00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2002. № 5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 С. 3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EF6587" w:rsidRDefault="00EF6587" w:rsidP="00777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Слово. Знак. Дискурс.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Антологіясвітовоїлітературно-критичної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думки ХХ ст. / за ред. М.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Зубрицької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Літопис</w:t>
      </w:r>
      <w:proofErr w:type="spell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2001. 832 </w:t>
      </w:r>
      <w:proofErr w:type="gramStart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gramEnd"/>
      <w:r w:rsidRPr="00B00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F6587" w:rsidRPr="0077732B" w:rsidRDefault="00EF6587" w:rsidP="0077732B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F6587" w:rsidRPr="00B00E62" w:rsidRDefault="00EF6587" w:rsidP="0077732B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нформаційні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ресурси</w:t>
      </w:r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AeLib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proofErr w:type="gram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</w:t>
      </w:r>
      <w:proofErr w:type="gram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ібліотекасвітовоїлітератури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7" w:history="1">
        <w:r w:rsidRPr="004E05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http://ae-lib.org.ua/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Infolio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электронная библиотека: </w:t>
      </w:r>
      <w:hyperlink r:id="rId8" w:history="1">
        <w:r w:rsidRPr="004E05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http://www.infoliolib.info/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Гумер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гуманитарні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 науки: </w:t>
      </w:r>
      <w:hyperlink r:id="rId9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</w:t>
      </w:r>
      <w:proofErr w:type="gram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ібліотекасвітовоїлітератури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0" w:history="1">
        <w:r w:rsidRPr="004E05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https://www.ukrlib.com.ua/world/</w:t>
        </w:r>
      </w:hyperlink>
    </w:p>
    <w:p w:rsidR="00EF6587" w:rsidRPr="002E5E8F" w:rsidRDefault="00EF6587" w:rsidP="0077732B">
      <w:pPr>
        <w:pStyle w:val="a9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4E05AC">
        <w:t xml:space="preserve">Бібліотека українського центру: </w:t>
      </w:r>
      <w:hyperlink r:id="rId11" w:history="1">
        <w:r w:rsidRPr="004E05AC">
          <w:rPr>
            <w:rStyle w:val="a4"/>
          </w:rPr>
          <w:t>http://ukrcenter.com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Буквоїд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електроннабібліотека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http://bukvoid.com.ua/library/</w:t>
        </w:r>
      </w:hyperlink>
    </w:p>
    <w:p w:rsidR="00EF6587" w:rsidRPr="004E05AC" w:rsidRDefault="00EF6587" w:rsidP="0077732B">
      <w:pPr>
        <w:pStyle w:val="a9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4E05AC">
        <w:t xml:space="preserve">Державна бібліотека України для юнацтва: </w:t>
      </w:r>
      <w:hyperlink r:id="rId13" w:history="1">
        <w:r w:rsidRPr="004E05AC">
          <w:rPr>
            <w:rStyle w:val="a4"/>
          </w:rPr>
          <w:t>http://www.4uth.gov.ua/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Електроннабібліотекаукраїнськоїлітератури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зарубіжна</w:t>
      </w:r>
      <w:r>
        <w:rPr>
          <w:color w:val="000000"/>
          <w:lang w:eastAsia="uk-UA"/>
        </w:rPr>
        <w:t>література</w:t>
      </w:r>
      <w:proofErr w:type="spellEnd"/>
      <w:r>
        <w:rPr>
          <w:color w:val="000000"/>
          <w:lang w:eastAsia="uk-UA"/>
        </w:rPr>
        <w:t xml:space="preserve">): </w:t>
      </w:r>
      <w:hyperlink r:id="rId14" w:history="1">
        <w:r w:rsidRPr="009256D7">
          <w:rPr>
            <w:rStyle w:val="a4"/>
            <w:lang w:eastAsia="uk-UA"/>
          </w:rPr>
          <w:t>http://ukrlib.com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Літературний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 акцент: </w:t>
      </w:r>
      <w:hyperlink r:id="rId15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http://litakcent.com/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Літературний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 центр: </w:t>
      </w:r>
      <w:hyperlink r:id="rId16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http://litcentr.in.ua/</w:t>
        </w:r>
      </w:hyperlink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sz w:val="24"/>
          <w:szCs w:val="24"/>
        </w:rPr>
        <w:t>НаціональнапарламентськабібліотекаУкраїни</w:t>
      </w:r>
      <w:proofErr w:type="spellEnd"/>
      <w:r w:rsidRPr="004E05AC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http://www.nplu.org/</w:t>
        </w:r>
      </w:hyperlink>
    </w:p>
    <w:p w:rsidR="00EF6587" w:rsidRPr="002E5E8F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color w:val="000000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Основилітературознавства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Постмодернізм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4E05AC">
        <w:rPr>
          <w:rFonts w:ascii="Times New Roman" w:hAnsi="Times New Roman" w:cs="Times New Roman"/>
          <w:color w:val="0000FF"/>
          <w:sz w:val="24"/>
          <w:szCs w:val="24"/>
          <w:u w:val="single"/>
          <w:lang w:eastAsia="uk-UA"/>
        </w:rPr>
        <w:t>http://pidruchniki.ws/11200611/literatura/postmodernizm</w:t>
      </w:r>
    </w:p>
    <w:p w:rsidR="00EF6587" w:rsidRPr="004E05AC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4E05AC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4E05AC">
        <w:rPr>
          <w:rFonts w:ascii="Times New Roman" w:hAnsi="Times New Roman" w:cs="Times New Roman"/>
          <w:color w:val="000000"/>
          <w:sz w:val="24"/>
          <w:szCs w:val="24"/>
        </w:rPr>
        <w:t>ітлітератури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8" w:history="1">
        <w:r w:rsidRPr="004E05AC">
          <w:rPr>
            <w:rStyle w:val="a4"/>
            <w:rFonts w:ascii="Times New Roman" w:hAnsi="Times New Roman" w:cs="Times New Roman"/>
            <w:sz w:val="24"/>
            <w:szCs w:val="24"/>
          </w:rPr>
          <w:t>http://svitliteraturu.com/</w:t>
        </w:r>
      </w:hyperlink>
    </w:p>
    <w:p w:rsidR="0077732B" w:rsidRPr="0077732B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Текатворів</w:t>
      </w:r>
      <w:proofErr w:type="spell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gramStart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Чтиво</w:t>
      </w:r>
      <w:proofErr w:type="gramEnd"/>
      <w:r w:rsidRPr="004E05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19" w:history="1">
        <w:r w:rsidRPr="004E05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http://chtyvo.org.ua/genre/khudozhnia/books/</w:t>
        </w:r>
      </w:hyperlink>
    </w:p>
    <w:p w:rsidR="00097EA1" w:rsidRPr="0077732B" w:rsidRDefault="00EF6587" w:rsidP="0077732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7732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Философия ХХ века. Постмодернизм: </w:t>
      </w:r>
      <w:hyperlink r:id="rId20" w:history="1">
        <w:r w:rsidRPr="007773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http://www.philsci.univ.kiev.ua/biblio/FIL_XX/31.html</w:t>
        </w:r>
      </w:hyperlink>
    </w:p>
    <w:p w:rsidR="0081603A" w:rsidRPr="00A1172F" w:rsidRDefault="0081603A" w:rsidP="0081603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A1172F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2185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15772B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313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ідповіді на проблемні питання</w:t>
            </w:r>
          </w:p>
        </w:tc>
        <w:tc>
          <w:tcPr>
            <w:tcW w:w="2185" w:type="dxa"/>
            <w:shd w:val="clear" w:color="auto" w:fill="auto"/>
          </w:tcPr>
          <w:p w:rsidR="0081603A" w:rsidRPr="00B72E50" w:rsidRDefault="00B72E50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603A" w:rsidRPr="00B7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E873EE" w:rsidP="00E8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Літературний</w:t>
            </w:r>
            <w:r w:rsidR="007C58E7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творів</w:t>
            </w:r>
          </w:p>
        </w:tc>
        <w:tc>
          <w:tcPr>
            <w:tcW w:w="2185" w:type="dxa"/>
            <w:shd w:val="clear" w:color="auto" w:fill="auto"/>
          </w:tcPr>
          <w:p w:rsidR="0081603A" w:rsidRPr="00B72E50" w:rsidRDefault="00B72E50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03132D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Творчі роботи</w:t>
            </w:r>
          </w:p>
        </w:tc>
        <w:tc>
          <w:tcPr>
            <w:tcW w:w="2185" w:type="dxa"/>
            <w:shd w:val="clear" w:color="auto" w:fill="auto"/>
          </w:tcPr>
          <w:p w:rsidR="0081603A" w:rsidRPr="00B72E50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185" w:type="dxa"/>
            <w:shd w:val="clear" w:color="auto" w:fill="auto"/>
          </w:tcPr>
          <w:p w:rsidR="0081603A" w:rsidRPr="00B72E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A1172F" w:rsidTr="0003132D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85" w:type="dxa"/>
            <w:shd w:val="clear" w:color="auto" w:fill="auto"/>
          </w:tcPr>
          <w:p w:rsidR="0081603A" w:rsidRPr="00B72E50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A1172F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A1172F" w:rsidTr="008201FD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A1172F" w:rsidTr="008201FD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A1172F" w:rsidTr="008201FD">
        <w:trPr>
          <w:trHeight w:val="194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A1172F" w:rsidTr="008201FD">
        <w:trPr>
          <w:trHeight w:val="708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48553B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Default="00CE5372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Запозичення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цитування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оформлені відповідними посиланнями.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Інформація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 результати власної навчальної (наукової, творчої)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має бути достовірною.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Перевірка текстів на унікальність здійснюється за допомогою програмного забезпечення </w:t>
            </w:r>
            <w:proofErr w:type="spellStart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Unicheck</w:t>
            </w:r>
            <w:proofErr w:type="spellEnd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і засобів системи MOODLE; за Internet-джерелами – за допомогою програми Antiplagiarism.net.</w:t>
            </w:r>
          </w:p>
          <w:p w:rsidR="00CE5372" w:rsidRPr="00A1172F" w:rsidRDefault="000649EA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CE5372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Pr="00A1172F" w:rsidRDefault="00CE5372" w:rsidP="006A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добувачі вищої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мають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відвіда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усі лекції і практичні заняття курсу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виконати усі завдання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 У будь-якому випадку здобувачі зобов’язані дотримуватися термінів виконання усіх видів робіт, передбачених курсом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Здобувач вищої освіти має право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презентувати виконані завдання за п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ропущені </w:t>
            </w:r>
            <w:r w:rsidR="006A071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 поважної причини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заняття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консультації викладача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та отримати за них бали.</w:t>
            </w:r>
          </w:p>
        </w:tc>
      </w:tr>
      <w:tr w:rsidR="00F166F1" w:rsidRPr="00A1172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32D" w:rsidRPr="00CE5372" w:rsidRDefault="0003132D" w:rsidP="0003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заняттях вітається 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ворча активна робоча атмосфера, с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ередовище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є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відкритим до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набуття нового досвіду та до </w:t>
            </w:r>
            <w:r w:rsidRPr="00D419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 w:rsidR="00D41931" w:rsidRPr="00D419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п</w:t>
            </w:r>
            <w:r w:rsidR="00D41931" w:rsidRPr="00D4193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родукування креативних ідей,  готовність і здатність розв’язувати наукові проблеми історії літератури.</w:t>
            </w:r>
            <w:r w:rsidRPr="00D4193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передбачає індивідуальну та групову роботу. Під час занять здобувачі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:вільно висловлюють свої погляди, дотримуючись правил культури спілкування;коректно поводяться між собою;не перешкоджають проведенню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заняття, дотримуються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вимог техніки безпеки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знань:мають право на отримання від викладача роз’яснень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щодо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оцінки;не послуговуються зовнішніми джерелами інформації;самостійно виконують завдання для контролю знань.</w:t>
            </w:r>
          </w:p>
          <w:p w:rsidR="00681D95" w:rsidRPr="00A1172F" w:rsidRDefault="00681D95" w:rsidP="00E03F4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81603A" w:rsidRPr="0043353E" w:rsidRDefault="0081603A" w:rsidP="0043353E">
      <w:pPr>
        <w:tabs>
          <w:tab w:val="left" w:pos="5867"/>
        </w:tabs>
        <w:rPr>
          <w:lang w:val="uk-UA"/>
        </w:rPr>
      </w:pPr>
    </w:p>
    <w:sectPr w:rsidR="0081603A" w:rsidRPr="0043353E" w:rsidSect="007C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4AF"/>
    <w:multiLevelType w:val="multilevel"/>
    <w:tmpl w:val="CFB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3BAC"/>
    <w:multiLevelType w:val="hybridMultilevel"/>
    <w:tmpl w:val="BFE0B074"/>
    <w:lvl w:ilvl="0" w:tplc="F2540AB2">
      <w:start w:val="10"/>
      <w:numFmt w:val="bullet"/>
      <w:lvlText w:val="-"/>
      <w:lvlJc w:val="left"/>
      <w:pPr>
        <w:ind w:left="420" w:hanging="360"/>
      </w:pPr>
      <w:rPr>
        <w:rFonts w:ascii="TimesNewRomanPS-BoldItalicMT" w:eastAsiaTheme="minorHAnsi" w:hAnsi="TimesNewRomanPS-BoldItalicM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EA4054"/>
    <w:multiLevelType w:val="hybridMultilevel"/>
    <w:tmpl w:val="77A08F5A"/>
    <w:lvl w:ilvl="0" w:tplc="696CF11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362C"/>
    <w:multiLevelType w:val="hybridMultilevel"/>
    <w:tmpl w:val="DB0E3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E51DA"/>
    <w:multiLevelType w:val="hybridMultilevel"/>
    <w:tmpl w:val="0D14F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2FB0"/>
    <w:multiLevelType w:val="multilevel"/>
    <w:tmpl w:val="84D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64625"/>
    <w:rsid w:val="000034B1"/>
    <w:rsid w:val="00016A76"/>
    <w:rsid w:val="0003132D"/>
    <w:rsid w:val="000521BE"/>
    <w:rsid w:val="000649EA"/>
    <w:rsid w:val="000941E8"/>
    <w:rsid w:val="00097EA1"/>
    <w:rsid w:val="000B13F5"/>
    <w:rsid w:val="001017FC"/>
    <w:rsid w:val="0015772B"/>
    <w:rsid w:val="00163AF9"/>
    <w:rsid w:val="0019619E"/>
    <w:rsid w:val="001A0E5C"/>
    <w:rsid w:val="002A0A57"/>
    <w:rsid w:val="002D57E9"/>
    <w:rsid w:val="0035101B"/>
    <w:rsid w:val="003E7169"/>
    <w:rsid w:val="00425F0E"/>
    <w:rsid w:val="0043353E"/>
    <w:rsid w:val="00444990"/>
    <w:rsid w:val="00455E12"/>
    <w:rsid w:val="00456121"/>
    <w:rsid w:val="00457985"/>
    <w:rsid w:val="0048553B"/>
    <w:rsid w:val="005E4923"/>
    <w:rsid w:val="005F40C3"/>
    <w:rsid w:val="006362B9"/>
    <w:rsid w:val="00671DA8"/>
    <w:rsid w:val="00681D95"/>
    <w:rsid w:val="006A0715"/>
    <w:rsid w:val="00767C90"/>
    <w:rsid w:val="0077732B"/>
    <w:rsid w:val="007C513B"/>
    <w:rsid w:val="007C58E7"/>
    <w:rsid w:val="0081603A"/>
    <w:rsid w:val="008201FD"/>
    <w:rsid w:val="00864DA5"/>
    <w:rsid w:val="0088364E"/>
    <w:rsid w:val="008B5D19"/>
    <w:rsid w:val="008D1D2E"/>
    <w:rsid w:val="009D5E5D"/>
    <w:rsid w:val="00A1172F"/>
    <w:rsid w:val="00A52ADF"/>
    <w:rsid w:val="00A64625"/>
    <w:rsid w:val="00A67E2E"/>
    <w:rsid w:val="00AC20F4"/>
    <w:rsid w:val="00B72E50"/>
    <w:rsid w:val="00BD5795"/>
    <w:rsid w:val="00BD7662"/>
    <w:rsid w:val="00C2054C"/>
    <w:rsid w:val="00C62108"/>
    <w:rsid w:val="00CE5372"/>
    <w:rsid w:val="00CF704C"/>
    <w:rsid w:val="00D14DEE"/>
    <w:rsid w:val="00D22C1E"/>
    <w:rsid w:val="00D27483"/>
    <w:rsid w:val="00D41931"/>
    <w:rsid w:val="00D67A61"/>
    <w:rsid w:val="00D77B06"/>
    <w:rsid w:val="00E03F4B"/>
    <w:rsid w:val="00E4470B"/>
    <w:rsid w:val="00E810AE"/>
    <w:rsid w:val="00E86DBF"/>
    <w:rsid w:val="00E873EE"/>
    <w:rsid w:val="00EC7503"/>
    <w:rsid w:val="00EE4FD8"/>
    <w:rsid w:val="00EF6587"/>
    <w:rsid w:val="00F0647D"/>
    <w:rsid w:val="00F166F1"/>
    <w:rsid w:val="00F3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9">
    <w:name w:val="Normal (Web)"/>
    <w:basedOn w:val="a"/>
    <w:uiPriority w:val="99"/>
    <w:unhideWhenUsed/>
    <w:rsid w:val="00EC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9">
    <w:name w:val="Normal (Web)"/>
    <w:basedOn w:val="a"/>
    <w:uiPriority w:val="99"/>
    <w:unhideWhenUsed/>
    <w:rsid w:val="00EC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olib.info/" TargetMode="External"/><Relationship Id="rId13" Type="http://schemas.openxmlformats.org/officeDocument/2006/relationships/hyperlink" Target="http://www.4uth.gov.ua/" TargetMode="External"/><Relationship Id="rId18" Type="http://schemas.openxmlformats.org/officeDocument/2006/relationships/hyperlink" Target="http://svitliteraturu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e-lib.org.ua/" TargetMode="External"/><Relationship Id="rId12" Type="http://schemas.openxmlformats.org/officeDocument/2006/relationships/hyperlink" Target="http://bukvoid.com.ua/library/" TargetMode="External"/><Relationship Id="rId17" Type="http://schemas.openxmlformats.org/officeDocument/2006/relationships/hyperlink" Target="http://www.npl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centr.in.ua/" TargetMode="External"/><Relationship Id="rId20" Type="http://schemas.openxmlformats.org/officeDocument/2006/relationships/hyperlink" Target="http://www.philsci.univ.kiev.ua/biblio/FIL_XX/3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-ko.com/book_103.html" TargetMode="External"/><Relationship Id="rId11" Type="http://schemas.openxmlformats.org/officeDocument/2006/relationships/hyperlink" Target="http://ukrcente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takcent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ukrlib.com.ua/world/" TargetMode="External"/><Relationship Id="rId19" Type="http://schemas.openxmlformats.org/officeDocument/2006/relationships/hyperlink" Target="http://chtyvo.org.ua/genre/khudozhnia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ukrli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11206</Words>
  <Characters>6388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2020-10-27T17:47:00Z</dcterms:created>
  <dcterms:modified xsi:type="dcterms:W3CDTF">2020-10-27T17:47:00Z</dcterms:modified>
</cp:coreProperties>
</file>