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0AC6662" w:rsidR="00ED7BA0" w:rsidRPr="00A604E4" w:rsidRDefault="001C6328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РЕГІОНАЛЬНА ЕКОНОМІКА</w:t>
            </w:r>
            <w:r w:rsidR="003E1709">
              <w:rPr>
                <w:b/>
                <w:sz w:val="28"/>
                <w:szCs w:val="24"/>
              </w:rPr>
              <w:t xml:space="preserve">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D4E5AD5" w:rsidR="00ED7BA0" w:rsidRPr="00A604E4" w:rsidRDefault="009A362B" w:rsidP="00BE7B4E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BE7B4E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BE7B4E">
              <w:rPr>
                <w:szCs w:val="24"/>
              </w:rPr>
              <w:t>Готельно-ресторанна справа</w:t>
            </w:r>
            <w:bookmarkStart w:id="0" w:name="_GoBack"/>
            <w:bookmarkEnd w:id="0"/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C10D5C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C10D5C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9B0EDE1" w:rsidR="00ED7BA0" w:rsidRPr="00A604E4" w:rsidRDefault="00C10D5C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027F7B29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4D5B48">
              <w:rPr>
                <w:color w:val="000000"/>
              </w:rPr>
              <w:t>формування знань щодо 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</w:t>
            </w:r>
            <w:r w:rsidR="00CB33AC">
              <w:rPr>
                <w:szCs w:val="24"/>
              </w:rPr>
              <w:t>, призначення</w:t>
            </w:r>
            <w:r w:rsidRPr="00A604E4">
              <w:rPr>
                <w:szCs w:val="24"/>
              </w:rPr>
              <w:t xml:space="preserve">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поглиблених знань у </w:t>
            </w:r>
            <w:r w:rsidR="002B68A8" w:rsidRPr="002B68A8">
              <w:rPr>
                <w:szCs w:val="24"/>
              </w:rPr>
              <w:lastRenderedPageBreak/>
              <w:t>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44D7D28" w14:textId="77777777" w:rsidR="006729AC" w:rsidRDefault="006729AC" w:rsidP="006729AC">
      <w:pPr>
        <w:pStyle w:val="a0"/>
        <w:rPr>
          <w:color w:val="000000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>
        <w:rPr>
          <w:color w:val="000000"/>
        </w:rPr>
        <w:t>теоретичних і практичних задач територіальної організації продуктивних сил України, сучасного стану та напрямків регіонального розвитку економіки, а також мислення та свідомості економістів, регіональних економічних програм розвитку туризму та галузі гостинності.</w:t>
      </w:r>
    </w:p>
    <w:p w14:paraId="6BC731DC" w14:textId="77777777" w:rsidR="006729AC" w:rsidRPr="00A604E4" w:rsidRDefault="006729AC" w:rsidP="006729AC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14:paraId="53D0A5F4" w14:textId="77777777" w:rsidR="006729AC" w:rsidRPr="00A604E4" w:rsidRDefault="006729AC" w:rsidP="006729A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Pr="00A604E4">
        <w:rPr>
          <w:szCs w:val="24"/>
        </w:rPr>
        <w:t>ЗК02.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14:paraId="067B642D" w14:textId="77777777" w:rsidR="006729AC" w:rsidRDefault="006729AC" w:rsidP="006729AC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1</w:t>
      </w:r>
      <w:r w:rsidRPr="00637082">
        <w:rPr>
          <w:szCs w:val="24"/>
        </w:rPr>
        <w:t xml:space="preserve">. </w:t>
      </w:r>
      <w:r w:rsidRPr="009A7DF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</w:t>
      </w:r>
    </w:p>
    <w:p w14:paraId="46BEC05B" w14:textId="77777777" w:rsidR="006729AC" w:rsidRDefault="006729AC" w:rsidP="006729A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9</w:t>
      </w:r>
      <w:r w:rsidRPr="00637082">
        <w:rPr>
          <w:szCs w:val="24"/>
        </w:rPr>
        <w:t xml:space="preserve">. </w:t>
      </w:r>
      <w:r w:rsidRPr="009A7DFB">
        <w:rPr>
          <w:szCs w:val="24"/>
        </w:rPr>
        <w:t>Здатність до абстрактного мислення, аналізу та синтезу</w:t>
      </w:r>
    </w:p>
    <w:p w14:paraId="1EE62AC4" w14:textId="77777777" w:rsidR="006729AC" w:rsidRPr="001C6328" w:rsidRDefault="006729AC" w:rsidP="006729AC">
      <w:pPr>
        <w:ind w:firstLine="709"/>
        <w:jc w:val="both"/>
        <w:rPr>
          <w:szCs w:val="24"/>
          <w:lang w:val="ru-RU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10</w:t>
      </w:r>
      <w:r w:rsidRPr="00637082">
        <w:rPr>
          <w:szCs w:val="24"/>
        </w:rPr>
        <w:t xml:space="preserve">. </w:t>
      </w:r>
      <w:r w:rsidRPr="009A7DFB">
        <w:rPr>
          <w:szCs w:val="24"/>
        </w:rPr>
        <w:t>Здатність застосовувати знання у практичних</w:t>
      </w:r>
      <w:r>
        <w:rPr>
          <w:szCs w:val="24"/>
        </w:rPr>
        <w:t xml:space="preserve"> </w:t>
      </w:r>
      <w:r w:rsidRPr="009A7DFB">
        <w:rPr>
          <w:szCs w:val="24"/>
        </w:rPr>
        <w:t>ситуаціях</w:t>
      </w:r>
    </w:p>
    <w:p w14:paraId="7F037485" w14:textId="77777777" w:rsidR="006729AC" w:rsidRDefault="006729AC" w:rsidP="006729A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0</w:t>
      </w:r>
      <w:r w:rsidRPr="007221A5">
        <w:rPr>
          <w:bCs/>
          <w:iCs/>
          <w:szCs w:val="24"/>
          <w:lang w:val="ru-RU" w:eastAsia="uk-UA"/>
        </w:rPr>
        <w:t>5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Здатність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управляти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9A7DFB">
        <w:rPr>
          <w:bCs/>
          <w:iCs/>
          <w:szCs w:val="24"/>
          <w:lang w:val="ru-RU" w:eastAsia="uk-UA"/>
        </w:rPr>
        <w:t>п</w:t>
      </w:r>
      <w:proofErr w:type="gramEnd"/>
      <w:r w:rsidRPr="009A7DFB">
        <w:rPr>
          <w:bCs/>
          <w:iCs/>
          <w:szCs w:val="24"/>
          <w:lang w:val="ru-RU" w:eastAsia="uk-UA"/>
        </w:rPr>
        <w:t>ідприємством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, </w:t>
      </w:r>
      <w:proofErr w:type="spellStart"/>
      <w:r w:rsidRPr="009A7DFB">
        <w:rPr>
          <w:bCs/>
          <w:iCs/>
          <w:szCs w:val="24"/>
          <w:lang w:val="ru-RU" w:eastAsia="uk-UA"/>
        </w:rPr>
        <w:t>приймати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рішення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9A7DFB">
        <w:rPr>
          <w:bCs/>
          <w:iCs/>
          <w:szCs w:val="24"/>
          <w:lang w:val="ru-RU" w:eastAsia="uk-UA"/>
        </w:rPr>
        <w:t>господарській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діяльності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суб’єктів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</w:t>
      </w:r>
      <w:proofErr w:type="spellStart"/>
      <w:r w:rsidRPr="009A7DFB">
        <w:rPr>
          <w:bCs/>
          <w:iCs/>
          <w:szCs w:val="24"/>
          <w:lang w:val="ru-RU" w:eastAsia="uk-UA"/>
        </w:rPr>
        <w:t>готельного</w:t>
      </w:r>
      <w:proofErr w:type="spellEnd"/>
      <w:r w:rsidRPr="009A7DFB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Pr="009A7DFB">
        <w:rPr>
          <w:bCs/>
          <w:iCs/>
          <w:szCs w:val="24"/>
          <w:lang w:val="ru-RU" w:eastAsia="uk-UA"/>
        </w:rPr>
        <w:t>бізнесу</w:t>
      </w:r>
      <w:proofErr w:type="spellEnd"/>
    </w:p>
    <w:p w14:paraId="429A11EB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06</w:t>
      </w:r>
      <w:r w:rsidRPr="00637082">
        <w:rPr>
          <w:bCs/>
          <w:iCs/>
          <w:szCs w:val="24"/>
          <w:lang w:eastAsia="uk-UA"/>
        </w:rPr>
        <w:t xml:space="preserve">. </w:t>
      </w:r>
      <w:r w:rsidRPr="009A7DFB">
        <w:rPr>
          <w:bCs/>
          <w:iCs/>
          <w:szCs w:val="24"/>
          <w:lang w:eastAsia="uk-UA"/>
        </w:rPr>
        <w:t>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(закладах) готельно-ресторанного та рекреаційного господарства</w:t>
      </w:r>
    </w:p>
    <w:p w14:paraId="2BAE4B19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729AC">
        <w:rPr>
          <w:bCs/>
          <w:iCs/>
          <w:szCs w:val="24"/>
          <w:lang w:eastAsia="uk-UA"/>
        </w:rPr>
        <w:t>10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працювати з технічною, економічною, технологічною та іншою документацією та здійснювати розрахункові операції суб’єктом готельного та ресторанного бізнесу.</w:t>
      </w:r>
    </w:p>
    <w:p w14:paraId="5883D90B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Pr="006729AC">
        <w:rPr>
          <w:bCs/>
          <w:iCs/>
          <w:szCs w:val="24"/>
          <w:lang w:eastAsia="uk-UA"/>
        </w:rPr>
        <w:t>12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ініціювати концепцію розвитку бізнесу, формулювати бізнес-ідею розвитку суб’єктів готельного та ресторанного бізнесу</w:t>
      </w:r>
    </w:p>
    <w:p w14:paraId="552A6877" w14:textId="77777777" w:rsidR="006729AC" w:rsidRPr="00A604E4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lastRenderedPageBreak/>
        <w:t>СК</w:t>
      </w:r>
      <w:r>
        <w:rPr>
          <w:bCs/>
          <w:iCs/>
          <w:szCs w:val="24"/>
          <w:lang w:val="ru-RU" w:eastAsia="uk-UA"/>
        </w:rPr>
        <w:t>13</w:t>
      </w:r>
      <w:r w:rsidRPr="00637082">
        <w:rPr>
          <w:bCs/>
          <w:iCs/>
          <w:szCs w:val="24"/>
          <w:lang w:eastAsia="uk-UA"/>
        </w:rPr>
        <w:t>.</w:t>
      </w:r>
      <w:r>
        <w:rPr>
          <w:bCs/>
          <w:iCs/>
          <w:szCs w:val="24"/>
          <w:lang w:eastAsia="uk-UA"/>
        </w:rPr>
        <w:t xml:space="preserve"> </w:t>
      </w:r>
      <w:r w:rsidRPr="00BE07EC">
        <w:rPr>
          <w:bCs/>
          <w:iCs/>
          <w:szCs w:val="24"/>
          <w:lang w:eastAsia="uk-UA"/>
        </w:rPr>
        <w:t>Здатність здійснювати планування, управління і контроль діяльності суб’єктів готельного та ресторанного бізнесу.</w:t>
      </w:r>
      <w:r w:rsidRPr="00BE07EC">
        <w:rPr>
          <w:bCs/>
          <w:iCs/>
          <w:szCs w:val="24"/>
          <w:lang w:eastAsia="uk-UA"/>
        </w:rPr>
        <w:cr/>
      </w:r>
    </w:p>
    <w:p w14:paraId="56F68588" w14:textId="77777777" w:rsidR="006729AC" w:rsidRPr="00A604E4" w:rsidRDefault="006729AC" w:rsidP="006729AC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A6D8640" w14:textId="77777777" w:rsidR="006729AC" w:rsidRPr="00A604E4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01</w:t>
      </w:r>
      <w:r w:rsidRPr="00A604E4">
        <w:rPr>
          <w:bCs/>
          <w:iCs/>
          <w:szCs w:val="24"/>
          <w:lang w:eastAsia="uk-UA"/>
        </w:rPr>
        <w:t xml:space="preserve">. </w:t>
      </w:r>
      <w:r w:rsidRPr="00BE07EC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</w:t>
      </w:r>
      <w:r w:rsidRPr="00A604E4">
        <w:rPr>
          <w:bCs/>
          <w:iCs/>
          <w:szCs w:val="24"/>
          <w:lang w:eastAsia="uk-UA"/>
        </w:rPr>
        <w:t>.</w:t>
      </w:r>
    </w:p>
    <w:p w14:paraId="66C428E7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ПР04</w:t>
      </w:r>
      <w:r w:rsidRPr="00A604E4">
        <w:rPr>
          <w:bCs/>
          <w:iCs/>
          <w:szCs w:val="24"/>
          <w:lang w:eastAsia="uk-UA"/>
        </w:rPr>
        <w:t xml:space="preserve">. </w:t>
      </w:r>
      <w:r w:rsidRPr="00913C41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господарства.</w:t>
      </w:r>
    </w:p>
    <w:p w14:paraId="0E621617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ПР09. </w:t>
      </w:r>
      <w:r w:rsidRPr="00913C41">
        <w:rPr>
          <w:bCs/>
          <w:iCs/>
          <w:szCs w:val="24"/>
          <w:lang w:eastAsia="uk-UA"/>
        </w:rPr>
        <w:t>Здійснювати підбір технологічного устаткування та обладнання, вирішувати питання раціонального використання просторових та матеріальних ресурсів</w:t>
      </w:r>
      <w:r w:rsidRPr="00371F7E">
        <w:rPr>
          <w:bCs/>
          <w:iCs/>
          <w:szCs w:val="24"/>
          <w:lang w:eastAsia="uk-UA"/>
        </w:rPr>
        <w:t>.</w:t>
      </w:r>
    </w:p>
    <w:p w14:paraId="63F6209C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ПР12. </w:t>
      </w:r>
      <w:r w:rsidRPr="00913C41">
        <w:rPr>
          <w:bCs/>
          <w:iCs/>
          <w:szCs w:val="24"/>
          <w:lang w:eastAsia="uk-UA"/>
        </w:rPr>
        <w:t>Здійснювати ефективний контроль якості продуктів та послуг закладів готельного і ресторанного господарства</w:t>
      </w:r>
      <w:r w:rsidRPr="00371F7E">
        <w:rPr>
          <w:bCs/>
          <w:iCs/>
          <w:szCs w:val="24"/>
          <w:lang w:eastAsia="uk-UA"/>
        </w:rPr>
        <w:t>.</w:t>
      </w:r>
    </w:p>
    <w:p w14:paraId="744DD99C" w14:textId="77777777" w:rsidR="006729AC" w:rsidRDefault="006729AC" w:rsidP="006729AC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ПР15. </w:t>
      </w:r>
      <w:r w:rsidRPr="00913C41">
        <w:rPr>
          <w:bCs/>
          <w:iCs/>
          <w:szCs w:val="24"/>
          <w:lang w:eastAsia="uk-UA"/>
        </w:rPr>
        <w:t>Розуміти економічні процеси та здійснювати планування, управління і контроль діяльності суб’єктів готельного та ресторанного бізнесу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2E7A253D" w:rsidR="00F53CB4" w:rsidRPr="0068009C" w:rsidRDefault="00F53CB4" w:rsidP="00F53CB4">
            <w:pPr>
              <w:spacing w:line="216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BA953C" w14:textId="7095275C" w:rsidR="00F53CB4" w:rsidRPr="0068009C" w:rsidRDefault="00F53CB4" w:rsidP="00112EA7">
            <w:pPr>
              <w:spacing w:line="216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71EFA2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F22B43" w14:textId="5326A47F" w:rsidR="00F53CB4" w:rsidRPr="0068009C" w:rsidRDefault="00F53CB4" w:rsidP="007B61E5">
            <w:pPr>
              <w:ind w:firstLine="567"/>
              <w:jc w:val="both"/>
              <w:rPr>
                <w:snapToGrid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729623" w14:textId="77777777" w:rsidR="00F53CB4" w:rsidRPr="0068009C" w:rsidRDefault="00F53CB4" w:rsidP="001F518C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1F518C" w:rsidRPr="0068009C" w14:paraId="49D9611C" w14:textId="77777777" w:rsidTr="00B21711">
        <w:tc>
          <w:tcPr>
            <w:tcW w:w="421" w:type="dxa"/>
            <w:shd w:val="clear" w:color="auto" w:fill="auto"/>
          </w:tcPr>
          <w:p w14:paraId="430A836F" w14:textId="1EF34F92" w:rsidR="001F518C" w:rsidRPr="0068009C" w:rsidRDefault="001F518C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611F9B" w14:textId="2513F9CC" w:rsidR="001F518C" w:rsidRPr="001A60E9" w:rsidRDefault="001F518C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1A60E9">
              <w:rPr>
                <w:color w:val="000000"/>
                <w:szCs w:val="24"/>
                <w:lang w:eastAsia="ru-RU"/>
              </w:rPr>
              <w:t>Р</w:t>
            </w:r>
            <w:r w:rsidRPr="001A60E9">
              <w:rPr>
                <w:bCs/>
                <w:color w:val="000000"/>
                <w:szCs w:val="24"/>
                <w:lang w:eastAsia="ru-RU"/>
              </w:rPr>
              <w:t xml:space="preserve">егіональні економічні </w:t>
            </w:r>
            <w:r w:rsidRPr="0068009C">
              <w:rPr>
                <w:bCs/>
                <w:color w:val="000000"/>
                <w:szCs w:val="24"/>
                <w:lang w:eastAsia="ru-RU"/>
              </w:rPr>
              <w:t>особливості</w:t>
            </w:r>
            <w:r w:rsidRPr="001A60E9">
              <w:rPr>
                <w:bCs/>
                <w:color w:val="000000"/>
                <w:szCs w:val="24"/>
                <w:lang w:eastAsia="ru-RU"/>
              </w:rPr>
              <w:t xml:space="preserve"> розвитку туризму</w:t>
            </w:r>
          </w:p>
        </w:tc>
        <w:tc>
          <w:tcPr>
            <w:tcW w:w="992" w:type="dxa"/>
            <w:shd w:val="clear" w:color="auto" w:fill="auto"/>
          </w:tcPr>
          <w:p w14:paraId="7A062E75" w14:textId="113CE4C1" w:rsidR="001F518C" w:rsidRPr="0068009C" w:rsidRDefault="001F518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5A3144B3" w14:textId="0C818F88" w:rsidR="001F518C" w:rsidRPr="001A60E9" w:rsidRDefault="001F518C" w:rsidP="007B61E5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68009C">
              <w:rPr>
                <w:snapToGrid w:val="0"/>
                <w:szCs w:val="24"/>
              </w:rPr>
              <w:t>Предмет і сутність науки та її головна функція. Туристичний  потенціал регіонів України та його місце серед інших галузей регіонів держави та світу. Міжгалузеві економічні зв’язки туристичних та інших підприємств певного регіону</w:t>
            </w:r>
            <w:r>
              <w:rPr>
                <w:snapToGrid w:val="0"/>
                <w:szCs w:val="24"/>
              </w:rPr>
              <w:t xml:space="preserve">. </w:t>
            </w:r>
            <w:r w:rsidRPr="00EF220F">
              <w:rPr>
                <w:color w:val="000000"/>
                <w:szCs w:val="24"/>
                <w:lang w:eastAsia="ru-RU"/>
              </w:rPr>
              <w:t>Економічні закони і закономірності розміщення продуктивних сил.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EF220F">
              <w:rPr>
                <w:color w:val="000000"/>
                <w:szCs w:val="24"/>
                <w:lang w:eastAsia="ru-RU"/>
              </w:rPr>
              <w:t>Принципи розміщення продуктивних сил.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EF220F">
              <w:rPr>
                <w:color w:val="000000"/>
                <w:szCs w:val="24"/>
                <w:lang w:eastAsia="ru-RU"/>
              </w:rPr>
              <w:t>Фактори розміщення продуктивних сил та формування економіки регіонів</w:t>
            </w:r>
          </w:p>
        </w:tc>
        <w:tc>
          <w:tcPr>
            <w:tcW w:w="1984" w:type="dxa"/>
            <w:shd w:val="clear" w:color="auto" w:fill="auto"/>
          </w:tcPr>
          <w:p w14:paraId="16570565" w14:textId="77777777" w:rsidR="001F518C" w:rsidRPr="0068009C" w:rsidRDefault="001F518C" w:rsidP="001F518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2376C2AB" w14:textId="77777777" w:rsidR="001F518C" w:rsidRPr="0068009C" w:rsidRDefault="001F518C" w:rsidP="001F518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1E16DED5" w14:textId="77777777" w:rsidR="001F518C" w:rsidRPr="0068009C" w:rsidRDefault="001F518C" w:rsidP="001F518C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6E6F5A82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bookmarkStart w:id="2" w:name="_Hlk21532310"/>
            <w:r w:rsidRPr="0068009C">
              <w:rPr>
                <w:szCs w:val="24"/>
              </w:rPr>
              <w:t>Аналіз ситуаці</w:t>
            </w:r>
            <w:bookmarkEnd w:id="2"/>
            <w:r w:rsidRPr="0068009C">
              <w:rPr>
                <w:szCs w:val="24"/>
              </w:rPr>
              <w:t>й.</w:t>
            </w:r>
          </w:p>
          <w:p w14:paraId="40F011DB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4E9D64C" w14:textId="77777777" w:rsidR="001F518C" w:rsidRPr="0068009C" w:rsidRDefault="001F518C" w:rsidP="001F518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  <w:p w14:paraId="2F256D28" w14:textId="77777777" w:rsidR="001F518C" w:rsidRPr="0068009C" w:rsidRDefault="001F518C" w:rsidP="00F53CB4">
            <w:pPr>
              <w:jc w:val="center"/>
              <w:rPr>
                <w:szCs w:val="24"/>
              </w:rPr>
            </w:pPr>
          </w:p>
        </w:tc>
      </w:tr>
      <w:tr w:rsidR="001F518C" w:rsidRPr="0068009C" w14:paraId="18E90591" w14:textId="77777777" w:rsidTr="00B21711">
        <w:tc>
          <w:tcPr>
            <w:tcW w:w="421" w:type="dxa"/>
            <w:shd w:val="clear" w:color="auto" w:fill="auto"/>
          </w:tcPr>
          <w:p w14:paraId="506BF46F" w14:textId="451F8266" w:rsidR="001F518C" w:rsidRPr="0068009C" w:rsidRDefault="001F518C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8D26FB" w14:textId="7AC2751B" w:rsidR="001F518C" w:rsidRPr="001A60E9" w:rsidRDefault="001F518C" w:rsidP="00112EA7">
            <w:pPr>
              <w:spacing w:line="216" w:lineRule="auto"/>
              <w:rPr>
                <w:color w:val="000000"/>
                <w:szCs w:val="24"/>
                <w:lang w:eastAsia="ru-RU"/>
              </w:rPr>
            </w:pPr>
            <w:r w:rsidRPr="0068009C">
              <w:rPr>
                <w:bCs/>
                <w:color w:val="000000"/>
                <w:szCs w:val="24"/>
              </w:rPr>
              <w:t>Господарський комплекс України, його структура і трансформація в ринкових умовах</w:t>
            </w:r>
          </w:p>
        </w:tc>
        <w:tc>
          <w:tcPr>
            <w:tcW w:w="992" w:type="dxa"/>
            <w:shd w:val="clear" w:color="auto" w:fill="auto"/>
          </w:tcPr>
          <w:p w14:paraId="3A1D5129" w14:textId="262CA510" w:rsidR="001F518C" w:rsidRPr="0068009C" w:rsidRDefault="001F518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1BF73E7" w14:textId="7CE395FB" w:rsidR="001F518C" w:rsidRPr="001A60E9" w:rsidRDefault="001F518C" w:rsidP="007B61E5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1A6B09">
              <w:rPr>
                <w:color w:val="000000"/>
                <w:szCs w:val="24"/>
                <w:lang w:eastAsia="ru-RU"/>
              </w:rPr>
              <w:t>Нові парадигми та концепції регіону.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8009C">
              <w:rPr>
                <w:color w:val="000000"/>
                <w:szCs w:val="24"/>
                <w:lang w:eastAsia="ru-RU"/>
              </w:rPr>
              <w:t>Типологізація</w:t>
            </w:r>
            <w:proofErr w:type="spellEnd"/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регіонів.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Поняття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про територіальний поділ праці.</w:t>
            </w:r>
            <w:r w:rsidRPr="0068009C">
              <w:rPr>
                <w:color w:val="000000"/>
                <w:szCs w:val="24"/>
                <w:lang w:eastAsia="ru-RU"/>
              </w:rPr>
              <w:t xml:space="preserve"> </w:t>
            </w:r>
            <w:r w:rsidRPr="001A6B09">
              <w:rPr>
                <w:color w:val="000000"/>
                <w:szCs w:val="24"/>
                <w:lang w:eastAsia="ru-RU"/>
              </w:rPr>
              <w:t>Територіальний поділ праці як основа формування економічних районів</w:t>
            </w:r>
            <w:r>
              <w:rPr>
                <w:color w:val="000000"/>
                <w:szCs w:val="24"/>
                <w:lang w:eastAsia="ru-RU"/>
              </w:rPr>
              <w:t xml:space="preserve">. Природні та демографічні передумови розвитку економіки регіону та туристичної галузі, як його важливої складової. </w:t>
            </w:r>
            <w:r w:rsidRPr="00D3144C">
              <w:rPr>
                <w:color w:val="000000"/>
                <w:szCs w:val="24"/>
                <w:lang w:eastAsia="ru-RU"/>
              </w:rPr>
              <w:t>Проблеми реалізації регіональної економічної політики</w:t>
            </w:r>
          </w:p>
        </w:tc>
        <w:tc>
          <w:tcPr>
            <w:tcW w:w="1984" w:type="dxa"/>
            <w:shd w:val="clear" w:color="auto" w:fill="auto"/>
          </w:tcPr>
          <w:p w14:paraId="0A554108" w14:textId="77777777" w:rsidR="000F270A" w:rsidRPr="0068009C" w:rsidRDefault="000F270A" w:rsidP="000F270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 xml:space="preserve">Презентації в </w:t>
            </w:r>
          </w:p>
          <w:p w14:paraId="03AC8BDA" w14:textId="77777777" w:rsidR="000F270A" w:rsidRPr="0068009C" w:rsidRDefault="000F270A" w:rsidP="000F270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PowerPoint.</w:t>
            </w:r>
          </w:p>
          <w:p w14:paraId="0D7DE9AA" w14:textId="77777777" w:rsidR="000F270A" w:rsidRPr="0068009C" w:rsidRDefault="000F270A" w:rsidP="000F270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279CC77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Аналіз ситуацій.</w:t>
            </w:r>
          </w:p>
          <w:p w14:paraId="05A5C36E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3471067" w14:textId="77777777" w:rsidR="000F270A" w:rsidRPr="0068009C" w:rsidRDefault="000F270A" w:rsidP="000F270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  <w:p w14:paraId="78CE2EDE" w14:textId="77777777" w:rsidR="001F518C" w:rsidRPr="0068009C" w:rsidRDefault="001F518C" w:rsidP="00F53CB4">
            <w:pPr>
              <w:jc w:val="center"/>
              <w:rPr>
                <w:szCs w:val="24"/>
              </w:rPr>
            </w:pPr>
          </w:p>
        </w:tc>
      </w:tr>
    </w:tbl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681CAB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1. Конституція України. – К.: Юридична л-ра, 1996</w:t>
      </w:r>
    </w:p>
    <w:p w14:paraId="7B5E6262" w14:textId="42C3EF6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2.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інвестиційну діяльність”. – К.: Парламентське видавництво, 2000. –15с.</w:t>
      </w:r>
    </w:p>
    <w:p w14:paraId="3719D312" w14:textId="71C468E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 xml:space="preserve">3. Закон України </w:t>
      </w:r>
      <w:proofErr w:type="spellStart"/>
      <w:r w:rsidRPr="00D36C8F">
        <w:rPr>
          <w:szCs w:val="24"/>
        </w:rPr>
        <w:t>„Про</w:t>
      </w:r>
      <w:proofErr w:type="spellEnd"/>
      <w:r w:rsidRPr="00D36C8F">
        <w:rPr>
          <w:szCs w:val="24"/>
        </w:rPr>
        <w:t xml:space="preserve"> місцеве самоврядування в Україні”. – К.: Парламентське видавництво, 1999. – 78с.</w:t>
      </w:r>
    </w:p>
    <w:p w14:paraId="43165BFD" w14:textId="777777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5. Концепція державної регіональної політики.</w:t>
      </w:r>
    </w:p>
    <w:p w14:paraId="2CE5D832" w14:textId="7AE5CD0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Pr="00D36C8F">
        <w:rPr>
          <w:szCs w:val="24"/>
        </w:rPr>
        <w:t>. Географічна енциклопедія України: в 3-х т. /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 xml:space="preserve">.: О.М. </w:t>
      </w:r>
      <w:proofErr w:type="spellStart"/>
      <w:r w:rsidRPr="00D36C8F">
        <w:rPr>
          <w:szCs w:val="24"/>
        </w:rPr>
        <w:t>Маринич</w:t>
      </w:r>
      <w:proofErr w:type="spellEnd"/>
      <w:r w:rsidRPr="00D36C8F">
        <w:rPr>
          <w:szCs w:val="24"/>
        </w:rPr>
        <w:t xml:space="preserve"> (</w:t>
      </w:r>
      <w:proofErr w:type="spellStart"/>
      <w:r w:rsidRPr="00D36C8F">
        <w:rPr>
          <w:szCs w:val="24"/>
        </w:rPr>
        <w:t>відповід</w:t>
      </w:r>
      <w:proofErr w:type="spellEnd"/>
      <w:r w:rsidRPr="00D36C8F">
        <w:rPr>
          <w:szCs w:val="24"/>
        </w:rPr>
        <w:t xml:space="preserve">. ред.) та ін. </w:t>
      </w:r>
    </w:p>
    <w:p w14:paraId="738A8A8E" w14:textId="16F97D5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 Г. О Основи екології. Підручник / Г. О. </w:t>
      </w:r>
      <w:proofErr w:type="spellStart"/>
      <w:r w:rsidRPr="00D36C8F">
        <w:rPr>
          <w:szCs w:val="24"/>
        </w:rPr>
        <w:t>Білявський</w:t>
      </w:r>
      <w:proofErr w:type="spellEnd"/>
      <w:r w:rsidRPr="00D36C8F">
        <w:rPr>
          <w:szCs w:val="24"/>
        </w:rPr>
        <w:t xml:space="preserve">, Р. С. </w:t>
      </w:r>
      <w:proofErr w:type="spellStart"/>
      <w:r w:rsidRPr="00D36C8F">
        <w:rPr>
          <w:szCs w:val="24"/>
        </w:rPr>
        <w:t>Фурдуй</w:t>
      </w:r>
      <w:proofErr w:type="spellEnd"/>
      <w:r w:rsidRPr="00D36C8F">
        <w:rPr>
          <w:szCs w:val="24"/>
        </w:rPr>
        <w:t xml:space="preserve">. І. Ю. </w:t>
      </w:r>
      <w:proofErr w:type="spellStart"/>
      <w:r w:rsidRPr="00D36C8F">
        <w:rPr>
          <w:szCs w:val="24"/>
        </w:rPr>
        <w:t>Костіков</w:t>
      </w:r>
      <w:proofErr w:type="spellEnd"/>
      <w:r w:rsidRPr="00D36C8F">
        <w:rPr>
          <w:szCs w:val="24"/>
        </w:rPr>
        <w:t>. – К.: Либідь, 2004. – 408 с.</w:t>
      </w:r>
    </w:p>
    <w:p w14:paraId="71CCC07E" w14:textId="7C4A9CEA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Регіональна економіка: Підручник / В. І.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– К.: Центр учбової літератури, 2009. – 384с.</w:t>
      </w:r>
    </w:p>
    <w:p w14:paraId="5FB218B0" w14:textId="5572B83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9</w:t>
      </w:r>
      <w:r w:rsidRPr="00D36C8F">
        <w:rPr>
          <w:szCs w:val="24"/>
        </w:rPr>
        <w:t xml:space="preserve">. Розміщення продуктивних сил і регіональна економіка Підручник / За ред. В.В. Ковалевського, О.Л. </w:t>
      </w:r>
      <w:proofErr w:type="spellStart"/>
      <w:r w:rsidRPr="00D36C8F">
        <w:rPr>
          <w:szCs w:val="24"/>
        </w:rPr>
        <w:t>Михайлюк</w:t>
      </w:r>
      <w:proofErr w:type="spellEnd"/>
      <w:r w:rsidRPr="00D36C8F">
        <w:rPr>
          <w:szCs w:val="24"/>
        </w:rPr>
        <w:t>, В. Ф. Семенова. – 7-ме вид., стер. – К.: Знання, 2005. –</w:t>
      </w:r>
      <w:r>
        <w:rPr>
          <w:szCs w:val="24"/>
        </w:rPr>
        <w:t xml:space="preserve"> </w:t>
      </w:r>
      <w:r w:rsidRPr="00D36C8F">
        <w:rPr>
          <w:szCs w:val="24"/>
        </w:rPr>
        <w:t>350 с.– (Вища освіта ХХІ століття).</w:t>
      </w:r>
    </w:p>
    <w:p w14:paraId="513F3309" w14:textId="2D10FAF5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0</w:t>
      </w:r>
      <w:r w:rsidRPr="00D36C8F">
        <w:rPr>
          <w:szCs w:val="24"/>
        </w:rPr>
        <w:t xml:space="preserve">. Розміщення продуктивних сил України: Підручник / За ред. Є.П. Качана. – К.: ВД </w:t>
      </w:r>
      <w:proofErr w:type="spellStart"/>
      <w:r w:rsidRPr="00D36C8F">
        <w:rPr>
          <w:szCs w:val="24"/>
        </w:rPr>
        <w:t>„Юридична</w:t>
      </w:r>
      <w:proofErr w:type="spellEnd"/>
      <w:r w:rsidRPr="00D36C8F">
        <w:rPr>
          <w:szCs w:val="24"/>
        </w:rPr>
        <w:t xml:space="preserve"> книга”, 2001. – 552 с.</w:t>
      </w:r>
    </w:p>
    <w:p w14:paraId="18DCCB3C" w14:textId="63A1D47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Голіков</w:t>
      </w:r>
      <w:proofErr w:type="spellEnd"/>
      <w:r w:rsidRPr="00D36C8F">
        <w:rPr>
          <w:szCs w:val="24"/>
        </w:rPr>
        <w:t xml:space="preserve"> А. П., </w:t>
      </w:r>
      <w:proofErr w:type="spellStart"/>
      <w:r w:rsidRPr="00D36C8F">
        <w:rPr>
          <w:szCs w:val="24"/>
        </w:rPr>
        <w:t>Дайнеко</w:t>
      </w:r>
      <w:proofErr w:type="spellEnd"/>
      <w:r w:rsidRPr="00D36C8F">
        <w:rPr>
          <w:szCs w:val="24"/>
        </w:rPr>
        <w:t xml:space="preserve"> О. Г. </w:t>
      </w:r>
      <w:proofErr w:type="spellStart"/>
      <w:r w:rsidRPr="00D36C8F">
        <w:rPr>
          <w:szCs w:val="24"/>
        </w:rPr>
        <w:t>Позднякова</w:t>
      </w:r>
      <w:proofErr w:type="spellEnd"/>
      <w:r w:rsidRPr="00D36C8F">
        <w:rPr>
          <w:szCs w:val="24"/>
        </w:rPr>
        <w:t xml:space="preserve"> Л. О. </w:t>
      </w:r>
      <w:proofErr w:type="spellStart"/>
      <w:r w:rsidRPr="00D36C8F">
        <w:rPr>
          <w:szCs w:val="24"/>
        </w:rPr>
        <w:t>Черномас</w:t>
      </w:r>
      <w:proofErr w:type="spellEnd"/>
      <w:r w:rsidRPr="00D36C8F">
        <w:rPr>
          <w:szCs w:val="24"/>
        </w:rPr>
        <w:t xml:space="preserve"> П. О. </w:t>
      </w:r>
      <w:proofErr w:type="spellStart"/>
      <w:r w:rsidRPr="00D36C8F">
        <w:rPr>
          <w:szCs w:val="24"/>
        </w:rPr>
        <w:t>Регоінальна</w:t>
      </w:r>
      <w:proofErr w:type="spellEnd"/>
      <w:r w:rsidRPr="00D36C8F">
        <w:rPr>
          <w:szCs w:val="24"/>
        </w:rPr>
        <w:t xml:space="preserve"> економіка та природокористування / Навчальний посібник. – К.: Центр учбової літератури, 2009 – 352с.</w:t>
      </w:r>
    </w:p>
    <w:p w14:paraId="2AFB1B2E" w14:textId="59F5D41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2</w:t>
      </w:r>
      <w:r w:rsidRPr="00D36C8F">
        <w:rPr>
          <w:szCs w:val="24"/>
        </w:rPr>
        <w:t xml:space="preserve">. Іщук С. І. Розміщення продуктивних сил (Теорія, методи, практика). Вид. 5-тн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Європ</w:t>
      </w:r>
      <w:proofErr w:type="spellEnd"/>
      <w:r w:rsidRPr="00D36C8F">
        <w:rPr>
          <w:szCs w:val="24"/>
        </w:rPr>
        <w:t>. Ун-т, 2002 – 216с.</w:t>
      </w:r>
    </w:p>
    <w:p w14:paraId="22E77672" w14:textId="515123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1</w:t>
      </w:r>
      <w:r>
        <w:rPr>
          <w:szCs w:val="24"/>
        </w:rPr>
        <w:t>3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Джигирей</w:t>
      </w:r>
      <w:proofErr w:type="spellEnd"/>
      <w:r w:rsidRPr="00D36C8F">
        <w:rPr>
          <w:szCs w:val="24"/>
        </w:rPr>
        <w:t xml:space="preserve"> В. С. Екологія та охорона навколишнього природного середовища: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4-те вид., випр. і.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 xml:space="preserve">. – К.: Т-во </w:t>
      </w:r>
      <w:proofErr w:type="spellStart"/>
      <w:r w:rsidRPr="00D36C8F">
        <w:rPr>
          <w:szCs w:val="24"/>
        </w:rPr>
        <w:t>„Знання</w:t>
      </w:r>
      <w:proofErr w:type="spellEnd"/>
      <w:r w:rsidRPr="00D36C8F">
        <w:rPr>
          <w:szCs w:val="24"/>
        </w:rPr>
        <w:t>”, КОО, 2006. – 319с.</w:t>
      </w:r>
    </w:p>
    <w:p w14:paraId="731B3B4D" w14:textId="6C5EB6E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14</w:t>
      </w:r>
      <w:r w:rsidRPr="00D36C8F">
        <w:rPr>
          <w:szCs w:val="24"/>
        </w:rPr>
        <w:t xml:space="preserve">. Долішній М. І., Стадницький Ю. І., Загородній А. Г., </w:t>
      </w:r>
      <w:proofErr w:type="spellStart"/>
      <w:r w:rsidRPr="00D36C8F">
        <w:rPr>
          <w:szCs w:val="24"/>
        </w:rPr>
        <w:t>Товкан</w:t>
      </w:r>
      <w:proofErr w:type="spellEnd"/>
      <w:r w:rsidRPr="00D36C8F">
        <w:rPr>
          <w:szCs w:val="24"/>
        </w:rPr>
        <w:t xml:space="preserve"> О. Е. Розміщення продуктивних сил і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>. – Львів: НУ «Львівська політехніка», «Інтелект Захід», 2003. – 256 с.</w:t>
      </w:r>
    </w:p>
    <w:p w14:paraId="13B84FB8" w14:textId="20468389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15</w:t>
      </w:r>
      <w:r w:rsidRPr="00D36C8F">
        <w:rPr>
          <w:szCs w:val="24"/>
        </w:rPr>
        <w:t xml:space="preserve">. Клиновий Д. В., </w:t>
      </w:r>
      <w:proofErr w:type="spellStart"/>
      <w:r w:rsidRPr="00D36C8F">
        <w:rPr>
          <w:szCs w:val="24"/>
        </w:rPr>
        <w:t>Пепа</w:t>
      </w:r>
      <w:proofErr w:type="spellEnd"/>
      <w:r w:rsidRPr="00D36C8F">
        <w:rPr>
          <w:szCs w:val="24"/>
        </w:rPr>
        <w:t xml:space="preserve"> Т. В. Розміщення продуктивних сил та регіональна економіка України / За наук. ред. Л. Г. Чернюк: Навчальний посібник. – К.: ЦУЛ, 2006. – 728 с.</w:t>
      </w:r>
    </w:p>
    <w:p w14:paraId="7626E26B" w14:textId="1344874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16</w:t>
      </w:r>
      <w:r w:rsidRPr="00D36C8F">
        <w:rPr>
          <w:szCs w:val="24"/>
        </w:rPr>
        <w:t xml:space="preserve">. Коваль Я. В., Антоненко І. Я. Регіональна економіка: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К: ВД </w:t>
      </w:r>
      <w:proofErr w:type="spellStart"/>
      <w:r w:rsidRPr="00D36C8F">
        <w:rPr>
          <w:szCs w:val="24"/>
        </w:rPr>
        <w:t>„Професіонал</w:t>
      </w:r>
      <w:proofErr w:type="spellEnd"/>
      <w:r w:rsidRPr="00D36C8F">
        <w:rPr>
          <w:szCs w:val="24"/>
        </w:rPr>
        <w:t>”, 2005. – 272 с.</w:t>
      </w:r>
    </w:p>
    <w:p w14:paraId="59DDB276" w14:textId="260D7FA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17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Лишиленко</w:t>
      </w:r>
      <w:proofErr w:type="spellEnd"/>
      <w:r w:rsidRPr="00D36C8F">
        <w:rPr>
          <w:szCs w:val="24"/>
        </w:rPr>
        <w:t xml:space="preserve"> В. І. Розміщення продуктивних сил і регіональна економіка: Навчальний посібник. – К.: </w:t>
      </w:r>
      <w:proofErr w:type="spellStart"/>
      <w:r w:rsidRPr="00D36C8F">
        <w:rPr>
          <w:szCs w:val="24"/>
        </w:rPr>
        <w:t>Цкнтр</w:t>
      </w:r>
      <w:proofErr w:type="spellEnd"/>
      <w:r w:rsidRPr="00D36C8F">
        <w:rPr>
          <w:szCs w:val="24"/>
        </w:rPr>
        <w:t xml:space="preserve"> навчальної літератури, 2006. – 325с.</w:t>
      </w:r>
    </w:p>
    <w:p w14:paraId="07B07282" w14:textId="5A617CE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18</w:t>
      </w:r>
      <w:r w:rsidRPr="00D36C8F">
        <w:rPr>
          <w:szCs w:val="24"/>
        </w:rPr>
        <w:t xml:space="preserve">. Мельник С.А. Управління регіональною економікою: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>. посібник. – К.: КНЕУ, 2000. – 124с.</w:t>
      </w:r>
    </w:p>
    <w:p w14:paraId="29E1DB1E" w14:textId="7F78439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19</w:t>
      </w:r>
      <w:r w:rsidRPr="00D36C8F">
        <w:rPr>
          <w:szCs w:val="24"/>
        </w:rPr>
        <w:t xml:space="preserve">. Савченко В. Ф. Регіональна економіка: Навчальний посібник / Савченко В.Ф. – К.: Кондор, 2012. – 339 с.27. </w:t>
      </w:r>
      <w:proofErr w:type="spellStart"/>
      <w:r w:rsidRPr="00D36C8F">
        <w:rPr>
          <w:szCs w:val="24"/>
        </w:rPr>
        <w:t>Сазонець</w:t>
      </w:r>
      <w:proofErr w:type="spellEnd"/>
      <w:r w:rsidRPr="00D36C8F">
        <w:rPr>
          <w:szCs w:val="24"/>
        </w:rPr>
        <w:t xml:space="preserve"> І. Л., </w:t>
      </w:r>
      <w:proofErr w:type="spellStart"/>
      <w:r w:rsidRPr="00D36C8F">
        <w:rPr>
          <w:szCs w:val="24"/>
        </w:rPr>
        <w:t>Джинджоян</w:t>
      </w:r>
      <w:proofErr w:type="spellEnd"/>
      <w:r w:rsidRPr="00D36C8F">
        <w:rPr>
          <w:szCs w:val="24"/>
        </w:rPr>
        <w:t xml:space="preserve"> В. В., О. О. Чубар Розміщення продуктивних сил. – К.: ЦУЛ, 2006. – 320с.</w:t>
      </w:r>
    </w:p>
    <w:p w14:paraId="06F7CCF4" w14:textId="74DE05B3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0</w:t>
      </w:r>
      <w:r w:rsidRPr="00D36C8F">
        <w:rPr>
          <w:szCs w:val="24"/>
        </w:rPr>
        <w:t xml:space="preserve">. Соціально-економічна географія України: Навчальний посібник /За ред. проф. </w:t>
      </w:r>
      <w:proofErr w:type="spellStart"/>
      <w:r w:rsidRPr="00D36C8F">
        <w:rPr>
          <w:szCs w:val="24"/>
        </w:rPr>
        <w:t>Шаблія</w:t>
      </w:r>
      <w:proofErr w:type="spellEnd"/>
      <w:r w:rsidRPr="00D36C8F">
        <w:rPr>
          <w:szCs w:val="24"/>
        </w:rPr>
        <w:t xml:space="preserve"> О.І. Вид. друге, перероблене і </w:t>
      </w:r>
      <w:proofErr w:type="spellStart"/>
      <w:r w:rsidRPr="00D36C8F">
        <w:rPr>
          <w:szCs w:val="24"/>
        </w:rPr>
        <w:t>доп</w:t>
      </w:r>
      <w:proofErr w:type="spellEnd"/>
      <w:r w:rsidRPr="00D36C8F">
        <w:rPr>
          <w:szCs w:val="24"/>
        </w:rPr>
        <w:t>. – Львів.: Світ, 2000. – 680с.</w:t>
      </w:r>
    </w:p>
    <w:p w14:paraId="67DBABDB" w14:textId="108CB4D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 w:rsidRPr="00D36C8F">
        <w:rPr>
          <w:szCs w:val="24"/>
        </w:rPr>
        <w:t>2</w:t>
      </w:r>
      <w:r>
        <w:rPr>
          <w:szCs w:val="24"/>
        </w:rPr>
        <w:t>1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Стеченко</w:t>
      </w:r>
      <w:proofErr w:type="spellEnd"/>
      <w:r w:rsidRPr="00D36C8F">
        <w:rPr>
          <w:szCs w:val="24"/>
        </w:rPr>
        <w:t xml:space="preserve"> Д.М. Розміщення продуктивних сил і </w:t>
      </w:r>
      <w:proofErr w:type="spellStart"/>
      <w:r w:rsidRPr="00D36C8F">
        <w:rPr>
          <w:szCs w:val="24"/>
        </w:rPr>
        <w:t>регіоналістика</w:t>
      </w:r>
      <w:proofErr w:type="spellEnd"/>
      <w:r w:rsidRPr="00D36C8F">
        <w:rPr>
          <w:szCs w:val="24"/>
        </w:rPr>
        <w:t xml:space="preserve">: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К.: </w:t>
      </w:r>
      <w:proofErr w:type="spellStart"/>
      <w:r w:rsidRPr="00D36C8F">
        <w:rPr>
          <w:szCs w:val="24"/>
        </w:rPr>
        <w:t>„Вікар</w:t>
      </w:r>
      <w:proofErr w:type="spellEnd"/>
      <w:r w:rsidRPr="00D36C8F">
        <w:rPr>
          <w:szCs w:val="24"/>
        </w:rPr>
        <w:t>”, 2001. – 520c.</w:t>
      </w:r>
    </w:p>
    <w:p w14:paraId="13935147" w14:textId="5A0FB5C0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22</w:t>
      </w:r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Чистов</w:t>
      </w:r>
      <w:proofErr w:type="spellEnd"/>
      <w:r w:rsidRPr="00D36C8F">
        <w:rPr>
          <w:szCs w:val="24"/>
        </w:rPr>
        <w:t xml:space="preserve"> С. М. Державне регулювання економіки; </w:t>
      </w:r>
      <w:proofErr w:type="spellStart"/>
      <w:r w:rsidRPr="00D36C8F">
        <w:rPr>
          <w:szCs w:val="24"/>
        </w:rPr>
        <w:t>Навч</w:t>
      </w:r>
      <w:proofErr w:type="spellEnd"/>
      <w:r w:rsidRPr="00D36C8F">
        <w:rPr>
          <w:szCs w:val="24"/>
        </w:rPr>
        <w:t xml:space="preserve">. </w:t>
      </w:r>
      <w:proofErr w:type="spellStart"/>
      <w:r w:rsidRPr="00D36C8F">
        <w:rPr>
          <w:szCs w:val="24"/>
        </w:rPr>
        <w:t>посіб</w:t>
      </w:r>
      <w:proofErr w:type="spellEnd"/>
      <w:r w:rsidRPr="00D36C8F">
        <w:rPr>
          <w:szCs w:val="24"/>
        </w:rPr>
        <w:t xml:space="preserve">. – Вид. 2-ге, </w:t>
      </w:r>
      <w:proofErr w:type="spellStart"/>
      <w:r w:rsidRPr="00D36C8F">
        <w:rPr>
          <w:szCs w:val="24"/>
        </w:rPr>
        <w:t>доопрац</w:t>
      </w:r>
      <w:proofErr w:type="spellEnd"/>
      <w:r w:rsidRPr="00D36C8F">
        <w:rPr>
          <w:szCs w:val="24"/>
        </w:rPr>
        <w:t xml:space="preserve">. і </w:t>
      </w:r>
      <w:proofErr w:type="spellStart"/>
      <w:r w:rsidRPr="00D36C8F">
        <w:rPr>
          <w:szCs w:val="24"/>
        </w:rPr>
        <w:t>допов</w:t>
      </w:r>
      <w:proofErr w:type="spellEnd"/>
      <w:r w:rsidRPr="00D36C8F">
        <w:rPr>
          <w:szCs w:val="24"/>
        </w:rPr>
        <w:t>. – К.: КНЕУ, 2005. – 440с</w:t>
      </w:r>
    </w:p>
    <w:p w14:paraId="55A827A3" w14:textId="4F452E8D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23</w:t>
      </w:r>
      <w:r w:rsidRPr="00D36C8F">
        <w:rPr>
          <w:szCs w:val="24"/>
        </w:rPr>
        <w:t xml:space="preserve">. Пак Н.Т., Писаренко С.М. Зарубіжний досвіт формування і реалізації регіональної політики / Регіональна політика: методологія, методи, практика //НАН України. Інститут регіональних досліджень. </w:t>
      </w:r>
      <w:proofErr w:type="spellStart"/>
      <w:r w:rsidRPr="00D36C8F">
        <w:rPr>
          <w:szCs w:val="24"/>
        </w:rPr>
        <w:t>Редкол</w:t>
      </w:r>
      <w:proofErr w:type="spellEnd"/>
      <w:r w:rsidRPr="00D36C8F">
        <w:rPr>
          <w:szCs w:val="24"/>
        </w:rPr>
        <w:t>.: відповідальний редактор академік НАН України М.І. Долішній. – Львів, 2001. – C. 57 – 71</w:t>
      </w:r>
    </w:p>
    <w:p w14:paraId="2C17A8F9" w14:textId="77777777" w:rsidR="00D36C8F" w:rsidRDefault="00D36C8F" w:rsidP="0068009C">
      <w:pPr>
        <w:spacing w:line="276" w:lineRule="auto"/>
        <w:ind w:left="284"/>
        <w:jc w:val="both"/>
        <w:rPr>
          <w:b/>
          <w:szCs w:val="24"/>
        </w:rPr>
      </w:pPr>
    </w:p>
    <w:p w14:paraId="72E6013C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>Додаткова</w:t>
      </w:r>
    </w:p>
    <w:p w14:paraId="39F0D9FF" w14:textId="58C8F7E1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4. Природно-ресурсний потенціал сталого розвитку України / Данилишин Б.М., Дорогунцов С.І., Міщенко В.С. та ін.; Під ред. Б.М. Данилишина. – К.: НАН України, РВПС України, 1999. – 716 с.</w:t>
      </w:r>
    </w:p>
    <w:p w14:paraId="379705E1" w14:textId="4D4485A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 xml:space="preserve">5. С.І. Дорогунцов, М.А. </w:t>
      </w:r>
      <w:proofErr w:type="spellStart"/>
      <w:r w:rsidRPr="00D36C8F">
        <w:rPr>
          <w:szCs w:val="24"/>
        </w:rPr>
        <w:t>Хвесик</w:t>
      </w:r>
      <w:proofErr w:type="spellEnd"/>
      <w:r w:rsidRPr="00D36C8F">
        <w:rPr>
          <w:szCs w:val="24"/>
        </w:rPr>
        <w:t xml:space="preserve">, І.Л. </w:t>
      </w:r>
      <w:proofErr w:type="spellStart"/>
      <w:r w:rsidRPr="00D36C8F">
        <w:rPr>
          <w:szCs w:val="24"/>
        </w:rPr>
        <w:t>Головинський</w:t>
      </w:r>
      <w:proofErr w:type="spellEnd"/>
      <w:r w:rsidRPr="00D36C8F">
        <w:rPr>
          <w:szCs w:val="24"/>
        </w:rPr>
        <w:t xml:space="preserve">. Методологічні підходи до </w:t>
      </w:r>
      <w:r>
        <w:rPr>
          <w:szCs w:val="24"/>
        </w:rPr>
        <w:t xml:space="preserve"> </w:t>
      </w:r>
      <w:r w:rsidRPr="00D36C8F">
        <w:rPr>
          <w:szCs w:val="24"/>
        </w:rPr>
        <w:t xml:space="preserve">комплексної оцінки господарської </w:t>
      </w:r>
      <w:proofErr w:type="spellStart"/>
      <w:r w:rsidRPr="00D36C8F">
        <w:rPr>
          <w:szCs w:val="24"/>
        </w:rPr>
        <w:t>освоєності</w:t>
      </w:r>
      <w:proofErr w:type="spellEnd"/>
      <w:r w:rsidRPr="00D36C8F">
        <w:rPr>
          <w:szCs w:val="24"/>
        </w:rPr>
        <w:t xml:space="preserve"> </w:t>
      </w:r>
      <w:proofErr w:type="spellStart"/>
      <w:r w:rsidRPr="00D36C8F">
        <w:rPr>
          <w:szCs w:val="24"/>
        </w:rPr>
        <w:t>водноресурсного</w:t>
      </w:r>
      <w:proofErr w:type="spellEnd"/>
      <w:r w:rsidRPr="00D36C8F">
        <w:rPr>
          <w:szCs w:val="24"/>
        </w:rPr>
        <w:t xml:space="preserve"> потенціалу. – К.: НАНУ, РВПС України, 2000. – 50 с.</w:t>
      </w:r>
    </w:p>
    <w:p w14:paraId="408D5F55" w14:textId="4C9ECCC2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</w:t>
      </w:r>
      <w:r w:rsidRPr="00D36C8F">
        <w:rPr>
          <w:szCs w:val="24"/>
        </w:rPr>
        <w:t>6. Мазур А.Г. Регіональна економіка: проблеми відтворення та управління. – Вінниця, 2000. – 263с.</w:t>
      </w:r>
    </w:p>
    <w:p w14:paraId="06B9FB72" w14:textId="30DA538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27</w:t>
      </w:r>
      <w:r w:rsidRPr="00D36C8F">
        <w:rPr>
          <w:szCs w:val="24"/>
        </w:rPr>
        <w:t>. Пак Н. Т. Роль держави у формуванні інвестиційних ресурсів регіону// Соціально-економічні дослідження в перехідний період. – ІРД НАН України, 2000. – С. 403 – 408.</w:t>
      </w:r>
    </w:p>
    <w:p w14:paraId="3DFFA0BD" w14:textId="39051994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28</w:t>
      </w:r>
      <w:r w:rsidRPr="00D36C8F">
        <w:rPr>
          <w:szCs w:val="24"/>
        </w:rPr>
        <w:t xml:space="preserve">. Пак Н. Т. Роль держави у формуванні місцевих бюджетів. – Соціально-економічні </w:t>
      </w:r>
      <w:r>
        <w:rPr>
          <w:szCs w:val="24"/>
        </w:rPr>
        <w:t xml:space="preserve"> </w:t>
      </w:r>
      <w:r w:rsidRPr="00D36C8F">
        <w:rPr>
          <w:szCs w:val="24"/>
        </w:rPr>
        <w:t>дослідження в перехідний період. – ІРД НАН України, 2000. – С. 403 – 408.</w:t>
      </w:r>
    </w:p>
    <w:p w14:paraId="21ED3B25" w14:textId="71F711B6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29</w:t>
      </w:r>
      <w:r w:rsidRPr="00D36C8F">
        <w:rPr>
          <w:szCs w:val="24"/>
        </w:rPr>
        <w:t>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15FE3958" w14:textId="3F355EA8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30</w:t>
      </w:r>
      <w:r w:rsidRPr="00D36C8F">
        <w:rPr>
          <w:szCs w:val="24"/>
        </w:rPr>
        <w:t xml:space="preserve">. Пак Н. Т. </w:t>
      </w:r>
      <w:proofErr w:type="spellStart"/>
      <w:r w:rsidRPr="00D36C8F">
        <w:rPr>
          <w:szCs w:val="24"/>
        </w:rPr>
        <w:t>Чаповська</w:t>
      </w:r>
      <w:proofErr w:type="spellEnd"/>
      <w:r w:rsidRPr="00D36C8F">
        <w:rPr>
          <w:szCs w:val="24"/>
        </w:rPr>
        <w:t xml:space="preserve"> Р. Б. Про застосування мультиплікатора видатків для розстановки акцентів державної економічної політики // Матеріали міжнародної науково-практичної конференції “механізми активації підприємництва в Україні”. – Львів, 1 – 3 листопада 2001 року. – С.198–201.</w:t>
      </w:r>
    </w:p>
    <w:p w14:paraId="586A1F9D" w14:textId="1BDECBFE" w:rsid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31</w:t>
      </w:r>
      <w:r w:rsidRPr="00D36C8F">
        <w:rPr>
          <w:szCs w:val="24"/>
        </w:rPr>
        <w:t>. Пак Н.Т. Інноваційний розвиток держави та механізми його регулювання // Соціально-економічні проблеми сучасного періоду України, 2008, Вип.. 5(73)</w:t>
      </w:r>
      <w:r>
        <w:rPr>
          <w:szCs w:val="24"/>
        </w:rPr>
        <w:t xml:space="preserve"> </w:t>
      </w:r>
      <w:r w:rsidRPr="00D36C8F">
        <w:rPr>
          <w:szCs w:val="24"/>
        </w:rPr>
        <w:t>46. Пак Н. Т. Технології кредитування підприємницького сектору: зарубіжний досвід //Вісник Львівської державної фінансової академії / головний редактор Буряк П. Ю. – Львів: ЛДФА, 2009. – № 17. – С. 128 – 135.</w:t>
      </w:r>
    </w:p>
    <w:p w14:paraId="38649BFD" w14:textId="54F2DA27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32</w:t>
      </w:r>
      <w:r w:rsidRPr="00D36C8F">
        <w:rPr>
          <w:szCs w:val="24"/>
        </w:rPr>
        <w:t xml:space="preserve">. Пак Н. Т. Державне підприємництво як акселератор національної економіки та протидія корупції // Матеріали YI Міжнародної науково-практичної конференції </w:t>
      </w:r>
      <w:proofErr w:type="spellStart"/>
      <w:r w:rsidRPr="00D36C8F">
        <w:rPr>
          <w:szCs w:val="24"/>
        </w:rPr>
        <w:t>„Фінансово-податкові</w:t>
      </w:r>
      <w:proofErr w:type="spellEnd"/>
      <w:r w:rsidRPr="00D36C8F">
        <w:rPr>
          <w:szCs w:val="24"/>
        </w:rPr>
        <w:t xml:space="preserve"> механізми активізації підприємництва”, 10 – 11 листопада 2011 року – Львів: ЛДФА, 2011. Т.1 Збірник тез наукових доповідей – С.159–163.</w:t>
      </w:r>
    </w:p>
    <w:p w14:paraId="6F4FE2F7" w14:textId="1C42725F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33</w:t>
      </w:r>
      <w:r w:rsidRPr="00D36C8F">
        <w:rPr>
          <w:szCs w:val="24"/>
        </w:rPr>
        <w:t xml:space="preserve">. Пак Н.Т. Імперативи державного регулювання взаємодії промислового та фінансового секторів економіки // Вісник Львівської державної фінансової академії / головний редактор </w:t>
      </w:r>
      <w:r>
        <w:rPr>
          <w:szCs w:val="24"/>
        </w:rPr>
        <w:t xml:space="preserve"> </w:t>
      </w:r>
      <w:r w:rsidRPr="00D36C8F">
        <w:rPr>
          <w:szCs w:val="24"/>
        </w:rPr>
        <w:t>Буряк П. Ю. – Львів: ЛДФА, 2012. – № 22. – С. 29 – 35.</w:t>
      </w:r>
    </w:p>
    <w:p w14:paraId="35EA6DCB" w14:textId="63FD49EC" w:rsidR="00D36C8F" w:rsidRPr="00D36C8F" w:rsidRDefault="00D36C8F" w:rsidP="0068009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34</w:t>
      </w:r>
      <w:r w:rsidRPr="00D36C8F">
        <w:rPr>
          <w:szCs w:val="24"/>
        </w:rPr>
        <w:t>. Пак Н. Т. Сучасні тенденції глобалізації та регіоналізації світового господарства // Вісник Львівської державної фінансової академії / головний редактор Буряк П. Ю. – Львів: ЛДФА, 2013. – № 25. – С. 206 – 211.</w:t>
      </w:r>
    </w:p>
    <w:p w14:paraId="0709C32C" w14:textId="77777777" w:rsidR="00EE3C78" w:rsidRDefault="00EE3C78" w:rsidP="00D36C8F">
      <w:pPr>
        <w:spacing w:line="276" w:lineRule="auto"/>
        <w:ind w:left="284"/>
        <w:rPr>
          <w:b/>
          <w:szCs w:val="24"/>
        </w:rPr>
      </w:pPr>
    </w:p>
    <w:p w14:paraId="08155452" w14:textId="77777777" w:rsidR="00EE3C78" w:rsidRPr="00A604E4" w:rsidRDefault="00EE3C78" w:rsidP="00EE3C78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E1E0F23" w14:textId="4E506315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Бібліотека – http://www.library.com.ua/</w:t>
      </w:r>
    </w:p>
    <w:p w14:paraId="0237674B" w14:textId="4FC4930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>Сервер Верховної Ради України: http://www.rada.gov.ua/</w:t>
      </w:r>
    </w:p>
    <w:p w14:paraId="228256DB" w14:textId="702AF3FD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Ліга Бізнес </w:t>
      </w:r>
      <w:proofErr w:type="spellStart"/>
      <w:r w:rsidRPr="00EE3C78">
        <w:rPr>
          <w:szCs w:val="24"/>
        </w:rPr>
        <w:t>Інформ</w:t>
      </w:r>
      <w:proofErr w:type="spellEnd"/>
      <w:r w:rsidRPr="00EE3C78">
        <w:rPr>
          <w:szCs w:val="24"/>
        </w:rPr>
        <w:t>: www.liga.net/</w:t>
      </w:r>
    </w:p>
    <w:p w14:paraId="7D4AC249" w14:textId="0853C167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EE3C78">
        <w:rPr>
          <w:szCs w:val="24"/>
        </w:rPr>
        <w:t xml:space="preserve">Нормативні акти України: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 xml:space="preserve">. </w:t>
      </w:r>
      <w:proofErr w:type="spellStart"/>
      <w:r w:rsidRPr="00EE3C78">
        <w:rPr>
          <w:szCs w:val="24"/>
        </w:rPr>
        <w:t>nau.kiev.ua</w:t>
      </w:r>
      <w:proofErr w:type="spellEnd"/>
      <w:r w:rsidRPr="00EE3C78">
        <w:rPr>
          <w:szCs w:val="24"/>
        </w:rPr>
        <w:t>/</w:t>
      </w:r>
    </w:p>
    <w:p w14:paraId="607C5B2A" w14:textId="5B354E4E" w:rsidR="00D36C8F" w:rsidRPr="00EE3C78" w:rsidRDefault="00D36C8F" w:rsidP="00EE3C78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EE3C78">
        <w:rPr>
          <w:szCs w:val="24"/>
        </w:rPr>
        <w:lastRenderedPageBreak/>
        <w:t xml:space="preserve">Українське право: </w:t>
      </w:r>
      <w:proofErr w:type="spellStart"/>
      <w:r w:rsidRPr="00EE3C78">
        <w:rPr>
          <w:szCs w:val="24"/>
        </w:rPr>
        <w:t>www</w:t>
      </w:r>
      <w:proofErr w:type="spellEnd"/>
      <w:r w:rsidRPr="00EE3C78">
        <w:rPr>
          <w:szCs w:val="24"/>
        </w:rPr>
        <w:t>. ukr.pravo.com/</w:t>
      </w:r>
    </w:p>
    <w:p w14:paraId="153A6785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8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10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1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2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3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4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6699D"/>
    <w:rsid w:val="00071F58"/>
    <w:rsid w:val="00073F25"/>
    <w:rsid w:val="00091475"/>
    <w:rsid w:val="000F270A"/>
    <w:rsid w:val="000F3915"/>
    <w:rsid w:val="00112EA7"/>
    <w:rsid w:val="00151429"/>
    <w:rsid w:val="00165497"/>
    <w:rsid w:val="00181F53"/>
    <w:rsid w:val="001A60E9"/>
    <w:rsid w:val="001A6B09"/>
    <w:rsid w:val="001C6328"/>
    <w:rsid w:val="001F518C"/>
    <w:rsid w:val="00221C80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371F7E"/>
    <w:rsid w:val="003E1709"/>
    <w:rsid w:val="0041023C"/>
    <w:rsid w:val="0043607F"/>
    <w:rsid w:val="004513D7"/>
    <w:rsid w:val="004A1213"/>
    <w:rsid w:val="004A40CA"/>
    <w:rsid w:val="004D5B48"/>
    <w:rsid w:val="004E7D7B"/>
    <w:rsid w:val="004F1182"/>
    <w:rsid w:val="004F1D1C"/>
    <w:rsid w:val="004F40C5"/>
    <w:rsid w:val="00502B24"/>
    <w:rsid w:val="00512FDC"/>
    <w:rsid w:val="00516886"/>
    <w:rsid w:val="00517868"/>
    <w:rsid w:val="00530038"/>
    <w:rsid w:val="005659F8"/>
    <w:rsid w:val="0057321D"/>
    <w:rsid w:val="005963A5"/>
    <w:rsid w:val="00596E7D"/>
    <w:rsid w:val="006139CC"/>
    <w:rsid w:val="00637082"/>
    <w:rsid w:val="00644D6E"/>
    <w:rsid w:val="006729AC"/>
    <w:rsid w:val="0068009C"/>
    <w:rsid w:val="00680FE5"/>
    <w:rsid w:val="00696057"/>
    <w:rsid w:val="006A5829"/>
    <w:rsid w:val="006B72D1"/>
    <w:rsid w:val="00705A54"/>
    <w:rsid w:val="007221A5"/>
    <w:rsid w:val="00727660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BE7B4E"/>
    <w:rsid w:val="00C10D5C"/>
    <w:rsid w:val="00C377FC"/>
    <w:rsid w:val="00C71468"/>
    <w:rsid w:val="00C724B0"/>
    <w:rsid w:val="00CB33AC"/>
    <w:rsid w:val="00CC1623"/>
    <w:rsid w:val="00D04E66"/>
    <w:rsid w:val="00D20E72"/>
    <w:rsid w:val="00D3144C"/>
    <w:rsid w:val="00D36C8F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EE3C78"/>
    <w:rsid w:val="00EF220F"/>
    <w:rsid w:val="00EF7C2F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" TargetMode="External"/><Relationship Id="rId13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uwm.edu.ua/MySq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a.kiev.ua" TargetMode="External"/><Relationship Id="rId14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75DE-132F-483D-90FE-32CB223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2572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3</cp:revision>
  <cp:lastPrinted>2020-10-05T07:24:00Z</cp:lastPrinted>
  <dcterms:created xsi:type="dcterms:W3CDTF">2020-10-11T19:23:00Z</dcterms:created>
  <dcterms:modified xsi:type="dcterms:W3CDTF">2020-10-11T19:24:00Z</dcterms:modified>
</cp:coreProperties>
</file>