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51671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516717">
              <w:rPr>
                <w:b/>
                <w:szCs w:val="24"/>
              </w:rPr>
              <w:t>СПОРТИВНА ЖУРНАЛІСТИКА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1671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516717">
              <w:rPr>
                <w:szCs w:val="24"/>
              </w:rPr>
              <w:t>валь</w:t>
            </w:r>
            <w:r>
              <w:rPr>
                <w:szCs w:val="24"/>
              </w:rPr>
              <w:t xml:space="preserve"> Ірина </w:t>
            </w:r>
            <w:r w:rsidR="00516717">
              <w:rPr>
                <w:szCs w:val="24"/>
              </w:rPr>
              <w:t>Анатолі</w:t>
            </w:r>
            <w:r>
              <w:rPr>
                <w:szCs w:val="24"/>
              </w:rPr>
              <w:t>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516717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</w:t>
            </w:r>
            <w:r w:rsidR="00ED7BA0" w:rsidRPr="00A604E4">
              <w:rPr>
                <w:szCs w:val="24"/>
              </w:rPr>
              <w:t xml:space="preserve"> кафедри</w:t>
            </w:r>
            <w:r w:rsidR="00985A7F"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16717" w:rsidP="00CC1623">
            <w:pPr>
              <w:jc w:val="center"/>
              <w:rPr>
                <w:szCs w:val="24"/>
              </w:rPr>
            </w:pPr>
            <w:r w:rsidRPr="00516717">
              <w:rPr>
                <w:szCs w:val="24"/>
              </w:rPr>
              <w:t>irina-koval.66@ukr.net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064EA9" w:rsidRDefault="00ED7BA0" w:rsidP="00517868">
            <w:pPr>
              <w:jc w:val="center"/>
              <w:rPr>
                <w:szCs w:val="24"/>
                <w:lang w:val="ru-RU"/>
              </w:rPr>
            </w:pPr>
            <w:r w:rsidRPr="00A604E4">
              <w:rPr>
                <w:szCs w:val="24"/>
              </w:rPr>
              <w:t>+38-0</w:t>
            </w:r>
            <w:r w:rsidR="00516717">
              <w:rPr>
                <w:szCs w:val="24"/>
              </w:rPr>
              <w:t>66</w:t>
            </w:r>
            <w:r w:rsidR="00985A7F">
              <w:rPr>
                <w:szCs w:val="24"/>
              </w:rPr>
              <w:t>-</w:t>
            </w:r>
            <w:r w:rsidR="00516717">
              <w:rPr>
                <w:szCs w:val="24"/>
              </w:rPr>
              <w:t>83</w:t>
            </w:r>
            <w:r w:rsidR="00985A7F">
              <w:rPr>
                <w:szCs w:val="24"/>
              </w:rPr>
              <w:t>-</w:t>
            </w:r>
            <w:r w:rsidR="00516717">
              <w:rPr>
                <w:szCs w:val="24"/>
              </w:rPr>
              <w:t>31</w:t>
            </w:r>
            <w:r w:rsidR="00985A7F">
              <w:rPr>
                <w:szCs w:val="24"/>
              </w:rPr>
              <w:t>-</w:t>
            </w:r>
            <w:r w:rsidR="00516717">
              <w:rPr>
                <w:szCs w:val="24"/>
              </w:rPr>
              <w:t>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70" w:rsidRPr="00A604E4" w:rsidRDefault="00E02F70" w:rsidP="00B35776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B35776" w:rsidRPr="00B35776">
              <w:rPr>
                <w:szCs w:val="24"/>
              </w:rPr>
              <w:t>формування знань проспособ</w:t>
            </w:r>
            <w:r w:rsidR="00B35776">
              <w:rPr>
                <w:szCs w:val="24"/>
              </w:rPr>
              <w:t>и</w:t>
            </w:r>
            <w:r w:rsidR="00B35776" w:rsidRPr="00B35776">
              <w:rPr>
                <w:szCs w:val="24"/>
              </w:rPr>
              <w:t xml:space="preserve"> функціонування спортивних засобів масової інформації та тенденції відображення в них питань розвитку спорту вищих досягнень та масовогофізичного виховання, вивчення методів роботи спортивного журналіста в газеті, нарадіо і телебаченні.</w:t>
            </w:r>
          </w:p>
          <w:p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proofErr w:type="spellStart"/>
            <w:r w:rsidRPr="00A604E4">
              <w:rPr>
                <w:bCs/>
                <w:szCs w:val="24"/>
              </w:rPr>
              <w:t>наіндивідуально-диференційовану</w:t>
            </w:r>
            <w:proofErr w:type="spellEnd"/>
            <w:r w:rsidRPr="00A604E4">
              <w:rPr>
                <w:bCs/>
                <w:szCs w:val="24"/>
              </w:rPr>
              <w:t xml:space="preserve">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B35776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B35776">
              <w:rPr>
                <w:szCs w:val="24"/>
              </w:rPr>
              <w:t xml:space="preserve">про </w:t>
            </w:r>
            <w:r w:rsidR="00B35776" w:rsidRPr="00B35776">
              <w:rPr>
                <w:szCs w:val="24"/>
              </w:rPr>
              <w:t>місц</w:t>
            </w:r>
            <w:r w:rsidR="00B35776">
              <w:rPr>
                <w:szCs w:val="24"/>
              </w:rPr>
              <w:t>е</w:t>
            </w:r>
            <w:r w:rsidR="00B35776" w:rsidRPr="00B35776">
              <w:rPr>
                <w:szCs w:val="24"/>
              </w:rPr>
              <w:t xml:space="preserve"> спортивної журналістики в системі соціальних інститутів суспільства;типологію спортивних засобів масової інформації;методи </w:t>
            </w:r>
            <w:r w:rsidR="009E51E8">
              <w:rPr>
                <w:szCs w:val="24"/>
              </w:rPr>
              <w:t>вис</w:t>
            </w:r>
            <w:r w:rsidR="00B35776" w:rsidRPr="00B35776">
              <w:rPr>
                <w:szCs w:val="24"/>
              </w:rPr>
              <w:t>вітлення в засобах масової інформації розвиткумасового фізичного виховання, спорту вищих досягнень, окремих видів спорту таспортивної індустрії;організацію праці спортивних журналістів і методи роботи над текстом;організацію роботи спортивних прес-служб і прес-центрів.</w:t>
            </w:r>
          </w:p>
          <w:p w:rsidR="002B68A8" w:rsidRPr="00A604E4" w:rsidRDefault="002B68A8" w:rsidP="009E51E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B35776" w:rsidRPr="00B35776">
              <w:rPr>
                <w:szCs w:val="24"/>
              </w:rPr>
              <w:t xml:space="preserve">орієнтуватися в системі засобів масової інформації спортивної спрямованості;проводити </w:t>
            </w:r>
            <w:r w:rsidR="009E51E8" w:rsidRPr="00B35776">
              <w:rPr>
                <w:szCs w:val="24"/>
              </w:rPr>
              <w:t>інтерв’ю</w:t>
            </w:r>
            <w:r w:rsidR="009E51E8">
              <w:rPr>
                <w:szCs w:val="24"/>
              </w:rPr>
              <w:t>та</w:t>
            </w:r>
            <w:r w:rsidR="00B35776" w:rsidRPr="00B35776">
              <w:rPr>
                <w:szCs w:val="24"/>
              </w:rPr>
              <w:t xml:space="preserve"> бесід</w:t>
            </w:r>
            <w:r w:rsidR="009E51E8">
              <w:rPr>
                <w:szCs w:val="24"/>
              </w:rPr>
              <w:t>и</w:t>
            </w:r>
            <w:r w:rsidR="009E51E8" w:rsidRPr="00B35776">
              <w:rPr>
                <w:szCs w:val="24"/>
              </w:rPr>
              <w:t>зі спортсменом, тренером, любителем спорту</w:t>
            </w:r>
            <w:r w:rsidR="00B35776" w:rsidRPr="00B35776">
              <w:rPr>
                <w:szCs w:val="24"/>
              </w:rPr>
              <w:t>для подальшо</w:t>
            </w:r>
            <w:r w:rsidR="009E51E8">
              <w:rPr>
                <w:szCs w:val="24"/>
              </w:rPr>
              <w:t>гооприлюднення</w:t>
            </w:r>
            <w:r w:rsidR="00B35776" w:rsidRPr="00B35776">
              <w:rPr>
                <w:szCs w:val="24"/>
              </w:rPr>
              <w:t xml:space="preserve"> матеріалів впресі</w:t>
            </w:r>
            <w:r w:rsidR="009E51E8">
              <w:rPr>
                <w:szCs w:val="24"/>
              </w:rPr>
              <w:t>, на радіо та ТБ</w:t>
            </w:r>
            <w:r w:rsidR="00B35776" w:rsidRPr="00B35776">
              <w:rPr>
                <w:szCs w:val="24"/>
              </w:rPr>
              <w:t xml:space="preserve">;використовувати прийоми </w:t>
            </w:r>
            <w:r w:rsidR="009E51E8">
              <w:rPr>
                <w:szCs w:val="24"/>
              </w:rPr>
              <w:t>та</w:t>
            </w:r>
            <w:r w:rsidR="00B35776" w:rsidRPr="00B35776">
              <w:rPr>
                <w:szCs w:val="24"/>
              </w:rPr>
              <w:t xml:space="preserve"> засоби створення прес-релізів і спортивних новин різн</w:t>
            </w:r>
            <w:r w:rsidR="009E51E8">
              <w:rPr>
                <w:szCs w:val="24"/>
              </w:rPr>
              <w:t xml:space="preserve">их </w:t>
            </w:r>
            <w:r w:rsidR="00B35776" w:rsidRPr="00B35776">
              <w:rPr>
                <w:szCs w:val="24"/>
              </w:rPr>
              <w:t>жанр</w:t>
            </w:r>
            <w:r w:rsidR="009E51E8">
              <w:rPr>
                <w:szCs w:val="24"/>
              </w:rPr>
              <w:t>ів</w:t>
            </w:r>
            <w:r w:rsidR="00B35776" w:rsidRPr="00B35776">
              <w:rPr>
                <w:szCs w:val="24"/>
              </w:rPr>
              <w:t xml:space="preserve"> журналістики</w:t>
            </w:r>
            <w:r>
              <w:rPr>
                <w:szCs w:val="24"/>
              </w:rPr>
              <w:t>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Передумови до початку </w:t>
            </w:r>
            <w:r w:rsidRPr="00A604E4">
              <w:rPr>
                <w:b/>
                <w:i/>
                <w:szCs w:val="24"/>
              </w:rPr>
              <w:lastRenderedPageBreak/>
              <w:t>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E37E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proofErr w:type="spellStart"/>
            <w:r w:rsidR="009E51E8">
              <w:rPr>
                <w:szCs w:val="24"/>
              </w:rPr>
              <w:t>журналістикознавства</w:t>
            </w:r>
            <w:proofErr w:type="spellEnd"/>
            <w:r w:rsidR="00EE37EC" w:rsidRPr="00A604E4">
              <w:rPr>
                <w:szCs w:val="24"/>
              </w:rPr>
              <w:t xml:space="preserve">, </w:t>
            </w:r>
            <w:r w:rsidR="009E51E8">
              <w:rPr>
                <w:szCs w:val="24"/>
              </w:rPr>
              <w:t>журналістського фазу, основ журналістської майстерності та проблематики журналістики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</w:t>
      </w:r>
      <w:r w:rsidR="009E51E8">
        <w:rPr>
          <w:szCs w:val="24"/>
        </w:rPr>
        <w:t>визначенні ролі</w:t>
      </w:r>
      <w:r w:rsidR="009E51E8" w:rsidRPr="009E51E8">
        <w:rPr>
          <w:szCs w:val="24"/>
        </w:rPr>
        <w:t xml:space="preserve"> спортивної журналістики в системі соціальних інститутів суспільства; </w:t>
      </w:r>
      <w:r w:rsidR="009E51E8">
        <w:rPr>
          <w:szCs w:val="24"/>
        </w:rPr>
        <w:t>особливостейвисвіт</w:t>
      </w:r>
      <w:r w:rsidR="009E51E8" w:rsidRPr="009E51E8">
        <w:rPr>
          <w:szCs w:val="24"/>
        </w:rPr>
        <w:t xml:space="preserve">лення в </w:t>
      </w:r>
      <w:r w:rsidR="009E51E8">
        <w:rPr>
          <w:szCs w:val="24"/>
        </w:rPr>
        <w:t>ЗМІ</w:t>
      </w:r>
      <w:r w:rsidR="009E51E8" w:rsidRPr="009E51E8">
        <w:rPr>
          <w:szCs w:val="24"/>
        </w:rPr>
        <w:t xml:space="preserve"> масового </w:t>
      </w:r>
      <w:r w:rsidR="009E51E8">
        <w:rPr>
          <w:szCs w:val="24"/>
        </w:rPr>
        <w:t>спорту</w:t>
      </w:r>
      <w:r w:rsidR="009E51E8" w:rsidRPr="009E51E8">
        <w:rPr>
          <w:szCs w:val="24"/>
        </w:rPr>
        <w:t xml:space="preserve">, спорту вищих досягнень, окремих видів спорту та спортивної індустрії; </w:t>
      </w:r>
      <w:r w:rsidR="009E51E8">
        <w:rPr>
          <w:szCs w:val="24"/>
        </w:rPr>
        <w:t xml:space="preserve">особливостей </w:t>
      </w:r>
      <w:r w:rsidR="009E51E8" w:rsidRPr="009E51E8">
        <w:rPr>
          <w:szCs w:val="24"/>
        </w:rPr>
        <w:t>праці спортивних журналістів і метод</w:t>
      </w:r>
      <w:r w:rsidR="009E51E8">
        <w:rPr>
          <w:szCs w:val="24"/>
        </w:rPr>
        <w:t>ів</w:t>
      </w:r>
      <w:r w:rsidR="009E51E8" w:rsidRPr="009E51E8">
        <w:rPr>
          <w:szCs w:val="24"/>
        </w:rPr>
        <w:t xml:space="preserve"> роботи над текстом</w:t>
      </w:r>
      <w:r w:rsidRPr="00A604E4">
        <w:rPr>
          <w:szCs w:val="24"/>
        </w:rPr>
        <w:t>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ЗК01. Здатність застосовувати знання в практичних ситуаціях;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ЗК02. Знання та розуміння предметної області та розуміння професійної діяльності;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ЗК04. Здатність до пошуку, оброблення та аналізу інформації з різних джерел;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ЗК05. Навички використання інформаційних і комунікаційних технологій;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ЗК06. Здатність до адаптації та дії в новій ситуації;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ЗК07. Здатність працювати в команді;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ЗК08. Здатність навчатися і оволодівати сучасними знаннями;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ЗК11. Здатність спілкуватися державною мовою;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</w:p>
    <w:p w:rsidR="00941AC2" w:rsidRP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>СК02. Здатність формувати інформаційний контент;</w:t>
      </w:r>
    </w:p>
    <w:p w:rsidR="00941AC2" w:rsidRDefault="00941AC2" w:rsidP="00941AC2">
      <w:pPr>
        <w:ind w:firstLine="709"/>
        <w:jc w:val="both"/>
        <w:rPr>
          <w:szCs w:val="24"/>
        </w:rPr>
      </w:pPr>
      <w:r w:rsidRPr="00941AC2">
        <w:rPr>
          <w:szCs w:val="24"/>
        </w:rPr>
        <w:t xml:space="preserve">СК03. Здатність створювати </w:t>
      </w:r>
      <w:proofErr w:type="spellStart"/>
      <w:r w:rsidRPr="00941AC2">
        <w:rPr>
          <w:szCs w:val="24"/>
        </w:rPr>
        <w:t>медіапродукт</w:t>
      </w:r>
      <w:proofErr w:type="spellEnd"/>
      <w:r>
        <w:rPr>
          <w:szCs w:val="24"/>
        </w:rPr>
        <w:t>;</w:t>
      </w:r>
    </w:p>
    <w:p w:rsidR="00224E22" w:rsidRPr="00A604E4" w:rsidRDefault="00224E2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СК05.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ПР01. Пояснювати свої виробничі дії та операції на основі отриманих знань;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ПР04. Виконувати пошук, оброблення та аналіз інформації з різних джерел;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ПР07. Координувати виконання особистого завдання із завданнями колег;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>ПР11. Вільно спілкуватися з професійних питань, включаючи усну, письмову та електронну комунікацію, українською мовою;</w:t>
      </w:r>
    </w:p>
    <w:p w:rsidR="00941AC2" w:rsidRPr="00941AC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 xml:space="preserve">ПР14. Генерувати інформаційний контент за заданою темою з використанням доступних, а також </w:t>
      </w:r>
      <w:proofErr w:type="spellStart"/>
      <w:r w:rsidRPr="00941AC2">
        <w:rPr>
          <w:bCs/>
          <w:iCs/>
          <w:szCs w:val="24"/>
          <w:lang w:eastAsia="uk-UA"/>
        </w:rPr>
        <w:t>обовʼязкових</w:t>
      </w:r>
      <w:proofErr w:type="spellEnd"/>
      <w:r w:rsidRPr="00941AC2">
        <w:rPr>
          <w:bCs/>
          <w:iCs/>
          <w:szCs w:val="24"/>
          <w:lang w:eastAsia="uk-UA"/>
        </w:rPr>
        <w:t xml:space="preserve"> джерел інформації;</w:t>
      </w:r>
    </w:p>
    <w:p w:rsidR="00224E22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  <w:r w:rsidRPr="00941AC2">
        <w:rPr>
          <w:bCs/>
          <w:iCs/>
          <w:szCs w:val="24"/>
          <w:lang w:eastAsia="uk-UA"/>
        </w:rPr>
        <w:t xml:space="preserve">ПР15. Створювати грамотний </w:t>
      </w:r>
      <w:proofErr w:type="spellStart"/>
      <w:r w:rsidRPr="00941AC2">
        <w:rPr>
          <w:bCs/>
          <w:iCs/>
          <w:szCs w:val="24"/>
          <w:lang w:eastAsia="uk-UA"/>
        </w:rPr>
        <w:t>медіапродукт</w:t>
      </w:r>
      <w:proofErr w:type="spellEnd"/>
      <w:r w:rsidRPr="00941AC2">
        <w:rPr>
          <w:bCs/>
          <w:iCs/>
          <w:szCs w:val="24"/>
          <w:lang w:eastAsia="uk-UA"/>
        </w:rPr>
        <w:t xml:space="preserve"> на задану тему, визначеного жанру, з урахуванням каналу поширення чи платформи оприлюднення</w:t>
      </w:r>
      <w:r>
        <w:rPr>
          <w:bCs/>
          <w:iCs/>
          <w:szCs w:val="24"/>
          <w:lang w:eastAsia="uk-UA"/>
        </w:rPr>
        <w:t>.</w:t>
      </w:r>
    </w:p>
    <w:p w:rsidR="00941AC2" w:rsidRPr="00A604E4" w:rsidRDefault="00941AC2" w:rsidP="00941AC2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9E51E8" w:rsidP="00F53CB4">
            <w:pPr>
              <w:spacing w:line="216" w:lineRule="auto"/>
              <w:rPr>
                <w:szCs w:val="22"/>
              </w:rPr>
            </w:pPr>
            <w:r w:rsidRPr="009E51E8">
              <w:rPr>
                <w:b/>
                <w:spacing w:val="-1"/>
                <w:szCs w:val="24"/>
                <w:lang w:eastAsia="ru-RU"/>
              </w:rPr>
              <w:t>Спортивна журналістика в системі соціальних інститутів суспільства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1D6F99" w:rsidP="001D6F99">
            <w:pPr>
              <w:spacing w:line="216" w:lineRule="auto"/>
              <w:jc w:val="both"/>
              <w:rPr>
                <w:snapToGrid w:val="0"/>
                <w:szCs w:val="22"/>
              </w:rPr>
            </w:pPr>
            <w:proofErr w:type="spellStart"/>
            <w:r w:rsidRPr="001D6F99">
              <w:rPr>
                <w:spacing w:val="-1"/>
                <w:szCs w:val="24"/>
                <w:lang w:eastAsia="ru-RU"/>
              </w:rPr>
              <w:t>Спортивнажурналістика</w:t>
            </w:r>
            <w:proofErr w:type="spellEnd"/>
            <w:r w:rsidRPr="001D6F99">
              <w:rPr>
                <w:spacing w:val="-1"/>
                <w:szCs w:val="24"/>
                <w:lang w:eastAsia="ru-RU"/>
              </w:rPr>
              <w:t xml:space="preserve"> як </w:t>
            </w:r>
            <w:proofErr w:type="spellStart"/>
            <w:r>
              <w:rPr>
                <w:spacing w:val="-1"/>
                <w:szCs w:val="24"/>
                <w:lang w:eastAsia="ru-RU"/>
              </w:rPr>
              <w:t>різновид</w:t>
            </w:r>
            <w:r w:rsidRPr="001D6F99">
              <w:rPr>
                <w:spacing w:val="-1"/>
                <w:szCs w:val="24"/>
                <w:lang w:eastAsia="ru-RU"/>
              </w:rPr>
              <w:t>професійно-цільового</w:t>
            </w:r>
            <w:proofErr w:type="spellEnd"/>
            <w:r w:rsidRPr="001D6F99">
              <w:rPr>
                <w:spacing w:val="-1"/>
                <w:szCs w:val="24"/>
                <w:lang w:eastAsia="ru-RU"/>
              </w:rPr>
              <w:t xml:space="preserve"> призначення </w:t>
            </w:r>
            <w:r>
              <w:rPr>
                <w:spacing w:val="-1"/>
                <w:szCs w:val="24"/>
                <w:lang w:eastAsia="ru-RU"/>
              </w:rPr>
              <w:t xml:space="preserve">в </w:t>
            </w:r>
            <w:r w:rsidRPr="001D6F99">
              <w:rPr>
                <w:spacing w:val="-1"/>
                <w:szCs w:val="24"/>
                <w:lang w:eastAsia="ru-RU"/>
              </w:rPr>
              <w:t>системи засобівмасової інформації. Завдання спортивної журналістики. Структура видів діяльності. Сукупність професій,необхідних для функціонування спортивної журналістики. Система творів,</w:t>
            </w:r>
            <w:r>
              <w:rPr>
                <w:spacing w:val="-1"/>
                <w:szCs w:val="24"/>
                <w:lang w:eastAsia="ru-RU"/>
              </w:rPr>
              <w:t xml:space="preserve"> </w:t>
            </w:r>
            <w:r>
              <w:rPr>
                <w:spacing w:val="-1"/>
                <w:szCs w:val="24"/>
                <w:lang w:eastAsia="ru-RU"/>
              </w:rPr>
              <w:lastRenderedPageBreak/>
              <w:t xml:space="preserve">що </w:t>
            </w:r>
            <w:r w:rsidRPr="001D6F99">
              <w:rPr>
                <w:spacing w:val="-1"/>
                <w:szCs w:val="24"/>
                <w:lang w:eastAsia="ru-RU"/>
              </w:rPr>
              <w:t>створю</w:t>
            </w:r>
            <w:r>
              <w:rPr>
                <w:spacing w:val="-1"/>
                <w:szCs w:val="24"/>
                <w:lang w:eastAsia="ru-RU"/>
              </w:rPr>
              <w:t>ються</w:t>
            </w:r>
            <w:r w:rsidRPr="001D6F99">
              <w:rPr>
                <w:spacing w:val="-1"/>
                <w:szCs w:val="24"/>
                <w:lang w:eastAsia="ru-RU"/>
              </w:rPr>
              <w:t xml:space="preserve"> спортивними журналістами. Комплекс каналів передачі масової інформації. Спонсорство в спортивних ЗМІ. Реклама наспортивних змаганнях.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0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B52E9" w:rsidP="00F53CB4">
            <w:pPr>
              <w:spacing w:line="216" w:lineRule="auto"/>
              <w:rPr>
                <w:szCs w:val="22"/>
              </w:rPr>
            </w:pPr>
            <w:r w:rsidRPr="007B52E9">
              <w:rPr>
                <w:b/>
                <w:spacing w:val="-1"/>
                <w:szCs w:val="24"/>
                <w:lang w:eastAsia="ru-RU"/>
              </w:rPr>
              <w:t>Типологія спортивних засобів масової інформації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F41A9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 w:rsidR="007B52E9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7B52E9" w:rsidP="007B52E9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Типології спортивних ЗМІ. </w:t>
            </w:r>
            <w:r w:rsidRPr="007B52E9">
              <w:rPr>
                <w:snapToGrid w:val="0"/>
                <w:sz w:val="22"/>
                <w:szCs w:val="22"/>
              </w:rPr>
              <w:t>Бюлетені, журнали та інші видання міжнародних спортивних об’єднань. Спеціалізовані телевізійні канали. Малотиражніперіодичні видання інформаційно-рекламного, комерційного тавузькоспеціалізованого характеру</w:t>
            </w:r>
            <w:r>
              <w:rPr>
                <w:snapToGrid w:val="0"/>
                <w:sz w:val="22"/>
                <w:szCs w:val="22"/>
              </w:rPr>
              <w:t>. Спортивні видання в інтернеті.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7B52E9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7B52E9" w:rsidP="00F53CB4">
            <w:pPr>
              <w:spacing w:line="216" w:lineRule="auto"/>
              <w:rPr>
                <w:szCs w:val="22"/>
              </w:rPr>
            </w:pPr>
            <w:r w:rsidRPr="007B52E9">
              <w:rPr>
                <w:b/>
                <w:spacing w:val="-1"/>
                <w:szCs w:val="24"/>
                <w:lang w:eastAsia="ru-RU"/>
              </w:rPr>
              <w:t>Організація праці спортивних журналістів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D720A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D720A6" w:rsidP="00D720A6">
            <w:pPr>
              <w:spacing w:line="216" w:lineRule="auto"/>
              <w:jc w:val="both"/>
              <w:rPr>
                <w:szCs w:val="22"/>
              </w:rPr>
            </w:pPr>
            <w:r w:rsidRPr="00D720A6">
              <w:rPr>
                <w:snapToGrid w:val="0"/>
                <w:sz w:val="22"/>
                <w:szCs w:val="22"/>
              </w:rPr>
              <w:t xml:space="preserve">Специфіка роботи спортивного журналіста. Необхідний масив інформації спортивногожурналіста. Методика роботи спортивногожурналіста: вибір теми, збір інформації, вибір жанру, робота над словом. Методика збору інформації (інтерв’ю,спостереження, вивчення документів, соціологічне опитування, провокація події). </w:t>
            </w:r>
            <w:r>
              <w:rPr>
                <w:snapToGrid w:val="0"/>
                <w:sz w:val="22"/>
                <w:szCs w:val="22"/>
              </w:rPr>
              <w:t>В</w:t>
            </w:r>
            <w:r w:rsidRPr="00D720A6">
              <w:rPr>
                <w:snapToGrid w:val="0"/>
                <w:sz w:val="22"/>
                <w:szCs w:val="22"/>
              </w:rPr>
              <w:t xml:space="preserve">ибіржанру. Види акредитації спортивних журналістів (при засобах масовоїінформації та на окремих змаганнях).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D720A6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Культура мовлення спортивного журналіста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D720A6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6B42ED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D720A6" w:rsidP="006B42ED">
            <w:pPr>
              <w:spacing w:line="216" w:lineRule="auto"/>
              <w:jc w:val="both"/>
              <w:rPr>
                <w:szCs w:val="22"/>
              </w:rPr>
            </w:pPr>
            <w:r w:rsidRPr="00D720A6">
              <w:rPr>
                <w:snapToGrid w:val="0"/>
                <w:sz w:val="22"/>
                <w:szCs w:val="22"/>
              </w:rPr>
              <w:t>Творч</w:t>
            </w:r>
            <w:r>
              <w:rPr>
                <w:snapToGrid w:val="0"/>
                <w:sz w:val="22"/>
                <w:szCs w:val="22"/>
              </w:rPr>
              <w:t xml:space="preserve">а складова </w:t>
            </w:r>
            <w:r w:rsidRPr="00D720A6">
              <w:rPr>
                <w:snapToGrid w:val="0"/>
                <w:sz w:val="22"/>
                <w:szCs w:val="22"/>
              </w:rPr>
              <w:t xml:space="preserve">у роботі спортивного журналіста. Методика збору інформації.Повторна перевірка фактів. Імпровізація спортивного коментатора. Формиподачі інформації про змагання для різних категорій </w:t>
            </w:r>
            <w:r w:rsidR="006B42ED">
              <w:rPr>
                <w:snapToGrid w:val="0"/>
                <w:sz w:val="22"/>
                <w:szCs w:val="22"/>
              </w:rPr>
              <w:t>адресату. С</w:t>
            </w:r>
            <w:r w:rsidRPr="00D720A6">
              <w:rPr>
                <w:snapToGrid w:val="0"/>
                <w:sz w:val="22"/>
                <w:szCs w:val="22"/>
              </w:rPr>
              <w:t xml:space="preserve">труктура прес-релізу. </w:t>
            </w:r>
            <w:r w:rsidR="006B42ED" w:rsidRPr="00D720A6">
              <w:rPr>
                <w:snapToGrid w:val="0"/>
                <w:sz w:val="22"/>
                <w:szCs w:val="22"/>
              </w:rPr>
              <w:t>С</w:t>
            </w:r>
            <w:r w:rsidRPr="00D720A6">
              <w:rPr>
                <w:snapToGrid w:val="0"/>
                <w:sz w:val="22"/>
                <w:szCs w:val="22"/>
              </w:rPr>
              <w:t xml:space="preserve">пецифікапідготовки прес-релізу до відкриття змагання, в період проведення заходу тапісля закінчення. Спеціальна термінологія спортивного репортажу. Мовні </w:t>
            </w:r>
            <w:proofErr w:type="spellStart"/>
            <w:r w:rsidRPr="00D720A6">
              <w:rPr>
                <w:snapToGrid w:val="0"/>
                <w:sz w:val="22"/>
                <w:szCs w:val="22"/>
              </w:rPr>
              <w:t>кліше.Культура</w:t>
            </w:r>
            <w:proofErr w:type="spellEnd"/>
            <w:r w:rsidRPr="00D720A6">
              <w:rPr>
                <w:snapToGrid w:val="0"/>
                <w:sz w:val="22"/>
                <w:szCs w:val="22"/>
              </w:rPr>
              <w:t xml:space="preserve"> мови. Методи використання статистичних даних при формуванніспортивного репортажу. Жанри спортивної журналістики (інтерв'ю, інтерв'ю-діалог,інформації, репортаж, коментар, замальовка, тематична або персональна колонка </w:t>
            </w:r>
            <w:r w:rsidR="006B42ED">
              <w:rPr>
                <w:snapToGrid w:val="0"/>
                <w:sz w:val="22"/>
                <w:szCs w:val="22"/>
              </w:rPr>
              <w:t>тощо</w:t>
            </w:r>
            <w:r w:rsidRPr="00D720A6">
              <w:rPr>
                <w:snapToGrid w:val="0"/>
                <w:sz w:val="22"/>
                <w:szCs w:val="22"/>
              </w:rPr>
              <w:t>). Аналітичні, критичніматеріали спортивного журналіста.Колонка спортивного коментатора. Характерні риси поширення рекламиспортивних послуг за допомогою ЗМІ</w:t>
            </w:r>
            <w:r w:rsidR="006B42ED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CA65A0" w:rsidP="00CA65A0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>
              <w:rPr>
                <w:b/>
                <w:spacing w:val="-1"/>
                <w:szCs w:val="24"/>
                <w:lang w:eastAsia="ru-RU"/>
              </w:rPr>
              <w:t>Ви</w:t>
            </w:r>
            <w:r w:rsidRPr="00CA65A0">
              <w:rPr>
                <w:b/>
                <w:spacing w:val="-1"/>
                <w:szCs w:val="24"/>
                <w:lang w:eastAsia="ru-RU"/>
              </w:rPr>
              <w:t xml:space="preserve">світлення в ЗМІ масового </w:t>
            </w:r>
            <w:r>
              <w:rPr>
                <w:b/>
                <w:spacing w:val="-1"/>
                <w:szCs w:val="24"/>
                <w:lang w:eastAsia="ru-RU"/>
              </w:rPr>
              <w:t>спорту</w:t>
            </w:r>
            <w:r w:rsidRPr="00CA65A0">
              <w:rPr>
                <w:b/>
                <w:spacing w:val="-1"/>
                <w:szCs w:val="24"/>
                <w:lang w:eastAsia="ru-RU"/>
              </w:rPr>
              <w:t>,спорту вищих досягнень, окремих видів спорту та спортивноїіндустрії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959EA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A65A0" w:rsidRPr="00CA65A0" w:rsidRDefault="00CA65A0" w:rsidP="00CA65A0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Особливості ви</w:t>
            </w:r>
            <w:r w:rsidRPr="00CA65A0">
              <w:rPr>
                <w:snapToGrid w:val="0"/>
                <w:sz w:val="22"/>
                <w:szCs w:val="22"/>
              </w:rPr>
              <w:t xml:space="preserve">світлення в ЗМІ масового </w:t>
            </w:r>
            <w:r>
              <w:rPr>
                <w:snapToGrid w:val="0"/>
                <w:sz w:val="22"/>
                <w:szCs w:val="22"/>
              </w:rPr>
              <w:t>спорту</w:t>
            </w:r>
            <w:r w:rsidRPr="00CA65A0">
              <w:rPr>
                <w:snapToGrid w:val="0"/>
                <w:sz w:val="22"/>
                <w:szCs w:val="22"/>
              </w:rPr>
              <w:t>,</w:t>
            </w:r>
          </w:p>
          <w:p w:rsidR="00F53CB4" w:rsidRPr="00A604E4" w:rsidRDefault="00CA65A0" w:rsidP="00CA65A0">
            <w:pPr>
              <w:spacing w:line="216" w:lineRule="auto"/>
              <w:jc w:val="both"/>
              <w:rPr>
                <w:szCs w:val="22"/>
              </w:rPr>
            </w:pPr>
            <w:r w:rsidRPr="00CA65A0">
              <w:rPr>
                <w:snapToGrid w:val="0"/>
                <w:sz w:val="22"/>
                <w:szCs w:val="22"/>
              </w:rPr>
              <w:t>спорту вищих досягнень, окремих видів спорту та спортивноїіндустрії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CA65A0">
              <w:rPr>
                <w:snapToGrid w:val="0"/>
                <w:sz w:val="22"/>
                <w:szCs w:val="22"/>
              </w:rPr>
              <w:t>Телерадіотрансляції</w:t>
            </w:r>
            <w:r>
              <w:rPr>
                <w:snapToGrid w:val="0"/>
                <w:sz w:val="22"/>
                <w:szCs w:val="22"/>
              </w:rPr>
              <w:t>з</w:t>
            </w:r>
            <w:r w:rsidRPr="00CA65A0">
              <w:rPr>
                <w:snapToGrid w:val="0"/>
                <w:sz w:val="22"/>
                <w:szCs w:val="22"/>
              </w:rPr>
              <w:t>і</w:t>
            </w:r>
            <w:proofErr w:type="spellEnd"/>
            <w:r w:rsidRPr="00CA65A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спортивних</w:t>
            </w:r>
            <w:r w:rsidRPr="00CA65A0">
              <w:rPr>
                <w:snapToGrid w:val="0"/>
                <w:sz w:val="22"/>
                <w:szCs w:val="22"/>
              </w:rPr>
              <w:t xml:space="preserve"> змагань. Публікації в друкованих засобах масової інформації.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0959EA" w:rsidP="00F53CB4">
            <w:pPr>
              <w:spacing w:line="216" w:lineRule="auto"/>
              <w:rPr>
                <w:szCs w:val="22"/>
              </w:rPr>
            </w:pPr>
            <w:r w:rsidRPr="000959EA">
              <w:rPr>
                <w:b/>
                <w:spacing w:val="-1"/>
                <w:szCs w:val="24"/>
                <w:lang w:eastAsia="ru-RU"/>
              </w:rPr>
              <w:t xml:space="preserve">Спортивна новина на радіо і </w:t>
            </w:r>
            <w:r>
              <w:rPr>
                <w:b/>
                <w:spacing w:val="-1"/>
                <w:szCs w:val="24"/>
                <w:lang w:eastAsia="ru-RU"/>
              </w:rPr>
              <w:t>ТБ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0959EA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0959EA" w:rsidP="000F41A9">
            <w:pPr>
              <w:spacing w:line="216" w:lineRule="auto"/>
              <w:jc w:val="both"/>
              <w:rPr>
                <w:szCs w:val="22"/>
              </w:rPr>
            </w:pPr>
            <w:r w:rsidRPr="000959EA">
              <w:rPr>
                <w:spacing w:val="-1"/>
                <w:szCs w:val="24"/>
                <w:lang w:eastAsia="ru-RU"/>
              </w:rPr>
              <w:t xml:space="preserve">Виступ спортивного журналіста на радіо і </w:t>
            </w:r>
            <w:r>
              <w:rPr>
                <w:spacing w:val="-1"/>
                <w:szCs w:val="24"/>
                <w:lang w:eastAsia="ru-RU"/>
              </w:rPr>
              <w:t xml:space="preserve">ТБ </w:t>
            </w:r>
            <w:r w:rsidRPr="000959EA">
              <w:rPr>
                <w:spacing w:val="-1"/>
                <w:szCs w:val="24"/>
                <w:lang w:eastAsia="ru-RU"/>
              </w:rPr>
              <w:t>в прямому ефірі і в запис</w:t>
            </w:r>
            <w:r>
              <w:rPr>
                <w:spacing w:val="-1"/>
                <w:szCs w:val="24"/>
                <w:lang w:eastAsia="ru-RU"/>
              </w:rPr>
              <w:t>у</w:t>
            </w:r>
            <w:r w:rsidRPr="000959EA">
              <w:rPr>
                <w:spacing w:val="-1"/>
                <w:szCs w:val="24"/>
                <w:lang w:eastAsia="ru-RU"/>
              </w:rPr>
              <w:t>.Прямий ефір з використанням запису сюжету. Запис сюжету, монтаж плівки,закадрове озвучення сюжету. Підготовка голосу журналіста до виступу. Ранк</w:t>
            </w:r>
            <w:r>
              <w:rPr>
                <w:spacing w:val="-1"/>
                <w:szCs w:val="24"/>
                <w:lang w:eastAsia="ru-RU"/>
              </w:rPr>
              <w:t xml:space="preserve">овий і </w:t>
            </w:r>
            <w:r w:rsidRPr="000959EA">
              <w:rPr>
                <w:spacing w:val="-1"/>
                <w:szCs w:val="24"/>
                <w:lang w:eastAsia="ru-RU"/>
              </w:rPr>
              <w:t>вечірній випуск новин спорту. Пріоритет</w:t>
            </w:r>
            <w:r>
              <w:rPr>
                <w:spacing w:val="-1"/>
                <w:szCs w:val="24"/>
                <w:lang w:eastAsia="ru-RU"/>
              </w:rPr>
              <w:t>и в</w:t>
            </w:r>
            <w:r w:rsidRPr="000959EA">
              <w:rPr>
                <w:spacing w:val="-1"/>
                <w:szCs w:val="24"/>
                <w:lang w:eastAsia="ru-RU"/>
              </w:rPr>
              <w:t xml:space="preserve"> розстанов</w:t>
            </w:r>
            <w:r>
              <w:rPr>
                <w:spacing w:val="-1"/>
                <w:szCs w:val="24"/>
                <w:lang w:eastAsia="ru-RU"/>
              </w:rPr>
              <w:t>ці</w:t>
            </w:r>
            <w:r w:rsidRPr="000959EA">
              <w:rPr>
                <w:spacing w:val="-1"/>
                <w:szCs w:val="24"/>
                <w:lang w:eastAsia="ru-RU"/>
              </w:rPr>
              <w:t xml:space="preserve"> сюжетів</w:t>
            </w:r>
            <w:r>
              <w:rPr>
                <w:spacing w:val="-1"/>
                <w:szCs w:val="24"/>
                <w:lang w:eastAsia="ru-RU"/>
              </w:rPr>
              <w:t>.Р</w:t>
            </w:r>
            <w:r w:rsidRPr="000959EA">
              <w:rPr>
                <w:spacing w:val="-1"/>
                <w:szCs w:val="24"/>
                <w:lang w:eastAsia="ru-RU"/>
              </w:rPr>
              <w:t xml:space="preserve">обота журналіста з гостем у студії. </w:t>
            </w:r>
            <w:r w:rsidRPr="000959EA">
              <w:rPr>
                <w:spacing w:val="-1"/>
                <w:szCs w:val="24"/>
                <w:lang w:eastAsia="ru-RU"/>
              </w:rPr>
              <w:lastRenderedPageBreak/>
              <w:t>Знання матеріалу. Телевізійна зйомказмагань. Відбір пріоритетних тем під час змагань</w:t>
            </w:r>
            <w:r w:rsidR="000F41A9">
              <w:rPr>
                <w:spacing w:val="-1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0F41A9" w:rsidRPr="00A604E4" w:rsidTr="00B21711">
        <w:tc>
          <w:tcPr>
            <w:tcW w:w="421" w:type="dxa"/>
            <w:shd w:val="clear" w:color="auto" w:fill="auto"/>
          </w:tcPr>
          <w:p w:rsidR="000F41A9" w:rsidRPr="00A604E4" w:rsidRDefault="000F41A9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0F41A9" w:rsidRPr="000959EA" w:rsidRDefault="000F41A9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Робота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t>пресслужб</w:t>
            </w:r>
            <w:proofErr w:type="spellEnd"/>
            <w:r>
              <w:rPr>
                <w:b/>
                <w:spacing w:val="-1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b/>
                <w:spacing w:val="-1"/>
                <w:szCs w:val="24"/>
                <w:lang w:eastAsia="ru-RU"/>
              </w:rPr>
              <w:t>пресцентрів</w:t>
            </w:r>
            <w:proofErr w:type="spellEnd"/>
            <w:r>
              <w:rPr>
                <w:b/>
                <w:spacing w:val="-1"/>
                <w:szCs w:val="24"/>
                <w:lang w:eastAsia="ru-RU"/>
              </w:rPr>
              <w:t xml:space="preserve"> на спортивних змаганнях</w:t>
            </w:r>
          </w:p>
        </w:tc>
        <w:tc>
          <w:tcPr>
            <w:tcW w:w="992" w:type="dxa"/>
            <w:shd w:val="clear" w:color="auto" w:fill="auto"/>
          </w:tcPr>
          <w:p w:rsidR="000F41A9" w:rsidRDefault="000F41A9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4820" w:type="dxa"/>
            <w:shd w:val="clear" w:color="auto" w:fill="auto"/>
          </w:tcPr>
          <w:p w:rsidR="000F41A9" w:rsidRPr="000959EA" w:rsidRDefault="000F41A9" w:rsidP="000F41A9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0F41A9">
              <w:rPr>
                <w:spacing w:val="-1"/>
                <w:szCs w:val="24"/>
                <w:lang w:eastAsia="ru-RU"/>
              </w:rPr>
              <w:t xml:space="preserve">Основні напрямки діяльності </w:t>
            </w:r>
            <w:proofErr w:type="spellStart"/>
            <w:r w:rsidRPr="000F41A9">
              <w:rPr>
                <w:spacing w:val="-1"/>
                <w:szCs w:val="24"/>
                <w:lang w:eastAsia="ru-RU"/>
              </w:rPr>
              <w:t>пресцентрів</w:t>
            </w:r>
            <w:proofErr w:type="spellEnd"/>
            <w:r w:rsidRPr="000F41A9">
              <w:rPr>
                <w:spacing w:val="-1"/>
                <w:szCs w:val="24"/>
                <w:lang w:eastAsia="ru-RU"/>
              </w:rPr>
              <w:t xml:space="preserve"> в період підготовки і проведеннярегіональних і міжнародних змагань. Акредитація журналістів. Ложа преси. Специфіка збору інформації назмаганні. Визначення джерела інформації та рівня його компетентності. </w:t>
            </w:r>
            <w:proofErr w:type="spellStart"/>
            <w:r w:rsidRPr="000F41A9">
              <w:rPr>
                <w:spacing w:val="-1"/>
                <w:szCs w:val="24"/>
                <w:lang w:eastAsia="ru-RU"/>
              </w:rPr>
              <w:t>Допомогаспівробітників</w:t>
            </w:r>
            <w:proofErr w:type="spellEnd"/>
            <w:r w:rsidRPr="000F41A9">
              <w:rPr>
                <w:spacing w:val="-1"/>
                <w:szCs w:val="24"/>
                <w:lang w:eastAsia="ru-RU"/>
              </w:rPr>
              <w:t xml:space="preserve"> </w:t>
            </w:r>
            <w:proofErr w:type="spellStart"/>
            <w:r w:rsidRPr="000F41A9">
              <w:rPr>
                <w:spacing w:val="-1"/>
                <w:szCs w:val="24"/>
                <w:lang w:eastAsia="ru-RU"/>
              </w:rPr>
              <w:t>пресцентру</w:t>
            </w:r>
            <w:proofErr w:type="spellEnd"/>
            <w:r w:rsidRPr="000F41A9">
              <w:rPr>
                <w:spacing w:val="-1"/>
                <w:szCs w:val="24"/>
                <w:lang w:eastAsia="ru-RU"/>
              </w:rPr>
              <w:t xml:space="preserve"> журналістам</w:t>
            </w:r>
            <w:r w:rsidR="005D18F9">
              <w:rPr>
                <w:spacing w:val="-1"/>
                <w:szCs w:val="24"/>
                <w:lang w:eastAsia="ru-RU"/>
              </w:rPr>
              <w:t xml:space="preserve">, </w:t>
            </w:r>
            <w:proofErr w:type="spellStart"/>
            <w:r w:rsidR="005D18F9">
              <w:rPr>
                <w:spacing w:val="-1"/>
                <w:szCs w:val="24"/>
                <w:lang w:eastAsia="ru-RU"/>
              </w:rPr>
              <w:t>що</w:t>
            </w:r>
            <w:r w:rsidR="005D18F9" w:rsidRPr="000F41A9">
              <w:rPr>
                <w:spacing w:val="-1"/>
                <w:szCs w:val="24"/>
                <w:lang w:eastAsia="ru-RU"/>
              </w:rPr>
              <w:t>акредитова</w:t>
            </w:r>
            <w:r w:rsidR="005D18F9">
              <w:rPr>
                <w:spacing w:val="-1"/>
                <w:szCs w:val="24"/>
                <w:lang w:eastAsia="ru-RU"/>
              </w:rPr>
              <w:t>ні</w:t>
            </w:r>
            <w:proofErr w:type="spellEnd"/>
            <w:r w:rsidR="005D18F9" w:rsidRPr="000F41A9">
              <w:rPr>
                <w:spacing w:val="-1"/>
                <w:szCs w:val="24"/>
                <w:lang w:eastAsia="ru-RU"/>
              </w:rPr>
              <w:t xml:space="preserve"> на змаганні</w:t>
            </w:r>
            <w:r w:rsidRPr="000F41A9">
              <w:rPr>
                <w:spacing w:val="-1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0F41A9" w:rsidRPr="00A604E4" w:rsidRDefault="000F41A9" w:rsidP="000F41A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0F41A9" w:rsidRPr="00A604E4" w:rsidRDefault="000F41A9" w:rsidP="000F41A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0F41A9" w:rsidRPr="00A604E4" w:rsidRDefault="000F41A9" w:rsidP="000F41A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0F41A9" w:rsidRPr="00A604E4" w:rsidRDefault="000F41A9" w:rsidP="000F41A9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0F41A9" w:rsidRPr="00A604E4" w:rsidRDefault="000F41A9" w:rsidP="000F41A9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0F41A9" w:rsidRPr="00A604E4" w:rsidRDefault="000F41A9" w:rsidP="000F41A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892ECE" w:rsidRPr="00293BAD" w:rsidRDefault="008614B6" w:rsidP="00293BAD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4"/>
        </w:rPr>
      </w:pPr>
      <w:proofErr w:type="spellStart"/>
      <w:r w:rsidRPr="00293BAD">
        <w:rPr>
          <w:szCs w:val="24"/>
        </w:rPr>
        <w:t>А</w:t>
      </w:r>
      <w:r w:rsidR="007A1DE0" w:rsidRPr="00293BAD">
        <w:rPr>
          <w:szCs w:val="24"/>
        </w:rPr>
        <w:t>лексеев</w:t>
      </w:r>
      <w:proofErr w:type="spellEnd"/>
      <w:r w:rsidRPr="00293BAD">
        <w:rPr>
          <w:szCs w:val="24"/>
        </w:rPr>
        <w:t xml:space="preserve"> К. А. </w:t>
      </w:r>
      <w:proofErr w:type="spellStart"/>
      <w:r w:rsidRPr="00293BAD">
        <w:rPr>
          <w:szCs w:val="24"/>
        </w:rPr>
        <w:t>Спортивнаяжурналистика</w:t>
      </w:r>
      <w:proofErr w:type="spellEnd"/>
      <w:r w:rsidRPr="00293BAD">
        <w:rPr>
          <w:szCs w:val="24"/>
        </w:rPr>
        <w:t>. Москва, 2016.</w:t>
      </w:r>
    </w:p>
    <w:p w:rsidR="008614B6" w:rsidRPr="00293BAD" w:rsidRDefault="008614B6" w:rsidP="00293BAD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4"/>
          <w:lang w:val="ru-RU"/>
        </w:rPr>
      </w:pPr>
      <w:proofErr w:type="spellStart"/>
      <w:r w:rsidRPr="00293BAD">
        <w:rPr>
          <w:szCs w:val="24"/>
        </w:rPr>
        <w:t>Алексеев</w:t>
      </w:r>
      <w:proofErr w:type="spellEnd"/>
      <w:r w:rsidRPr="00293BAD">
        <w:rPr>
          <w:szCs w:val="24"/>
        </w:rPr>
        <w:t xml:space="preserve"> К. А., </w:t>
      </w:r>
      <w:proofErr w:type="spellStart"/>
      <w:r w:rsidRPr="00293BAD">
        <w:rPr>
          <w:szCs w:val="24"/>
        </w:rPr>
        <w:t>Ильченко</w:t>
      </w:r>
      <w:proofErr w:type="spellEnd"/>
      <w:r w:rsidRPr="00293BAD">
        <w:rPr>
          <w:szCs w:val="24"/>
          <w:lang w:val="ru-RU"/>
        </w:rPr>
        <w:t xml:space="preserve"> С. Н</w:t>
      </w:r>
      <w:r w:rsidRPr="00293BAD">
        <w:rPr>
          <w:szCs w:val="24"/>
        </w:rPr>
        <w:t>. Основ</w:t>
      </w:r>
      <w:r w:rsidRPr="00293BAD">
        <w:rPr>
          <w:szCs w:val="24"/>
          <w:lang w:val="ru-RU"/>
        </w:rPr>
        <w:t>ы спортивной журналистики. Москва, 2016.</w:t>
      </w:r>
    </w:p>
    <w:p w:rsidR="00341D72" w:rsidRPr="00293BAD" w:rsidRDefault="00341D72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>ВиноградовП. А., ОкуньковЮ. В.Мониторингпропагандыфизическойкультурыиспортаиздоровогообразажизнисредствамимассовойинформации. Москва, 2012.</w:t>
      </w:r>
    </w:p>
    <w:p w:rsidR="008614B6" w:rsidRPr="00293BAD" w:rsidRDefault="008614B6" w:rsidP="00293BAD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4"/>
          <w:lang w:val="ru-RU"/>
        </w:rPr>
      </w:pPr>
      <w:proofErr w:type="spellStart"/>
      <w:r w:rsidRPr="00293BAD">
        <w:rPr>
          <w:szCs w:val="24"/>
          <w:lang w:val="ru-RU"/>
        </w:rPr>
        <w:t>ВойтикЕ</w:t>
      </w:r>
      <w:proofErr w:type="spellEnd"/>
      <w:r w:rsidRPr="00293BAD">
        <w:rPr>
          <w:szCs w:val="24"/>
          <w:lang w:val="ru-RU"/>
        </w:rPr>
        <w:t xml:space="preserve">. А. </w:t>
      </w:r>
      <w:proofErr w:type="spellStart"/>
      <w:r w:rsidRPr="00293BAD">
        <w:rPr>
          <w:szCs w:val="24"/>
          <w:lang w:val="ru-RU"/>
        </w:rPr>
        <w:t>СпортивнаямедиакоммуникациявРоссиивначале</w:t>
      </w:r>
      <w:proofErr w:type="spellEnd"/>
      <w:r w:rsidRPr="00293BAD">
        <w:rPr>
          <w:szCs w:val="24"/>
          <w:lang w:val="ru-RU"/>
        </w:rPr>
        <w:t xml:space="preserve"> XXI в. Томск, 2013.</w:t>
      </w:r>
    </w:p>
    <w:p w:rsidR="00341D72" w:rsidRPr="00293BAD" w:rsidRDefault="00BB354E" w:rsidP="00293BAD">
      <w:pPr>
        <w:pStyle w:val="a4"/>
        <w:numPr>
          <w:ilvl w:val="0"/>
          <w:numId w:val="26"/>
        </w:numPr>
        <w:spacing w:line="276" w:lineRule="auto"/>
        <w:ind w:left="0" w:firstLine="0"/>
        <w:rPr>
          <w:szCs w:val="24"/>
          <w:lang w:val="ru-RU"/>
        </w:rPr>
      </w:pPr>
      <w:r w:rsidRPr="00293BAD">
        <w:rPr>
          <w:szCs w:val="24"/>
          <w:lang w:val="ru-RU"/>
        </w:rPr>
        <w:t xml:space="preserve">ДмитриевЕ. Д.Социологияжурналистики. Минск, 2001. </w:t>
      </w:r>
    </w:p>
    <w:p w:rsidR="00BB354E" w:rsidRPr="00293BAD" w:rsidRDefault="00BB354E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>КимМ. Н.Журналистика: методологияпрофессиональноготворчества. Санкт-Петербург, 2004.</w:t>
      </w:r>
    </w:p>
    <w:p w:rsidR="00BB354E" w:rsidRPr="00293BAD" w:rsidRDefault="00BB354E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>ЛазутинаГ. В. Основытворческойдеятельностижурналиста. М</w:t>
      </w:r>
      <w:r w:rsidR="00337A0F" w:rsidRPr="00293BAD">
        <w:rPr>
          <w:szCs w:val="24"/>
          <w:lang w:val="ru-RU"/>
        </w:rPr>
        <w:t>осква</w:t>
      </w:r>
      <w:r w:rsidRPr="00293BAD">
        <w:rPr>
          <w:szCs w:val="24"/>
          <w:lang w:val="ru-RU"/>
        </w:rPr>
        <w:t>, 2004.</w:t>
      </w:r>
    </w:p>
    <w:p w:rsidR="00BA4AD6" w:rsidRPr="00293BAD" w:rsidRDefault="00BA4AD6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>МихайловС. А., МостовА. Г.Спортивнаяжурналистика. Санкт-Петербург, 2005.</w:t>
      </w:r>
    </w:p>
    <w:p w:rsidR="00BA4AD6" w:rsidRPr="00293BAD" w:rsidRDefault="00293BAD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 xml:space="preserve">ПроблематикаСМИ. Информационнаяповесткадня / подред. М. В. </w:t>
      </w:r>
      <w:proofErr w:type="spellStart"/>
      <w:r w:rsidRPr="00293BAD">
        <w:rPr>
          <w:szCs w:val="24"/>
          <w:lang w:val="ru-RU"/>
        </w:rPr>
        <w:t>Шкондина</w:t>
      </w:r>
      <w:proofErr w:type="spellEnd"/>
      <w:r w:rsidRPr="00293BAD">
        <w:rPr>
          <w:szCs w:val="24"/>
          <w:lang w:val="ru-RU"/>
        </w:rPr>
        <w:t xml:space="preserve">. Москва, 2008. </w:t>
      </w:r>
    </w:p>
    <w:p w:rsidR="00293BAD" w:rsidRPr="00293BAD" w:rsidRDefault="00293BAD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>Спортвзеркалежурналистики. Москва, 1989.</w:t>
      </w:r>
    </w:p>
    <w:p w:rsidR="00293BAD" w:rsidRPr="00293BAD" w:rsidRDefault="00293BAD" w:rsidP="00293BAD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293BAD">
        <w:rPr>
          <w:szCs w:val="24"/>
          <w:lang w:val="ru-RU"/>
        </w:rPr>
        <w:t xml:space="preserve">Типологияпериодическойпечати / подред. М. В. </w:t>
      </w:r>
      <w:proofErr w:type="spellStart"/>
      <w:r w:rsidRPr="00293BAD">
        <w:rPr>
          <w:szCs w:val="24"/>
          <w:lang w:val="ru-RU"/>
        </w:rPr>
        <w:t>Шкондина</w:t>
      </w:r>
      <w:proofErr w:type="spellEnd"/>
      <w:r w:rsidRPr="00293BAD">
        <w:rPr>
          <w:szCs w:val="24"/>
          <w:lang w:val="ru-RU"/>
        </w:rPr>
        <w:t xml:space="preserve">, Л. Л. </w:t>
      </w:r>
      <w:proofErr w:type="spellStart"/>
      <w:r w:rsidRPr="00293BAD">
        <w:rPr>
          <w:szCs w:val="24"/>
          <w:lang w:val="ru-RU"/>
        </w:rPr>
        <w:t>Реснянской</w:t>
      </w:r>
      <w:proofErr w:type="spellEnd"/>
      <w:r w:rsidRPr="00293BAD">
        <w:rPr>
          <w:szCs w:val="24"/>
          <w:lang w:val="ru-RU"/>
        </w:rPr>
        <w:t xml:space="preserve">. Москва, 2007. </w:t>
      </w:r>
    </w:p>
    <w:p w:rsidR="007A1DE0" w:rsidRDefault="007A1DE0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8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0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bookmarkStart w:id="2" w:name="_GoBack"/>
      <w:bookmarkEnd w:id="2"/>
      <w:r w:rsidRPr="00A604E4">
        <w:rPr>
          <w:b/>
          <w:szCs w:val="24"/>
        </w:rPr>
        <w:lastRenderedPageBreak/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55081"/>
    <w:multiLevelType w:val="hybridMultilevel"/>
    <w:tmpl w:val="6D2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5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64EA9"/>
    <w:rsid w:val="0006699D"/>
    <w:rsid w:val="00071F58"/>
    <w:rsid w:val="00073F25"/>
    <w:rsid w:val="00091475"/>
    <w:rsid w:val="000959EA"/>
    <w:rsid w:val="000F3915"/>
    <w:rsid w:val="000F41A9"/>
    <w:rsid w:val="00151429"/>
    <w:rsid w:val="00165497"/>
    <w:rsid w:val="00181F53"/>
    <w:rsid w:val="001D6F99"/>
    <w:rsid w:val="00224E22"/>
    <w:rsid w:val="002409B3"/>
    <w:rsid w:val="002453C6"/>
    <w:rsid w:val="00246E85"/>
    <w:rsid w:val="00251587"/>
    <w:rsid w:val="0027503E"/>
    <w:rsid w:val="00276768"/>
    <w:rsid w:val="00293BAD"/>
    <w:rsid w:val="002B09F0"/>
    <w:rsid w:val="002B68A8"/>
    <w:rsid w:val="002C34B6"/>
    <w:rsid w:val="002D0B32"/>
    <w:rsid w:val="002F390A"/>
    <w:rsid w:val="002F5765"/>
    <w:rsid w:val="0031038B"/>
    <w:rsid w:val="00337A0F"/>
    <w:rsid w:val="00341D72"/>
    <w:rsid w:val="00366242"/>
    <w:rsid w:val="00387D05"/>
    <w:rsid w:val="0043607F"/>
    <w:rsid w:val="004513D7"/>
    <w:rsid w:val="004A1213"/>
    <w:rsid w:val="004A40CA"/>
    <w:rsid w:val="004F1182"/>
    <w:rsid w:val="004F1D1C"/>
    <w:rsid w:val="004F40C5"/>
    <w:rsid w:val="00512FDC"/>
    <w:rsid w:val="00516717"/>
    <w:rsid w:val="00516886"/>
    <w:rsid w:val="00517868"/>
    <w:rsid w:val="00530038"/>
    <w:rsid w:val="005659F8"/>
    <w:rsid w:val="005963A5"/>
    <w:rsid w:val="00596E7D"/>
    <w:rsid w:val="005D18F9"/>
    <w:rsid w:val="006139CC"/>
    <w:rsid w:val="00644D6E"/>
    <w:rsid w:val="00680FE5"/>
    <w:rsid w:val="006A5829"/>
    <w:rsid w:val="006B42ED"/>
    <w:rsid w:val="006B72D1"/>
    <w:rsid w:val="00705A54"/>
    <w:rsid w:val="00727660"/>
    <w:rsid w:val="007954C2"/>
    <w:rsid w:val="007A1DE0"/>
    <w:rsid w:val="007B52E9"/>
    <w:rsid w:val="007C2583"/>
    <w:rsid w:val="00800A44"/>
    <w:rsid w:val="00814BF8"/>
    <w:rsid w:val="0084216A"/>
    <w:rsid w:val="008614B6"/>
    <w:rsid w:val="00892ECE"/>
    <w:rsid w:val="008A707D"/>
    <w:rsid w:val="008C351C"/>
    <w:rsid w:val="008F2DDA"/>
    <w:rsid w:val="0090579A"/>
    <w:rsid w:val="00934F52"/>
    <w:rsid w:val="00941AC2"/>
    <w:rsid w:val="0095133B"/>
    <w:rsid w:val="009818C6"/>
    <w:rsid w:val="00985A7F"/>
    <w:rsid w:val="00986FD6"/>
    <w:rsid w:val="009A362B"/>
    <w:rsid w:val="009C2540"/>
    <w:rsid w:val="009E1F57"/>
    <w:rsid w:val="009E51E8"/>
    <w:rsid w:val="00A44B07"/>
    <w:rsid w:val="00A604E4"/>
    <w:rsid w:val="00A6577E"/>
    <w:rsid w:val="00A7082C"/>
    <w:rsid w:val="00A75573"/>
    <w:rsid w:val="00A91CAC"/>
    <w:rsid w:val="00A95A05"/>
    <w:rsid w:val="00AD774C"/>
    <w:rsid w:val="00AE7F8F"/>
    <w:rsid w:val="00B15528"/>
    <w:rsid w:val="00B21711"/>
    <w:rsid w:val="00B218AE"/>
    <w:rsid w:val="00B35776"/>
    <w:rsid w:val="00B37CEF"/>
    <w:rsid w:val="00B40FA9"/>
    <w:rsid w:val="00B85773"/>
    <w:rsid w:val="00B94D93"/>
    <w:rsid w:val="00BA129A"/>
    <w:rsid w:val="00BA4AD6"/>
    <w:rsid w:val="00BB354E"/>
    <w:rsid w:val="00BC78BD"/>
    <w:rsid w:val="00BD4F10"/>
    <w:rsid w:val="00C01C34"/>
    <w:rsid w:val="00C377FC"/>
    <w:rsid w:val="00C71468"/>
    <w:rsid w:val="00C724B0"/>
    <w:rsid w:val="00CA65A0"/>
    <w:rsid w:val="00CC1623"/>
    <w:rsid w:val="00D04E66"/>
    <w:rsid w:val="00D20E72"/>
    <w:rsid w:val="00D537F4"/>
    <w:rsid w:val="00D720A6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5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3E11-88AB-485A-A372-92252BE1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8070</Words>
  <Characters>4600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2020-10-15T09:13:00Z</dcterms:created>
  <dcterms:modified xsi:type="dcterms:W3CDTF">2020-10-15T09:13:00Z</dcterms:modified>
</cp:coreProperties>
</file>