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2918"/>
        <w:gridCol w:w="4074"/>
      </w:tblGrid>
      <w:tr w:rsidR="001B4B2B" w:rsidRPr="001B4B2B" w:rsidTr="00D8751D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Силабус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курсу: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A002097" wp14:editId="61EF1D17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B2B" w:rsidRPr="001B4B2B" w:rsidTr="00D8751D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FD377E" w:rsidP="00FD377E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СВІТОВИЙ РИНОК ТУРИСТИЧНИХ ПОСЛУГ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4B2B" w:rsidRPr="001B4B2B" w:rsidRDefault="00FD377E" w:rsidP="00FD377E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бакалавр 242_2.07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8B0F0E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B0F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B0F0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4040DC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727FF1" w:rsidP="00727FF1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F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весняний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1B4B2B" w:rsidRPr="001B4B2B" w:rsidTr="00D8751D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1B4B2B" w:rsidRPr="001B4B2B" w:rsidTr="00D8751D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B4B2B" w:rsidRPr="001B4B2B" w:rsidRDefault="008B0F0E" w:rsidP="008B0F0E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r w:rsidR="001B4B2B"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9"/>
        <w:gridCol w:w="250"/>
        <w:gridCol w:w="1958"/>
        <w:gridCol w:w="250"/>
        <w:gridCol w:w="1339"/>
        <w:gridCol w:w="668"/>
        <w:gridCol w:w="249"/>
        <w:gridCol w:w="2643"/>
      </w:tblGrid>
      <w:tr w:rsidR="001B4B2B" w:rsidRPr="001B4B2B" w:rsidTr="00D8751D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к.геогр.н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Заваріка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кафедри міжнародної економіки і туризму</w:t>
            </w:r>
          </w:p>
        </w:tc>
      </w:tr>
      <w:tr w:rsidR="001B4B2B" w:rsidRPr="001B4B2B" w:rsidTr="00D8751D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посада</w:t>
            </w:r>
          </w:p>
        </w:tc>
      </w:tr>
      <w:tr w:rsidR="001B4B2B" w:rsidRPr="001B4B2B" w:rsidTr="00D8751D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Dgalina_10@ukr.net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+38-0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952081277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 аудиторія кафедри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МЕіТ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4B2B" w:rsidRPr="001B4B2B" w:rsidTr="00D8751D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4B2B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консультації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Анотація навчального курсу</w:t>
      </w:r>
    </w:p>
    <w:p w:rsidR="001B4B2B" w:rsidRPr="001B4B2B" w:rsidRDefault="001B4B2B" w:rsidP="001B4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9"/>
        <w:gridCol w:w="7957"/>
      </w:tblGrid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377E" w:rsidRPr="00FD377E" w:rsidRDefault="001B4B2B" w:rsidP="00FD37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лекційних занять</w:t>
            </w:r>
            <w:r w:rsidR="00FD377E">
              <w:t xml:space="preserve"> </w:t>
            </w:r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 поглиблення i розширення теоретичних знань, вмінь та практичних навичок студентів у питаннях методології здійснення досліджень світових туристичних потоків, тенденцій ix формування та організації </w:t>
            </w:r>
            <w:proofErr w:type="spellStart"/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інстутиційного</w:t>
            </w:r>
            <w:proofErr w:type="spellEnd"/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регулювання розвитку </w:t>
            </w:r>
            <w:proofErr w:type="spellStart"/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</w:t>
            </w:r>
            <w:proofErr w:type="spellEnd"/>
            <w:r w:rsidR="00FD3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>ринк</w:t>
            </w:r>
            <w:proofErr w:type="spellEnd"/>
            <w:r w:rsidR="00FD3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туристичних послуг.</w:t>
            </w:r>
            <w:r w:rsidR="00FD37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 вивчення дисципліни «</w:t>
            </w:r>
            <w:r w:rsid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D377E"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>вітовий ринок туристичних послуг» є теоретична та практична підготовка студентів напряму підготовки «туризм» з питань:</w:t>
            </w:r>
          </w:p>
          <w:p w:rsidR="00FD377E" w:rsidRPr="00FD377E" w:rsidRDefault="00FD377E" w:rsidP="00FD37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формування та уніфікації термінології в сфері міжнародного туризму;</w:t>
            </w:r>
          </w:p>
          <w:p w:rsidR="00FD377E" w:rsidRPr="00FD377E" w:rsidRDefault="00FD377E" w:rsidP="00FD37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організації статистичного обліку та спеціальних спостережень;</w:t>
            </w:r>
          </w:p>
          <w:p w:rsidR="00FD377E" w:rsidRPr="00FD377E" w:rsidRDefault="00FD377E" w:rsidP="00FD37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діяльності міжнародних  туристичних організацій;</w:t>
            </w:r>
          </w:p>
          <w:p w:rsidR="00FD377E" w:rsidRPr="00FD377E" w:rsidRDefault="00FD377E" w:rsidP="00FD37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досвіду зарубіжних країн у побудові організаційних структур управління туристичною сферою;</w:t>
            </w:r>
          </w:p>
          <w:p w:rsidR="00FD377E" w:rsidRPr="00FD377E" w:rsidRDefault="00FD377E" w:rsidP="00FD37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підходів до класифікації та сегментування туристичних ринків світу;</w:t>
            </w:r>
          </w:p>
          <w:p w:rsidR="00FD377E" w:rsidRPr="00FD377E" w:rsidRDefault="00FD377E" w:rsidP="00FD377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специфічних особливостей та умов виходу України на міжнародний ринок туризму.</w:t>
            </w:r>
          </w:p>
          <w:p w:rsidR="001B4B2B" w:rsidRPr="001B4B2B" w:rsidRDefault="001B4B2B" w:rsidP="00B8708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Метою самостійної роботи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дисципліною</w:t>
            </w:r>
            <w:r w:rsid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633F" w:rsidRP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</w:t>
            </w:r>
            <w:r w:rsid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47633F" w:rsidRP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одержання знань в області теорії і практики </w:t>
            </w:r>
            <w:proofErr w:type="spellStart"/>
            <w:r w:rsidR="00B87080" w:rsidRPr="00B87080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світов</w:t>
            </w:r>
            <w:proofErr w:type="spellEnd"/>
            <w:r w:rsidR="00B87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B87080" w:rsidRPr="00B8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080" w:rsidRPr="00B87080">
              <w:rPr>
                <w:rFonts w:ascii="Times New Roman" w:eastAsia="Times New Roman" w:hAnsi="Times New Roman" w:cs="Times New Roman"/>
                <w:sz w:val="24"/>
                <w:szCs w:val="24"/>
              </w:rPr>
              <w:t>ринк</w:t>
            </w:r>
            <w:proofErr w:type="spellEnd"/>
            <w:r w:rsidR="00B870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87080" w:rsidRPr="00B87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туристичних послуг</w:t>
            </w:r>
            <w:r w:rsidR="0047633F" w:rsidRP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>. Успішне досягнення мети можливе за умови якісного засвоєння матеріалів лекційного курсу та завдань, що виносяться на практичні, семінарські заняття, самостійну та індивідуальну роботу</w:t>
            </w:r>
            <w:r w:rsidR="00476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1E9" w:rsidRPr="006011E9" w:rsidRDefault="001B4B2B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Знання: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1E9"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знати:</w:t>
            </w:r>
          </w:p>
          <w:p w:rsidR="006011E9" w:rsidRPr="006011E9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- характеристику впливу різних груп факторів на особливості функціонування та розвитку світової готельної та туристичної галузей;</w:t>
            </w:r>
          </w:p>
          <w:p w:rsidR="006011E9" w:rsidRPr="006011E9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методологію статистичного обліку світових туристичних потоків;</w:t>
            </w:r>
          </w:p>
          <w:p w:rsidR="006011E9" w:rsidRPr="006011E9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різновиди національних туристичних адміністрацій та умови </w:t>
            </w:r>
            <w:proofErr w:type="spellStart"/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їx</w:t>
            </w:r>
            <w:proofErr w:type="spellEnd"/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діяльності в країнах світу.</w:t>
            </w:r>
          </w:p>
          <w:p w:rsidR="006011E9" w:rsidRPr="006011E9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класифікаційні ознаки світових ринків готельних i туристичних послуг;</w:t>
            </w:r>
          </w:p>
          <w:p w:rsidR="006011E9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принципову схему взаємодії суб'єктів світового туристичного ринку.</w:t>
            </w:r>
          </w:p>
          <w:p w:rsidR="006011E9" w:rsidRPr="006011E9" w:rsidRDefault="001B4B2B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Вміння: </w:t>
            </w:r>
            <w:r w:rsidR="006011E9"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</w:t>
            </w:r>
          </w:p>
          <w:p w:rsidR="006011E9" w:rsidRPr="006011E9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знаходити причинно-наслідкові зв'язки між явищами та процесами на світовому туристичному ринку;</w:t>
            </w:r>
          </w:p>
          <w:p w:rsidR="006011E9" w:rsidRPr="006011E9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користуватися статистичними базами даних, що відображають динаміку світових туристичних потоків;</w:t>
            </w:r>
          </w:p>
          <w:p w:rsidR="001B4B2B" w:rsidRPr="001B4B2B" w:rsidRDefault="006011E9" w:rsidP="006011E9">
            <w:pPr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1E9">
              <w:rPr>
                <w:rFonts w:ascii="Times New Roman" w:eastAsia="Times New Roman" w:hAnsi="Times New Roman" w:cs="Times New Roman"/>
                <w:sz w:val="24"/>
                <w:szCs w:val="24"/>
              </w:rPr>
              <w:t>- здійснювати дослідження глобального та регіональних ринків туристичних послуг.</w:t>
            </w:r>
          </w:p>
        </w:tc>
      </w:tr>
      <w:tr w:rsidR="001B4B2B" w:rsidRPr="001B4B2B" w:rsidTr="00D8751D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377045" w:rsidP="0037704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>Micцe</w:t>
            </w:r>
            <w:proofErr w:type="spellEnd"/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>дісципліни</w:t>
            </w:r>
            <w:proofErr w:type="spellEnd"/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структурно-логічній  </w:t>
            </w:r>
            <w:proofErr w:type="spellStart"/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>cxeмі</w:t>
            </w:r>
            <w:proofErr w:type="spellEnd"/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поряд з такими навчальними дисциплінами як «Організація туризму», «Організація готельного господарства», «Географія туризму»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«Міжнародний туризм»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r w:rsidRPr="00377045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сприяє розширенню професійних знань майбутніх фахівців в галузі туризму.</w:t>
            </w:r>
          </w:p>
        </w:tc>
      </w:tr>
    </w:tbl>
    <w:p w:rsidR="001B4B2B" w:rsidRPr="001B4B2B" w:rsidRDefault="001B4B2B" w:rsidP="001B4B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3119" w:hanging="311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Мета курсу (набуті компетентності)</w:t>
      </w:r>
    </w:p>
    <w:p w:rsidR="001B4B2B" w:rsidRPr="001B4B2B" w:rsidRDefault="001B4B2B" w:rsidP="001B4B2B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DF9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 викладання дисципліни </w:t>
      </w:r>
      <w:r w:rsidRPr="001B4B2B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38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DF9" w:rsidRPr="00386DF9">
        <w:rPr>
          <w:rFonts w:ascii="Times New Roman" w:eastAsia="Times New Roman" w:hAnsi="Times New Roman" w:cs="Times New Roman"/>
          <w:sz w:val="24"/>
          <w:szCs w:val="24"/>
        </w:rPr>
        <w:t>є поглиблення i розширення теоретичних знань, вмінь та практичних навичок студентів у питаннях методології здійснення досліджень світових туристичних потоків, тенденцій ix формування т</w:t>
      </w:r>
      <w:r w:rsidR="00386DF9">
        <w:rPr>
          <w:rFonts w:ascii="Times New Roman" w:eastAsia="Times New Roman" w:hAnsi="Times New Roman" w:cs="Times New Roman"/>
          <w:sz w:val="24"/>
          <w:szCs w:val="24"/>
        </w:rPr>
        <w:t>а о</w:t>
      </w:r>
      <w:r w:rsidR="00386DF9" w:rsidRPr="00386DF9">
        <w:rPr>
          <w:rFonts w:ascii="Times New Roman" w:eastAsia="Times New Roman" w:hAnsi="Times New Roman" w:cs="Times New Roman"/>
          <w:sz w:val="24"/>
          <w:szCs w:val="24"/>
        </w:rPr>
        <w:t xml:space="preserve">рганізації </w:t>
      </w:r>
      <w:proofErr w:type="spellStart"/>
      <w:r w:rsidR="00386DF9" w:rsidRPr="00386DF9">
        <w:rPr>
          <w:rFonts w:ascii="Times New Roman" w:eastAsia="Times New Roman" w:hAnsi="Times New Roman" w:cs="Times New Roman"/>
          <w:sz w:val="24"/>
          <w:szCs w:val="24"/>
        </w:rPr>
        <w:t>інстутиційного</w:t>
      </w:r>
      <w:proofErr w:type="spellEnd"/>
      <w:r w:rsidR="00386DF9" w:rsidRPr="00386DF9">
        <w:rPr>
          <w:rFonts w:ascii="Times New Roman" w:eastAsia="Times New Roman" w:hAnsi="Times New Roman" w:cs="Times New Roman"/>
          <w:sz w:val="24"/>
          <w:szCs w:val="24"/>
        </w:rPr>
        <w:t xml:space="preserve"> регулювання розвитку світового ринку туристичних послуг.</w:t>
      </w:r>
    </w:p>
    <w:p w:rsidR="001B4B2B" w:rsidRP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Вивчення даного навчального курсу призначене для формування, удосконалення та розвитку у здобувача вищої освіти наступних </w:t>
      </w:r>
      <w:proofErr w:type="spellStart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компетентностей</w:t>
      </w:r>
      <w:proofErr w:type="spellEnd"/>
      <w:r w:rsidRPr="001B4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420BB" w:rsidRPr="00F420BB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до формування світогляду, розвитку людського буття, суспільства 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природи, духовної культури</w:t>
      </w:r>
    </w:p>
    <w:p w:rsidR="00F420BB" w:rsidRPr="00F420BB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працювати з інформацією, у тому числі в глобальних комп'ютерних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мережах</w:t>
      </w:r>
    </w:p>
    <w:p w:rsidR="00F420BB" w:rsidRPr="00F420BB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толерантно сприймати культуру та звичаї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 xml:space="preserve"> </w:t>
      </w: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інших країн і народів</w:t>
      </w:r>
    </w:p>
    <w:p w:rsidR="001C5691" w:rsidRDefault="00F420BB" w:rsidP="00F42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F420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Здатність розглядати суспільні явища у розвитку і конкретних історичних умовах</w:t>
      </w:r>
      <w:r w:rsidR="0035217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.</w:t>
      </w:r>
    </w:p>
    <w:p w:rsidR="001B4B2B" w:rsidRDefault="001B4B2B" w:rsidP="001B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</w:pPr>
      <w:r w:rsidRPr="001B4B2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352178" w:rsidRPr="00352178" w:rsidRDefault="00352178" w:rsidP="0035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Продемонстровані здобувачами вищої освіти знання, уміння, комунікативні здібності,</w:t>
      </w:r>
    </w:p>
    <w:p w:rsidR="00352178" w:rsidRPr="00352178" w:rsidRDefault="00352178" w:rsidP="00352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самостійність і відповідальність в прийнятті рішень складаються в інтегрований програмний результат навчання ЗР8 «толерантно сприймати культуру та звичаї інших країн і народів», що зв’язаний з дисципліною «Світовий ринок туристичних послуг»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в освітній програмі за спеціальністю 242 «Туризм» і позначений в програмі міткою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Pr="00352178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8 «ЗР8».</w:t>
      </w:r>
    </w:p>
    <w:p w:rsidR="00CF043B" w:rsidRPr="00CF043B" w:rsidRDefault="00CF043B" w:rsidP="00CF0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</w:pPr>
    </w:p>
    <w:p w:rsidR="001B4B2B" w:rsidRPr="001B4B2B" w:rsidRDefault="001B4B2B" w:rsidP="001B4B2B">
      <w:pPr>
        <w:spacing w:after="0" w:line="240" w:lineRule="auto"/>
        <w:ind w:left="3119" w:hanging="3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Структура курсу</w:t>
      </w:r>
    </w:p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820"/>
        <w:gridCol w:w="1984"/>
      </w:tblGrid>
      <w:tr w:rsidR="001B4B2B" w:rsidRPr="001B4B2B" w:rsidTr="00D8751D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Години (Л/ПЗ)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Стислий зміст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Інструменти і завдання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F120BD" w:rsidP="0075264D">
            <w:pPr>
              <w:rPr>
                <w:rFonts w:ascii="Times New Roman" w:eastAsia="Times New Roman" w:hAnsi="Times New Roman" w:cs="Times New Roman"/>
              </w:rPr>
            </w:pPr>
            <w:r w:rsidRPr="00F120BD">
              <w:rPr>
                <w:rFonts w:ascii="Times New Roman" w:eastAsia="Times New Roman" w:hAnsi="Times New Roman" w:cs="Times New Roman"/>
              </w:rPr>
              <w:t>Ринок туристичних послуг, його територіальна організація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2/2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F120BD" w:rsidP="00AC1DD5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Ринок як форма організації споживання: класифікація, структура, ієрархія.</w:t>
            </w:r>
            <w:r w:rsidR="00AC1DD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Поняття світового ринку. Загальна схема взаємодії ринкових сторін. Структура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світового ринку. Ринок послуг як складова світового ринку. Структура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невиробничої сфери. Поняття “послуги”. Основні класифікації послуг. Специфічні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ознаки послуги. Класифікаційні групи послуг. Ринок послуг у структурі світового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 xml:space="preserve">господарства. Особливості сфери послуг на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сучасному етапі економічного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розвитку. Специфіка туристичної послуги, характерні ознаки туристичного ринку.</w:t>
            </w:r>
            <w:r w:rsidR="00AC1DD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Взаємодія туристичного ринку і території. Поняття туристичної діяльності. Стадії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туристичного обслуговування. Таксономічна система рекреаційних районів.</w:t>
            </w:r>
            <w:r w:rsidR="00AC1DD5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 xml:space="preserve">Територіальна структура туристичного ринку. Ієрархічні рівні </w:t>
            </w:r>
            <w:proofErr w:type="spellStart"/>
            <w:r w:rsidRPr="00F120BD">
              <w:rPr>
                <w:rFonts w:ascii="Times New Roman" w:eastAsia="Times New Roman" w:hAnsi="Times New Roman" w:cs="Times New Roman"/>
                <w:snapToGrid w:val="0"/>
              </w:rPr>
              <w:t>геопросторової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організації туризму. Механізм формування та функціонування місцевого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F120BD">
              <w:rPr>
                <w:rFonts w:ascii="Times New Roman" w:eastAsia="Times New Roman" w:hAnsi="Times New Roman" w:cs="Times New Roman"/>
                <w:snapToGrid w:val="0"/>
              </w:rPr>
              <w:t>туристичного ринку.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1" w:name="_Hlk21532214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</w:t>
            </w:r>
            <w:bookmarkEnd w:id="1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bookmarkStart w:id="2" w:name="_Hlk21532297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</w:t>
            </w:r>
            <w:bookmarkEnd w:id="2"/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bookmarkStart w:id="3" w:name="_Hlk21532310"/>
            <w:r w:rsidRPr="001B4B2B">
              <w:rPr>
                <w:rFonts w:ascii="Times New Roman" w:eastAsia="Times New Roman" w:hAnsi="Times New Roman" w:cs="Times New Roman"/>
              </w:rPr>
              <w:t>Аналіз ситуаці</w:t>
            </w:r>
            <w:bookmarkEnd w:id="3"/>
            <w:r w:rsidRPr="001B4B2B">
              <w:rPr>
                <w:rFonts w:ascii="Times New Roman" w:eastAsia="Times New Roman" w:hAnsi="Times New Roman" w:cs="Times New Roman"/>
              </w:rPr>
              <w:t>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D8751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B4B2B" w:rsidRPr="001B4B2B" w:rsidRDefault="001B4B2B" w:rsidP="001B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CE" w:rsidRPr="00BF1ACE" w:rsidRDefault="00BF1ACE" w:rsidP="00BF1ACE">
            <w:pPr>
              <w:rPr>
                <w:rFonts w:ascii="Times New Roman" w:eastAsia="Times New Roman" w:hAnsi="Times New Roman" w:cs="Times New Roman"/>
              </w:rPr>
            </w:pPr>
            <w:r w:rsidRPr="00BF1ACE">
              <w:rPr>
                <w:rFonts w:ascii="Times New Roman" w:eastAsia="Times New Roman" w:hAnsi="Times New Roman" w:cs="Times New Roman"/>
              </w:rPr>
              <w:t>Індустрія туризму — основа розвитку національного ринку</w:t>
            </w:r>
          </w:p>
          <w:p w:rsidR="001B4B2B" w:rsidRPr="001B4B2B" w:rsidRDefault="00BF1ACE" w:rsidP="00BF1ACE">
            <w:pPr>
              <w:rPr>
                <w:rFonts w:ascii="Times New Roman" w:eastAsia="Times New Roman" w:hAnsi="Times New Roman" w:cs="Times New Roman"/>
              </w:rPr>
            </w:pPr>
            <w:r w:rsidRPr="00BF1ACE">
              <w:rPr>
                <w:rFonts w:ascii="Times New Roman" w:eastAsia="Times New Roman" w:hAnsi="Times New Roman" w:cs="Times New Roman"/>
              </w:rPr>
              <w:t>туристичних послуг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BF1ACE" w:rsidP="00AC1DD5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Формування національного туристичного ринку. Поняття “індустрія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туризму”. Індустрія туризму як міжгалузевий комплекс, її місце і роль у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господарському комплексі країни. Структура індустрії туризму.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 xml:space="preserve">Характеристика складових індустрії туризму. </w:t>
            </w:r>
            <w:proofErr w:type="spellStart"/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Внутрікомплексні</w:t>
            </w:r>
            <w:proofErr w:type="spellEnd"/>
            <w:r w:rsidRPr="00BF1ACE">
              <w:rPr>
                <w:rFonts w:ascii="Times New Roman" w:eastAsia="Times New Roman" w:hAnsi="Times New Roman" w:cs="Times New Roman"/>
                <w:snapToGrid w:val="0"/>
              </w:rPr>
              <w:t xml:space="preserve"> зв’язки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індустрії туризму. Державна туристична політика. Туристична галузь як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організаційно-інституційна підсистема. Поняття “гостинність”. Складові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гостинності. Послуги розміщення і харчування. Класифікація засобів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розміщення туристів. Транспортні послуги. Екскурсійні послуги. Послуги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дозвілля. Поняття “туристичні ресурси”, “рекреаційні ресурси”.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Класифікація туристичних ресурсів. Поняття “</w:t>
            </w:r>
            <w:proofErr w:type="spellStart"/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георозмаїття</w:t>
            </w:r>
            <w:proofErr w:type="spellEnd"/>
            <w:r w:rsidRPr="00BF1ACE">
              <w:rPr>
                <w:rFonts w:ascii="Times New Roman" w:eastAsia="Times New Roman" w:hAnsi="Times New Roman" w:cs="Times New Roman"/>
                <w:snapToGrid w:val="0"/>
              </w:rPr>
              <w:t>”. Зв’язок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індустрії туризму з господарським комплексом території. Територіальна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організація індустрії туризму, її елементи. Взаємозв’язок туризму з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національною економікою. Сутність і чинники формування національного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BF1ACE">
              <w:rPr>
                <w:rFonts w:ascii="Times New Roman" w:eastAsia="Times New Roman" w:hAnsi="Times New Roman" w:cs="Times New Roman"/>
                <w:snapToGrid w:val="0"/>
              </w:rPr>
              <w:t>ринку туристичних послуг.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EB" w:rsidRPr="00F11BEB" w:rsidRDefault="00F11BEB" w:rsidP="00F11BE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F11BEB">
              <w:rPr>
                <w:rFonts w:ascii="Times New Roman" w:eastAsia="Times New Roman" w:hAnsi="Times New Roman" w:cs="Times New Roman"/>
              </w:rPr>
              <w:t xml:space="preserve">Структурно-логічна схема </w:t>
            </w:r>
            <w:proofErr w:type="spellStart"/>
            <w:r w:rsidRPr="00F11BEB">
              <w:rPr>
                <w:rFonts w:ascii="Times New Roman" w:eastAsia="Times New Roman" w:hAnsi="Times New Roman" w:cs="Times New Roman"/>
              </w:rPr>
              <w:t>геопросторового</w:t>
            </w:r>
            <w:proofErr w:type="spellEnd"/>
            <w:r w:rsidRPr="00F11BEB">
              <w:rPr>
                <w:rFonts w:ascii="Times New Roman" w:eastAsia="Times New Roman" w:hAnsi="Times New Roman" w:cs="Times New Roman"/>
              </w:rPr>
              <w:t xml:space="preserve"> дослідження</w:t>
            </w:r>
          </w:p>
          <w:p w:rsidR="001B4B2B" w:rsidRPr="001B4B2B" w:rsidRDefault="00F11BEB" w:rsidP="00F11BE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F11BEB">
              <w:rPr>
                <w:rFonts w:ascii="Times New Roman" w:eastAsia="Times New Roman" w:hAnsi="Times New Roman" w:cs="Times New Roman"/>
              </w:rPr>
              <w:t>туристичного ринку.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F11BEB" w:rsidP="00F11BE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11BEB">
              <w:rPr>
                <w:rFonts w:ascii="Times New Roman" w:eastAsia="Times New Roman" w:hAnsi="Times New Roman" w:cs="Times New Roman"/>
              </w:rPr>
              <w:t>Застосування загальнонаукових, міждисциплінарних і спеціальних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>методів. Парадигми дослідження туристичного ринку. Структурно-логічна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>схема суспільно-географічного дослідження туристичного ринку. Модель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>реалізації компонентного системно-структурного просторово-часового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>аналізу регіонального туристичного тинку. Принципова модель дослідження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 xml:space="preserve">туристичного ринку. </w:t>
            </w:r>
            <w:proofErr w:type="spellStart"/>
            <w:r w:rsidRPr="00F11BEB">
              <w:rPr>
                <w:rFonts w:ascii="Times New Roman" w:eastAsia="Times New Roman" w:hAnsi="Times New Roman" w:cs="Times New Roman"/>
              </w:rPr>
              <w:t>Макродослідження</w:t>
            </w:r>
            <w:proofErr w:type="spellEnd"/>
            <w:r w:rsidRPr="00F11BEB">
              <w:rPr>
                <w:rFonts w:ascii="Times New Roman" w:eastAsia="Times New Roman" w:hAnsi="Times New Roman" w:cs="Times New Roman"/>
              </w:rPr>
              <w:t>. Дослідження стану і напрямів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>розвитку національного рику як складової регіонального та глобального ринків туристичних послуг. Визначення специфіки функціонування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 xml:space="preserve">національних і </w:t>
            </w:r>
            <w:proofErr w:type="spellStart"/>
            <w:r w:rsidRPr="00F11BEB">
              <w:rPr>
                <w:rFonts w:ascii="Times New Roman" w:eastAsia="Times New Roman" w:hAnsi="Times New Roman" w:cs="Times New Roman"/>
              </w:rPr>
              <w:t>внутрінаціональних</w:t>
            </w:r>
            <w:proofErr w:type="spellEnd"/>
            <w:r w:rsidRPr="00F11BEB">
              <w:rPr>
                <w:rFonts w:ascii="Times New Roman" w:eastAsia="Times New Roman" w:hAnsi="Times New Roman" w:cs="Times New Roman"/>
              </w:rPr>
              <w:t xml:space="preserve"> ринкових структур. Дослідження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11BEB">
              <w:rPr>
                <w:rFonts w:ascii="Times New Roman" w:eastAsia="Times New Roman" w:hAnsi="Times New Roman" w:cs="Times New Roman"/>
              </w:rPr>
              <w:t>мікрорівня.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EA1065" w:rsidRDefault="00EA1065" w:rsidP="00EA106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A1065">
              <w:rPr>
                <w:rFonts w:ascii="Times New Roman" w:eastAsia="Times New Roman" w:hAnsi="Times New Roman" w:cs="Times New Roman"/>
              </w:rPr>
              <w:t xml:space="preserve">Методика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макрорегіональних</w:t>
            </w:r>
            <w:proofErr w:type="spellEnd"/>
            <w:r w:rsidRPr="00EA1065">
              <w:rPr>
                <w:rFonts w:ascii="Times New Roman" w:eastAsia="Times New Roman" w:hAnsi="Times New Roman" w:cs="Times New Roman"/>
              </w:rPr>
              <w:t xml:space="preserve"> досліджень туристичного</w:t>
            </w:r>
          </w:p>
          <w:p w:rsidR="001B4B2B" w:rsidRPr="001B4B2B" w:rsidRDefault="00EA1065" w:rsidP="00EA1065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EA1065">
              <w:rPr>
                <w:rFonts w:ascii="Times New Roman" w:eastAsia="Times New Roman" w:hAnsi="Times New Roman" w:cs="Times New Roman"/>
              </w:rPr>
              <w:t>ринку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65" w:rsidRPr="00EA1065" w:rsidRDefault="00EA1065" w:rsidP="00EA1065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EA1065">
              <w:rPr>
                <w:rFonts w:ascii="Times New Roman" w:eastAsia="Times New Roman" w:hAnsi="Times New Roman" w:cs="Times New Roman"/>
              </w:rPr>
              <w:t xml:space="preserve">Методика дослідження туристичного ринку макрорівня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A1065">
              <w:rPr>
                <w:rFonts w:ascii="Times New Roman" w:eastAsia="Times New Roman" w:hAnsi="Times New Roman" w:cs="Times New Roman"/>
              </w:rPr>
              <w:t xml:space="preserve"> визначення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065">
              <w:rPr>
                <w:rFonts w:ascii="Times New Roman" w:eastAsia="Times New Roman" w:hAnsi="Times New Roman" w:cs="Times New Roman"/>
              </w:rPr>
              <w:t>тенденцій, характеру міжнародних туристичних потоків і особливостей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065">
              <w:rPr>
                <w:rFonts w:ascii="Times New Roman" w:eastAsia="Times New Roman" w:hAnsi="Times New Roman" w:cs="Times New Roman"/>
              </w:rPr>
              <w:t xml:space="preserve">формування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геопросторових</w:t>
            </w:r>
            <w:proofErr w:type="spellEnd"/>
            <w:r w:rsidRPr="00EA1065">
              <w:rPr>
                <w:rFonts w:ascii="Times New Roman" w:eastAsia="Times New Roman" w:hAnsi="Times New Roman" w:cs="Times New Roman"/>
              </w:rPr>
              <w:t xml:space="preserve"> структур. Схема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макродослідження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065">
              <w:rPr>
                <w:rFonts w:ascii="Times New Roman" w:eastAsia="Times New Roman" w:hAnsi="Times New Roman" w:cs="Times New Roman"/>
              </w:rPr>
              <w:t xml:space="preserve">туристичного ринку. Мета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макрорегіонального</w:t>
            </w:r>
            <w:proofErr w:type="spellEnd"/>
            <w:r w:rsidRPr="00EA1065">
              <w:rPr>
                <w:rFonts w:ascii="Times New Roman" w:eastAsia="Times New Roman" w:hAnsi="Times New Roman" w:cs="Times New Roman"/>
              </w:rPr>
              <w:t xml:space="preserve"> аналізу. Визначення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065">
              <w:rPr>
                <w:rFonts w:ascii="Times New Roman" w:eastAsia="Times New Roman" w:hAnsi="Times New Roman" w:cs="Times New Roman"/>
              </w:rPr>
              <w:t>характеру туристичного процесу та його територіальна диференціація як</w:t>
            </w:r>
          </w:p>
          <w:p w:rsidR="00EA1065" w:rsidRPr="00EA1065" w:rsidRDefault="00EA1065" w:rsidP="00EA106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A1065">
              <w:rPr>
                <w:rFonts w:ascii="Times New Roman" w:eastAsia="Times New Roman" w:hAnsi="Times New Roman" w:cs="Times New Roman"/>
              </w:rPr>
              <w:lastRenderedPageBreak/>
              <w:t xml:space="preserve">основа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макрорегіонального</w:t>
            </w:r>
            <w:proofErr w:type="spellEnd"/>
            <w:r w:rsidRPr="00EA1065">
              <w:rPr>
                <w:rFonts w:ascii="Times New Roman" w:eastAsia="Times New Roman" w:hAnsi="Times New Roman" w:cs="Times New Roman"/>
              </w:rPr>
              <w:t xml:space="preserve"> аналізу. Одиниця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макрорегіонального</w:t>
            </w:r>
            <w:proofErr w:type="spellEnd"/>
            <w:r w:rsidRPr="00EA1065">
              <w:rPr>
                <w:rFonts w:ascii="Times New Roman" w:eastAsia="Times New Roman" w:hAnsi="Times New Roman" w:cs="Times New Roman"/>
              </w:rPr>
              <w:t xml:space="preserve"> аналізу.</w:t>
            </w:r>
          </w:p>
          <w:p w:rsidR="001B4B2B" w:rsidRPr="001B4B2B" w:rsidRDefault="00EA1065" w:rsidP="00EA1065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EA1065">
              <w:rPr>
                <w:rFonts w:ascii="Times New Roman" w:eastAsia="Times New Roman" w:hAnsi="Times New Roman" w:cs="Times New Roman"/>
              </w:rPr>
              <w:t xml:space="preserve">Механізм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макрорегіонального</w:t>
            </w:r>
            <w:proofErr w:type="spellEnd"/>
            <w:r w:rsidRPr="00EA1065">
              <w:rPr>
                <w:rFonts w:ascii="Times New Roman" w:eastAsia="Times New Roman" w:hAnsi="Times New Roman" w:cs="Times New Roman"/>
              </w:rPr>
              <w:t xml:space="preserve"> аналізу. Європа, Америка, Африка, Східна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1065">
              <w:rPr>
                <w:rFonts w:ascii="Times New Roman" w:eastAsia="Times New Roman" w:hAnsi="Times New Roman" w:cs="Times New Roman"/>
              </w:rPr>
              <w:t>Азія і Тихоокеанській басейн, Близький Схід, Південна Азія як туристичні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A1065">
              <w:rPr>
                <w:rFonts w:ascii="Times New Roman" w:eastAsia="Times New Roman" w:hAnsi="Times New Roman" w:cs="Times New Roman"/>
              </w:rPr>
              <w:t>макрорегіони</w:t>
            </w:r>
            <w:proofErr w:type="spellEnd"/>
            <w:r w:rsidRPr="00EA1065">
              <w:rPr>
                <w:rFonts w:ascii="Times New Roman" w:eastAsia="Times New Roman" w:hAnsi="Times New Roman" w:cs="Times New Roman"/>
              </w:rPr>
              <w:t>. Принципи делімітації глобальних форм територіальної організації світового туристичного ринку.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lastRenderedPageBreak/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C14B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48409E" w:rsidP="0075264D">
            <w:pPr>
              <w:rPr>
                <w:rFonts w:ascii="Times New Roman" w:eastAsia="Times New Roman" w:hAnsi="Times New Roman" w:cs="Times New Roman"/>
                <w:iCs/>
              </w:rPr>
            </w:pPr>
            <w:r w:rsidRPr="0048409E">
              <w:rPr>
                <w:rFonts w:ascii="Times New Roman" w:eastAsia="Times New Roman" w:hAnsi="Times New Roman" w:cs="Times New Roman"/>
                <w:iCs/>
              </w:rPr>
              <w:t>Методика дослідження національного туристичного ринку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9E" w:rsidRPr="0048409E" w:rsidRDefault="0048409E" w:rsidP="0048409E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48409E">
              <w:rPr>
                <w:rFonts w:ascii="Times New Roman" w:eastAsia="Times New Roman" w:hAnsi="Times New Roman" w:cs="Times New Roman"/>
              </w:rPr>
              <w:t>Оцінка умов і чинників функціонування національного ринку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409E">
              <w:rPr>
                <w:rFonts w:ascii="Times New Roman" w:eastAsia="Times New Roman" w:hAnsi="Times New Roman" w:cs="Times New Roman"/>
              </w:rPr>
              <w:t>туристичних послуг. Дослідження зовнішньої функції національного ринку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409E">
              <w:rPr>
                <w:rFonts w:ascii="Times New Roman" w:eastAsia="Times New Roman" w:hAnsi="Times New Roman" w:cs="Times New Roman"/>
              </w:rPr>
              <w:t>туристичних послуг. Методика дослідження внутрішнього ринку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8409E">
              <w:rPr>
                <w:rFonts w:ascii="Times New Roman" w:eastAsia="Times New Roman" w:hAnsi="Times New Roman" w:cs="Times New Roman"/>
              </w:rPr>
              <w:t>туристичних послуг. Комплексний аналіз національного туристичного ринку.</w:t>
            </w:r>
          </w:p>
          <w:p w:rsidR="0048409E" w:rsidRPr="0048409E" w:rsidRDefault="0048409E" w:rsidP="0048409E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48409E">
              <w:rPr>
                <w:rFonts w:ascii="Times New Roman" w:eastAsia="Times New Roman" w:hAnsi="Times New Roman" w:cs="Times New Roman"/>
              </w:rPr>
              <w:t>Показники та методика. Оцінка розвитку туристичної галузі. Ємність ринку.</w:t>
            </w:r>
          </w:p>
          <w:p w:rsidR="0048409E" w:rsidRPr="0048409E" w:rsidRDefault="0048409E" w:rsidP="0048409E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48409E">
              <w:rPr>
                <w:rFonts w:ascii="Times New Roman" w:eastAsia="Times New Roman" w:hAnsi="Times New Roman" w:cs="Times New Roman"/>
              </w:rPr>
              <w:t>Визначення напрямів розвитку та стимулювання ринкової діяльності.</w:t>
            </w:r>
          </w:p>
          <w:p w:rsidR="001B4B2B" w:rsidRPr="001B4B2B" w:rsidRDefault="0048409E" w:rsidP="0048409E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48409E">
              <w:rPr>
                <w:rFonts w:ascii="Times New Roman" w:eastAsia="Times New Roman" w:hAnsi="Times New Roman" w:cs="Times New Roman"/>
              </w:rPr>
              <w:t>Туристична політика. Державне регулювання туристичної сфери.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8B67D6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B67D6">
              <w:rPr>
                <w:rFonts w:ascii="Times New Roman" w:eastAsia="Times New Roman" w:hAnsi="Times New Roman" w:cs="Times New Roman"/>
              </w:rPr>
              <w:t>Умови і чинники формування попиту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2B" w:rsidRPr="001B4B2B" w:rsidRDefault="008B67D6" w:rsidP="008B67D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67D6">
              <w:rPr>
                <w:rFonts w:ascii="Times New Roman" w:eastAsia="Times New Roman" w:hAnsi="Times New Roman" w:cs="Times New Roman"/>
              </w:rPr>
              <w:t>Класифікація умов і чинників, їх вплив на формування попиту 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67D6">
              <w:rPr>
                <w:rFonts w:ascii="Times New Roman" w:eastAsia="Times New Roman" w:hAnsi="Times New Roman" w:cs="Times New Roman"/>
              </w:rPr>
              <w:t>послуги туризму. Стиль життя як інтегральний чинник туристичного попиту.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67D6">
              <w:rPr>
                <w:rFonts w:ascii="Times New Roman" w:eastAsia="Times New Roman" w:hAnsi="Times New Roman" w:cs="Times New Roman"/>
              </w:rPr>
              <w:t>Критерії класифікації стилів життя. Характеристика туристичного попиту.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67D6">
              <w:rPr>
                <w:rFonts w:ascii="Times New Roman" w:eastAsia="Times New Roman" w:hAnsi="Times New Roman" w:cs="Times New Roman"/>
              </w:rPr>
              <w:t>Поведінка споживачів. Структура витрат туриста. Мотиваційні пріоритети 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67D6">
              <w:rPr>
                <w:rFonts w:ascii="Times New Roman" w:eastAsia="Times New Roman" w:hAnsi="Times New Roman" w:cs="Times New Roman"/>
              </w:rPr>
              <w:t>процес прийняття рішень. Тип і характерні ознаки поведінки споживачів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67D6">
              <w:rPr>
                <w:rFonts w:ascii="Times New Roman" w:eastAsia="Times New Roman" w:hAnsi="Times New Roman" w:cs="Times New Roman"/>
              </w:rPr>
              <w:t>туристичних послуг.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Ділові ігри.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  <w:snapToGrid w:val="0"/>
              </w:rPr>
            </w:pPr>
            <w:r w:rsidRPr="001B4B2B">
              <w:rPr>
                <w:rFonts w:ascii="Times New Roman" w:eastAsia="Times New Roman" w:hAnsi="Times New Roman" w:cs="Times New Roman"/>
                <w:snapToGrid w:val="0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  <w:tr w:rsidR="001B4B2B" w:rsidRPr="001B4B2B" w:rsidTr="00384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F91348" w:rsidP="0075264D">
            <w:pPr>
              <w:rPr>
                <w:rFonts w:ascii="Times New Roman" w:eastAsia="Times New Roman" w:hAnsi="Times New Roman" w:cs="Times New Roman"/>
              </w:rPr>
            </w:pPr>
            <w:r w:rsidRPr="00F91348">
              <w:rPr>
                <w:rFonts w:ascii="Times New Roman" w:eastAsia="Times New Roman" w:hAnsi="Times New Roman" w:cs="Times New Roman"/>
              </w:rPr>
              <w:t>Регіональні особливості споживання туристичних послу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426F9B" w:rsidP="00426F9B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B4B2B" w:rsidRPr="001B4B2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48" w:rsidRPr="00F91348" w:rsidRDefault="00F91348" w:rsidP="00F91348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91348">
              <w:rPr>
                <w:rFonts w:ascii="Times New Roman" w:eastAsia="Times New Roman" w:hAnsi="Times New Roman" w:cs="Times New Roman"/>
              </w:rPr>
              <w:t>Туристичне споживання як результат ринкової діяльності. Обсяг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1348">
              <w:rPr>
                <w:rFonts w:ascii="Times New Roman" w:eastAsia="Times New Roman" w:hAnsi="Times New Roman" w:cs="Times New Roman"/>
              </w:rPr>
              <w:t>туристичного споживання. Структура туристичного споживання. Етапи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1348">
              <w:rPr>
                <w:rFonts w:ascii="Times New Roman" w:eastAsia="Times New Roman" w:hAnsi="Times New Roman" w:cs="Times New Roman"/>
              </w:rPr>
              <w:t>витрат туриста. Схема реалізації туристських послуг і товарів 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91348">
              <w:rPr>
                <w:rFonts w:ascii="Times New Roman" w:eastAsia="Times New Roman" w:hAnsi="Times New Roman" w:cs="Times New Roman"/>
              </w:rPr>
              <w:t>міжнародному туризмі. Співвідношення попиту й пропозиції. Правило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1348">
              <w:rPr>
                <w:rFonts w:ascii="Times New Roman" w:eastAsia="Times New Roman" w:hAnsi="Times New Roman" w:cs="Times New Roman"/>
              </w:rPr>
              <w:t>Вальраса</w:t>
            </w:r>
            <w:proofErr w:type="spellEnd"/>
            <w:r w:rsidRPr="00F91348">
              <w:rPr>
                <w:rFonts w:ascii="Times New Roman" w:eastAsia="Times New Roman" w:hAnsi="Times New Roman" w:cs="Times New Roman"/>
              </w:rPr>
              <w:t xml:space="preserve">. Стан рівноваги на ринку </w:t>
            </w:r>
            <w:proofErr w:type="spellStart"/>
            <w:r w:rsidRPr="00F91348">
              <w:rPr>
                <w:rFonts w:ascii="Times New Roman" w:eastAsia="Times New Roman" w:hAnsi="Times New Roman" w:cs="Times New Roman"/>
              </w:rPr>
              <w:t>турпослуг</w:t>
            </w:r>
            <w:proofErr w:type="spellEnd"/>
            <w:r w:rsidRPr="00F9134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91348">
              <w:rPr>
                <w:rFonts w:ascii="Times New Roman" w:eastAsia="Times New Roman" w:hAnsi="Times New Roman" w:cs="Times New Roman"/>
              </w:rPr>
              <w:t>Макрорегіональний</w:t>
            </w:r>
            <w:proofErr w:type="spellEnd"/>
            <w:r w:rsidRPr="00F91348">
              <w:rPr>
                <w:rFonts w:ascii="Times New Roman" w:eastAsia="Times New Roman" w:hAnsi="Times New Roman" w:cs="Times New Roman"/>
              </w:rPr>
              <w:t xml:space="preserve"> аналіз</w:t>
            </w:r>
          </w:p>
          <w:p w:rsidR="00F91348" w:rsidRPr="00F91348" w:rsidRDefault="00F91348" w:rsidP="00F913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1348">
              <w:rPr>
                <w:rFonts w:ascii="Times New Roman" w:eastAsia="Times New Roman" w:hAnsi="Times New Roman" w:cs="Times New Roman"/>
              </w:rPr>
              <w:t>туристичного споживання. Показники розвитку міжнародного туризму.</w:t>
            </w:r>
          </w:p>
          <w:p w:rsidR="001B4B2B" w:rsidRPr="001B4B2B" w:rsidRDefault="00F91348" w:rsidP="00F91348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91348">
              <w:rPr>
                <w:rFonts w:ascii="Times New Roman" w:eastAsia="Times New Roman" w:hAnsi="Times New Roman" w:cs="Times New Roman"/>
              </w:rPr>
              <w:t>Динаміка міжнародних туристичних потоків. Регіональна структура туризму.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 xml:space="preserve">Презентації в 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PowerPoint.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Ділові ігри.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Практичні вправи.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Аналіз ситуацій.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Тести.</w:t>
            </w:r>
          </w:p>
          <w:p w:rsidR="001B4B2B" w:rsidRPr="001B4B2B" w:rsidRDefault="001B4B2B" w:rsidP="001B4B2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1B4B2B">
              <w:rPr>
                <w:rFonts w:ascii="Times New Roman" w:eastAsia="Times New Roman" w:hAnsi="Times New Roman" w:cs="Times New Roman"/>
              </w:rPr>
              <w:t>Індивідуальні завдання.</w:t>
            </w:r>
          </w:p>
        </w:tc>
      </w:tr>
    </w:tbl>
    <w:p w:rsidR="001B4B2B" w:rsidRDefault="001B4B2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867DEB" w:rsidRPr="001B4B2B" w:rsidRDefault="00867DEB" w:rsidP="001B4B2B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Рекомендована література</w:t>
      </w:r>
    </w:p>
    <w:p w:rsidR="001B4B2B" w:rsidRDefault="001B4B2B" w:rsidP="001B4B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Основна література: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Горіна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Г.О. Світовий ринок туристичних послуг [Текст] : конспект лекцій / Г.О.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Горіна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ДонНУЕТ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КривийРіг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, 2016. – 110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Гонтаржевська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 Л. І. Ринок туристичних послуг в Україні / Л. І. 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Гонтаржевська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Донецьк : Східний видавничий дім, 2008. – 180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Дмитриев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М.Н.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туристского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рынка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вузов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/ М.Н.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Дмитриев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М.Н.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Забаева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Е.Н.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Малыгина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– 2-е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доп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 Москва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ЮНИТИ, 2010. – 311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>4. Дядечко Л. П. Економіка туристичного бізнесу / Л. П. Дядечко. – К. :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учбової літератури, 2007. – 224 с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О.О. Потенціал рекреаційний // Екологічна енциклопедія: у 3 т.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редколегія: А.В.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Толстоухов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(гол. ред.) та ін. / О.О.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 К.: – ТОВ «Центр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екологічної освіти та інформації», 2008. – Т. 3: О-Я. – С. 129-130.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 О. О. Ринок туристичних послуг /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 О. О. – К. :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Альтерпрес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2006. – 436 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О.О.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Геопросторова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організація туристичного процесу 2003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на здобуття наук. ступеня доктора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геогр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наук: 11.00.02 / О.О.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К., 2003. – 29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О. Туристичні ресурси України: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посібник /О.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Любіцева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Є.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Панкова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В.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Стафійчук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Альтерпрес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, 2007. – 369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 П. Туристичний бізнес: теорія та практика :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навч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посіб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/ М.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В. В.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Худо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 Київ : ЦУЛ, 2007. – 424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 П. Особливості туристичних послуг: проблеми пов’язані з їх просуванням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/ М. П.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Ю. С.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Занько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// Географія і туризм: європейський досвід. Матеріали ІІ 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міжнар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наук.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 (Львів– Славське, 25–28 вересня 2008 р.). – Львів : Вид. центр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ЛНУ, 2008. – С. 87–89.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 П. Міжнародний туризм і сфера послуг : підручник / М.П.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, Н. В.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>Антонюк, Н. М. Ганич. – К. : Знання, – 661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 П. Організація туристичного обслуговування : підручник / М.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В. В.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Худо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Ю. С.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Занько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 К. : Знання, 2011. – 275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 П. Ресторанна справа: технологія та організація обслуговування туристів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(теорія та практика) : підручник / М. П.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О. М.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Гаталяк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, Н. М. Ганич. – К.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Центр учбової літератури, 2013. – 304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 П. Актуальні проблеми управління туристичною індустрією: навчальний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посібник / М. П.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І. С.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Пурська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. – Львів : Вид. центр ЛНУ, 2006. – 78 c.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М.П. Туризм у міжнародному і національному вимірах. Історія і сучасність/: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М.Й.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Рутинський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, Н.М. Паньків: Монографія. – Львів: Видавничий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3831">
        <w:rPr>
          <w:rFonts w:ascii="Times New Roman" w:eastAsia="Times New Roman" w:hAnsi="Times New Roman" w:cs="Times New Roman"/>
          <w:sz w:val="24"/>
          <w:szCs w:val="24"/>
        </w:rPr>
        <w:t>центр ЛНУ імені Івана Франка, 2008. – 266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Тарасенок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А. И.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Геоэкономический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механизм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конкурентоспособности</w:t>
      </w:r>
      <w:proofErr w:type="spellEnd"/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туристической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дестинации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.-метод.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пособие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/ А. И.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Тарасенок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Минск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: РИПО,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>2014. – 144 с.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17. Федорченко В. К.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Туризмологія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>: концептуальні засади теорії туризму : монографія / В.</w:t>
      </w:r>
    </w:p>
    <w:p w:rsidR="00553831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К. Федорченко, В. С.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Пазенок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О. А.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Кручек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, М. П. </w:t>
      </w:r>
      <w:proofErr w:type="spellStart"/>
      <w:r w:rsidRPr="00553831">
        <w:rPr>
          <w:rFonts w:ascii="Times New Roman" w:eastAsia="Times New Roman" w:hAnsi="Times New Roman" w:cs="Times New Roman"/>
          <w:sz w:val="24"/>
          <w:szCs w:val="24"/>
        </w:rPr>
        <w:t>Мальська</w:t>
      </w:r>
      <w:proofErr w:type="spellEnd"/>
      <w:r w:rsidRPr="00553831">
        <w:rPr>
          <w:rFonts w:ascii="Times New Roman" w:eastAsia="Times New Roman" w:hAnsi="Times New Roman" w:cs="Times New Roman"/>
          <w:sz w:val="24"/>
          <w:szCs w:val="24"/>
        </w:rPr>
        <w:t xml:space="preserve"> та ін. / К. : ВЦ “Академія”,</w:t>
      </w:r>
    </w:p>
    <w:p w:rsidR="00D90774" w:rsidRPr="00553831" w:rsidRDefault="00553831" w:rsidP="00553831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831">
        <w:rPr>
          <w:rFonts w:ascii="Times New Roman" w:eastAsia="Times New Roman" w:hAnsi="Times New Roman" w:cs="Times New Roman"/>
          <w:sz w:val="24"/>
          <w:szCs w:val="24"/>
        </w:rPr>
        <w:t>2013. – 368 с.</w:t>
      </w:r>
    </w:p>
    <w:p w:rsidR="00B679E3" w:rsidRDefault="00B679E3" w:rsidP="001B4B2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 xml:space="preserve">Інформаційні ресурси. 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Кабінет Міністрів України [Електронний ресурс]. - Режим доступу: http: // www.kmu.gov.ua.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Законодавство України [Електронний ресурс]. - Режим доступу: </w:t>
      </w:r>
      <w:hyperlink r:id="rId6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http://www.rada.kiev.ua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Національна бібліотека ім. В. Вернадського [Електронний ресурс]. - Режим доступу: </w:t>
      </w:r>
      <w:hyperlink r:id="rId7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http://nbuv.gov.ua/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Система дистанційного навчання СНУ ім. В. Даля – </w:t>
      </w:r>
      <w:hyperlink r:id="rId8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http://moodle.snu.edu.ua/</w:t>
        </w:r>
      </w:hyperlink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B4B2B" w:rsidRPr="001B4B2B" w:rsidRDefault="001B4B2B" w:rsidP="001B4B2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B4B2B">
        <w:rPr>
          <w:rFonts w:ascii="Times New Roman" w:eastAsia="Times New Roman" w:hAnsi="Times New Roman" w:cs="Times New Roman"/>
          <w:sz w:val="24"/>
          <w:szCs w:val="28"/>
        </w:rPr>
        <w:t xml:space="preserve">Сайт №2 системи дистанційного навчання СНУ ім. В. Даля – </w:t>
      </w:r>
      <w:hyperlink r:id="rId9" w:history="1">
        <w:r w:rsidRPr="001B4B2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</w:rPr>
          <w:t>http://moodlesti.snu.edu.ua/</w:t>
        </w:r>
      </w:hyperlink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www.world-tourism.org/ruso/ – російська версія сервера Всесвітньої туристичної організації (ВТО).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www.itravel.ru/biblio/ – бібліотека літератури по туризму.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www.tut-i-tam.lviv.net – українська туристична газета "Тут і там"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www.infocity.ru – новини туристичної індустрії </w:t>
      </w:r>
    </w:p>
    <w:p w:rsidR="00CB44E5" w:rsidRPr="00CB44E5" w:rsidRDefault="00CB44E5" w:rsidP="00CB44E5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038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. www.tourism.ru – журнал "Туризм: практика,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44E5">
        <w:rPr>
          <w:rFonts w:ascii="Times New Roman" w:eastAsia="Times New Roman" w:hAnsi="Times New Roman" w:cs="Times New Roman"/>
          <w:sz w:val="24"/>
          <w:szCs w:val="24"/>
        </w:rPr>
        <w:t>перспективы</w:t>
      </w:r>
      <w:proofErr w:type="spellEnd"/>
      <w:r w:rsidRPr="00CB44E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1B4B2B" w:rsidRPr="001B4B2B" w:rsidRDefault="001B4B2B" w:rsidP="001B4B2B">
      <w:pPr>
        <w:spacing w:after="0" w:line="228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B2B" w:rsidRPr="001B4B2B" w:rsidRDefault="001B4B2B" w:rsidP="001B4B2B">
      <w:pPr>
        <w:spacing w:after="0" w:line="228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Методичне забезпечення</w:t>
      </w:r>
    </w:p>
    <w:p w:rsidR="00E97DAE" w:rsidRDefault="00E97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5DAE" w:rsidRDefault="00A25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Навчально-методичний комплекс з дисципліни «Міжнародний туризм» для студентів спеціальності 242 «Туризм» / </w:t>
      </w:r>
      <w:proofErr w:type="spellStart"/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Заваріка</w:t>
      </w:r>
      <w:proofErr w:type="spellEnd"/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Г. М.</w:t>
      </w:r>
      <w:r w:rsidRPr="00A25DAE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Східноукраїнський національний університет імені Володимира Даля. – Луганськ, 2014. - 204 с.</w:t>
      </w:r>
    </w:p>
    <w:p w:rsidR="00A25DAE" w:rsidRPr="00E97DAE" w:rsidRDefault="00A25DAE" w:rsidP="00E97DAE">
      <w:pPr>
        <w:spacing w:after="0" w:line="228" w:lineRule="auto"/>
        <w:ind w:left="-76" w:firstLine="64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Оцінювання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84"/>
        <w:gridCol w:w="1697"/>
      </w:tblGrid>
      <w:tr w:rsidR="001B4B2B" w:rsidRPr="001B4B2B" w:rsidTr="00D8751D">
        <w:trPr>
          <w:trHeight w:val="280"/>
          <w:jc w:val="center"/>
        </w:trPr>
        <w:tc>
          <w:tcPr>
            <w:tcW w:w="7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Інструменти і завдання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балів</w:t>
            </w:r>
          </w:p>
        </w:tc>
      </w:tr>
      <w:tr w:rsidR="001B4B2B" w:rsidRPr="001B4B2B" w:rsidTr="00D8751D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 форма</w:t>
            </w:r>
          </w:p>
        </w:tc>
      </w:tr>
      <w:tr w:rsidR="001B4B2B" w:rsidRPr="001B4B2B" w:rsidTr="00D8751D">
        <w:trPr>
          <w:trHeight w:val="279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Присутність на заняттях та засвоєння лекційного матеріалу за темами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Присутність на заняттях (у період настановної сесії) та своєчасне виконання самостійних практичних завдань у межах тем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Індивідуальна робота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 (тест)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4B2B" w:rsidRPr="001B4B2B" w:rsidTr="00D8751D">
        <w:trPr>
          <w:trHeight w:val="280"/>
          <w:jc w:val="center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0E" w:rsidRPr="001B4B2B" w:rsidRDefault="00542E0E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Шкала оцінювання студентів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656"/>
        <w:gridCol w:w="3308"/>
        <w:gridCol w:w="2601"/>
      </w:tblGrid>
      <w:tr w:rsidR="001B4B2B" w:rsidRPr="001B4B2B" w:rsidTr="00D8751D">
        <w:trPr>
          <w:trHeight w:val="449"/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7dp8vu"/>
            <w:bookmarkEnd w:id="4"/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r w:rsidRPr="001B4B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3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1B4B2B" w:rsidRPr="001B4B2B" w:rsidTr="00D8751D">
        <w:trPr>
          <w:trHeight w:val="4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1B4B2B" w:rsidRPr="001B4B2B" w:rsidTr="00D8751D">
        <w:trPr>
          <w:trHeight w:val="193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74-81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64-73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271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2B" w:rsidRPr="001B4B2B" w:rsidTr="00D8751D">
        <w:trPr>
          <w:trHeight w:val="82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FX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1B4B2B" w:rsidRPr="001B4B2B" w:rsidTr="00D8751D">
        <w:trPr>
          <w:trHeight w:val="706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0-34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2B" w:rsidRPr="001B4B2B" w:rsidRDefault="001B4B2B" w:rsidP="001B4B2B">
            <w:pPr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1B4B2B" w:rsidRPr="001B4B2B" w:rsidRDefault="001B4B2B" w:rsidP="001B4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B2B">
        <w:rPr>
          <w:rFonts w:ascii="Times New Roman" w:eastAsia="Times New Roman" w:hAnsi="Times New Roman" w:cs="Times New Roman"/>
          <w:b/>
          <w:sz w:val="24"/>
          <w:szCs w:val="24"/>
        </w:rPr>
        <w:t>Політика курсу</w:t>
      </w:r>
    </w:p>
    <w:p w:rsidR="001B4B2B" w:rsidRPr="001B4B2B" w:rsidRDefault="001B4B2B" w:rsidP="001B4B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Дотримання академічної доброчесності за курсом ґрунтується на внутрішньо-університетській системі запобігання та виявлення академічного плагіату. До основних вимог за курсом віднесено -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посилання на джерела інформації у разі використання ідей, розробок, тверджень, відомостей; надання достовірної інформації про результати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власної навчальної (наукової, творчої) діяльності, використані методики досліджень і джерела інформації.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Перевірка текстів на унікальність здійснюється однаковими для всіх здобувачів засобами: – за допомогою програмного забезпечення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Unicheck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і засобів системи MOODLE; за </w:t>
            </w:r>
            <w:proofErr w:type="spellStart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Internet</w:t>
            </w:r>
            <w:proofErr w:type="spellEnd"/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-джерелами – за допомогою програми Antiplagiarism.net.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Очікується, що всі здобувачі вищої освіти відвідають усі лекції і практичні заняття курсу. Здобувачі мають інформувати викладача про неможливість відвідати заняття. У будь-якому випадку здобувачі зобов’язані дотримуватися термінів виконання усіх видів робіт, передбачених курсом. </w:t>
            </w: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Якщо здобувач вищої освіти відсутній з поважної причини, він/вона презентує виконані завдання під час консультації викладача. Здобувач вищої освіти має право на оскарження результатів оцінювання.</w:t>
            </w:r>
          </w:p>
        </w:tc>
      </w:tr>
      <w:tr w:rsidR="001B4B2B" w:rsidRPr="001B4B2B" w:rsidTr="00D8751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0"/>
              </w:rP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1B4B2B" w:rsidRPr="001B4B2B" w:rsidRDefault="001B4B2B" w:rsidP="001B4B2B">
            <w:pPr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аудиторні заняття слухачі мають з’являтися  вчасно відповідно до діючого розкладу занять, яке міститься на сайті університету. Під час занять усі його учасники мають дотримуватися вимог техніки безпеки. </w:t>
            </w:r>
          </w:p>
        </w:tc>
      </w:tr>
    </w:tbl>
    <w:p w:rsidR="001B4B2B" w:rsidRPr="001B4B2B" w:rsidRDefault="001B4B2B" w:rsidP="001B4B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B4B2B" w:rsidRPr="001B4B2B" w:rsidRDefault="001B4B2B" w:rsidP="001B4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C4FB5" w:rsidRPr="00F37BA0" w:rsidRDefault="004040DC">
      <w:pPr>
        <w:rPr>
          <w:lang w:val="en-US"/>
        </w:rPr>
      </w:pPr>
    </w:p>
    <w:sectPr w:rsidR="00DC4FB5" w:rsidRPr="00F37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646F"/>
    <w:multiLevelType w:val="hybridMultilevel"/>
    <w:tmpl w:val="6646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33"/>
    <w:rsid w:val="001B4B2B"/>
    <w:rsid w:val="001C5691"/>
    <w:rsid w:val="00266DA4"/>
    <w:rsid w:val="00303817"/>
    <w:rsid w:val="00351233"/>
    <w:rsid w:val="00352178"/>
    <w:rsid w:val="00355381"/>
    <w:rsid w:val="00377045"/>
    <w:rsid w:val="00384679"/>
    <w:rsid w:val="00386DF9"/>
    <w:rsid w:val="004040DC"/>
    <w:rsid w:val="00426F9B"/>
    <w:rsid w:val="004640C1"/>
    <w:rsid w:val="0047633F"/>
    <w:rsid w:val="0048409E"/>
    <w:rsid w:val="00531F17"/>
    <w:rsid w:val="00542E0E"/>
    <w:rsid w:val="00553831"/>
    <w:rsid w:val="006011E9"/>
    <w:rsid w:val="0066727B"/>
    <w:rsid w:val="00671629"/>
    <w:rsid w:val="006722C7"/>
    <w:rsid w:val="00727FF1"/>
    <w:rsid w:val="007467B8"/>
    <w:rsid w:val="0075264D"/>
    <w:rsid w:val="0084614F"/>
    <w:rsid w:val="00867DEB"/>
    <w:rsid w:val="008B0F0E"/>
    <w:rsid w:val="008B67D6"/>
    <w:rsid w:val="0095289A"/>
    <w:rsid w:val="009E696C"/>
    <w:rsid w:val="00A0196E"/>
    <w:rsid w:val="00A25DAE"/>
    <w:rsid w:val="00A45334"/>
    <w:rsid w:val="00AB5479"/>
    <w:rsid w:val="00AC1DD5"/>
    <w:rsid w:val="00AE462A"/>
    <w:rsid w:val="00B679E3"/>
    <w:rsid w:val="00B87080"/>
    <w:rsid w:val="00BF1ACE"/>
    <w:rsid w:val="00C103DF"/>
    <w:rsid w:val="00C14BE2"/>
    <w:rsid w:val="00C55649"/>
    <w:rsid w:val="00CB44E5"/>
    <w:rsid w:val="00CF043B"/>
    <w:rsid w:val="00D90774"/>
    <w:rsid w:val="00DA1279"/>
    <w:rsid w:val="00DC3930"/>
    <w:rsid w:val="00DD6169"/>
    <w:rsid w:val="00E3650F"/>
    <w:rsid w:val="00E97DAE"/>
    <w:rsid w:val="00EA1065"/>
    <w:rsid w:val="00EE0CFA"/>
    <w:rsid w:val="00F11BEB"/>
    <w:rsid w:val="00F120BD"/>
    <w:rsid w:val="00F37BA0"/>
    <w:rsid w:val="00F420BB"/>
    <w:rsid w:val="00F4754B"/>
    <w:rsid w:val="00F91348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DCF9"/>
  <w15:chartTrackingRefBased/>
  <w15:docId w15:val="{3B3450E3-0160-4C8E-A012-9BBADFDB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kiev.u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odlesti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10476</Words>
  <Characters>5972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Заварика</dc:creator>
  <cp:keywords/>
  <dc:description/>
  <cp:lastModifiedBy>Галина Заварика</cp:lastModifiedBy>
  <cp:revision>4</cp:revision>
  <dcterms:created xsi:type="dcterms:W3CDTF">2020-10-13T17:01:00Z</dcterms:created>
  <dcterms:modified xsi:type="dcterms:W3CDTF">2020-10-15T15:03:00Z</dcterms:modified>
</cp:coreProperties>
</file>