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A60F31" w:rsidRPr="00A60F31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F31" w:rsidRDefault="00ED7BA0" w:rsidP="00727660">
            <w:pPr>
              <w:spacing w:line="276" w:lineRule="auto"/>
              <w:jc w:val="both"/>
              <w:rPr>
                <w:szCs w:val="24"/>
              </w:rPr>
            </w:pPr>
            <w:bookmarkStart w:id="0" w:name="_GoBack"/>
            <w:proofErr w:type="spellStart"/>
            <w:r w:rsidRPr="00A60F31">
              <w:rPr>
                <w:szCs w:val="24"/>
              </w:rPr>
              <w:t>Силабус</w:t>
            </w:r>
            <w:proofErr w:type="spellEnd"/>
            <w:r w:rsidRPr="00A60F31">
              <w:rPr>
                <w:szCs w:val="24"/>
              </w:rPr>
              <w:t xml:space="preserve"> курсу:</w:t>
            </w:r>
            <w:r w:rsidR="00B94D93" w:rsidRPr="00A60F31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F31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F3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F31" w:rsidRPr="00A60F31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9595E18" w:rsidR="00ED7BA0" w:rsidRPr="00A60F31" w:rsidRDefault="00ED6AAD" w:rsidP="006A720C">
            <w:pPr>
              <w:spacing w:line="276" w:lineRule="auto"/>
              <w:jc w:val="center"/>
              <w:rPr>
                <w:b/>
                <w:szCs w:val="24"/>
              </w:rPr>
            </w:pPr>
            <w:r w:rsidRPr="00A60F31">
              <w:rPr>
                <w:b/>
                <w:sz w:val="28"/>
                <w:szCs w:val="24"/>
              </w:rPr>
              <w:t>ФІЗИ</w:t>
            </w:r>
            <w:r w:rsidR="006871A0" w:rsidRPr="00A60F31">
              <w:rPr>
                <w:b/>
                <w:sz w:val="28"/>
                <w:szCs w:val="24"/>
              </w:rPr>
              <w:t>КО-ХІМІЧНІ РОЗРАХУНКИ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F31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A60F31" w:rsidRPr="00A60F31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7FEE1A9D" w:rsidR="00ED7BA0" w:rsidRPr="00A60F31" w:rsidRDefault="00ED6AAD" w:rsidP="00727660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Бакалавр</w:t>
            </w:r>
          </w:p>
        </w:tc>
      </w:tr>
      <w:tr w:rsidR="00A60F31" w:rsidRPr="00A60F31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14CCD80" w:rsidR="00ED7BA0" w:rsidRPr="00A60F31" w:rsidRDefault="00ED6AAD" w:rsidP="00ED6AAD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161</w:t>
            </w:r>
            <w:r w:rsidR="009A362B" w:rsidRPr="00A60F31">
              <w:rPr>
                <w:szCs w:val="24"/>
              </w:rPr>
              <w:t xml:space="preserve"> </w:t>
            </w:r>
            <w:r w:rsidR="00F421FE" w:rsidRPr="00A60F31">
              <w:rPr>
                <w:szCs w:val="24"/>
              </w:rPr>
              <w:t>"</w:t>
            </w:r>
            <w:r w:rsidRPr="00A60F31">
              <w:rPr>
                <w:szCs w:val="24"/>
              </w:rPr>
              <w:t>Хімічні технології та інженерія</w:t>
            </w:r>
            <w:r w:rsidR="00F421FE" w:rsidRPr="00A60F31">
              <w:rPr>
                <w:szCs w:val="24"/>
              </w:rPr>
              <w:t>"</w:t>
            </w:r>
          </w:p>
        </w:tc>
      </w:tr>
      <w:tr w:rsidR="00A60F31" w:rsidRPr="00A60F31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7EE6C290" w:rsidR="00ED7BA0" w:rsidRPr="00A60F31" w:rsidRDefault="00ED6AAD" w:rsidP="00727660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2</w:t>
            </w:r>
          </w:p>
        </w:tc>
      </w:tr>
      <w:tr w:rsidR="00A60F31" w:rsidRPr="00A60F31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572706A1" w:rsidR="00ED7BA0" w:rsidRPr="00A60F31" w:rsidRDefault="006A720C" w:rsidP="00727660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весняний</w:t>
            </w:r>
          </w:p>
        </w:tc>
      </w:tr>
      <w:tr w:rsidR="00A60F31" w:rsidRPr="00A60F31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53025265" w:rsidR="00ED7BA0" w:rsidRPr="00A60F31" w:rsidRDefault="006418A6" w:rsidP="006418A6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5</w:t>
            </w:r>
            <w:r w:rsidR="006A720C" w:rsidRPr="00A60F31">
              <w:rPr>
                <w:szCs w:val="24"/>
              </w:rPr>
              <w:t>.0</w:t>
            </w:r>
          </w:p>
        </w:tc>
      </w:tr>
      <w:tr w:rsidR="00A60F31" w:rsidRPr="00A60F31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F31" w:rsidRDefault="00ED7BA0" w:rsidP="00727660">
            <w:pPr>
              <w:spacing w:line="276" w:lineRule="auto"/>
              <w:rPr>
                <w:szCs w:val="24"/>
              </w:rPr>
            </w:pPr>
            <w:r w:rsidRPr="00A60F31">
              <w:rPr>
                <w:szCs w:val="24"/>
              </w:rPr>
              <w:t>українська</w:t>
            </w:r>
          </w:p>
        </w:tc>
      </w:tr>
      <w:tr w:rsidR="0032701E" w:rsidRPr="00A60F31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F31" w:rsidRDefault="00ED7BA0" w:rsidP="009A362B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484DA8C4" w:rsidR="00ED7BA0" w:rsidRPr="00A60F31" w:rsidRDefault="00ED6AAD" w:rsidP="00ED6AAD">
            <w:pPr>
              <w:rPr>
                <w:szCs w:val="24"/>
              </w:rPr>
            </w:pPr>
            <w:r w:rsidRPr="00A60F31"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F31" w:rsidRDefault="00ED7BA0" w:rsidP="00ED7BA0">
      <w:pPr>
        <w:jc w:val="both"/>
        <w:rPr>
          <w:sz w:val="22"/>
        </w:rPr>
      </w:pPr>
    </w:p>
    <w:p w14:paraId="3ADFDD9E" w14:textId="77777777" w:rsidR="006E4301" w:rsidRPr="00A60F31" w:rsidRDefault="006E4301">
      <w:r w:rsidRPr="00A60F31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46"/>
        <w:gridCol w:w="2037"/>
        <w:gridCol w:w="274"/>
        <w:gridCol w:w="1349"/>
        <w:gridCol w:w="719"/>
        <w:gridCol w:w="273"/>
        <w:gridCol w:w="2798"/>
      </w:tblGrid>
      <w:tr w:rsidR="00A60F31" w:rsidRPr="00A60F31" w14:paraId="37B65D8B" w14:textId="77777777" w:rsidTr="00D21065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05C03C8F" w:rsidR="00ED7BA0" w:rsidRPr="00A60F31" w:rsidRDefault="00ED7BA0" w:rsidP="00727660">
            <w:pPr>
              <w:jc w:val="both"/>
              <w:rPr>
                <w:szCs w:val="24"/>
              </w:rPr>
            </w:pPr>
            <w:r w:rsidRPr="00A60F31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F31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60F31" w:rsidRPr="00A60F31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177D275" w:rsidR="00ED7BA0" w:rsidRPr="00A60F31" w:rsidRDefault="00ED6AAD" w:rsidP="00ED6AAD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F31">
              <w:rPr>
                <w:szCs w:val="24"/>
              </w:rPr>
              <w:t>к.т</w:t>
            </w:r>
            <w:r w:rsidR="00ED7BA0" w:rsidRPr="00A60F31">
              <w:rPr>
                <w:szCs w:val="24"/>
              </w:rPr>
              <w:t>.н</w:t>
            </w:r>
            <w:proofErr w:type="spellEnd"/>
            <w:r w:rsidR="00ED7BA0" w:rsidRPr="00A60F31">
              <w:rPr>
                <w:szCs w:val="24"/>
              </w:rPr>
              <w:t xml:space="preserve">., </w:t>
            </w:r>
            <w:r w:rsidRPr="00A60F31">
              <w:rPr>
                <w:szCs w:val="24"/>
              </w:rPr>
              <w:t>доц</w:t>
            </w:r>
            <w:r w:rsidR="00ED7BA0" w:rsidRPr="00A60F31">
              <w:rPr>
                <w:szCs w:val="24"/>
              </w:rPr>
              <w:t xml:space="preserve">., </w:t>
            </w:r>
            <w:r w:rsidRPr="00A60F31">
              <w:rPr>
                <w:szCs w:val="24"/>
              </w:rPr>
              <w:t>Заіка Раїса Григорівна</w:t>
            </w:r>
          </w:p>
        </w:tc>
      </w:tr>
      <w:tr w:rsidR="00A60F31" w:rsidRPr="00A60F31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F31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60F31" w:rsidRPr="00A60F31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48A716B6" w:rsidR="00ED7BA0" w:rsidRPr="00A60F31" w:rsidRDefault="00DD44B6" w:rsidP="00D21065">
            <w:pPr>
              <w:spacing w:line="27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завідувач</w:t>
            </w:r>
            <w:r w:rsidR="00ED7BA0" w:rsidRPr="00A60F31">
              <w:rPr>
                <w:szCs w:val="24"/>
              </w:rPr>
              <w:t xml:space="preserve"> кафедри</w:t>
            </w:r>
            <w:r w:rsidR="00CC1623" w:rsidRPr="00A60F31">
              <w:rPr>
                <w:szCs w:val="24"/>
              </w:rPr>
              <w:t xml:space="preserve"> </w:t>
            </w:r>
            <w:r w:rsidR="00D21065" w:rsidRPr="00A60F31">
              <w:rPr>
                <w:szCs w:val="24"/>
              </w:rPr>
              <w:t>хімії та охорони праці</w:t>
            </w:r>
            <w:r w:rsidR="00ED7BA0" w:rsidRPr="00A60F31">
              <w:rPr>
                <w:szCs w:val="24"/>
              </w:rPr>
              <w:t xml:space="preserve"> </w:t>
            </w:r>
          </w:p>
        </w:tc>
      </w:tr>
      <w:tr w:rsidR="00A60F31" w:rsidRPr="00A60F31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F31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посада</w:t>
            </w:r>
          </w:p>
        </w:tc>
      </w:tr>
      <w:tr w:rsidR="00A60F31" w:rsidRPr="00A60F31" w14:paraId="763C9903" w14:textId="77777777" w:rsidTr="00D2106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10F90486" w:rsidR="00ED7BA0" w:rsidRPr="00A60F31" w:rsidRDefault="00D21065" w:rsidP="00CC1623">
            <w:pPr>
              <w:jc w:val="center"/>
              <w:rPr>
                <w:szCs w:val="24"/>
              </w:rPr>
            </w:pPr>
            <w:r w:rsidRPr="00A60F31">
              <w:t>chemistry@snu.edu.ua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F31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A6AB189" w:rsidR="00ED7BA0" w:rsidRPr="00A60F31" w:rsidRDefault="00ED7BA0" w:rsidP="00D21065">
            <w:pPr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+</w:t>
            </w:r>
            <w:r w:rsidR="00D21065" w:rsidRPr="00A60F31">
              <w:rPr>
                <w:szCs w:val="24"/>
              </w:rPr>
              <w:t>38-050-747-5581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F31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43A5EC4" w:rsidR="00ED7BA0" w:rsidRPr="00A60F31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F31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411D06E7" w:rsidR="00ED7BA0" w:rsidRPr="00A60F31" w:rsidRDefault="00D21065" w:rsidP="00D21065">
            <w:pPr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313а ЛК</w:t>
            </w:r>
            <w:r w:rsidR="00CC1623" w:rsidRPr="00A60F31">
              <w:rPr>
                <w:szCs w:val="24"/>
              </w:rPr>
              <w:t xml:space="preserve"> аудиторія кафедри </w:t>
            </w:r>
            <w:r w:rsidRPr="00A60F31">
              <w:rPr>
                <w:szCs w:val="24"/>
              </w:rPr>
              <w:t>ХОП</w:t>
            </w:r>
          </w:p>
        </w:tc>
      </w:tr>
      <w:tr w:rsidR="00A60F31" w:rsidRPr="00A60F31" w14:paraId="02AEAD3A" w14:textId="77777777" w:rsidTr="00D2106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F31" w:rsidRDefault="00ED7BA0" w:rsidP="00727660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F31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F31" w:rsidRDefault="00ED7BA0" w:rsidP="00727660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F31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F31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F3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F31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F31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F31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F31" w:rsidRDefault="00DC120A" w:rsidP="00ED7BA0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81"/>
        <w:gridCol w:w="2099"/>
        <w:gridCol w:w="281"/>
        <w:gridCol w:w="1365"/>
        <w:gridCol w:w="737"/>
        <w:gridCol w:w="280"/>
        <w:gridCol w:w="2299"/>
      </w:tblGrid>
      <w:tr w:rsidR="00A60F31" w:rsidRPr="00A60F31" w14:paraId="3CF1A4D0" w14:textId="77777777" w:rsidTr="005E2468"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CE7A" w14:textId="1D0505F0" w:rsidR="005E2468" w:rsidRPr="00A60F31" w:rsidRDefault="006E4301" w:rsidP="002A1497">
            <w:pPr>
              <w:jc w:val="both"/>
              <w:rPr>
                <w:szCs w:val="24"/>
              </w:rPr>
            </w:pPr>
            <w:r w:rsidRPr="00A60F31">
              <w:rPr>
                <w:b/>
                <w:szCs w:val="24"/>
              </w:rPr>
              <w:br w:type="page"/>
            </w:r>
            <w:r w:rsidR="005E2468" w:rsidRPr="00A60F3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EB45" w14:textId="77777777" w:rsidR="005E2468" w:rsidRPr="00A60F31" w:rsidRDefault="005E2468" w:rsidP="002A149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60F31" w:rsidRPr="00A60F31" w14:paraId="1B923987" w14:textId="77777777" w:rsidTr="005E246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84E0" w14:textId="22238C1E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0F31" w:rsidRPr="00A60F31" w14:paraId="7CBBDB0D" w14:textId="77777777" w:rsidTr="005E246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5B3B4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60F31" w:rsidRPr="00A60F31" w14:paraId="2B7C0112" w14:textId="77777777" w:rsidTr="005E246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F79AF" w14:textId="77777777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0F31" w:rsidRPr="00A60F31" w14:paraId="2E8EE0D1" w14:textId="77777777" w:rsidTr="005E246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1E8DA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посада</w:t>
            </w:r>
          </w:p>
        </w:tc>
      </w:tr>
      <w:tr w:rsidR="00A60F31" w:rsidRPr="00A60F31" w14:paraId="0E541D7F" w14:textId="77777777" w:rsidTr="005E2468"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381CD" w14:textId="77777777" w:rsidR="005E2468" w:rsidRPr="00A60F31" w:rsidRDefault="005E2468" w:rsidP="002A149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76114" w14:textId="77777777" w:rsidR="005E2468" w:rsidRPr="00A60F31" w:rsidRDefault="005E2468" w:rsidP="002A1497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43FA4F" w14:textId="77777777" w:rsidR="005E2468" w:rsidRPr="00A60F31" w:rsidRDefault="005E2468" w:rsidP="002A149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66B75" w14:textId="77777777" w:rsidR="005E2468" w:rsidRPr="00A60F31" w:rsidRDefault="005E2468" w:rsidP="002A1497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561A4" w14:textId="77777777" w:rsidR="005E2468" w:rsidRPr="00A60F31" w:rsidRDefault="005E2468" w:rsidP="002A149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F870D" w14:textId="77777777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CD996" w14:textId="77777777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0F31" w:rsidRPr="00A60F31" w14:paraId="141286B3" w14:textId="77777777" w:rsidTr="005E2468"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C47FC" w14:textId="77777777" w:rsidR="005E2468" w:rsidRPr="00A60F31" w:rsidRDefault="005E2468" w:rsidP="002A1497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66E4" w14:textId="77777777" w:rsidR="005E2468" w:rsidRPr="00A60F31" w:rsidRDefault="005E2468" w:rsidP="002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1F239" w14:textId="77777777" w:rsidR="005E2468" w:rsidRPr="00A60F31" w:rsidRDefault="005E2468" w:rsidP="002A1497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телефон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53CA" w14:textId="77777777" w:rsidR="005E2468" w:rsidRPr="00A60F31" w:rsidRDefault="005E2468" w:rsidP="002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9597A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F3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8925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C129A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консультації</w:t>
            </w:r>
          </w:p>
        </w:tc>
      </w:tr>
    </w:tbl>
    <w:p w14:paraId="25C6321B" w14:textId="77777777" w:rsidR="005E2468" w:rsidRPr="00A60F31" w:rsidRDefault="005E2468" w:rsidP="005E246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280"/>
        <w:gridCol w:w="2095"/>
        <w:gridCol w:w="281"/>
        <w:gridCol w:w="1363"/>
        <w:gridCol w:w="736"/>
        <w:gridCol w:w="280"/>
        <w:gridCol w:w="2296"/>
      </w:tblGrid>
      <w:tr w:rsidR="00A60F31" w:rsidRPr="00A60F31" w14:paraId="54DA03A1" w14:textId="77777777" w:rsidTr="005E2468"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0EAD" w14:textId="77777777" w:rsidR="005E2468" w:rsidRPr="00A60F31" w:rsidRDefault="005E2468" w:rsidP="002A1497">
            <w:pPr>
              <w:jc w:val="both"/>
              <w:rPr>
                <w:szCs w:val="24"/>
              </w:rPr>
            </w:pPr>
            <w:r w:rsidRPr="00A60F3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C6A9" w14:textId="77777777" w:rsidR="005E2468" w:rsidRPr="00A60F31" w:rsidRDefault="005E2468" w:rsidP="002A149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60F31" w:rsidRPr="00A60F31" w14:paraId="484EEF6D" w14:textId="77777777" w:rsidTr="005E246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A2735" w14:textId="63888637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F31">
              <w:rPr>
                <w:szCs w:val="24"/>
              </w:rPr>
              <w:t>к.т.н</w:t>
            </w:r>
            <w:proofErr w:type="spellEnd"/>
            <w:r w:rsidRPr="00A60F31">
              <w:rPr>
                <w:szCs w:val="24"/>
              </w:rPr>
              <w:t>., доц., Заіка Раїса Григорівна</w:t>
            </w:r>
          </w:p>
        </w:tc>
      </w:tr>
      <w:tr w:rsidR="00A60F31" w:rsidRPr="00A60F31" w14:paraId="24F0AD73" w14:textId="77777777" w:rsidTr="005E246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3F3E7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A60F31" w:rsidRPr="00A60F31" w14:paraId="2EE40074" w14:textId="77777777" w:rsidTr="005E246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AE806" w14:textId="684C9868" w:rsidR="005E2468" w:rsidRPr="00A60F31" w:rsidRDefault="005E2468" w:rsidP="002A1497">
            <w:pPr>
              <w:spacing w:line="27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завідувач кафедри хімії та охорони праці</w:t>
            </w:r>
          </w:p>
        </w:tc>
      </w:tr>
      <w:tr w:rsidR="00A60F31" w:rsidRPr="00A60F31" w14:paraId="13BDC2D8" w14:textId="77777777" w:rsidTr="005E246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2268C" w14:textId="77777777" w:rsidR="005E2468" w:rsidRPr="00A60F31" w:rsidRDefault="005E2468" w:rsidP="002A1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посада</w:t>
            </w:r>
          </w:p>
        </w:tc>
      </w:tr>
      <w:tr w:rsidR="00A60F31" w:rsidRPr="00A60F31" w14:paraId="7B49BC14" w14:textId="77777777" w:rsidTr="005E2468"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8A737" w14:textId="4CB97658" w:rsidR="005E2468" w:rsidRPr="00A60F31" w:rsidRDefault="005E2468" w:rsidP="005E2468">
            <w:pPr>
              <w:jc w:val="center"/>
              <w:rPr>
                <w:szCs w:val="24"/>
                <w:lang w:val="en-US"/>
              </w:rPr>
            </w:pPr>
            <w:r w:rsidRPr="00A60F31">
              <w:t>chemistry@snu.edu.ua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E584" w14:textId="77777777" w:rsidR="005E2468" w:rsidRPr="00A60F31" w:rsidRDefault="005E2468" w:rsidP="005E2468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8A83B" w14:textId="01FDE9AF" w:rsidR="005E2468" w:rsidRPr="00A60F31" w:rsidRDefault="005E2468" w:rsidP="005E2468">
            <w:pPr>
              <w:jc w:val="center"/>
              <w:rPr>
                <w:szCs w:val="24"/>
                <w:lang w:val="en-US"/>
              </w:rPr>
            </w:pPr>
            <w:r w:rsidRPr="00A60F31">
              <w:rPr>
                <w:szCs w:val="24"/>
              </w:rPr>
              <w:t>+38-050-747-5581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D0E1" w14:textId="77777777" w:rsidR="005E2468" w:rsidRPr="00A60F31" w:rsidRDefault="005E2468" w:rsidP="005E2468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BFB5E" w14:textId="77777777" w:rsidR="005E2468" w:rsidRPr="00A60F31" w:rsidRDefault="005E2468" w:rsidP="005E2468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FE65" w14:textId="77777777" w:rsidR="005E2468" w:rsidRPr="00A60F31" w:rsidRDefault="005E2468" w:rsidP="005E24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A39D6" w14:textId="04FA9EA4" w:rsidR="005E2468" w:rsidRPr="00A60F31" w:rsidRDefault="005E2468" w:rsidP="005E2468">
            <w:pPr>
              <w:spacing w:line="27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313а ЛК аудиторія кафедри ХОП</w:t>
            </w:r>
          </w:p>
        </w:tc>
      </w:tr>
      <w:tr w:rsidR="00A60F31" w:rsidRPr="00A60F31" w14:paraId="5DE5AA16" w14:textId="77777777" w:rsidTr="005E2468"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13656" w14:textId="77777777" w:rsidR="005E2468" w:rsidRPr="00A60F31" w:rsidRDefault="005E2468" w:rsidP="005E2468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70CF" w14:textId="77777777" w:rsidR="005E2468" w:rsidRPr="00A60F31" w:rsidRDefault="005E2468" w:rsidP="005E2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AA0CC" w14:textId="77777777" w:rsidR="005E2468" w:rsidRPr="00A60F31" w:rsidRDefault="005E2468" w:rsidP="005E2468">
            <w:pPr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телефон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85A8" w14:textId="77777777" w:rsidR="005E2468" w:rsidRPr="00A60F31" w:rsidRDefault="005E2468" w:rsidP="005E2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F45D0" w14:textId="77777777" w:rsidR="005E2468" w:rsidRPr="00A60F31" w:rsidRDefault="005E2468" w:rsidP="005E246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F3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16DA" w14:textId="77777777" w:rsidR="005E2468" w:rsidRPr="00A60F31" w:rsidRDefault="005E2468" w:rsidP="005E246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77E51" w14:textId="77777777" w:rsidR="005E2468" w:rsidRPr="00A60F31" w:rsidRDefault="005E2468" w:rsidP="005E246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F31">
              <w:rPr>
                <w:sz w:val="16"/>
                <w:szCs w:val="16"/>
              </w:rPr>
              <w:t>консультації</w:t>
            </w:r>
          </w:p>
        </w:tc>
      </w:tr>
    </w:tbl>
    <w:p w14:paraId="4EBB04D4" w14:textId="77777777" w:rsidR="005E2468" w:rsidRPr="00A60F31" w:rsidRDefault="005E2468" w:rsidP="005E2468">
      <w:pPr>
        <w:rPr>
          <w:szCs w:val="24"/>
        </w:rPr>
      </w:pPr>
    </w:p>
    <w:p w14:paraId="77B51600" w14:textId="77777777" w:rsidR="005E2468" w:rsidRPr="00A60F31" w:rsidRDefault="005E2468" w:rsidP="005E2468">
      <w:pPr>
        <w:rPr>
          <w:szCs w:val="24"/>
        </w:rPr>
      </w:pPr>
    </w:p>
    <w:p w14:paraId="7919E7CC" w14:textId="77777777" w:rsidR="005E2468" w:rsidRPr="00A60F31" w:rsidRDefault="005E2468" w:rsidP="005E2468">
      <w:pPr>
        <w:rPr>
          <w:szCs w:val="24"/>
        </w:rPr>
      </w:pPr>
    </w:p>
    <w:p w14:paraId="71DE693A" w14:textId="77777777" w:rsidR="005E2468" w:rsidRPr="00A60F31" w:rsidRDefault="005E2468" w:rsidP="005E2468">
      <w:pPr>
        <w:rPr>
          <w:i/>
          <w:sz w:val="20"/>
        </w:rPr>
      </w:pPr>
      <w:r w:rsidRPr="00A60F31">
        <w:rPr>
          <w:szCs w:val="24"/>
        </w:rPr>
        <w:t xml:space="preserve">* </w:t>
      </w:r>
      <w:r w:rsidRPr="00A60F31">
        <w:rPr>
          <w:i/>
          <w:sz w:val="20"/>
        </w:rPr>
        <w:t xml:space="preserve">– 1) дані підрозділи вносяться до </w:t>
      </w:r>
      <w:proofErr w:type="spellStart"/>
      <w:r w:rsidRPr="00A60F31">
        <w:rPr>
          <w:i/>
          <w:sz w:val="20"/>
        </w:rPr>
        <w:t>силабусу</w:t>
      </w:r>
      <w:proofErr w:type="spellEnd"/>
      <w:r w:rsidRPr="00A60F3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A60F31">
        <w:rPr>
          <w:b/>
          <w:i/>
          <w:sz w:val="20"/>
        </w:rPr>
        <w:t>«Викладач лабораторних та практичних занять:»</w:t>
      </w:r>
      <w:r w:rsidRPr="00A60F3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7C77DA77" w14:textId="77777777" w:rsidR="005E2468" w:rsidRPr="00A60F31" w:rsidRDefault="005E2468" w:rsidP="005E2468">
      <w:pPr>
        <w:jc w:val="both"/>
        <w:rPr>
          <w:sz w:val="22"/>
        </w:rPr>
      </w:pPr>
    </w:p>
    <w:p w14:paraId="43392987" w14:textId="290694F0" w:rsidR="006E4301" w:rsidRPr="00A60F31" w:rsidRDefault="006E4301">
      <w:pPr>
        <w:spacing w:after="160" w:line="259" w:lineRule="auto"/>
        <w:ind w:firstLine="720"/>
        <w:rPr>
          <w:b/>
          <w:szCs w:val="24"/>
        </w:rPr>
      </w:pPr>
    </w:p>
    <w:p w14:paraId="6E97F015" w14:textId="77777777" w:rsidR="005E2468" w:rsidRPr="00A60F31" w:rsidRDefault="005E2468">
      <w:pPr>
        <w:spacing w:after="160" w:line="259" w:lineRule="auto"/>
        <w:ind w:firstLine="720"/>
        <w:rPr>
          <w:b/>
          <w:szCs w:val="24"/>
        </w:rPr>
      </w:pPr>
      <w:r w:rsidRPr="00A60F31">
        <w:rPr>
          <w:b/>
          <w:szCs w:val="24"/>
        </w:rPr>
        <w:br w:type="page"/>
      </w:r>
    </w:p>
    <w:p w14:paraId="6550109C" w14:textId="64C181A8" w:rsidR="00ED7BA0" w:rsidRPr="00A60F31" w:rsidRDefault="00ED7BA0" w:rsidP="00ED7BA0">
      <w:pPr>
        <w:jc w:val="center"/>
        <w:rPr>
          <w:b/>
          <w:szCs w:val="24"/>
        </w:rPr>
      </w:pPr>
      <w:r w:rsidRPr="00A60F31">
        <w:rPr>
          <w:b/>
          <w:szCs w:val="24"/>
        </w:rPr>
        <w:lastRenderedPageBreak/>
        <w:t>Анотація навчального курсу</w:t>
      </w:r>
    </w:p>
    <w:p w14:paraId="08D32C39" w14:textId="77777777" w:rsidR="00E02F70" w:rsidRPr="00A60F31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A60F31" w:rsidRPr="00A60F31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F31" w:rsidRDefault="00ED7BA0" w:rsidP="006A5829">
            <w:pPr>
              <w:rPr>
                <w:b/>
                <w:szCs w:val="24"/>
              </w:rPr>
            </w:pPr>
            <w:r w:rsidRPr="00A60F31">
              <w:rPr>
                <w:b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9E4C" w14:textId="30C8502C" w:rsidR="00277994" w:rsidRPr="00A60F31" w:rsidRDefault="00277994" w:rsidP="00C16AAF">
            <w:pPr>
              <w:pStyle w:val="a0"/>
              <w:ind w:firstLine="0"/>
              <w:rPr>
                <w:szCs w:val="24"/>
              </w:rPr>
            </w:pPr>
            <w:r w:rsidRPr="00A60F31">
              <w:rPr>
                <w:b/>
                <w:szCs w:val="24"/>
              </w:rPr>
              <w:t>Предметом</w:t>
            </w:r>
            <w:r w:rsidRPr="00A60F31">
              <w:rPr>
                <w:szCs w:val="24"/>
              </w:rPr>
              <w:t xml:space="preserve"> вивчення навчальної дисципліни є теорія та практика</w:t>
            </w:r>
            <w:r w:rsidR="00DF6D89" w:rsidRPr="00A60F31">
              <w:rPr>
                <w:szCs w:val="24"/>
              </w:rPr>
              <w:t xml:space="preserve"> розрахунків фізико-хімічних властивостей </w:t>
            </w:r>
            <w:proofErr w:type="spellStart"/>
            <w:r w:rsidR="00DF6D89" w:rsidRPr="00A60F31">
              <w:rPr>
                <w:szCs w:val="24"/>
              </w:rPr>
              <w:t>термодинамічно</w:t>
            </w:r>
            <w:proofErr w:type="spellEnd"/>
            <w:r w:rsidR="00DF6D89" w:rsidRPr="00A60F31">
              <w:rPr>
                <w:szCs w:val="24"/>
              </w:rPr>
              <w:t xml:space="preserve"> стійких систем.</w:t>
            </w:r>
          </w:p>
          <w:p w14:paraId="0FB885B9" w14:textId="4262F031" w:rsidR="00DF6D89" w:rsidRPr="00A60F31" w:rsidRDefault="00DF6D89" w:rsidP="00C16AAF">
            <w:pPr>
              <w:pStyle w:val="a0"/>
              <w:ind w:firstLine="0"/>
              <w:rPr>
                <w:szCs w:val="24"/>
              </w:rPr>
            </w:pPr>
            <w:r w:rsidRPr="00A60F31">
              <w:rPr>
                <w:szCs w:val="24"/>
              </w:rPr>
              <w:t>В структурно-логічній схемі навчання дисципліна «Фізико-хімічні розрахунки» вивчається нерозривно з фізичною хімією. Вона відіграє суттєву роль у підготовці здобувачів вищої освіти та у професійній діяльності фахівців з хімічної технології.</w:t>
            </w:r>
          </w:p>
          <w:p w14:paraId="68A55D11" w14:textId="6D928BEF" w:rsidR="00DF6D89" w:rsidRPr="00A60F31" w:rsidRDefault="00DF6D89" w:rsidP="00C16AAF">
            <w:pPr>
              <w:pStyle w:val="a0"/>
              <w:ind w:firstLine="0"/>
              <w:rPr>
                <w:szCs w:val="24"/>
              </w:rPr>
            </w:pPr>
            <w:r w:rsidRPr="00A60F31">
              <w:rPr>
                <w:szCs w:val="24"/>
              </w:rPr>
              <w:t>Основними завданнями вивчення дисципліни «Фізико-хімічні розрахунки» є набуття студентами навичок розрахунку фізико-хімічних величин, які широко використовуються у хімічній технології.</w:t>
            </w:r>
          </w:p>
          <w:p w14:paraId="03EA91FB" w14:textId="71A0146B" w:rsidR="00C16AAF" w:rsidRPr="00A60F31" w:rsidRDefault="00C16AAF" w:rsidP="00C16AAF">
            <w:pPr>
              <w:pStyle w:val="a0"/>
              <w:ind w:firstLine="0"/>
              <w:rPr>
                <w:szCs w:val="24"/>
              </w:rPr>
            </w:pPr>
            <w:r w:rsidRPr="00A60F31">
              <w:rPr>
                <w:b/>
                <w:szCs w:val="24"/>
              </w:rPr>
              <w:t>Метою лекційних занять</w:t>
            </w:r>
            <w:r w:rsidRPr="00A60F31">
              <w:rPr>
                <w:szCs w:val="24"/>
              </w:rPr>
              <w:t xml:space="preserve"> з</w:t>
            </w:r>
            <w:r w:rsidR="008E4BCF" w:rsidRPr="00A60F31">
              <w:rPr>
                <w:szCs w:val="24"/>
              </w:rPr>
              <w:t xml:space="preserve"> дисципліни «Фізи</w:t>
            </w:r>
            <w:r w:rsidR="009747C6" w:rsidRPr="00A60F31">
              <w:rPr>
                <w:szCs w:val="24"/>
              </w:rPr>
              <w:t>ко-хімічні розрахунки</w:t>
            </w:r>
            <w:r w:rsidR="008E4BCF" w:rsidRPr="00A60F31">
              <w:rPr>
                <w:szCs w:val="24"/>
              </w:rPr>
              <w:t>» є розкриття особливостей будови курсу, який міс</w:t>
            </w:r>
            <w:r w:rsidR="00025BB9" w:rsidRPr="00A60F31">
              <w:rPr>
                <w:szCs w:val="24"/>
              </w:rPr>
              <w:t>тить декілька основних розділів, надання теоретичних знань, необхідних для засвоєння зако</w:t>
            </w:r>
            <w:r w:rsidR="009747C6" w:rsidRPr="00A60F31">
              <w:rPr>
                <w:szCs w:val="24"/>
              </w:rPr>
              <w:t>номірностей хімічних процесів</w:t>
            </w:r>
            <w:r w:rsidR="00025BB9" w:rsidRPr="00A60F31">
              <w:rPr>
                <w:szCs w:val="24"/>
              </w:rPr>
              <w:t xml:space="preserve"> і методів </w:t>
            </w:r>
            <w:r w:rsidR="009747C6" w:rsidRPr="00A60F31">
              <w:rPr>
                <w:szCs w:val="24"/>
              </w:rPr>
              <w:t>розрахунків</w:t>
            </w:r>
            <w:r w:rsidR="00025BB9" w:rsidRPr="00A60F31">
              <w:rPr>
                <w:szCs w:val="24"/>
              </w:rPr>
              <w:t>, з посиланням на рекомендовані підручники.</w:t>
            </w:r>
          </w:p>
          <w:p w14:paraId="5466BC28" w14:textId="77777777" w:rsidR="009747C6" w:rsidRPr="00A60F31" w:rsidRDefault="00025BB9" w:rsidP="009747C6">
            <w:pPr>
              <w:pStyle w:val="a0"/>
              <w:ind w:firstLine="0"/>
              <w:rPr>
                <w:b/>
                <w:szCs w:val="24"/>
              </w:rPr>
            </w:pPr>
            <w:r w:rsidRPr="00A60F31">
              <w:rPr>
                <w:b/>
                <w:szCs w:val="24"/>
              </w:rPr>
              <w:t xml:space="preserve">Метою практичних занять </w:t>
            </w:r>
            <w:r w:rsidRPr="00A60F31">
              <w:rPr>
                <w:szCs w:val="24"/>
              </w:rPr>
              <w:t>є оволодіння навичками практичного застосування теоретичних знань,</w:t>
            </w:r>
            <w:r w:rsidR="009747C6" w:rsidRPr="00A60F31">
              <w:rPr>
                <w:szCs w:val="24"/>
              </w:rPr>
              <w:t xml:space="preserve"> опанування технікою хімічних розрахунків,</w:t>
            </w:r>
            <w:r w:rsidRPr="00A60F31">
              <w:rPr>
                <w:szCs w:val="24"/>
              </w:rPr>
              <w:t xml:space="preserve"> що досягається розв’язуванням конкретних задач. При цьому необхідно звертати увагу на розмірності розрахункових величин та вміння користуватись довідниковими таблицями.</w:t>
            </w:r>
          </w:p>
          <w:p w14:paraId="341212DA" w14:textId="1FC3B350" w:rsidR="00ED7BA0" w:rsidRPr="00A60F31" w:rsidRDefault="00C16AAF" w:rsidP="009747C6">
            <w:pPr>
              <w:pStyle w:val="a0"/>
              <w:ind w:firstLine="0"/>
              <w:rPr>
                <w:szCs w:val="24"/>
              </w:rPr>
            </w:pPr>
            <w:r w:rsidRPr="00A60F31">
              <w:rPr>
                <w:b/>
                <w:szCs w:val="24"/>
              </w:rPr>
              <w:t>Метою самостійної роботи</w:t>
            </w:r>
            <w:r w:rsidRPr="00A60F31">
              <w:rPr>
                <w:szCs w:val="24"/>
              </w:rPr>
              <w:t xml:space="preserve"> за дисципліною є </w:t>
            </w:r>
            <w:r w:rsidR="00025BB9" w:rsidRPr="00A60F31">
              <w:rPr>
                <w:szCs w:val="24"/>
              </w:rPr>
              <w:t>систематизація і закріплення теоретичних знань і практичних навичок, формування вмінь використовувати нормативну і спеціальну літературу, розвиток пізнавальних здібностей.</w:t>
            </w:r>
          </w:p>
        </w:tc>
      </w:tr>
      <w:tr w:rsidR="00A60F31" w:rsidRPr="00A60F31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0C7" w14:textId="5B77EF93" w:rsidR="009747C6" w:rsidRPr="00A60F31" w:rsidRDefault="009747C6" w:rsidP="00582DB7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F31">
              <w:rPr>
                <w:szCs w:val="24"/>
              </w:rPr>
              <w:t>Згідно з вимогами освітньо-професійної програми студенти повинні:</w:t>
            </w:r>
          </w:p>
          <w:p w14:paraId="0BB007F4" w14:textId="64B5A3B2" w:rsidR="00582DB7" w:rsidRPr="00A60F31" w:rsidRDefault="009747C6" w:rsidP="00582DB7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F31">
              <w:rPr>
                <w:b/>
                <w:szCs w:val="24"/>
              </w:rPr>
              <w:t>з</w:t>
            </w:r>
            <w:r w:rsidR="00E02F70" w:rsidRPr="00A60F31">
              <w:rPr>
                <w:b/>
                <w:szCs w:val="24"/>
              </w:rPr>
              <w:t>на</w:t>
            </w:r>
            <w:r w:rsidRPr="00A60F31">
              <w:rPr>
                <w:b/>
                <w:szCs w:val="24"/>
              </w:rPr>
              <w:t>ти</w:t>
            </w:r>
            <w:r w:rsidR="00582DB7" w:rsidRPr="00A60F31">
              <w:rPr>
                <w:b/>
                <w:szCs w:val="24"/>
              </w:rPr>
              <w:t>:</w:t>
            </w:r>
            <w:r w:rsidR="00582DB7" w:rsidRPr="00A60F31">
              <w:rPr>
                <w:szCs w:val="24"/>
              </w:rPr>
              <w:t xml:space="preserve"> </w:t>
            </w:r>
            <w:r w:rsidR="00C700DC" w:rsidRPr="00A60F31">
              <w:rPr>
                <w:szCs w:val="24"/>
              </w:rPr>
              <w:t>основні сучасні методи розрахунку термодинамічних та кінетичних характеристик реакцій, властивостей реальних сумішей, процесів їх утворення</w:t>
            </w:r>
            <w:r w:rsidR="00C700DC" w:rsidRPr="00A60F31">
              <w:rPr>
                <w:szCs w:val="24"/>
                <w:lang w:val="ru-RU"/>
              </w:rPr>
              <w:t>;</w:t>
            </w:r>
          </w:p>
          <w:p w14:paraId="407AE239" w14:textId="18B3895D" w:rsidR="00ED7BA0" w:rsidRPr="00A60F31" w:rsidRDefault="009747C6" w:rsidP="009747C6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F31">
              <w:rPr>
                <w:b/>
                <w:szCs w:val="24"/>
              </w:rPr>
              <w:t>в</w:t>
            </w:r>
            <w:r w:rsidR="00582DB7" w:rsidRPr="00A60F31">
              <w:rPr>
                <w:b/>
                <w:szCs w:val="24"/>
              </w:rPr>
              <w:t>мі</w:t>
            </w:r>
            <w:r w:rsidRPr="00A60F31">
              <w:rPr>
                <w:b/>
                <w:szCs w:val="24"/>
              </w:rPr>
              <w:t>ти</w:t>
            </w:r>
            <w:r w:rsidR="00582DB7" w:rsidRPr="00A60F31">
              <w:rPr>
                <w:b/>
                <w:szCs w:val="24"/>
              </w:rPr>
              <w:t>:</w:t>
            </w:r>
            <w:r w:rsidR="00582DB7" w:rsidRPr="00A60F31">
              <w:rPr>
                <w:szCs w:val="24"/>
              </w:rPr>
              <w:t xml:space="preserve"> </w:t>
            </w:r>
            <w:r w:rsidR="00C700DC" w:rsidRPr="00A60F31">
              <w:rPr>
                <w:szCs w:val="24"/>
              </w:rPr>
              <w:t>користуватися довідниковими матеріалами при виконанні розрахунків, працювати з фазовими діаграмами 2-х та 3-х-компонентних систем, виконувати розрахунки активності, фугітивності компонентів хімічної системи, рівноважного складу реальної хімічної системи.</w:t>
            </w:r>
          </w:p>
        </w:tc>
      </w:tr>
      <w:tr w:rsidR="00ED7BA0" w:rsidRPr="00A60F31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7B2DC359" w:rsidR="00ED7BA0" w:rsidRPr="00A60F31" w:rsidRDefault="00ED7BA0" w:rsidP="00727660">
            <w:pPr>
              <w:rPr>
                <w:b/>
                <w:i/>
                <w:szCs w:val="24"/>
              </w:rPr>
            </w:pPr>
            <w:r w:rsidRPr="00A60F3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9816791" w:rsidR="00ED7BA0" w:rsidRPr="00A60F31" w:rsidRDefault="00C918B1" w:rsidP="00C700DC">
            <w:pPr>
              <w:jc w:val="both"/>
              <w:rPr>
                <w:szCs w:val="24"/>
              </w:rPr>
            </w:pPr>
            <w:r w:rsidRPr="00A60F31">
              <w:rPr>
                <w:szCs w:val="24"/>
              </w:rPr>
              <w:t xml:space="preserve">Вивчення </w:t>
            </w:r>
            <w:r w:rsidR="00C700DC" w:rsidRPr="00A60F31">
              <w:rPr>
                <w:szCs w:val="24"/>
              </w:rPr>
              <w:t>дисципліни</w:t>
            </w:r>
            <w:r w:rsidRPr="00A60F31">
              <w:rPr>
                <w:szCs w:val="24"/>
              </w:rPr>
              <w:t xml:space="preserve"> передбачає знання </w:t>
            </w:r>
            <w:r w:rsidR="00C700DC" w:rsidRPr="00A60F31">
              <w:rPr>
                <w:szCs w:val="24"/>
              </w:rPr>
              <w:t xml:space="preserve">хімії, </w:t>
            </w:r>
            <w:r w:rsidRPr="00A60F31">
              <w:rPr>
                <w:szCs w:val="24"/>
              </w:rPr>
              <w:t>фізики, математики</w:t>
            </w:r>
            <w:r w:rsidR="00C700DC" w:rsidRPr="00A60F31">
              <w:rPr>
                <w:szCs w:val="24"/>
              </w:rPr>
              <w:t xml:space="preserve"> (диференціальні та інтегральні обчислення)</w:t>
            </w:r>
            <w:r w:rsidRPr="00A60F31">
              <w:rPr>
                <w:szCs w:val="24"/>
              </w:rPr>
              <w:t xml:space="preserve"> в обсязі, передбаченому навчальними планами. Необхідне також знайомство з </w:t>
            </w:r>
            <w:r w:rsidR="00C700DC" w:rsidRPr="00A60F31">
              <w:rPr>
                <w:szCs w:val="24"/>
              </w:rPr>
              <w:t>інженерною графікою (схеми побудови графіків).</w:t>
            </w:r>
          </w:p>
        </w:tc>
      </w:tr>
    </w:tbl>
    <w:p w14:paraId="495602AC" w14:textId="77777777" w:rsidR="00ED7BA0" w:rsidRPr="00A60F31" w:rsidRDefault="00ED7BA0" w:rsidP="00ED7BA0">
      <w:pPr>
        <w:jc w:val="both"/>
        <w:rPr>
          <w:sz w:val="22"/>
        </w:rPr>
      </w:pPr>
    </w:p>
    <w:p w14:paraId="6DE6EBBD" w14:textId="59CA1986" w:rsidR="00ED7BA0" w:rsidRPr="00A60F31" w:rsidRDefault="00ED7BA0" w:rsidP="00ED7BA0">
      <w:pPr>
        <w:spacing w:line="276" w:lineRule="auto"/>
        <w:ind w:left="3119" w:hanging="3119"/>
        <w:jc w:val="center"/>
        <w:rPr>
          <w:b/>
          <w:szCs w:val="24"/>
        </w:rPr>
      </w:pPr>
      <w:r w:rsidRPr="00A60F31">
        <w:rPr>
          <w:b/>
          <w:szCs w:val="24"/>
        </w:rPr>
        <w:t>Мета курсу (набуті компетентності)</w:t>
      </w:r>
    </w:p>
    <w:p w14:paraId="60046A38" w14:textId="77777777" w:rsidR="0090579A" w:rsidRPr="00A60F31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225B2C1" w:rsidR="00BD4F10" w:rsidRPr="00A60F31" w:rsidRDefault="00652200" w:rsidP="00224E22">
      <w:pPr>
        <w:pStyle w:val="a0"/>
        <w:rPr>
          <w:szCs w:val="24"/>
        </w:rPr>
      </w:pPr>
      <w:r w:rsidRPr="00A60F31">
        <w:rPr>
          <w:b/>
          <w:szCs w:val="24"/>
        </w:rPr>
        <w:t>Метою викладання навчальної дисципліни</w:t>
      </w:r>
      <w:r w:rsidRPr="00A60F31">
        <w:rPr>
          <w:szCs w:val="24"/>
        </w:rPr>
        <w:t xml:space="preserve"> «Фізико-хімічні розрахунки» є</w:t>
      </w:r>
      <w:r w:rsidRPr="00A60F31">
        <w:rPr>
          <w:b/>
          <w:szCs w:val="24"/>
        </w:rPr>
        <w:t xml:space="preserve"> </w:t>
      </w:r>
      <w:r w:rsidRPr="00A60F31">
        <w:rPr>
          <w:szCs w:val="24"/>
        </w:rPr>
        <w:t>надання знань, умінь, здібностей для здійснення ефективної професійної діяльності при виконанні фізико-хімічних та техніко-економічних розрахунків хімічних систем.</w:t>
      </w:r>
    </w:p>
    <w:p w14:paraId="13D36C19" w14:textId="0359B025" w:rsidR="000142F4" w:rsidRPr="00A60F31" w:rsidRDefault="00BB352D" w:rsidP="000142F4">
      <w:pPr>
        <w:ind w:firstLine="709"/>
        <w:jc w:val="both"/>
        <w:rPr>
          <w:bCs/>
          <w:iCs/>
          <w:szCs w:val="24"/>
          <w:lang w:eastAsia="uk-UA"/>
        </w:rPr>
      </w:pPr>
      <w:r w:rsidRPr="00A60F31">
        <w:rPr>
          <w:bCs/>
          <w:iCs/>
          <w:szCs w:val="24"/>
          <w:lang w:eastAsia="uk-UA"/>
        </w:rPr>
        <w:t>За результатами опанування навчальної дисципліни «Фізи</w:t>
      </w:r>
      <w:r w:rsidR="003B3008" w:rsidRPr="00A60F31">
        <w:rPr>
          <w:bCs/>
          <w:iCs/>
          <w:szCs w:val="24"/>
          <w:lang w:eastAsia="uk-UA"/>
        </w:rPr>
        <w:t>ко-хімічні розрахунки</w:t>
      </w:r>
      <w:r w:rsidRPr="00A60F31">
        <w:rPr>
          <w:bCs/>
          <w:iCs/>
          <w:szCs w:val="24"/>
          <w:lang w:eastAsia="uk-UA"/>
        </w:rPr>
        <w:t>» здобувачі вищої освіти набувають наступні компетентності:</w:t>
      </w:r>
    </w:p>
    <w:p w14:paraId="5B46FA36" w14:textId="384D7FBE" w:rsidR="00405CCD" w:rsidRPr="00A60F31" w:rsidRDefault="00405CCD" w:rsidP="00405CCD">
      <w:pPr>
        <w:ind w:firstLine="709"/>
        <w:jc w:val="both"/>
        <w:rPr>
          <w:szCs w:val="24"/>
        </w:rPr>
      </w:pPr>
      <w:r w:rsidRPr="00A60F31">
        <w:rPr>
          <w:szCs w:val="24"/>
        </w:rPr>
        <w:t>ЗК0</w:t>
      </w:r>
      <w:r w:rsidR="003B3008" w:rsidRPr="00A60F31">
        <w:rPr>
          <w:szCs w:val="24"/>
        </w:rPr>
        <w:t>2.Здатність застосовувати знання з хімії, фізики та математики до розв’язання конкретних практичних завдань</w:t>
      </w:r>
    </w:p>
    <w:p w14:paraId="747898D3" w14:textId="4B47AB19" w:rsidR="00405CCD" w:rsidRPr="00A60F31" w:rsidRDefault="00405CCD" w:rsidP="00405CCD">
      <w:pPr>
        <w:ind w:firstLine="709"/>
        <w:jc w:val="both"/>
        <w:rPr>
          <w:bCs/>
          <w:iCs/>
          <w:szCs w:val="24"/>
          <w:lang w:eastAsia="uk-UA"/>
        </w:rPr>
      </w:pPr>
      <w:r w:rsidRPr="00A60F31">
        <w:rPr>
          <w:bCs/>
          <w:iCs/>
          <w:szCs w:val="24"/>
          <w:lang w:eastAsia="uk-UA"/>
        </w:rPr>
        <w:t>ЗК0</w:t>
      </w:r>
      <w:r w:rsidR="003B3008" w:rsidRPr="00A60F31">
        <w:rPr>
          <w:bCs/>
          <w:iCs/>
          <w:szCs w:val="24"/>
          <w:lang w:eastAsia="uk-UA"/>
        </w:rPr>
        <w:t>3</w:t>
      </w:r>
      <w:r w:rsidRPr="00A60F31">
        <w:rPr>
          <w:bCs/>
          <w:iCs/>
          <w:szCs w:val="24"/>
          <w:lang w:eastAsia="uk-UA"/>
        </w:rPr>
        <w:t xml:space="preserve">. </w:t>
      </w:r>
      <w:r w:rsidR="003B3008" w:rsidRPr="00A60F31">
        <w:rPr>
          <w:bCs/>
          <w:iCs/>
          <w:szCs w:val="24"/>
          <w:lang w:eastAsia="uk-UA"/>
        </w:rPr>
        <w:t>Знання та розуміння предметної області та розуміння професійної діяльності.</w:t>
      </w:r>
    </w:p>
    <w:p w14:paraId="177BBFB8" w14:textId="4C0FAA7D" w:rsidR="003B3008" w:rsidRPr="00A60F31" w:rsidRDefault="003B3008" w:rsidP="00405CCD">
      <w:pPr>
        <w:ind w:firstLine="709"/>
        <w:jc w:val="both"/>
        <w:rPr>
          <w:bCs/>
          <w:iCs/>
          <w:szCs w:val="24"/>
          <w:lang w:eastAsia="uk-UA"/>
        </w:rPr>
      </w:pPr>
      <w:r w:rsidRPr="00A60F31">
        <w:rPr>
          <w:bCs/>
          <w:iCs/>
          <w:szCs w:val="24"/>
          <w:lang w:eastAsia="uk-UA"/>
        </w:rPr>
        <w:t xml:space="preserve">ЗК14. </w:t>
      </w:r>
      <w:r w:rsidR="00AF52EF" w:rsidRPr="00A60F31">
        <w:rPr>
          <w:bCs/>
          <w:iCs/>
          <w:szCs w:val="24"/>
          <w:lang w:eastAsia="uk-UA"/>
        </w:rPr>
        <w:t>Здатність використовувати обчислювальну техніку та інформаційні технології для розв’язування складних задач і практичних проблем в хімічній технології.</w:t>
      </w:r>
    </w:p>
    <w:p w14:paraId="61A2401C" w14:textId="27578A41" w:rsidR="00224E22" w:rsidRPr="00A60F31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F31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333BCDC1" w14:textId="7779CC58" w:rsidR="00AE1B43" w:rsidRPr="00A60F31" w:rsidRDefault="00B6503A" w:rsidP="00B6503A">
      <w:pPr>
        <w:ind w:firstLine="709"/>
        <w:jc w:val="both"/>
        <w:rPr>
          <w:bCs/>
          <w:iCs/>
          <w:szCs w:val="24"/>
          <w:lang w:eastAsia="uk-UA"/>
        </w:rPr>
      </w:pPr>
      <w:r w:rsidRPr="00A60F31">
        <w:rPr>
          <w:bCs/>
          <w:iCs/>
          <w:szCs w:val="24"/>
          <w:lang w:eastAsia="uk-UA"/>
        </w:rPr>
        <w:t>ПР</w:t>
      </w:r>
      <w:r w:rsidR="00405CCD" w:rsidRPr="00A60F31">
        <w:rPr>
          <w:bCs/>
          <w:iCs/>
          <w:szCs w:val="24"/>
          <w:lang w:eastAsia="uk-UA"/>
        </w:rPr>
        <w:t>0</w:t>
      </w:r>
      <w:r w:rsidRPr="00A60F31">
        <w:rPr>
          <w:bCs/>
          <w:iCs/>
          <w:szCs w:val="24"/>
          <w:lang w:eastAsia="uk-UA"/>
        </w:rPr>
        <w:t>1</w:t>
      </w:r>
      <w:r w:rsidR="00CE57C0" w:rsidRPr="00A60F31">
        <w:rPr>
          <w:bCs/>
          <w:iCs/>
          <w:szCs w:val="24"/>
          <w:lang w:eastAsia="uk-UA"/>
        </w:rPr>
        <w:t xml:space="preserve">. </w:t>
      </w:r>
      <w:r w:rsidRPr="00A60F31">
        <w:rPr>
          <w:bCs/>
          <w:iCs/>
          <w:szCs w:val="24"/>
          <w:lang w:eastAsia="uk-UA"/>
        </w:rPr>
        <w:t>Знати хімію, фізику і математику на рівні, необхідному для досягнення результатів освітньої програми, знати основні сучасні теорії фізичної хімії та</w:t>
      </w:r>
      <w:r w:rsidR="00401B96" w:rsidRPr="00A60F31">
        <w:rPr>
          <w:bCs/>
          <w:iCs/>
          <w:szCs w:val="24"/>
          <w:lang w:eastAsia="uk-UA"/>
        </w:rPr>
        <w:t xml:space="preserve"> </w:t>
      </w:r>
      <w:r w:rsidR="00B90462" w:rsidRPr="00A60F31">
        <w:rPr>
          <w:bCs/>
          <w:iCs/>
          <w:szCs w:val="24"/>
          <w:lang w:eastAsia="uk-UA"/>
        </w:rPr>
        <w:t>методи їх застосування для вирішення теоретичних і практичних задач в хімічній технології.</w:t>
      </w:r>
    </w:p>
    <w:p w14:paraId="582CB1A7" w14:textId="30257D19" w:rsidR="00B6503A" w:rsidRPr="00A60F31" w:rsidRDefault="00B6503A" w:rsidP="00B6503A">
      <w:pPr>
        <w:ind w:firstLine="709"/>
        <w:jc w:val="both"/>
        <w:rPr>
          <w:bCs/>
          <w:iCs/>
          <w:szCs w:val="24"/>
          <w:lang w:eastAsia="uk-UA"/>
        </w:rPr>
      </w:pPr>
      <w:r w:rsidRPr="00A60F31">
        <w:rPr>
          <w:bCs/>
          <w:iCs/>
          <w:szCs w:val="24"/>
          <w:lang w:eastAsia="uk-UA"/>
        </w:rPr>
        <w:t>ПР08. Використовувати сучасне спеціалізоване програмне забезпечення та інформаційні технології для розрахунків устаткування і процесів хімічних виробництв.</w:t>
      </w:r>
    </w:p>
    <w:p w14:paraId="3660E537" w14:textId="27CD3AF9" w:rsidR="00ED7BA0" w:rsidRPr="00A60F31" w:rsidRDefault="00ED7BA0" w:rsidP="00DC120A">
      <w:pPr>
        <w:ind w:left="3119" w:hanging="3119"/>
        <w:jc w:val="center"/>
        <w:rPr>
          <w:b/>
          <w:szCs w:val="24"/>
        </w:rPr>
      </w:pPr>
      <w:r w:rsidRPr="00A60F31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F31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A60F31" w:rsidRPr="00A60F31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F31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F31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2B6E6705" w:rsidR="00ED7BA0" w:rsidRPr="00A60F31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Години (Л</w:t>
            </w:r>
            <w:r w:rsidR="00476FB9" w:rsidRPr="00A60F31">
              <w:rPr>
                <w:sz w:val="22"/>
                <w:szCs w:val="22"/>
              </w:rPr>
              <w:t>К</w:t>
            </w:r>
            <w:r w:rsidR="006E4301" w:rsidRPr="00A60F31">
              <w:rPr>
                <w:sz w:val="22"/>
                <w:szCs w:val="22"/>
              </w:rPr>
              <w:t>/ЛБ</w:t>
            </w:r>
            <w:r w:rsidR="00476FB9" w:rsidRPr="00A60F31">
              <w:rPr>
                <w:sz w:val="22"/>
                <w:szCs w:val="22"/>
                <w:lang w:val="en-US"/>
              </w:rPr>
              <w:t>/</w:t>
            </w:r>
            <w:r w:rsidR="006E4301" w:rsidRPr="00A60F31">
              <w:rPr>
                <w:sz w:val="22"/>
                <w:szCs w:val="22"/>
              </w:rPr>
              <w:t>ПЗ</w:t>
            </w:r>
            <w:r w:rsidRPr="00A60F31">
              <w:rPr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F31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F31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Інструменти і завдання</w:t>
            </w:r>
          </w:p>
        </w:tc>
      </w:tr>
      <w:tr w:rsidR="00A60F31" w:rsidRPr="00A60F31" w14:paraId="36F68CAA" w14:textId="77777777" w:rsidTr="003F4E42">
        <w:tc>
          <w:tcPr>
            <w:tcW w:w="421" w:type="dxa"/>
            <w:shd w:val="clear" w:color="auto" w:fill="auto"/>
          </w:tcPr>
          <w:p w14:paraId="6750F457" w14:textId="06FCC079" w:rsidR="00F53CB4" w:rsidRPr="00A60F31" w:rsidRDefault="00F53CB4" w:rsidP="00F53CB4">
            <w:pPr>
              <w:spacing w:line="216" w:lineRule="auto"/>
              <w:rPr>
                <w:szCs w:val="24"/>
              </w:rPr>
            </w:pPr>
            <w:r w:rsidRPr="00A60F31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5579C45" w:rsidR="00F53CB4" w:rsidRPr="00A60F31" w:rsidRDefault="00476FB9" w:rsidP="00F53CB4">
            <w:pPr>
              <w:spacing w:line="216" w:lineRule="auto"/>
              <w:rPr>
                <w:sz w:val="22"/>
                <w:szCs w:val="22"/>
              </w:rPr>
            </w:pPr>
            <w:r w:rsidRPr="00A60F31">
              <w:rPr>
                <w:b/>
                <w:spacing w:val="-1"/>
                <w:szCs w:val="24"/>
                <w:lang w:eastAsia="ru-RU"/>
              </w:rPr>
              <w:t>Хімічна термодинаміка</w:t>
            </w:r>
          </w:p>
        </w:tc>
        <w:tc>
          <w:tcPr>
            <w:tcW w:w="992" w:type="dxa"/>
            <w:shd w:val="clear" w:color="auto" w:fill="auto"/>
          </w:tcPr>
          <w:p w14:paraId="3BFBDA4A" w14:textId="0F3DC82D" w:rsidR="00F53CB4" w:rsidRPr="00A60F31" w:rsidRDefault="007E71E3" w:rsidP="00405CCD">
            <w:pPr>
              <w:spacing w:line="216" w:lineRule="auto"/>
              <w:ind w:left="-109"/>
              <w:jc w:val="center"/>
              <w:rPr>
                <w:sz w:val="22"/>
                <w:szCs w:val="22"/>
                <w:lang w:val="en-US"/>
              </w:rPr>
            </w:pPr>
            <w:r w:rsidRPr="00A60F31">
              <w:rPr>
                <w:sz w:val="22"/>
                <w:szCs w:val="22"/>
              </w:rPr>
              <w:t>8</w:t>
            </w:r>
            <w:r w:rsidRPr="00A60F31">
              <w:rPr>
                <w:sz w:val="22"/>
                <w:szCs w:val="22"/>
                <w:lang w:val="en-US"/>
              </w:rPr>
              <w:t>/0/8</w:t>
            </w:r>
          </w:p>
        </w:tc>
        <w:tc>
          <w:tcPr>
            <w:tcW w:w="4820" w:type="dxa"/>
            <w:shd w:val="clear" w:color="auto" w:fill="auto"/>
          </w:tcPr>
          <w:p w14:paraId="04817172" w14:textId="20B9CA4B" w:rsidR="006D556A" w:rsidRPr="00A60F31" w:rsidRDefault="007E71E3" w:rsidP="000C3C80">
            <w:pPr>
              <w:spacing w:line="216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A60F31">
              <w:rPr>
                <w:b/>
                <w:snapToGrid w:val="0"/>
                <w:sz w:val="22"/>
                <w:szCs w:val="22"/>
              </w:rPr>
              <w:t>Термохімія</w:t>
            </w:r>
            <w:r w:rsidR="003F4E42" w:rsidRPr="00A60F31">
              <w:rPr>
                <w:b/>
                <w:snapToGrid w:val="0"/>
                <w:sz w:val="22"/>
                <w:szCs w:val="22"/>
              </w:rPr>
              <w:t>.</w:t>
            </w:r>
          </w:p>
          <w:p w14:paraId="7FA973F9" w14:textId="77777777" w:rsidR="004E3221" w:rsidRPr="00A60F31" w:rsidRDefault="004E3221" w:rsidP="004E3221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Наближені методи розрахунку теплових ефектів та інших термодинамічних характеристик хімічних реакцій.</w:t>
            </w:r>
          </w:p>
          <w:p w14:paraId="6BC0EE4C" w14:textId="77777777" w:rsidR="004E3221" w:rsidRPr="00A60F31" w:rsidRDefault="004E3221" w:rsidP="004E3221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теплового ефекту реакції за ентальпіями дисоціації хімічних зв’язків.</w:t>
            </w:r>
          </w:p>
          <w:p w14:paraId="708860E0" w14:textId="77777777" w:rsidR="004E3221" w:rsidRPr="00A60F31" w:rsidRDefault="004E3221" w:rsidP="004E3221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Метод теплових поправок та метод порівняльного розрахунку. Розрахунок теплових ефектів ентропій та вільних енергій Гіббса за методом групових вкладів.</w:t>
            </w:r>
          </w:p>
          <w:p w14:paraId="46FADB3F" w14:textId="129260E3" w:rsidR="003F4E42" w:rsidRPr="00A60F31" w:rsidRDefault="003F4E42" w:rsidP="004E3221">
            <w:pPr>
              <w:spacing w:line="216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A60F31">
              <w:rPr>
                <w:b/>
                <w:snapToGrid w:val="0"/>
                <w:sz w:val="22"/>
                <w:szCs w:val="22"/>
              </w:rPr>
              <w:t>Хімічні рівноваги.</w:t>
            </w:r>
          </w:p>
          <w:p w14:paraId="1EDFB637" w14:textId="77777777" w:rsidR="003F4E42" w:rsidRPr="00A60F31" w:rsidRDefault="003F4E42" w:rsidP="004E3221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рівноважного виходу хімічної реакції, яка перебігає в реальній газовій системі в умовах високого тиску.</w:t>
            </w:r>
          </w:p>
          <w:p w14:paraId="47F22B43" w14:textId="24D05D33" w:rsidR="003F4E42" w:rsidRPr="00A60F31" w:rsidRDefault="003F4E42" w:rsidP="004E3221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термодинамічної константи рівноваги. Розрахунок П (</w:t>
            </w:r>
            <w:r w:rsidRPr="00A60F31">
              <w:rPr>
                <w:snapToGrid w:val="0"/>
                <w:sz w:val="22"/>
                <w:szCs w:val="22"/>
              </w:rPr>
              <w:sym w:font="Symbol" w:char="F067"/>
            </w:r>
            <w:r w:rsidRPr="00A60F31">
              <w:rPr>
                <w:snapToGrid w:val="0"/>
                <w:sz w:val="22"/>
                <w:szCs w:val="22"/>
                <w:vertAlign w:val="subscript"/>
              </w:rPr>
              <w:t>і</w:t>
            </w:r>
            <w:r w:rsidRPr="00A60F31">
              <w:rPr>
                <w:snapToGrid w:val="0"/>
                <w:sz w:val="22"/>
                <w:szCs w:val="22"/>
              </w:rPr>
              <w:t>)</w:t>
            </w:r>
            <w:r w:rsidRPr="00A60F31">
              <w:rPr>
                <w:snapToGrid w:val="0"/>
                <w:sz w:val="22"/>
                <w:szCs w:val="22"/>
                <w:vertAlign w:val="superscript"/>
              </w:rPr>
              <w:sym w:font="Symbol" w:char="F06E"/>
            </w:r>
            <w:r w:rsidRPr="00A60F31">
              <w:rPr>
                <w:snapToGrid w:val="0"/>
                <w:sz w:val="22"/>
                <w:szCs w:val="22"/>
                <w:vertAlign w:val="superscript"/>
              </w:rPr>
              <w:t>і</w:t>
            </w:r>
            <w:r w:rsidRPr="00A60F31">
              <w:rPr>
                <w:snapToGrid w:val="0"/>
                <w:sz w:val="22"/>
                <w:szCs w:val="22"/>
              </w:rPr>
              <w:t>. Розрахунок ступеню перебігу реакції та складу рівноважної суміші.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29623" w14:textId="09FDA4F4" w:rsidR="00F53CB4" w:rsidRPr="00A60F31" w:rsidRDefault="003F4E42" w:rsidP="003F4E4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Таблиці групових вкладів термодинамічних характеристик. Тести. Індивідуальні завдання. Таблиці та діаграми. Комплект завдань. Довідники.</w:t>
            </w:r>
          </w:p>
        </w:tc>
      </w:tr>
      <w:tr w:rsidR="00A60F31" w:rsidRPr="00A60F31" w14:paraId="27AC0AF4" w14:textId="77777777" w:rsidTr="009F6104">
        <w:tc>
          <w:tcPr>
            <w:tcW w:w="421" w:type="dxa"/>
            <w:shd w:val="clear" w:color="auto" w:fill="auto"/>
          </w:tcPr>
          <w:p w14:paraId="7C38B7B5" w14:textId="3A4EF893" w:rsidR="00F53CB4" w:rsidRPr="00A60F31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300F9A8E" w:rsidR="00F53CB4" w:rsidRPr="00A60F31" w:rsidRDefault="000C3C80" w:rsidP="00F53CB4">
            <w:pPr>
              <w:spacing w:line="216" w:lineRule="auto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Фазові рівноваги та вчення про розчини</w:t>
            </w:r>
          </w:p>
        </w:tc>
        <w:tc>
          <w:tcPr>
            <w:tcW w:w="992" w:type="dxa"/>
            <w:shd w:val="clear" w:color="auto" w:fill="auto"/>
          </w:tcPr>
          <w:p w14:paraId="5ECD91A4" w14:textId="00722464" w:rsidR="00F53CB4" w:rsidRPr="00A60F31" w:rsidRDefault="00E77768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8/0/8</w:t>
            </w:r>
          </w:p>
        </w:tc>
        <w:tc>
          <w:tcPr>
            <w:tcW w:w="4820" w:type="dxa"/>
            <w:shd w:val="clear" w:color="auto" w:fill="auto"/>
          </w:tcPr>
          <w:p w14:paraId="70DB2589" w14:textId="77777777" w:rsidR="004A24E4" w:rsidRPr="00A60F31" w:rsidRDefault="004A24E4" w:rsidP="000C3C80">
            <w:pPr>
              <w:spacing w:line="216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A60F31">
              <w:rPr>
                <w:b/>
                <w:snapToGrid w:val="0"/>
                <w:sz w:val="22"/>
                <w:szCs w:val="22"/>
              </w:rPr>
              <w:t>Двокомпонентні системи. Розчини.</w:t>
            </w:r>
          </w:p>
          <w:p w14:paraId="3EB02498" w14:textId="7777777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Розрахунки термодинамічних характеристик утворення реальних розчинів.</w:t>
            </w:r>
          </w:p>
          <w:p w14:paraId="4CA9F212" w14:textId="689F348E" w:rsidR="00083961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Визначення парціальних молярних характеристик компонентів реальних розчинів.</w:t>
            </w:r>
          </w:p>
          <w:p w14:paraId="0BA8C18F" w14:textId="7777777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Розрахунки властивостей реальних розчинів, через парціальні молярні характеристики. Розрахунки активності компоненту розчинів неелектролітів.</w:t>
            </w:r>
          </w:p>
          <w:p w14:paraId="1DF06269" w14:textId="7777777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Розчинність газів у рідинах. Розрахунок теплоти розчинення газів у рідинах.</w:t>
            </w:r>
          </w:p>
          <w:p w14:paraId="673793F5" w14:textId="7777777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кратності екстракції.</w:t>
            </w:r>
          </w:p>
          <w:p w14:paraId="745DB922" w14:textId="7777777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Використання закону розподілу речовини між фазами, що не змішуються, для розрахунку молекулярних мас, ступеню дисоціації та активності розчинених речовин.</w:t>
            </w:r>
          </w:p>
          <w:p w14:paraId="0F593638" w14:textId="404AE3E7" w:rsidR="00EC06BA" w:rsidRPr="00A60F31" w:rsidRDefault="00EC06BA" w:rsidP="000C3C80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Розрахунки фазових рівноваг у двокомпонентних системах з відхиленням від ідеальності, які містять парову та рідинну фазу. Аналіз фазового стану двокомпонентної системи</w:t>
            </w:r>
            <w:r w:rsidR="009F6104" w:rsidRPr="00A60F31">
              <w:rPr>
                <w:snapToGrid w:val="0"/>
                <w:sz w:val="22"/>
                <w:szCs w:val="22"/>
              </w:rPr>
              <w:t xml:space="preserve"> на підставі діаграм рівноваги рідина-пара. Розрахунок кількості компонента, який можна отримати у чистому стані із суміші заданого складу. Розрахунок активності та коефіцієнтів активності компоненту реального розчину на підставі діаграми фазового стану.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792EA" w14:textId="1DA10C51" w:rsidR="00456D10" w:rsidRPr="00A60F31" w:rsidRDefault="009F6104" w:rsidP="00456D1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Таблиці та діаграми для визначення</w:t>
            </w:r>
            <w:r w:rsidR="00456D10" w:rsidRPr="00A60F31">
              <w:rPr>
                <w:sz w:val="22"/>
                <w:szCs w:val="22"/>
              </w:rPr>
              <w:t xml:space="preserve"> активності. Індивідуальні завдання. Комплект діаграм.</w:t>
            </w:r>
          </w:p>
        </w:tc>
      </w:tr>
      <w:tr w:rsidR="00A60F31" w:rsidRPr="00A60F31" w14:paraId="77E57E9F" w14:textId="77777777" w:rsidTr="00707515">
        <w:tc>
          <w:tcPr>
            <w:tcW w:w="421" w:type="dxa"/>
            <w:shd w:val="clear" w:color="auto" w:fill="auto"/>
          </w:tcPr>
          <w:p w14:paraId="0E2CF45B" w14:textId="3E8BD05D" w:rsidR="00F53CB4" w:rsidRPr="00A60F31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6C3894D7" w:rsidR="00F53CB4" w:rsidRPr="00A60F31" w:rsidRDefault="00E77768" w:rsidP="00E77768">
            <w:pPr>
              <w:spacing w:line="216" w:lineRule="auto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Електрохімія</w:t>
            </w:r>
          </w:p>
        </w:tc>
        <w:tc>
          <w:tcPr>
            <w:tcW w:w="992" w:type="dxa"/>
            <w:shd w:val="clear" w:color="auto" w:fill="auto"/>
          </w:tcPr>
          <w:p w14:paraId="3B9DF7A8" w14:textId="0EA02D4A" w:rsidR="00F53CB4" w:rsidRPr="00A60F31" w:rsidRDefault="00E77768" w:rsidP="00F730CD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A60F31">
              <w:rPr>
                <w:sz w:val="22"/>
                <w:szCs w:val="22"/>
                <w:lang w:val="ru-RU"/>
              </w:rPr>
              <w:t>4/0</w:t>
            </w:r>
            <w:r w:rsidR="00405CCD" w:rsidRPr="00A60F31">
              <w:rPr>
                <w:sz w:val="22"/>
                <w:szCs w:val="22"/>
                <w:lang w:val="ru-RU"/>
              </w:rPr>
              <w:t>/4</w:t>
            </w:r>
          </w:p>
        </w:tc>
        <w:tc>
          <w:tcPr>
            <w:tcW w:w="4820" w:type="dxa"/>
            <w:shd w:val="clear" w:color="auto" w:fill="auto"/>
          </w:tcPr>
          <w:p w14:paraId="1F5C2B0B" w14:textId="77777777" w:rsidR="000F74D7" w:rsidRPr="00A60F31" w:rsidRDefault="00456D10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 xml:space="preserve">Діаграми стану трикомпонентних </w:t>
            </w:r>
            <w:r w:rsidR="00767FBB" w:rsidRPr="00A60F31">
              <w:rPr>
                <w:snapToGrid w:val="0"/>
                <w:sz w:val="22"/>
                <w:szCs w:val="22"/>
              </w:rPr>
              <w:t>систем.</w:t>
            </w:r>
          </w:p>
          <w:p w14:paraId="47F7BF28" w14:textId="77777777" w:rsidR="00767FBB" w:rsidRPr="00A60F31" w:rsidRDefault="00757A07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Зображення</w:t>
            </w:r>
            <w:r w:rsidR="00767FBB" w:rsidRPr="00A60F31">
              <w:rPr>
                <w:snapToGrid w:val="0"/>
                <w:sz w:val="22"/>
                <w:szCs w:val="22"/>
              </w:rPr>
              <w:t xml:space="preserve"> складу трикомпонентних систем за допомогою трикутника Гіббса-</w:t>
            </w:r>
            <w:proofErr w:type="spellStart"/>
            <w:r w:rsidR="00767FBB" w:rsidRPr="00A60F31">
              <w:rPr>
                <w:snapToGrid w:val="0"/>
                <w:sz w:val="22"/>
                <w:szCs w:val="22"/>
              </w:rPr>
              <w:t>Розбома</w:t>
            </w:r>
            <w:proofErr w:type="spellEnd"/>
            <w:r w:rsidR="00767FBB" w:rsidRPr="00A60F31">
              <w:rPr>
                <w:snapToGrid w:val="0"/>
                <w:sz w:val="22"/>
                <w:szCs w:val="22"/>
              </w:rPr>
              <w:t xml:space="preserve">. Діаграми плавкості </w:t>
            </w:r>
            <w:r w:rsidR="00D61987" w:rsidRPr="00A60F31">
              <w:rPr>
                <w:snapToGrid w:val="0"/>
                <w:sz w:val="22"/>
                <w:szCs w:val="22"/>
              </w:rPr>
              <w:t>трикомпонентних  систем:</w:t>
            </w:r>
            <w:r w:rsidRPr="00A60F31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A60F31">
              <w:rPr>
                <w:snapToGrid w:val="0"/>
                <w:sz w:val="22"/>
                <w:szCs w:val="22"/>
              </w:rPr>
              <w:t>об’ємна та плоска. Робота з визначення складу. Аналіз фазового стану у трикомпонентних системах.</w:t>
            </w:r>
          </w:p>
          <w:p w14:paraId="6F78DE63" w14:textId="77777777" w:rsidR="00707515" w:rsidRPr="00A60F31" w:rsidRDefault="00707515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основних термодинамічних характеристик розчинів електролітів.</w:t>
            </w:r>
          </w:p>
          <w:p w14:paraId="5A1AA76C" w14:textId="77777777" w:rsidR="00757A07" w:rsidRPr="00A60F31" w:rsidRDefault="00707515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 xml:space="preserve">Активність </w:t>
            </w:r>
            <w:proofErr w:type="spellStart"/>
            <w:r w:rsidRPr="00A60F31">
              <w:rPr>
                <w:snapToGrid w:val="0"/>
                <w:sz w:val="22"/>
                <w:szCs w:val="22"/>
              </w:rPr>
              <w:t>середньоіона</w:t>
            </w:r>
            <w:proofErr w:type="spellEnd"/>
            <w:r w:rsidRPr="00A60F31">
              <w:rPr>
                <w:snapToGrid w:val="0"/>
                <w:sz w:val="22"/>
                <w:szCs w:val="22"/>
              </w:rPr>
              <w:t xml:space="preserve"> та молекулярна.</w:t>
            </w:r>
          </w:p>
          <w:p w14:paraId="44D01E74" w14:textId="77777777" w:rsidR="00707515" w:rsidRPr="00A60F31" w:rsidRDefault="00707515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 xml:space="preserve">Обчислення </w:t>
            </w:r>
            <w:proofErr w:type="spellStart"/>
            <w:r w:rsidRPr="00A60F31">
              <w:rPr>
                <w:snapToGrid w:val="0"/>
                <w:sz w:val="22"/>
                <w:szCs w:val="22"/>
              </w:rPr>
              <w:t>середньоіоного</w:t>
            </w:r>
            <w:proofErr w:type="spellEnd"/>
            <w:r w:rsidRPr="00A60F31">
              <w:rPr>
                <w:snapToGrid w:val="0"/>
                <w:sz w:val="22"/>
                <w:szCs w:val="22"/>
              </w:rPr>
              <w:t xml:space="preserve"> коефіцієнту активності.</w:t>
            </w:r>
          </w:p>
          <w:p w14:paraId="592DB10D" w14:textId="77777777" w:rsidR="00707515" w:rsidRPr="00A60F31" w:rsidRDefault="00707515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Основні термодинамічні рівняння зворотних електрохімічних систем.</w:t>
            </w:r>
          </w:p>
          <w:p w14:paraId="3632B0CA" w14:textId="1C1112D2" w:rsidR="00707515" w:rsidRPr="00A60F31" w:rsidRDefault="00707515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lastRenderedPageBreak/>
              <w:t>Застосування потенціометричних вимірювань для визначення термодинамічних характеристик окисно-відновних реакцій.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6CEB9" w14:textId="0C91650B" w:rsidR="00F53CB4" w:rsidRPr="00A60F31" w:rsidRDefault="00707515" w:rsidP="0070751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lastRenderedPageBreak/>
              <w:t>Комплект діаграм. Комплект індивідуальних завдань.</w:t>
            </w:r>
          </w:p>
        </w:tc>
      </w:tr>
      <w:tr w:rsidR="00A60F31" w:rsidRPr="00A60F31" w14:paraId="32502961" w14:textId="77777777" w:rsidTr="009F7978">
        <w:tc>
          <w:tcPr>
            <w:tcW w:w="421" w:type="dxa"/>
            <w:shd w:val="clear" w:color="auto" w:fill="auto"/>
          </w:tcPr>
          <w:p w14:paraId="3A379DC9" w14:textId="14C554E9" w:rsidR="00F53CB4" w:rsidRPr="00A60F31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1B46D472" w:rsidR="00F53CB4" w:rsidRPr="00A60F31" w:rsidRDefault="00E77768" w:rsidP="00E77768">
            <w:pPr>
              <w:spacing w:line="216" w:lineRule="auto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</w:rPr>
              <w:t>Хімічна кінетика</w:t>
            </w:r>
          </w:p>
        </w:tc>
        <w:tc>
          <w:tcPr>
            <w:tcW w:w="992" w:type="dxa"/>
            <w:shd w:val="clear" w:color="auto" w:fill="auto"/>
          </w:tcPr>
          <w:p w14:paraId="427DA2F9" w14:textId="3653D9CE" w:rsidR="00F53CB4" w:rsidRPr="00A60F31" w:rsidRDefault="00E77768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F31">
              <w:rPr>
                <w:sz w:val="22"/>
                <w:szCs w:val="22"/>
                <w:lang w:val="ru-RU"/>
              </w:rPr>
              <w:t>8/0</w:t>
            </w:r>
            <w:r w:rsidR="00405CCD" w:rsidRPr="00A60F31">
              <w:rPr>
                <w:sz w:val="22"/>
                <w:szCs w:val="22"/>
                <w:lang w:val="ru-RU"/>
              </w:rPr>
              <w:t>/8</w:t>
            </w:r>
          </w:p>
        </w:tc>
        <w:tc>
          <w:tcPr>
            <w:tcW w:w="4820" w:type="dxa"/>
            <w:shd w:val="clear" w:color="auto" w:fill="auto"/>
          </w:tcPr>
          <w:p w14:paraId="1C608470" w14:textId="77777777" w:rsidR="004C00CD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кінетичних характеристик складних реакцій.</w:t>
            </w:r>
          </w:p>
          <w:p w14:paraId="6CBE1C4D" w14:textId="77777777" w:rsidR="009F7978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Розрахунок концентрації кожного з реагентів у послідовній реакції І-го порядку.</w:t>
            </w:r>
          </w:p>
          <w:p w14:paraId="211134DF" w14:textId="77777777" w:rsidR="009F7978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Побудова кінетичних кривих.</w:t>
            </w:r>
          </w:p>
          <w:p w14:paraId="34E5ABB7" w14:textId="77777777" w:rsidR="009F7978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Кінетика гетерогенних процесів.</w:t>
            </w:r>
          </w:p>
          <w:p w14:paraId="4067121A" w14:textId="77777777" w:rsidR="009F7978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Кінетика розчинення твердих тіл.</w:t>
            </w:r>
          </w:p>
          <w:p w14:paraId="68E2038C" w14:textId="0B056B90" w:rsidR="009F7978" w:rsidRPr="00A60F31" w:rsidRDefault="009F7978" w:rsidP="005B59F6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Кінетика дифузійних процесів.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C8B7E" w14:textId="41F78F46" w:rsidR="00F53CB4" w:rsidRPr="00A60F31" w:rsidRDefault="009F7978" w:rsidP="009F7978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F31">
              <w:rPr>
                <w:snapToGrid w:val="0"/>
                <w:sz w:val="22"/>
                <w:szCs w:val="22"/>
              </w:rPr>
              <w:t>Комплект індивідуальних завдань.</w:t>
            </w:r>
          </w:p>
        </w:tc>
      </w:tr>
    </w:tbl>
    <w:p w14:paraId="62C2B221" w14:textId="77777777" w:rsidR="00ED7BA0" w:rsidRPr="00A60F31" w:rsidRDefault="00ED7BA0" w:rsidP="00ED7BA0">
      <w:pPr>
        <w:spacing w:line="276" w:lineRule="auto"/>
        <w:jc w:val="both"/>
        <w:rPr>
          <w:szCs w:val="24"/>
        </w:rPr>
      </w:pPr>
    </w:p>
    <w:p w14:paraId="4E51B1F9" w14:textId="6E1C19C7" w:rsidR="000C320D" w:rsidRPr="00A60F31" w:rsidRDefault="00ED7BA0" w:rsidP="00FD3D2F">
      <w:pPr>
        <w:spacing w:line="276" w:lineRule="auto"/>
        <w:jc w:val="center"/>
        <w:rPr>
          <w:b/>
          <w:szCs w:val="24"/>
        </w:rPr>
      </w:pPr>
      <w:r w:rsidRPr="00A60F31">
        <w:rPr>
          <w:b/>
          <w:szCs w:val="24"/>
        </w:rPr>
        <w:t>Рекомендована література</w:t>
      </w:r>
    </w:p>
    <w:p w14:paraId="4715D9A2" w14:textId="77777777" w:rsidR="00FD3D2F" w:rsidRPr="00A60F31" w:rsidRDefault="00FD3D2F" w:rsidP="00FD3D2F">
      <w:pPr>
        <w:spacing w:line="276" w:lineRule="auto"/>
        <w:jc w:val="center"/>
        <w:rPr>
          <w:b/>
          <w:szCs w:val="24"/>
        </w:rPr>
      </w:pPr>
    </w:p>
    <w:p w14:paraId="67F95CBD" w14:textId="2B00A8F2" w:rsidR="00C0726A" w:rsidRPr="00A60F31" w:rsidRDefault="00C0726A" w:rsidP="00C0726A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proofErr w:type="spellStart"/>
      <w:r w:rsidRPr="00A60F31">
        <w:rPr>
          <w:lang w:val="ru-RU" w:eastAsia="ar-SA"/>
        </w:rPr>
        <w:t>Стромберг</w:t>
      </w:r>
      <w:proofErr w:type="spellEnd"/>
      <w:r w:rsidRPr="00A60F31">
        <w:rPr>
          <w:lang w:val="ru-RU" w:eastAsia="ar-SA"/>
        </w:rPr>
        <w:t xml:space="preserve"> А.Г., </w:t>
      </w:r>
      <w:proofErr w:type="spellStart"/>
      <w:r w:rsidRPr="00A60F31">
        <w:rPr>
          <w:lang w:val="ru-RU" w:eastAsia="ar-SA"/>
        </w:rPr>
        <w:t>Семеченко</w:t>
      </w:r>
      <w:proofErr w:type="spellEnd"/>
      <w:r w:rsidRPr="00A60F31">
        <w:rPr>
          <w:lang w:val="ru-RU" w:eastAsia="ar-SA"/>
        </w:rPr>
        <w:t xml:space="preserve"> Д.П., Физическая химия. – М.: Высшая школа, 1999, - 496 с.</w:t>
      </w:r>
    </w:p>
    <w:p w14:paraId="5B13AE86" w14:textId="0FF5FE10" w:rsidR="00C0726A" w:rsidRPr="00A60F31" w:rsidRDefault="00C0726A" w:rsidP="00C0726A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r w:rsidRPr="00A60F31">
        <w:rPr>
          <w:lang w:val="ru-RU" w:eastAsia="ar-SA"/>
        </w:rPr>
        <w:t>Физическая химия / Под</w:t>
      </w:r>
      <w:r w:rsidR="00D06F93" w:rsidRPr="00A60F31">
        <w:rPr>
          <w:lang w:val="ru-RU" w:eastAsia="ar-SA"/>
        </w:rPr>
        <w:t xml:space="preserve"> р</w:t>
      </w:r>
      <w:r w:rsidRPr="00A60F31">
        <w:rPr>
          <w:lang w:val="ru-RU" w:eastAsia="ar-SA"/>
        </w:rPr>
        <w:t>ед. Краснова К.С. – т. 1, 2. М.: Высшая школа, 1995, - 512 с., 320 с.</w:t>
      </w:r>
    </w:p>
    <w:p w14:paraId="7DE45F44" w14:textId="535E0DA0" w:rsidR="00C0726A" w:rsidRPr="00A60F31" w:rsidRDefault="00C0726A" w:rsidP="00C0726A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r w:rsidRPr="00A60F31">
        <w:rPr>
          <w:lang w:val="ru-RU" w:eastAsia="ar-SA"/>
        </w:rPr>
        <w:t>Кудряшов И.В., Каретников Г.С. «Сборник примеров и задач по физической химии», М.: Высшая школа, 1991, - 522 с.</w:t>
      </w:r>
    </w:p>
    <w:p w14:paraId="34C335C4" w14:textId="240B057A" w:rsidR="00D06F93" w:rsidRPr="00A60F31" w:rsidRDefault="00D06F93" w:rsidP="00C0726A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r w:rsidRPr="00A60F31">
        <w:rPr>
          <w:lang w:val="ru-RU" w:eastAsia="ar-SA"/>
        </w:rPr>
        <w:t xml:space="preserve">Краткий справочник физико-химических величин / Под ред. </w:t>
      </w:r>
      <w:proofErr w:type="spellStart"/>
      <w:r w:rsidRPr="00A60F31">
        <w:rPr>
          <w:lang w:val="ru-RU" w:eastAsia="ar-SA"/>
        </w:rPr>
        <w:t>Равделя</w:t>
      </w:r>
      <w:proofErr w:type="spellEnd"/>
      <w:r w:rsidRPr="00A60F31">
        <w:rPr>
          <w:lang w:val="ru-RU" w:eastAsia="ar-SA"/>
        </w:rPr>
        <w:t xml:space="preserve"> А.А., Мищенко К.П., Л.: Химия, 1983, - 231 с.</w:t>
      </w:r>
    </w:p>
    <w:p w14:paraId="55DDCF58" w14:textId="6E8300AE" w:rsidR="00D06F93" w:rsidRPr="00A60F31" w:rsidRDefault="00D06F93" w:rsidP="00C0726A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r w:rsidRPr="00A60F31">
        <w:rPr>
          <w:lang w:eastAsia="ar-SA"/>
        </w:rPr>
        <w:t>Лебідь В.І. Фізична хімія – Харків: Фоліо, 2005, - 478 с.</w:t>
      </w:r>
    </w:p>
    <w:p w14:paraId="1F3FF8D9" w14:textId="7548CC8B" w:rsidR="006F3876" w:rsidRPr="00A60F31" w:rsidRDefault="005F5255" w:rsidP="00FD3D2F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val="ru-RU" w:eastAsia="ar-SA"/>
        </w:rPr>
      </w:pPr>
      <w:r w:rsidRPr="00A60F31">
        <w:rPr>
          <w:lang w:val="ru-RU" w:eastAsia="ar-SA"/>
        </w:rPr>
        <w:t xml:space="preserve">Семененко С.В., Потапенко Е.В. </w:t>
      </w:r>
      <w:r w:rsidRPr="00A60F31">
        <w:rPr>
          <w:lang w:eastAsia="ar-SA"/>
        </w:rPr>
        <w:t>Фізична та колоїдна хімія. – Луганськ, «</w:t>
      </w:r>
      <w:proofErr w:type="spellStart"/>
      <w:r w:rsidRPr="00A60F31">
        <w:rPr>
          <w:lang w:eastAsia="ar-SA"/>
        </w:rPr>
        <w:t>Ноулідж</w:t>
      </w:r>
      <w:proofErr w:type="spellEnd"/>
      <w:r w:rsidRPr="00A60F31">
        <w:rPr>
          <w:lang w:eastAsia="ar-SA"/>
        </w:rPr>
        <w:t>», 2013, - 339 с.</w:t>
      </w:r>
    </w:p>
    <w:p w14:paraId="04DBD8CD" w14:textId="7C524D1A" w:rsidR="00FD3D2F" w:rsidRPr="00A60F31" w:rsidRDefault="00FD3D2F" w:rsidP="00FD3D2F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ind w:left="0" w:hanging="11"/>
        <w:rPr>
          <w:lang w:eastAsia="ar-SA"/>
        </w:rPr>
      </w:pPr>
      <w:r w:rsidRPr="00A60F31">
        <w:rPr>
          <w:lang w:eastAsia="ar-SA"/>
        </w:rPr>
        <w:t>Н.В. Романова Загальна та неорганічна хімія – Київ: Перун, 2004.</w:t>
      </w:r>
    </w:p>
    <w:p w14:paraId="7C64DB0C" w14:textId="17D5F5CA" w:rsidR="00FD3D2F" w:rsidRPr="00A60F31" w:rsidRDefault="00FD3D2F" w:rsidP="00FD3D2F">
      <w:pPr>
        <w:pStyle w:val="a0"/>
        <w:numPr>
          <w:ilvl w:val="0"/>
          <w:numId w:val="30"/>
        </w:numPr>
        <w:tabs>
          <w:tab w:val="left" w:pos="142"/>
          <w:tab w:val="left" w:pos="426"/>
        </w:tabs>
        <w:spacing w:line="276" w:lineRule="auto"/>
        <w:ind w:left="0" w:hanging="11"/>
        <w:rPr>
          <w:lang w:eastAsia="ar-SA"/>
        </w:rPr>
      </w:pPr>
      <w:r w:rsidRPr="00A60F31">
        <w:rPr>
          <w:lang w:eastAsia="ar-SA"/>
        </w:rPr>
        <w:t xml:space="preserve">С.А. Неділько, П.П. </w:t>
      </w:r>
      <w:proofErr w:type="spellStart"/>
      <w:r w:rsidRPr="00A60F31">
        <w:rPr>
          <w:lang w:eastAsia="ar-SA"/>
        </w:rPr>
        <w:t>Попель</w:t>
      </w:r>
      <w:proofErr w:type="spellEnd"/>
      <w:r w:rsidRPr="00A60F31">
        <w:rPr>
          <w:lang w:eastAsia="ar-SA"/>
        </w:rPr>
        <w:t xml:space="preserve"> Загальна хімія. Задачі та вправи. – Київ: Либідь, 2001</w:t>
      </w:r>
    </w:p>
    <w:p w14:paraId="35B156B7" w14:textId="77777777" w:rsidR="00FD3D2F" w:rsidRPr="00A60F31" w:rsidRDefault="00FD3D2F" w:rsidP="00FD3D2F">
      <w:pPr>
        <w:spacing w:line="276" w:lineRule="auto"/>
        <w:jc w:val="center"/>
        <w:rPr>
          <w:b/>
          <w:szCs w:val="24"/>
        </w:rPr>
      </w:pPr>
    </w:p>
    <w:p w14:paraId="056AA872" w14:textId="112E3B9B" w:rsidR="00ED7BA0" w:rsidRPr="00A60F31" w:rsidRDefault="00ED7BA0" w:rsidP="00FD3D2F">
      <w:pPr>
        <w:spacing w:line="276" w:lineRule="auto"/>
        <w:jc w:val="center"/>
        <w:rPr>
          <w:b/>
          <w:szCs w:val="24"/>
        </w:rPr>
      </w:pPr>
      <w:r w:rsidRPr="00A60F31">
        <w:rPr>
          <w:b/>
          <w:szCs w:val="24"/>
        </w:rPr>
        <w:t>Методичне забезпечення</w:t>
      </w:r>
    </w:p>
    <w:p w14:paraId="00FF9B8F" w14:textId="77777777" w:rsidR="00B85866" w:rsidRPr="00A60F31" w:rsidRDefault="00B85866" w:rsidP="00FD3D2F">
      <w:pPr>
        <w:spacing w:line="276" w:lineRule="auto"/>
        <w:ind w:left="426"/>
        <w:jc w:val="center"/>
        <w:rPr>
          <w:b/>
          <w:szCs w:val="24"/>
        </w:rPr>
      </w:pPr>
    </w:p>
    <w:p w14:paraId="35BCC757" w14:textId="34A57262" w:rsidR="00B6012B" w:rsidRPr="00A60F31" w:rsidRDefault="00B6012B" w:rsidP="00B6012B">
      <w:pPr>
        <w:pStyle w:val="a4"/>
        <w:numPr>
          <w:ilvl w:val="0"/>
          <w:numId w:val="32"/>
        </w:numPr>
        <w:spacing w:line="228" w:lineRule="auto"/>
        <w:ind w:left="426"/>
        <w:jc w:val="both"/>
        <w:rPr>
          <w:lang w:eastAsia="ar-SA"/>
        </w:rPr>
      </w:pPr>
      <w:r w:rsidRPr="00A60F31">
        <w:rPr>
          <w:lang w:eastAsia="ar-SA"/>
        </w:rPr>
        <w:t>Методичні вказівки до практичних занять та виконання індивідуальних завдань з дисципліни «Фізична хімія» ч.1 «Хімічна термодинаміка» - Заіка Р.Г., Полякова О.А. – Сєвєродонецьк: Видавництво СНУ ім. В. Даля, 2017, - 58 с.</w:t>
      </w:r>
    </w:p>
    <w:p w14:paraId="6C3B2547" w14:textId="4EF41AB3" w:rsidR="00B6012B" w:rsidRPr="00A60F31" w:rsidRDefault="00B6012B" w:rsidP="00B6012B">
      <w:pPr>
        <w:pStyle w:val="a4"/>
        <w:numPr>
          <w:ilvl w:val="0"/>
          <w:numId w:val="32"/>
        </w:numPr>
        <w:spacing w:line="228" w:lineRule="auto"/>
        <w:ind w:left="426"/>
        <w:jc w:val="both"/>
        <w:rPr>
          <w:lang w:eastAsia="ar-SA"/>
        </w:rPr>
      </w:pPr>
      <w:r w:rsidRPr="00A60F31">
        <w:rPr>
          <w:lang w:eastAsia="ar-SA"/>
        </w:rPr>
        <w:t>Методичні вказівки до практичних занять та виконання індивідуальних завдань з дисципліни «Фізична хімія» ч.2 «Фазові рівноваги. Розчини. Розділ 1. Фазові рівноваги в однокомпонентних системах. Розчини» - Заіка Р.Г., Любимова-Зінченко О.В., Полякова О.А. – Сєвєродонецьк: Видавництво СНУ ім. В. Даля, 2018, - 52 с.</w:t>
      </w:r>
    </w:p>
    <w:p w14:paraId="5076B77C" w14:textId="11270462" w:rsidR="00B6012B" w:rsidRPr="00A60F31" w:rsidRDefault="00B6012B" w:rsidP="00B6012B">
      <w:pPr>
        <w:pStyle w:val="a4"/>
        <w:numPr>
          <w:ilvl w:val="0"/>
          <w:numId w:val="32"/>
        </w:numPr>
        <w:spacing w:line="228" w:lineRule="auto"/>
        <w:ind w:left="426"/>
        <w:jc w:val="both"/>
        <w:rPr>
          <w:lang w:eastAsia="ar-SA"/>
        </w:rPr>
      </w:pPr>
      <w:r w:rsidRPr="00A60F31">
        <w:rPr>
          <w:lang w:eastAsia="ar-SA"/>
        </w:rPr>
        <w:t>Методичні вказівки до практичних занять та виконання індивідуальних завдань з дисципліни «Фізична хімія» ч.2 «Фазові рівноваги. Розчини. Розділ 2. Гетерогенна рівновага у двокомпонентних системах» - Заіка Р.Г., Любимова-Зінченко О.В., Полякова О.А. – Сєвєродонецьк: Видавництво СНУ ім. В. Даля, 201</w:t>
      </w:r>
      <w:r w:rsidR="00541FFE" w:rsidRPr="00A60F31">
        <w:rPr>
          <w:lang w:eastAsia="ar-SA"/>
        </w:rPr>
        <w:t>9</w:t>
      </w:r>
      <w:r w:rsidRPr="00A60F31">
        <w:rPr>
          <w:lang w:eastAsia="ar-SA"/>
        </w:rPr>
        <w:t xml:space="preserve">, - </w:t>
      </w:r>
      <w:r w:rsidR="00541FFE" w:rsidRPr="00A60F31">
        <w:rPr>
          <w:lang w:eastAsia="ar-SA"/>
        </w:rPr>
        <w:t>40</w:t>
      </w:r>
      <w:r w:rsidRPr="00A60F31">
        <w:rPr>
          <w:lang w:eastAsia="ar-SA"/>
        </w:rPr>
        <w:t xml:space="preserve"> с.</w:t>
      </w:r>
    </w:p>
    <w:p w14:paraId="20DFE3D1" w14:textId="2B2668C2" w:rsidR="00541FFE" w:rsidRPr="00A60F31" w:rsidRDefault="00541FFE" w:rsidP="00541FFE">
      <w:pPr>
        <w:pStyle w:val="a4"/>
        <w:numPr>
          <w:ilvl w:val="0"/>
          <w:numId w:val="32"/>
        </w:numPr>
        <w:spacing w:line="228" w:lineRule="auto"/>
        <w:ind w:left="426"/>
        <w:jc w:val="both"/>
        <w:rPr>
          <w:lang w:eastAsia="ar-SA"/>
        </w:rPr>
      </w:pPr>
      <w:r w:rsidRPr="00A60F31">
        <w:rPr>
          <w:lang w:eastAsia="ar-SA"/>
        </w:rPr>
        <w:t>Методичні вказівки до практичних занять та виконання індивідуальних завдань з дисципліни «Фізична хімія» ч.3 «Кінетика хімічних реакцій. Розділ 1. Формальна кінетика гомогенних реакцій» - Заіка Р.Г., Захарова О.І. – Сєвєродонецьк: Видавництво СНУ ім. В. Даля, 2019, - 58 с.</w:t>
      </w:r>
    </w:p>
    <w:p w14:paraId="05B13127" w14:textId="587DE9D7" w:rsidR="00B6012B" w:rsidRPr="00A60F31" w:rsidRDefault="00A60F31" w:rsidP="00B6012B">
      <w:pPr>
        <w:pStyle w:val="a4"/>
        <w:numPr>
          <w:ilvl w:val="0"/>
          <w:numId w:val="32"/>
        </w:numPr>
        <w:spacing w:line="228" w:lineRule="auto"/>
        <w:ind w:left="426"/>
        <w:jc w:val="both"/>
        <w:rPr>
          <w:lang w:eastAsia="ar-SA"/>
        </w:rPr>
      </w:pPr>
      <w:r w:rsidRPr="00A60F31">
        <w:rPr>
          <w:lang w:eastAsia="ar-SA"/>
        </w:rPr>
        <w:t>Методичні вказівки до самостійної роботи</w:t>
      </w:r>
      <w:r w:rsidR="00541FFE" w:rsidRPr="00A60F31">
        <w:rPr>
          <w:lang w:eastAsia="ar-SA"/>
        </w:rPr>
        <w:t xml:space="preserve"> з  дисципліни «Фізична хімія</w:t>
      </w:r>
      <w:r w:rsidRPr="00A60F31">
        <w:rPr>
          <w:lang w:eastAsia="ar-SA"/>
        </w:rPr>
        <w:t>. Фізико-хімічні розрахунки</w:t>
      </w:r>
      <w:r w:rsidR="00541FFE" w:rsidRPr="00A60F31">
        <w:rPr>
          <w:lang w:eastAsia="ar-SA"/>
        </w:rPr>
        <w:t xml:space="preserve">» </w:t>
      </w:r>
      <w:r w:rsidRPr="00A60F31">
        <w:rPr>
          <w:szCs w:val="28"/>
        </w:rPr>
        <w:t xml:space="preserve">(для здобувачів вищої освіти спеціальності 161 - Хімічні технології та інженерія) </w:t>
      </w:r>
      <w:r w:rsidR="00541FFE" w:rsidRPr="00A60F31">
        <w:rPr>
          <w:lang w:eastAsia="ar-SA"/>
        </w:rPr>
        <w:t xml:space="preserve">– Заіка Р.Г., Любимова-Зінченко О.В., Полякова О.А. – Сєвєродонецьк: Видавництво СНУ ім. В. Даля, 2020, - </w:t>
      </w:r>
      <w:r w:rsidRPr="00A60F31">
        <w:rPr>
          <w:lang w:eastAsia="ar-SA"/>
        </w:rPr>
        <w:t>47</w:t>
      </w:r>
      <w:r w:rsidR="00541FFE" w:rsidRPr="00A60F31">
        <w:rPr>
          <w:lang w:eastAsia="ar-SA"/>
        </w:rPr>
        <w:t xml:space="preserve"> с.</w:t>
      </w:r>
    </w:p>
    <w:p w14:paraId="1404316B" w14:textId="77777777" w:rsidR="00B6012B" w:rsidRPr="00A60F31" w:rsidRDefault="00B6012B" w:rsidP="00B6012B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A60F31" w:rsidRDefault="002409B3" w:rsidP="00ED7BA0">
      <w:pPr>
        <w:spacing w:line="276" w:lineRule="auto"/>
        <w:jc w:val="center"/>
        <w:rPr>
          <w:b/>
          <w:szCs w:val="24"/>
        </w:rPr>
      </w:pPr>
    </w:p>
    <w:p w14:paraId="2E355833" w14:textId="77777777" w:rsidR="00A60F31" w:rsidRPr="00A60F31" w:rsidRDefault="00A60F31" w:rsidP="00ED7BA0">
      <w:pPr>
        <w:spacing w:line="276" w:lineRule="auto"/>
        <w:jc w:val="center"/>
        <w:rPr>
          <w:b/>
          <w:szCs w:val="24"/>
        </w:rPr>
      </w:pPr>
    </w:p>
    <w:p w14:paraId="4A1B73DC" w14:textId="77777777" w:rsidR="00A60F31" w:rsidRPr="00A60F31" w:rsidRDefault="00A60F31" w:rsidP="00ED7BA0">
      <w:pPr>
        <w:spacing w:line="276" w:lineRule="auto"/>
        <w:jc w:val="center"/>
        <w:rPr>
          <w:b/>
          <w:szCs w:val="24"/>
        </w:rPr>
      </w:pPr>
    </w:p>
    <w:p w14:paraId="1289D2C7" w14:textId="078D634C" w:rsidR="00ED7BA0" w:rsidRPr="00A60F31" w:rsidRDefault="00ED7BA0" w:rsidP="00ED7BA0">
      <w:pPr>
        <w:spacing w:line="276" w:lineRule="auto"/>
        <w:jc w:val="center"/>
        <w:rPr>
          <w:b/>
          <w:szCs w:val="24"/>
        </w:rPr>
      </w:pPr>
      <w:r w:rsidRPr="00A60F31">
        <w:rPr>
          <w:b/>
          <w:szCs w:val="24"/>
        </w:rPr>
        <w:lastRenderedPageBreak/>
        <w:t>Оцінювання курсу</w:t>
      </w:r>
    </w:p>
    <w:p w14:paraId="56270D7C" w14:textId="77777777" w:rsidR="00A60F31" w:rsidRPr="00A60F31" w:rsidRDefault="00A60F31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F31" w:rsidRDefault="00ED7BA0" w:rsidP="00A604E4">
      <w:pPr>
        <w:spacing w:line="276" w:lineRule="auto"/>
        <w:jc w:val="center"/>
        <w:rPr>
          <w:szCs w:val="24"/>
        </w:rPr>
      </w:pPr>
      <w:r w:rsidRPr="00A60F31">
        <w:rPr>
          <w:szCs w:val="24"/>
        </w:rPr>
        <w:t>За повністю виконані завдання студент може отримати визначену кількість балів:</w:t>
      </w:r>
    </w:p>
    <w:p w14:paraId="0E17DAEA" w14:textId="531B342D" w:rsidR="00060C5E" w:rsidRPr="00A60F31" w:rsidRDefault="00060C5E" w:rsidP="00A60F31">
      <w:pPr>
        <w:spacing w:line="276" w:lineRule="auto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608"/>
        <w:gridCol w:w="1615"/>
      </w:tblGrid>
      <w:tr w:rsidR="00A60F31" w:rsidRPr="00A60F31" w14:paraId="4366A72B" w14:textId="77777777" w:rsidTr="00A60F31">
        <w:trPr>
          <w:trHeight w:val="280"/>
          <w:jc w:val="center"/>
        </w:trPr>
        <w:tc>
          <w:tcPr>
            <w:tcW w:w="6406" w:type="dxa"/>
            <w:vMerge w:val="restart"/>
            <w:shd w:val="clear" w:color="auto" w:fill="auto"/>
          </w:tcPr>
          <w:p w14:paraId="4885E89D" w14:textId="77777777" w:rsidR="002C34B6" w:rsidRPr="00A60F31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Інструменти і завдання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5439AB1F" w14:textId="5AD8D193" w:rsidR="002C34B6" w:rsidRPr="00A60F31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Кількість балів</w:t>
            </w:r>
          </w:p>
        </w:tc>
      </w:tr>
      <w:tr w:rsidR="00A60F31" w:rsidRPr="00A60F31" w14:paraId="12A327DC" w14:textId="77777777" w:rsidTr="00A60F31">
        <w:trPr>
          <w:trHeight w:val="318"/>
          <w:jc w:val="center"/>
        </w:trPr>
        <w:tc>
          <w:tcPr>
            <w:tcW w:w="6406" w:type="dxa"/>
            <w:vMerge/>
            <w:shd w:val="clear" w:color="auto" w:fill="auto"/>
          </w:tcPr>
          <w:p w14:paraId="4CD498E1" w14:textId="77777777" w:rsidR="002C34B6" w:rsidRPr="00A60F31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442C8E9C" w14:textId="5254F3F1" w:rsidR="002C34B6" w:rsidRPr="00A60F31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Денна форма</w:t>
            </w:r>
          </w:p>
        </w:tc>
        <w:tc>
          <w:tcPr>
            <w:tcW w:w="1615" w:type="dxa"/>
            <w:shd w:val="clear" w:color="auto" w:fill="auto"/>
          </w:tcPr>
          <w:p w14:paraId="12F9C264" w14:textId="201F5745" w:rsidR="002C34B6" w:rsidRPr="00A60F31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Заочна форма</w:t>
            </w:r>
          </w:p>
        </w:tc>
      </w:tr>
      <w:tr w:rsidR="00A60F31" w:rsidRPr="00A60F31" w14:paraId="69328AA4" w14:textId="77777777" w:rsidTr="00A60F31">
        <w:trPr>
          <w:trHeight w:val="279"/>
          <w:jc w:val="center"/>
        </w:trPr>
        <w:tc>
          <w:tcPr>
            <w:tcW w:w="6406" w:type="dxa"/>
            <w:shd w:val="clear" w:color="auto" w:fill="auto"/>
          </w:tcPr>
          <w:p w14:paraId="5427ED78" w14:textId="1DE059EF" w:rsidR="00F34871" w:rsidRPr="00A60F31" w:rsidRDefault="00F16DDA" w:rsidP="002409B3">
            <w:pPr>
              <w:spacing w:line="216" w:lineRule="auto"/>
              <w:rPr>
                <w:szCs w:val="24"/>
              </w:rPr>
            </w:pPr>
            <w:r w:rsidRPr="00A60F31">
              <w:rPr>
                <w:szCs w:val="24"/>
              </w:rPr>
              <w:t>Активна робота на практичному занятті</w:t>
            </w:r>
            <w:r w:rsidR="00F34871" w:rsidRPr="00A60F31">
              <w:rPr>
                <w:szCs w:val="24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14:paraId="3A9091B4" w14:textId="21A6513C" w:rsidR="00F34871" w:rsidRPr="00A60F31" w:rsidRDefault="00F16DDA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1</w:t>
            </w:r>
            <w:r w:rsidR="002C34B6" w:rsidRPr="00A60F31">
              <w:rPr>
                <w:szCs w:val="24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14:paraId="1ACDEE10" w14:textId="5B359082" w:rsidR="00F34871" w:rsidRPr="00A60F31" w:rsidRDefault="00B85866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-</w:t>
            </w:r>
          </w:p>
        </w:tc>
      </w:tr>
      <w:tr w:rsidR="00A60F31" w:rsidRPr="00A60F31" w14:paraId="299E6B7A" w14:textId="77777777" w:rsidTr="00A60F31">
        <w:trPr>
          <w:trHeight w:val="280"/>
          <w:jc w:val="center"/>
        </w:trPr>
        <w:tc>
          <w:tcPr>
            <w:tcW w:w="6406" w:type="dxa"/>
            <w:shd w:val="clear" w:color="auto" w:fill="auto"/>
          </w:tcPr>
          <w:p w14:paraId="52FDA392" w14:textId="58DADCFF" w:rsidR="00F34871" w:rsidRPr="00A60F31" w:rsidRDefault="002C34B6" w:rsidP="00F16DDA">
            <w:pPr>
              <w:spacing w:line="216" w:lineRule="auto"/>
              <w:rPr>
                <w:szCs w:val="24"/>
              </w:rPr>
            </w:pPr>
            <w:r w:rsidRPr="00A60F31">
              <w:rPr>
                <w:szCs w:val="24"/>
                <w:lang w:eastAsia="ar-SA"/>
              </w:rPr>
              <w:t xml:space="preserve">Присутність на </w:t>
            </w:r>
            <w:r w:rsidR="00F16DDA" w:rsidRPr="00A60F31">
              <w:rPr>
                <w:szCs w:val="24"/>
                <w:lang w:eastAsia="ar-SA"/>
              </w:rPr>
              <w:t xml:space="preserve">всіх </w:t>
            </w:r>
            <w:r w:rsidRPr="00A60F31">
              <w:rPr>
                <w:szCs w:val="24"/>
                <w:lang w:eastAsia="ar-SA"/>
              </w:rPr>
              <w:t>занятт</w:t>
            </w:r>
            <w:r w:rsidR="00F16DDA" w:rsidRPr="00A60F31">
              <w:rPr>
                <w:szCs w:val="24"/>
                <w:lang w:eastAsia="ar-SA"/>
              </w:rPr>
              <w:t>ях (у період настановної сесії)</w:t>
            </w:r>
          </w:p>
        </w:tc>
        <w:tc>
          <w:tcPr>
            <w:tcW w:w="1608" w:type="dxa"/>
            <w:shd w:val="clear" w:color="auto" w:fill="auto"/>
          </w:tcPr>
          <w:p w14:paraId="5E5A1ED9" w14:textId="1BB5E098" w:rsidR="00F34871" w:rsidRPr="00A60F31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-</w:t>
            </w:r>
          </w:p>
        </w:tc>
        <w:tc>
          <w:tcPr>
            <w:tcW w:w="1615" w:type="dxa"/>
            <w:shd w:val="clear" w:color="auto" w:fill="auto"/>
          </w:tcPr>
          <w:p w14:paraId="67790AC1" w14:textId="389E0233" w:rsidR="00F34871" w:rsidRPr="00A60F31" w:rsidRDefault="00F16DDA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1</w:t>
            </w:r>
            <w:r w:rsidR="002C34B6" w:rsidRPr="00A60F31">
              <w:rPr>
                <w:szCs w:val="24"/>
              </w:rPr>
              <w:t>0</w:t>
            </w:r>
          </w:p>
        </w:tc>
      </w:tr>
      <w:tr w:rsidR="00A60F31" w:rsidRPr="00A60F31" w14:paraId="4B0D1A71" w14:textId="77777777" w:rsidTr="00A60F31">
        <w:trPr>
          <w:trHeight w:val="280"/>
          <w:jc w:val="center"/>
        </w:trPr>
        <w:tc>
          <w:tcPr>
            <w:tcW w:w="6406" w:type="dxa"/>
            <w:shd w:val="clear" w:color="auto" w:fill="auto"/>
          </w:tcPr>
          <w:p w14:paraId="3BAA61C5" w14:textId="3457932F" w:rsidR="00F16DDA" w:rsidRPr="00A60F31" w:rsidRDefault="00F16DDA" w:rsidP="00F16DDA">
            <w:pPr>
              <w:spacing w:line="216" w:lineRule="auto"/>
              <w:rPr>
                <w:szCs w:val="24"/>
                <w:lang w:eastAsia="ar-SA"/>
              </w:rPr>
            </w:pPr>
            <w:r w:rsidRPr="00A60F31">
              <w:rPr>
                <w:szCs w:val="24"/>
                <w:lang w:eastAsia="ar-SA"/>
              </w:rPr>
              <w:t>Виконання та захист індивідуального завдання (контрольної роботи)</w:t>
            </w:r>
          </w:p>
        </w:tc>
        <w:tc>
          <w:tcPr>
            <w:tcW w:w="1608" w:type="dxa"/>
            <w:shd w:val="clear" w:color="auto" w:fill="auto"/>
          </w:tcPr>
          <w:p w14:paraId="12758AA7" w14:textId="5212671C" w:rsidR="00F16DDA" w:rsidRPr="00A60F31" w:rsidRDefault="00F16DDA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30</w:t>
            </w:r>
          </w:p>
        </w:tc>
        <w:tc>
          <w:tcPr>
            <w:tcW w:w="1615" w:type="dxa"/>
            <w:shd w:val="clear" w:color="auto" w:fill="auto"/>
          </w:tcPr>
          <w:p w14:paraId="4254D21A" w14:textId="561CB0EF" w:rsidR="00F16DDA" w:rsidRPr="00A60F31" w:rsidRDefault="00A60F31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4</w:t>
            </w:r>
            <w:r w:rsidR="00F16DDA" w:rsidRPr="00A60F31">
              <w:rPr>
                <w:szCs w:val="24"/>
              </w:rPr>
              <w:t>0</w:t>
            </w:r>
          </w:p>
        </w:tc>
      </w:tr>
      <w:tr w:rsidR="00A60F31" w:rsidRPr="00A60F31" w14:paraId="4D9A3F5F" w14:textId="77777777" w:rsidTr="00A60F31">
        <w:trPr>
          <w:trHeight w:val="280"/>
          <w:jc w:val="center"/>
        </w:trPr>
        <w:tc>
          <w:tcPr>
            <w:tcW w:w="6406" w:type="dxa"/>
            <w:shd w:val="clear" w:color="auto" w:fill="auto"/>
          </w:tcPr>
          <w:p w14:paraId="73D1E89C" w14:textId="1A538531" w:rsidR="00F16DDA" w:rsidRPr="00A60F31" w:rsidRDefault="00F16DDA" w:rsidP="00BB3B25">
            <w:pPr>
              <w:spacing w:line="216" w:lineRule="auto"/>
              <w:rPr>
                <w:szCs w:val="24"/>
              </w:rPr>
            </w:pPr>
            <w:r w:rsidRPr="00A60F31">
              <w:rPr>
                <w:szCs w:val="24"/>
              </w:rPr>
              <w:t>Здача колоквіумів (тестів)</w:t>
            </w:r>
          </w:p>
        </w:tc>
        <w:tc>
          <w:tcPr>
            <w:tcW w:w="1608" w:type="dxa"/>
            <w:shd w:val="clear" w:color="auto" w:fill="auto"/>
          </w:tcPr>
          <w:p w14:paraId="56D5AC78" w14:textId="7C6F4E52" w:rsidR="00F16DDA" w:rsidRPr="00A60F31" w:rsidRDefault="00F16DDA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20</w:t>
            </w:r>
          </w:p>
        </w:tc>
        <w:tc>
          <w:tcPr>
            <w:tcW w:w="1615" w:type="dxa"/>
            <w:shd w:val="clear" w:color="auto" w:fill="auto"/>
          </w:tcPr>
          <w:p w14:paraId="5E4664EA" w14:textId="551CA370" w:rsidR="00F16DDA" w:rsidRPr="00A60F31" w:rsidRDefault="00F16DDA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-</w:t>
            </w:r>
          </w:p>
        </w:tc>
      </w:tr>
      <w:tr w:rsidR="00A60F31" w:rsidRPr="00A60F31" w14:paraId="7B54B654" w14:textId="77777777" w:rsidTr="00A60F31">
        <w:trPr>
          <w:trHeight w:val="280"/>
          <w:jc w:val="center"/>
        </w:trPr>
        <w:tc>
          <w:tcPr>
            <w:tcW w:w="6406" w:type="dxa"/>
            <w:shd w:val="clear" w:color="auto" w:fill="auto"/>
          </w:tcPr>
          <w:p w14:paraId="6681E33E" w14:textId="6B3B2F41" w:rsidR="00F34871" w:rsidRPr="00A60F31" w:rsidRDefault="00B85866" w:rsidP="00F16DDA">
            <w:pPr>
              <w:spacing w:line="216" w:lineRule="auto"/>
              <w:jc w:val="both"/>
              <w:rPr>
                <w:szCs w:val="24"/>
              </w:rPr>
            </w:pPr>
            <w:r w:rsidRPr="00A60F31">
              <w:rPr>
                <w:szCs w:val="24"/>
              </w:rPr>
              <w:t>Екзамен</w:t>
            </w:r>
          </w:p>
        </w:tc>
        <w:tc>
          <w:tcPr>
            <w:tcW w:w="1608" w:type="dxa"/>
            <w:shd w:val="clear" w:color="auto" w:fill="auto"/>
          </w:tcPr>
          <w:p w14:paraId="482D7DC9" w14:textId="1E30CC03" w:rsidR="00F34871" w:rsidRPr="00A60F31" w:rsidRDefault="00A60F31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4</w:t>
            </w:r>
            <w:r w:rsidR="00F16DDA" w:rsidRPr="00A60F31">
              <w:rPr>
                <w:szCs w:val="24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14:paraId="1FF7AA80" w14:textId="068A8476" w:rsidR="00F34871" w:rsidRPr="00A60F31" w:rsidRDefault="00B85866" w:rsidP="002409B3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5</w:t>
            </w:r>
            <w:r w:rsidR="002C34B6" w:rsidRPr="00A60F31">
              <w:rPr>
                <w:szCs w:val="24"/>
              </w:rPr>
              <w:t>0</w:t>
            </w:r>
          </w:p>
        </w:tc>
      </w:tr>
      <w:tr w:rsidR="00A60F31" w:rsidRPr="00A60F31" w14:paraId="6609611B" w14:textId="77777777" w:rsidTr="00A60F31">
        <w:trPr>
          <w:trHeight w:val="280"/>
          <w:jc w:val="center"/>
        </w:trPr>
        <w:tc>
          <w:tcPr>
            <w:tcW w:w="6406" w:type="dxa"/>
            <w:shd w:val="clear" w:color="auto" w:fill="auto"/>
          </w:tcPr>
          <w:p w14:paraId="7BE3BFCE" w14:textId="77777777" w:rsidR="00F34871" w:rsidRPr="00A60F31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F31">
              <w:rPr>
                <w:b/>
                <w:szCs w:val="24"/>
              </w:rPr>
              <w:t>Разом</w:t>
            </w:r>
          </w:p>
        </w:tc>
        <w:tc>
          <w:tcPr>
            <w:tcW w:w="1608" w:type="dxa"/>
            <w:shd w:val="clear" w:color="auto" w:fill="auto"/>
          </w:tcPr>
          <w:p w14:paraId="16D80BD6" w14:textId="44BCD7F6" w:rsidR="00F34871" w:rsidRPr="00A60F31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F31">
              <w:rPr>
                <w:b/>
                <w:szCs w:val="24"/>
              </w:rPr>
              <w:t>100</w:t>
            </w:r>
          </w:p>
        </w:tc>
        <w:tc>
          <w:tcPr>
            <w:tcW w:w="1615" w:type="dxa"/>
            <w:shd w:val="clear" w:color="auto" w:fill="auto"/>
          </w:tcPr>
          <w:p w14:paraId="6B423573" w14:textId="562136BD" w:rsidR="00F34871" w:rsidRPr="00A60F31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F31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Pr="00A60F31" w:rsidRDefault="002409B3" w:rsidP="00A60F31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Pr="00A60F31" w:rsidRDefault="00ED7BA0" w:rsidP="00A60F31">
      <w:pPr>
        <w:spacing w:line="276" w:lineRule="auto"/>
        <w:jc w:val="center"/>
        <w:rPr>
          <w:b/>
          <w:szCs w:val="24"/>
        </w:rPr>
      </w:pPr>
      <w:r w:rsidRPr="00A60F31">
        <w:rPr>
          <w:b/>
          <w:szCs w:val="24"/>
        </w:rPr>
        <w:t>Шкала оцінювання студентів</w:t>
      </w:r>
    </w:p>
    <w:p w14:paraId="2CC41D65" w14:textId="77777777" w:rsidR="00F421FE" w:rsidRPr="00A60F31" w:rsidRDefault="00F421FE" w:rsidP="00A60F31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A60F31" w:rsidRPr="00A60F31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F3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Оцінка</w:t>
            </w:r>
            <w:r w:rsidRPr="00A60F31">
              <w:rPr>
                <w:b/>
                <w:szCs w:val="24"/>
              </w:rPr>
              <w:t xml:space="preserve"> </w:t>
            </w:r>
            <w:r w:rsidRPr="00A60F3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Оцінка за національною шкалою</w:t>
            </w:r>
          </w:p>
        </w:tc>
      </w:tr>
      <w:tr w:rsidR="00A60F31" w:rsidRPr="00A60F31" w14:paraId="7913039B" w14:textId="77777777" w:rsidTr="00A60F31">
        <w:trPr>
          <w:trHeight w:val="633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F31" w:rsidRDefault="00ED7BA0" w:rsidP="00A60F31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для заліку</w:t>
            </w:r>
          </w:p>
        </w:tc>
      </w:tr>
      <w:tr w:rsidR="00A60F31" w:rsidRPr="00A60F31" w14:paraId="71944158" w14:textId="77777777" w:rsidTr="00A60F31">
        <w:trPr>
          <w:trHeight w:val="429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F31" w:rsidRDefault="00ED7BA0" w:rsidP="00F16DDA">
            <w:pPr>
              <w:spacing w:line="216" w:lineRule="auto"/>
              <w:jc w:val="center"/>
              <w:rPr>
                <w:b/>
                <w:szCs w:val="24"/>
              </w:rPr>
            </w:pPr>
            <w:r w:rsidRPr="00A60F3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F224A96" w14:textId="69099429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зараховано</w:t>
            </w:r>
          </w:p>
        </w:tc>
      </w:tr>
      <w:tr w:rsidR="00A60F31" w:rsidRPr="00A60F31" w14:paraId="74436925" w14:textId="77777777" w:rsidTr="00A60F31">
        <w:trPr>
          <w:trHeight w:val="407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60F31" w:rsidRPr="00A60F31" w14:paraId="00B4DFDA" w14:textId="77777777" w:rsidTr="00A60F31">
        <w:trPr>
          <w:trHeight w:val="414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60F31" w:rsidRPr="00A60F31" w14:paraId="500D9062" w14:textId="77777777" w:rsidTr="00A60F31">
        <w:trPr>
          <w:trHeight w:val="420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60F31" w:rsidRPr="00A60F31" w14:paraId="611CDD06" w14:textId="77777777" w:rsidTr="00A60F31">
        <w:trPr>
          <w:trHeight w:val="425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60F31" w:rsidRPr="00A60F31" w14:paraId="0EAF36ED" w14:textId="77777777" w:rsidTr="00A60F31">
        <w:trPr>
          <w:trHeight w:val="875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A60F31" w:rsidRPr="00A60F31" w14:paraId="6D0FFCD5" w14:textId="77777777" w:rsidTr="00A60F31">
        <w:trPr>
          <w:trHeight w:val="98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F31" w:rsidRDefault="00ED7BA0" w:rsidP="00F16DDA">
            <w:pPr>
              <w:spacing w:line="216" w:lineRule="auto"/>
              <w:jc w:val="center"/>
              <w:rPr>
                <w:szCs w:val="24"/>
              </w:rPr>
            </w:pPr>
            <w:r w:rsidRPr="00A60F3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68AE67A0" w14:textId="55AD7179" w:rsidR="005E2468" w:rsidRPr="00A60F31" w:rsidRDefault="00ED7BA0" w:rsidP="00A60F31">
      <w:pPr>
        <w:spacing w:line="276" w:lineRule="auto"/>
        <w:jc w:val="both"/>
        <w:rPr>
          <w:b/>
          <w:szCs w:val="24"/>
        </w:rPr>
      </w:pPr>
      <w:r w:rsidRPr="00A60F31">
        <w:rPr>
          <w:szCs w:val="24"/>
        </w:rPr>
        <w:t xml:space="preserve"> </w:t>
      </w:r>
    </w:p>
    <w:p w14:paraId="46DCC798" w14:textId="7D425DAA" w:rsidR="00ED7BA0" w:rsidRPr="00A60F31" w:rsidRDefault="00ED7BA0" w:rsidP="00ED7BA0">
      <w:pPr>
        <w:spacing w:line="276" w:lineRule="auto"/>
        <w:jc w:val="center"/>
        <w:rPr>
          <w:b/>
          <w:szCs w:val="24"/>
        </w:rPr>
      </w:pPr>
      <w:r w:rsidRPr="00A60F31">
        <w:rPr>
          <w:b/>
          <w:szCs w:val="24"/>
        </w:rPr>
        <w:t>Політика курсу</w:t>
      </w:r>
    </w:p>
    <w:p w14:paraId="76104CD9" w14:textId="77777777" w:rsidR="00A60F31" w:rsidRPr="00A60F31" w:rsidRDefault="00A60F31" w:rsidP="00ED7BA0">
      <w:pPr>
        <w:spacing w:line="276" w:lineRule="auto"/>
        <w:jc w:val="center"/>
        <w:rPr>
          <w:b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A60F31" w:rsidRPr="00A60F31" w14:paraId="48B471DD" w14:textId="77777777" w:rsidTr="00A60F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F31" w:rsidRDefault="00ED7BA0" w:rsidP="00091475">
            <w:pPr>
              <w:rPr>
                <w:i/>
                <w:szCs w:val="24"/>
              </w:rPr>
            </w:pPr>
            <w:r w:rsidRPr="00A60F3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127A" w14:textId="7A7846B1" w:rsidR="003B4299" w:rsidRPr="00A60F31" w:rsidRDefault="00366242" w:rsidP="00F16DDA">
            <w:pPr>
              <w:jc w:val="both"/>
            </w:pPr>
            <w:r w:rsidRPr="00A60F31">
              <w:rPr>
                <w:szCs w:val="24"/>
              </w:rPr>
              <w:t>Дотримання а</w:t>
            </w:r>
            <w:r w:rsidR="00C724B0" w:rsidRPr="00A60F31">
              <w:rPr>
                <w:szCs w:val="24"/>
              </w:rPr>
              <w:t>кадемічн</w:t>
            </w:r>
            <w:r w:rsidRPr="00A60F31">
              <w:rPr>
                <w:szCs w:val="24"/>
              </w:rPr>
              <w:t>ої</w:t>
            </w:r>
            <w:r w:rsidR="00C724B0" w:rsidRPr="00A60F31">
              <w:rPr>
                <w:szCs w:val="24"/>
              </w:rPr>
              <w:t xml:space="preserve"> доброчесн</w:t>
            </w:r>
            <w:r w:rsidRPr="00A60F31">
              <w:rPr>
                <w:szCs w:val="24"/>
              </w:rPr>
              <w:t>ості</w:t>
            </w:r>
            <w:r w:rsidR="004F1D1C" w:rsidRPr="00A60F31">
              <w:rPr>
                <w:szCs w:val="24"/>
              </w:rPr>
              <w:t xml:space="preserve"> за</w:t>
            </w:r>
            <w:r w:rsidR="00C724B0" w:rsidRPr="00A60F31">
              <w:rPr>
                <w:szCs w:val="24"/>
              </w:rPr>
              <w:t xml:space="preserve"> курс</w:t>
            </w:r>
            <w:r w:rsidR="004F1D1C" w:rsidRPr="00A60F31">
              <w:rPr>
                <w:szCs w:val="24"/>
              </w:rPr>
              <w:t>ом</w:t>
            </w:r>
            <w:r w:rsidR="00C724B0" w:rsidRPr="00A60F31">
              <w:rPr>
                <w:szCs w:val="24"/>
              </w:rPr>
              <w:t xml:space="preserve"> </w:t>
            </w:r>
            <w:r w:rsidRPr="00A60F31">
              <w:rPr>
                <w:szCs w:val="24"/>
              </w:rPr>
              <w:t>ґрунтується</w:t>
            </w:r>
            <w:r w:rsidR="00C724B0" w:rsidRPr="00A60F31">
              <w:rPr>
                <w:szCs w:val="24"/>
              </w:rPr>
              <w:t xml:space="preserve"> на внутрішньо-університетськ</w:t>
            </w:r>
            <w:r w:rsidRPr="00A60F31">
              <w:rPr>
                <w:szCs w:val="24"/>
              </w:rPr>
              <w:t>ій</w:t>
            </w:r>
            <w:r w:rsidR="00800A44" w:rsidRPr="00A60F31">
              <w:rPr>
                <w:szCs w:val="24"/>
              </w:rPr>
              <w:t xml:space="preserve"> систем</w:t>
            </w:r>
            <w:r w:rsidR="009818C6" w:rsidRPr="00A60F31">
              <w:rPr>
                <w:szCs w:val="24"/>
              </w:rPr>
              <w:t>і</w:t>
            </w:r>
            <w:r w:rsidR="00800A44" w:rsidRPr="00A60F31">
              <w:rPr>
                <w:szCs w:val="24"/>
              </w:rPr>
              <w:t xml:space="preserve"> </w:t>
            </w:r>
            <w:r w:rsidR="00BA129A" w:rsidRPr="00A60F31">
              <w:rPr>
                <w:szCs w:val="24"/>
              </w:rPr>
              <w:t xml:space="preserve">запобігання та </w:t>
            </w:r>
            <w:r w:rsidR="00B37CEF" w:rsidRPr="00A60F31">
              <w:rPr>
                <w:szCs w:val="24"/>
              </w:rPr>
              <w:t>виявлення академічного плагіату</w:t>
            </w:r>
            <w:r w:rsidR="00BA129A" w:rsidRPr="00A60F31">
              <w:rPr>
                <w:szCs w:val="24"/>
              </w:rPr>
              <w:t>.</w:t>
            </w:r>
            <w:r w:rsidR="002F5765" w:rsidRPr="00A60F31">
              <w:rPr>
                <w:szCs w:val="24"/>
              </w:rPr>
              <w:t xml:space="preserve"> </w:t>
            </w:r>
            <w:r w:rsidR="00B37CEF" w:rsidRPr="00A60F31">
              <w:rPr>
                <w:szCs w:val="24"/>
              </w:rPr>
              <w:t xml:space="preserve">До основних вимог за курсом віднесено - </w:t>
            </w:r>
            <w:r w:rsidR="00B37CEF" w:rsidRPr="00A60F31">
              <w:t xml:space="preserve">посилання на джерела інформації у разі використання </w:t>
            </w:r>
            <w:r w:rsidR="00F16DDA" w:rsidRPr="00A60F31">
              <w:t>тверджень та методики досліджень.</w:t>
            </w:r>
          </w:p>
        </w:tc>
      </w:tr>
      <w:tr w:rsidR="00A60F31" w:rsidRPr="00A60F31" w14:paraId="37865AF2" w14:textId="77777777" w:rsidTr="00A60F31">
        <w:tblPrEx>
          <w:tblCellMar>
            <w:left w:w="108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F31" w:rsidRDefault="00ED7BA0" w:rsidP="00091475">
            <w:pPr>
              <w:rPr>
                <w:i/>
                <w:szCs w:val="24"/>
              </w:rPr>
            </w:pPr>
            <w:r w:rsidRPr="00A60F3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51FE4414" w:rsidR="00ED7BA0" w:rsidRPr="00A60F31" w:rsidRDefault="003B4299" w:rsidP="00A60F31">
            <w:pPr>
              <w:jc w:val="both"/>
              <w:rPr>
                <w:szCs w:val="24"/>
              </w:rPr>
            </w:pPr>
            <w:r w:rsidRPr="00A60F31">
              <w:rPr>
                <w:szCs w:val="24"/>
              </w:rPr>
              <w:t>Передбачається, що всі здобувачі вищої освіти</w:t>
            </w:r>
            <w:r w:rsidR="00C85DF8" w:rsidRPr="00A60F31">
              <w:rPr>
                <w:szCs w:val="24"/>
              </w:rPr>
              <w:t xml:space="preserve"> відвідають усі лекції, практичні заняття. Всі завдання передбачені програмою дисципліни  повинні бути виконані і оцінені своєчасно</w:t>
            </w:r>
            <w:r w:rsidR="00986BB2" w:rsidRPr="00A60F31">
              <w:rPr>
                <w:szCs w:val="24"/>
              </w:rPr>
              <w:t>.</w:t>
            </w:r>
            <w:r w:rsidR="00A94DB4" w:rsidRPr="00A60F31">
              <w:rPr>
                <w:szCs w:val="24"/>
              </w:rPr>
              <w:t xml:space="preserve"> </w:t>
            </w:r>
            <w:r w:rsidR="00D75D82" w:rsidRPr="00A60F31">
              <w:rPr>
                <w:szCs w:val="24"/>
              </w:rPr>
              <w:t xml:space="preserve">Пропущені заняття (з будь-якої причини) мають бути відпрацьовані з отриманням відповідної оцінки під час консультації викладача до проходження підсумкового контролю. </w:t>
            </w:r>
            <w:r w:rsidR="00060C5E" w:rsidRPr="00A60F31">
              <w:rPr>
                <w:szCs w:val="24"/>
              </w:rPr>
              <w:t>Якщо здобувач вищої освіти був відсутній з поважної причини, терміни виконання усіх видів робіт і проходження підсумкового контролю узгоджується з деканом.</w:t>
            </w:r>
          </w:p>
        </w:tc>
      </w:tr>
      <w:tr w:rsidR="00A60F31" w:rsidRPr="00A60F31" w14:paraId="6DC8A590" w14:textId="77777777" w:rsidTr="00A60F31">
        <w:tblPrEx>
          <w:tblCellMar>
            <w:left w:w="108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F31" w:rsidRDefault="00ED7BA0" w:rsidP="00516886">
            <w:pPr>
              <w:rPr>
                <w:i/>
                <w:szCs w:val="24"/>
              </w:rPr>
            </w:pPr>
            <w:r w:rsidRPr="00A60F31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4D71" w14:textId="182CBE4E" w:rsidR="00ED7BA0" w:rsidRPr="00A60F31" w:rsidRDefault="003B4299" w:rsidP="00A60F31">
            <w:pPr>
              <w:jc w:val="both"/>
              <w:rPr>
                <w:szCs w:val="24"/>
              </w:rPr>
            </w:pPr>
            <w:r w:rsidRPr="00A60F31">
              <w:t xml:space="preserve">Всі здобувачі вищої освіти повинні виявляти дисциплінованість, вихованість, відповідальність та доброзичливість. </w:t>
            </w:r>
            <w:r w:rsidRPr="00A60F31">
              <w:rPr>
                <w:szCs w:val="24"/>
              </w:rPr>
              <w:t>На аудиторні заняття здобувачі вищої освіти повинні з’являтися вчасно відповідно до діючого розкладу занять. Під час занять усі його учасники мають дотримуватися вимог техніки безпеки</w:t>
            </w:r>
            <w:r w:rsidR="00A60F31" w:rsidRPr="00A60F31">
              <w:rPr>
                <w:szCs w:val="24"/>
              </w:rPr>
              <w:t>, не залишати аудиторію без дозволу викладача. При проведенні перевірки контролю знань здобувачі вищої освіти виконують усі вимоги викладача щодо контролю знань.</w:t>
            </w:r>
          </w:p>
        </w:tc>
      </w:tr>
      <w:bookmarkEnd w:id="0"/>
    </w:tbl>
    <w:p w14:paraId="6FB8D657" w14:textId="500D1F85" w:rsidR="004A1213" w:rsidRPr="00A60F31" w:rsidRDefault="004A1213" w:rsidP="00A60F31">
      <w:pPr>
        <w:tabs>
          <w:tab w:val="left" w:pos="284"/>
        </w:tabs>
      </w:pPr>
    </w:p>
    <w:sectPr w:rsidR="004A1213" w:rsidRPr="00A60F31" w:rsidSect="00060C5E">
      <w:pgSz w:w="11907" w:h="16840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6F"/>
    <w:multiLevelType w:val="hybridMultilevel"/>
    <w:tmpl w:val="D8C6D4AC"/>
    <w:lvl w:ilvl="0" w:tplc="0DE688D2">
      <w:numFmt w:val="bullet"/>
      <w:lvlText w:val="–"/>
      <w:lvlJc w:val="left"/>
      <w:pPr>
        <w:ind w:left="91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7FA8"/>
    <w:multiLevelType w:val="hybridMultilevel"/>
    <w:tmpl w:val="CC74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7C8"/>
    <w:multiLevelType w:val="multilevel"/>
    <w:tmpl w:val="E34EE380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1" w15:restartNumberingAfterBreak="0">
    <w:nsid w:val="2A0F2E44"/>
    <w:multiLevelType w:val="hybridMultilevel"/>
    <w:tmpl w:val="FFCE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E4E64"/>
    <w:multiLevelType w:val="multilevel"/>
    <w:tmpl w:val="1324A41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1D2"/>
    <w:multiLevelType w:val="hybridMultilevel"/>
    <w:tmpl w:val="D6CCE832"/>
    <w:lvl w:ilvl="0" w:tplc="497E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9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31B55"/>
    <w:multiLevelType w:val="hybridMultilevel"/>
    <w:tmpl w:val="77F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20"/>
  </w:num>
  <w:num w:numId="5">
    <w:abstractNumId w:val="6"/>
  </w:num>
  <w:num w:numId="6">
    <w:abstractNumId w:val="22"/>
  </w:num>
  <w:num w:numId="7">
    <w:abstractNumId w:val="4"/>
  </w:num>
  <w:num w:numId="8">
    <w:abstractNumId w:val="18"/>
  </w:num>
  <w:num w:numId="9">
    <w:abstractNumId w:val="26"/>
  </w:num>
  <w:num w:numId="10">
    <w:abstractNumId w:val="19"/>
  </w:num>
  <w:num w:numId="11">
    <w:abstractNumId w:val="16"/>
  </w:num>
  <w:num w:numId="12">
    <w:abstractNumId w:val="9"/>
  </w:num>
  <w:num w:numId="13">
    <w:abstractNumId w:val="12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7"/>
  </w:num>
  <w:num w:numId="19">
    <w:abstractNumId w:val="2"/>
  </w:num>
  <w:num w:numId="20">
    <w:abstractNumId w:val="5"/>
  </w:num>
  <w:num w:numId="21">
    <w:abstractNumId w:val="1"/>
  </w:num>
  <w:num w:numId="22">
    <w:abstractNumId w:val="3"/>
  </w:num>
  <w:num w:numId="23">
    <w:abstractNumId w:val="29"/>
  </w:num>
  <w:num w:numId="24">
    <w:abstractNumId w:val="30"/>
  </w:num>
  <w:num w:numId="25">
    <w:abstractNumId w:val="0"/>
  </w:num>
  <w:num w:numId="26">
    <w:abstractNumId w:val="10"/>
  </w:num>
  <w:num w:numId="27">
    <w:abstractNumId w:val="25"/>
  </w:num>
  <w:num w:numId="28">
    <w:abstractNumId w:val="8"/>
  </w:num>
  <w:num w:numId="29">
    <w:abstractNumId w:val="14"/>
  </w:num>
  <w:num w:numId="30">
    <w:abstractNumId w:val="11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142F4"/>
    <w:rsid w:val="00025BB9"/>
    <w:rsid w:val="00042CE5"/>
    <w:rsid w:val="00060C5E"/>
    <w:rsid w:val="0006699D"/>
    <w:rsid w:val="00071F58"/>
    <w:rsid w:val="00073F25"/>
    <w:rsid w:val="00083961"/>
    <w:rsid w:val="00091475"/>
    <w:rsid w:val="000C320D"/>
    <w:rsid w:val="000C3C80"/>
    <w:rsid w:val="000E21BC"/>
    <w:rsid w:val="000F1930"/>
    <w:rsid w:val="000F3915"/>
    <w:rsid w:val="000F74D7"/>
    <w:rsid w:val="00132681"/>
    <w:rsid w:val="00151429"/>
    <w:rsid w:val="00165497"/>
    <w:rsid w:val="001743FD"/>
    <w:rsid w:val="00181F53"/>
    <w:rsid w:val="00224E22"/>
    <w:rsid w:val="002409B3"/>
    <w:rsid w:val="002453C6"/>
    <w:rsid w:val="00246E85"/>
    <w:rsid w:val="00251587"/>
    <w:rsid w:val="0027503E"/>
    <w:rsid w:val="00277994"/>
    <w:rsid w:val="002B09F0"/>
    <w:rsid w:val="002C34B6"/>
    <w:rsid w:val="002D0B32"/>
    <w:rsid w:val="002F390A"/>
    <w:rsid w:val="002F5765"/>
    <w:rsid w:val="002F616A"/>
    <w:rsid w:val="0031038B"/>
    <w:rsid w:val="0032701E"/>
    <w:rsid w:val="00366242"/>
    <w:rsid w:val="003B3008"/>
    <w:rsid w:val="003B4299"/>
    <w:rsid w:val="003E4F77"/>
    <w:rsid w:val="003F4E42"/>
    <w:rsid w:val="00401B96"/>
    <w:rsid w:val="00405CCD"/>
    <w:rsid w:val="004162AC"/>
    <w:rsid w:val="0043607F"/>
    <w:rsid w:val="004513D7"/>
    <w:rsid w:val="00452D57"/>
    <w:rsid w:val="00456D10"/>
    <w:rsid w:val="00476FB9"/>
    <w:rsid w:val="004A1213"/>
    <w:rsid w:val="004A24E4"/>
    <w:rsid w:val="004A40CA"/>
    <w:rsid w:val="004C00CD"/>
    <w:rsid w:val="004C6E2A"/>
    <w:rsid w:val="004E3221"/>
    <w:rsid w:val="004F1182"/>
    <w:rsid w:val="004F1D1C"/>
    <w:rsid w:val="004F40C5"/>
    <w:rsid w:val="0050745F"/>
    <w:rsid w:val="00512FDC"/>
    <w:rsid w:val="0051348C"/>
    <w:rsid w:val="00516886"/>
    <w:rsid w:val="00517868"/>
    <w:rsid w:val="00530038"/>
    <w:rsid w:val="00535151"/>
    <w:rsid w:val="00541FFE"/>
    <w:rsid w:val="005659F8"/>
    <w:rsid w:val="00582DB7"/>
    <w:rsid w:val="005963A5"/>
    <w:rsid w:val="00596E7D"/>
    <w:rsid w:val="005B59F6"/>
    <w:rsid w:val="005D6865"/>
    <w:rsid w:val="005E2468"/>
    <w:rsid w:val="005F5255"/>
    <w:rsid w:val="00611165"/>
    <w:rsid w:val="006139CC"/>
    <w:rsid w:val="00626A7A"/>
    <w:rsid w:val="006418A6"/>
    <w:rsid w:val="00644D6E"/>
    <w:rsid w:val="00652200"/>
    <w:rsid w:val="00680FE5"/>
    <w:rsid w:val="006871A0"/>
    <w:rsid w:val="006A5829"/>
    <w:rsid w:val="006A720C"/>
    <w:rsid w:val="006B72D1"/>
    <w:rsid w:val="006B7C93"/>
    <w:rsid w:val="006D556A"/>
    <w:rsid w:val="006E4301"/>
    <w:rsid w:val="006F3876"/>
    <w:rsid w:val="00705A54"/>
    <w:rsid w:val="00707515"/>
    <w:rsid w:val="00727660"/>
    <w:rsid w:val="00757A07"/>
    <w:rsid w:val="00767FBB"/>
    <w:rsid w:val="007A5A14"/>
    <w:rsid w:val="007C2583"/>
    <w:rsid w:val="007E71E3"/>
    <w:rsid w:val="00800A44"/>
    <w:rsid w:val="00814BF8"/>
    <w:rsid w:val="0084216A"/>
    <w:rsid w:val="0084573C"/>
    <w:rsid w:val="00892ECE"/>
    <w:rsid w:val="008A707D"/>
    <w:rsid w:val="008C351C"/>
    <w:rsid w:val="008E4BCF"/>
    <w:rsid w:val="008F2DDA"/>
    <w:rsid w:val="0090579A"/>
    <w:rsid w:val="00930464"/>
    <w:rsid w:val="00934F52"/>
    <w:rsid w:val="00946C0C"/>
    <w:rsid w:val="0095133B"/>
    <w:rsid w:val="009747C6"/>
    <w:rsid w:val="009818C6"/>
    <w:rsid w:val="00986BB2"/>
    <w:rsid w:val="00986FD6"/>
    <w:rsid w:val="009A362B"/>
    <w:rsid w:val="009C2540"/>
    <w:rsid w:val="009E1F57"/>
    <w:rsid w:val="009F6104"/>
    <w:rsid w:val="009F7978"/>
    <w:rsid w:val="00A44B07"/>
    <w:rsid w:val="00A604E4"/>
    <w:rsid w:val="00A60F31"/>
    <w:rsid w:val="00A6577E"/>
    <w:rsid w:val="00A7082C"/>
    <w:rsid w:val="00A8106C"/>
    <w:rsid w:val="00A8584A"/>
    <w:rsid w:val="00A94DB4"/>
    <w:rsid w:val="00A95A05"/>
    <w:rsid w:val="00AB7B61"/>
    <w:rsid w:val="00AC0E3F"/>
    <w:rsid w:val="00AD774C"/>
    <w:rsid w:val="00AE1B43"/>
    <w:rsid w:val="00AE7F8F"/>
    <w:rsid w:val="00AF52EF"/>
    <w:rsid w:val="00B15528"/>
    <w:rsid w:val="00B21711"/>
    <w:rsid w:val="00B218AE"/>
    <w:rsid w:val="00B37CEF"/>
    <w:rsid w:val="00B6012B"/>
    <w:rsid w:val="00B6503A"/>
    <w:rsid w:val="00B85773"/>
    <w:rsid w:val="00B85866"/>
    <w:rsid w:val="00B90462"/>
    <w:rsid w:val="00B94D93"/>
    <w:rsid w:val="00BA129A"/>
    <w:rsid w:val="00BB352D"/>
    <w:rsid w:val="00BB3B25"/>
    <w:rsid w:val="00BC78BD"/>
    <w:rsid w:val="00BD3012"/>
    <w:rsid w:val="00BD4F10"/>
    <w:rsid w:val="00C0726A"/>
    <w:rsid w:val="00C07B8E"/>
    <w:rsid w:val="00C16AAF"/>
    <w:rsid w:val="00C2285D"/>
    <w:rsid w:val="00C26D6E"/>
    <w:rsid w:val="00C377FC"/>
    <w:rsid w:val="00C700DC"/>
    <w:rsid w:val="00C71468"/>
    <w:rsid w:val="00C724B0"/>
    <w:rsid w:val="00C85DF8"/>
    <w:rsid w:val="00C918B1"/>
    <w:rsid w:val="00C95FE4"/>
    <w:rsid w:val="00CC1623"/>
    <w:rsid w:val="00CE57C0"/>
    <w:rsid w:val="00D04E66"/>
    <w:rsid w:val="00D06F93"/>
    <w:rsid w:val="00D20E72"/>
    <w:rsid w:val="00D21065"/>
    <w:rsid w:val="00D537F4"/>
    <w:rsid w:val="00D61987"/>
    <w:rsid w:val="00D6757E"/>
    <w:rsid w:val="00D75D82"/>
    <w:rsid w:val="00D90AAC"/>
    <w:rsid w:val="00DA64C3"/>
    <w:rsid w:val="00DB5EA2"/>
    <w:rsid w:val="00DC120A"/>
    <w:rsid w:val="00DD44B6"/>
    <w:rsid w:val="00DE72EB"/>
    <w:rsid w:val="00DF6D89"/>
    <w:rsid w:val="00E00025"/>
    <w:rsid w:val="00E02F70"/>
    <w:rsid w:val="00E15ED6"/>
    <w:rsid w:val="00E24554"/>
    <w:rsid w:val="00E31A54"/>
    <w:rsid w:val="00E73758"/>
    <w:rsid w:val="00E77768"/>
    <w:rsid w:val="00E82B24"/>
    <w:rsid w:val="00E853D0"/>
    <w:rsid w:val="00EA1393"/>
    <w:rsid w:val="00EC06BA"/>
    <w:rsid w:val="00ED1593"/>
    <w:rsid w:val="00ED6AAD"/>
    <w:rsid w:val="00ED7BA0"/>
    <w:rsid w:val="00EE37EC"/>
    <w:rsid w:val="00F16DDA"/>
    <w:rsid w:val="00F24D02"/>
    <w:rsid w:val="00F34871"/>
    <w:rsid w:val="00F421FE"/>
    <w:rsid w:val="00F53CB4"/>
    <w:rsid w:val="00F5514B"/>
    <w:rsid w:val="00F730CD"/>
    <w:rsid w:val="00FA003E"/>
    <w:rsid w:val="00FB01DC"/>
    <w:rsid w:val="00FC3864"/>
    <w:rsid w:val="00FD3D2F"/>
    <w:rsid w:val="00FE666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D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52D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4035-12C1-4DF1-8B6C-C9A20229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Кафедра хімії та охорони праці</cp:lastModifiedBy>
  <cp:revision>13</cp:revision>
  <cp:lastPrinted>2020-12-01T12:29:00Z</cp:lastPrinted>
  <dcterms:created xsi:type="dcterms:W3CDTF">2020-11-25T09:49:00Z</dcterms:created>
  <dcterms:modified xsi:type="dcterms:W3CDTF">2020-12-01T12:29:00Z</dcterms:modified>
</cp:coreProperties>
</file>