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BD4263" w:rsidRPr="00A604E4" w14:paraId="7DE0E247" w14:textId="77777777" w:rsidTr="009E15B5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43A6" w14:textId="77777777" w:rsidR="00BD4263" w:rsidRPr="00A604E4" w:rsidRDefault="00BD4263" w:rsidP="009E15B5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2839" w14:textId="77777777" w:rsidR="00BD4263" w:rsidRPr="00A604E4" w:rsidRDefault="00BD4263" w:rsidP="009E15B5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5FA1B7FC" wp14:editId="5A1C2E7D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263" w:rsidRPr="00A604E4" w14:paraId="3DD4E955" w14:textId="77777777" w:rsidTr="009E15B5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5BA40" w14:textId="77777777" w:rsidR="00830D65" w:rsidRPr="00830D65" w:rsidRDefault="00830D65" w:rsidP="00830D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ru-RU"/>
              </w:rPr>
            </w:pPr>
          </w:p>
          <w:p w14:paraId="6ED6F7D9" w14:textId="30BA477B" w:rsidR="00BD4263" w:rsidRPr="00830D65" w:rsidRDefault="00830D65" w:rsidP="00830D6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0D65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r w:rsidR="001C1305" w:rsidRPr="00830D65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ПСИХОЛОГІЧНІ ОСНОВИ ПРОФОРІЄНТАЦІЇ ТА ПІДБОРУ КАДРІВ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F2E6D" w14:textId="77777777" w:rsidR="00BD4263" w:rsidRPr="00A604E4" w:rsidRDefault="00BD4263" w:rsidP="009E15B5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BD4263" w:rsidRPr="00A604E4" w14:paraId="65658154" w14:textId="77777777" w:rsidTr="009E15B5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844A3" w14:textId="77777777" w:rsidR="00BD4263" w:rsidRPr="00A604E4" w:rsidRDefault="00BD4263" w:rsidP="009E15B5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3DE420" w14:textId="77777777" w:rsidR="00BD4263" w:rsidRPr="00097467" w:rsidRDefault="00BD4263" w:rsidP="009E15B5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BD4263" w:rsidRPr="00A604E4" w14:paraId="236F7838" w14:textId="77777777" w:rsidTr="009E15B5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F6E54" w14:textId="77777777" w:rsidR="00BD4263" w:rsidRPr="00A604E4" w:rsidRDefault="00BD4263" w:rsidP="009E15B5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D834D5" w14:textId="77777777" w:rsidR="00BD4263" w:rsidRPr="00A604E4" w:rsidRDefault="00BD4263" w:rsidP="009E15B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 «Психологія»</w:t>
            </w:r>
          </w:p>
        </w:tc>
      </w:tr>
      <w:tr w:rsidR="00BD4263" w:rsidRPr="00A604E4" w14:paraId="206AF045" w14:textId="77777777" w:rsidTr="009E15B5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C698" w14:textId="77777777" w:rsidR="00BD4263" w:rsidRPr="00A604E4" w:rsidRDefault="00BD4263" w:rsidP="009E15B5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659AC" w14:textId="7554FED7" w:rsidR="00BD4263" w:rsidRPr="00A604E4" w:rsidRDefault="00617E9C" w:rsidP="009E15B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D4263" w:rsidRPr="00A604E4" w14:paraId="49938397" w14:textId="77777777" w:rsidTr="009E15B5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03B84" w14:textId="77777777" w:rsidR="00BD4263" w:rsidRPr="00A604E4" w:rsidRDefault="00BD4263" w:rsidP="009E15B5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8167C" w14:textId="4FA5E058" w:rsidR="00BD4263" w:rsidRPr="00617E9C" w:rsidRDefault="001C1305" w:rsidP="009E15B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шостий</w:t>
            </w:r>
          </w:p>
        </w:tc>
      </w:tr>
      <w:tr w:rsidR="00BD4263" w:rsidRPr="00A604E4" w14:paraId="3D8BA179" w14:textId="77777777" w:rsidTr="009E15B5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C0AF4" w14:textId="77777777" w:rsidR="00BD4263" w:rsidRPr="00A604E4" w:rsidRDefault="00BD4263" w:rsidP="009E15B5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CF6FA" w14:textId="77777777" w:rsidR="00BD4263" w:rsidRPr="00A604E4" w:rsidRDefault="00BD4263" w:rsidP="009E15B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604E4">
              <w:rPr>
                <w:szCs w:val="24"/>
              </w:rPr>
              <w:t>.0</w:t>
            </w:r>
          </w:p>
        </w:tc>
      </w:tr>
      <w:tr w:rsidR="00BD4263" w:rsidRPr="00A604E4" w14:paraId="472F8937" w14:textId="77777777" w:rsidTr="009E15B5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E71D4" w14:textId="77777777" w:rsidR="00BD4263" w:rsidRPr="00A604E4" w:rsidRDefault="00BD4263" w:rsidP="009E15B5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1A7D0" w14:textId="77777777" w:rsidR="00BD4263" w:rsidRPr="00A604E4" w:rsidRDefault="00BD4263" w:rsidP="009E15B5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BD4263" w:rsidRPr="00A604E4" w14:paraId="77E94B90" w14:textId="77777777" w:rsidTr="009E15B5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FD4BB" w14:textId="77777777" w:rsidR="00BD4263" w:rsidRPr="00A604E4" w:rsidRDefault="00BD4263" w:rsidP="009E15B5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80C3EE" w14:textId="77777777" w:rsidR="00BD4263" w:rsidRPr="00A604E4" w:rsidRDefault="00BD4263" w:rsidP="009E15B5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4C04C5CD" w14:textId="77777777" w:rsidR="00BD4263" w:rsidRPr="00A604E4" w:rsidRDefault="00BD4263" w:rsidP="00BD4263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BD4263" w:rsidRPr="00A604E4" w14:paraId="41C32839" w14:textId="77777777" w:rsidTr="009E15B5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384A" w14:textId="77777777" w:rsidR="00BD4263" w:rsidRPr="00A604E4" w:rsidRDefault="00BD4263" w:rsidP="009E15B5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6186" w14:textId="77777777" w:rsidR="00BD4263" w:rsidRPr="00A604E4" w:rsidRDefault="00BD4263" w:rsidP="009E15B5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BD4263" w:rsidRPr="00A604E4" w14:paraId="2C53B61D" w14:textId="77777777" w:rsidTr="009E15B5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AE4AD" w14:textId="77777777" w:rsidR="00BD4263" w:rsidRPr="00A604E4" w:rsidRDefault="00BD4263" w:rsidP="009E15B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Побокіна</w:t>
            </w:r>
            <w:proofErr w:type="spellEnd"/>
            <w:r>
              <w:rPr>
                <w:szCs w:val="24"/>
              </w:rPr>
              <w:t xml:space="preserve"> Галина Миколаївна</w:t>
            </w:r>
          </w:p>
        </w:tc>
      </w:tr>
      <w:tr w:rsidR="00BD4263" w:rsidRPr="00A604E4" w14:paraId="5EAB34EA" w14:textId="77777777" w:rsidTr="009E15B5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7E345A" w14:textId="77777777" w:rsidR="00BD4263" w:rsidRPr="00A604E4" w:rsidRDefault="00BD4263" w:rsidP="009E15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BD4263" w:rsidRPr="00A604E4" w14:paraId="1F12A1A5" w14:textId="77777777" w:rsidTr="009E15B5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9D523" w14:textId="77777777" w:rsidR="00BD4263" w:rsidRPr="00A604E4" w:rsidRDefault="00BD4263" w:rsidP="009E15B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 кафедри практичної психології та соціальної роботи</w:t>
            </w:r>
          </w:p>
        </w:tc>
      </w:tr>
      <w:tr w:rsidR="00BD4263" w:rsidRPr="00A604E4" w14:paraId="4B2D1EDF" w14:textId="77777777" w:rsidTr="009E15B5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FE912" w14:textId="77777777" w:rsidR="00BD4263" w:rsidRPr="00A604E4" w:rsidRDefault="00BD4263" w:rsidP="009E15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BD4263" w:rsidRPr="00A604E4" w14:paraId="3F3DB22E" w14:textId="77777777" w:rsidTr="009E15B5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627DB" w14:textId="77777777" w:rsidR="00BD4263" w:rsidRPr="00A604E4" w:rsidRDefault="00BD4263" w:rsidP="009E15B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galina0189@ukr.net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3C40B" w14:textId="77777777" w:rsidR="00BD4263" w:rsidRPr="00A604E4" w:rsidRDefault="00BD4263" w:rsidP="009E15B5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4986A" w14:textId="77777777" w:rsidR="00BD4263" w:rsidRPr="00A604E4" w:rsidRDefault="00BD4263" w:rsidP="009E15B5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+38-066-923-16-16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7D9BF" w14:textId="77777777" w:rsidR="00BD4263" w:rsidRPr="00A604E4" w:rsidRDefault="00BD4263" w:rsidP="009E15B5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959E9" w14:textId="77777777" w:rsidR="00BD4263" w:rsidRPr="00A604E4" w:rsidRDefault="00BD4263" w:rsidP="009E15B5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B4491" w14:textId="77777777" w:rsidR="00BD4263" w:rsidRPr="00A604E4" w:rsidRDefault="00BD4263" w:rsidP="009E15B5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25182" w14:textId="77777777" w:rsidR="00BD4263" w:rsidRPr="00940B70" w:rsidRDefault="00BD4263" w:rsidP="009E15B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BD4263" w:rsidRPr="00A604E4" w14:paraId="2BC26749" w14:textId="77777777" w:rsidTr="009E15B5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E97344" w14:textId="77777777" w:rsidR="00BD4263" w:rsidRPr="00A604E4" w:rsidRDefault="00BD4263" w:rsidP="009E15B5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C866" w14:textId="77777777" w:rsidR="00BD4263" w:rsidRPr="00A604E4" w:rsidRDefault="00BD4263" w:rsidP="009E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CFE2F2" w14:textId="77777777" w:rsidR="00BD4263" w:rsidRPr="00A604E4" w:rsidRDefault="00BD4263" w:rsidP="009E15B5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3B5B" w14:textId="77777777" w:rsidR="00BD4263" w:rsidRPr="00A604E4" w:rsidRDefault="00BD4263" w:rsidP="009E15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EBB295" w14:textId="77777777" w:rsidR="00BD4263" w:rsidRPr="00A604E4" w:rsidRDefault="00BD4263" w:rsidP="009E15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EAB29" w14:textId="77777777" w:rsidR="00BD4263" w:rsidRPr="00A604E4" w:rsidRDefault="00BD4263" w:rsidP="009E15B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69327B" w14:textId="77777777" w:rsidR="00BD4263" w:rsidRPr="00A604E4" w:rsidRDefault="00BD4263" w:rsidP="009E15B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5C0123C0" w14:textId="77777777" w:rsidR="00BD4263" w:rsidRPr="00A604E4" w:rsidRDefault="00BD4263" w:rsidP="00BD4263">
      <w:pPr>
        <w:jc w:val="center"/>
        <w:rPr>
          <w:b/>
          <w:szCs w:val="24"/>
        </w:rPr>
      </w:pPr>
    </w:p>
    <w:p w14:paraId="32C55A7D" w14:textId="77777777" w:rsidR="00BD4263" w:rsidRPr="00A604E4" w:rsidRDefault="00BD4263" w:rsidP="00BD4263">
      <w:pPr>
        <w:jc w:val="center"/>
        <w:rPr>
          <w:b/>
          <w:szCs w:val="24"/>
        </w:rPr>
      </w:pPr>
    </w:p>
    <w:p w14:paraId="582D29CD" w14:textId="77777777" w:rsidR="00BD4263" w:rsidRPr="00A604E4" w:rsidRDefault="00BD4263" w:rsidP="00BD4263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57A986BF" w14:textId="77777777" w:rsidR="00BD4263" w:rsidRPr="00A604E4" w:rsidRDefault="00BD4263" w:rsidP="00BD4263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BD4263" w:rsidRPr="00A604E4" w14:paraId="481D3506" w14:textId="77777777" w:rsidTr="009E15B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2F18" w14:textId="77777777" w:rsidR="00BD4263" w:rsidRPr="00A604E4" w:rsidRDefault="00BD4263" w:rsidP="009E15B5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802A" w14:textId="77777777" w:rsidR="00A17585" w:rsidRDefault="00BD4263" w:rsidP="009E15B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за дисципліною є</w:t>
            </w:r>
            <w:r w:rsidR="00A17585">
              <w:rPr>
                <w:szCs w:val="24"/>
              </w:rPr>
              <w:t xml:space="preserve"> вивчення</w:t>
            </w:r>
            <w:r w:rsidRPr="00A604E4">
              <w:rPr>
                <w:szCs w:val="24"/>
              </w:rPr>
              <w:t xml:space="preserve"> </w:t>
            </w:r>
            <w:r w:rsidR="00A17585">
              <w:t>сучасних соціально-економічні умови які вимагають від кожної особистості уміння самостійно та усвідомлено приймати рішення щодо професійного виз</w:t>
            </w:r>
            <w:r w:rsidR="0071162D">
              <w:t>начення та вибору і нести  відповідальність. П</w:t>
            </w:r>
            <w:r w:rsidR="00C72BBC">
              <w:t>сихологічна</w:t>
            </w:r>
            <w:r w:rsidR="00A17585">
              <w:t xml:space="preserve"> готовність до профорієнтаційної діяльності, вимагає впровадження інноваційних профорієнтаційних засобів, розроблених на засадах сучасної психології, враховуючи потреби, інтереси, мотиви як окремої особистості, так і вимоги суспільства. Основна складова вивчення дисципліни є ознайомлення та оволодіння основ профорієнтаційної роботи та формування практичних умінь проведення профорієнтаційної роботи. Профорієнтація є складною науково-практичною системою роботи, оволодіння якої дозволяє  психологу проводити </w:t>
            </w:r>
            <w:proofErr w:type="spellStart"/>
            <w:r w:rsidR="00A17585">
              <w:t>профінформаційну</w:t>
            </w:r>
            <w:proofErr w:type="spellEnd"/>
            <w:r w:rsidR="00A17585">
              <w:t xml:space="preserve"> та </w:t>
            </w:r>
            <w:proofErr w:type="spellStart"/>
            <w:r w:rsidR="00A17585">
              <w:t>профконсультаційну</w:t>
            </w:r>
            <w:proofErr w:type="spellEnd"/>
            <w:r w:rsidR="00A17585">
              <w:t xml:space="preserve"> роботу. Завдання практичної профорієнтації визначають сьогодні значну потребу психологічного вивчення професій і особистісних якостей майбутнього фахівця, потребують відповідної підготовки кваліфікованих кадрів.</w:t>
            </w:r>
          </w:p>
          <w:p w14:paraId="300B99EF" w14:textId="77777777" w:rsidR="00BD4263" w:rsidRPr="0057209A" w:rsidRDefault="00BD4263" w:rsidP="009E15B5">
            <w:pPr>
              <w:widowControl w:val="0"/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before="11"/>
              <w:jc w:val="both"/>
              <w:rPr>
                <w:color w:val="000000"/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</w:t>
            </w:r>
            <w:r w:rsidRPr="0057209A">
              <w:rPr>
                <w:szCs w:val="24"/>
              </w:rPr>
              <w:t xml:space="preserve">за дисципліною є основним засобом оволодіння навчальним матеріалом у час, вільний від обов’язкових навчальних занять, без участі викладача; </w:t>
            </w:r>
            <w:r w:rsidRPr="0057209A">
              <w:rPr>
                <w:color w:val="000000"/>
                <w:spacing w:val="-1"/>
                <w:szCs w:val="24"/>
              </w:rPr>
              <w:t xml:space="preserve">розвиток творчих здібностей та активізація розумової діяльності </w:t>
            </w:r>
            <w:r w:rsidRPr="0057209A">
              <w:rPr>
                <w:color w:val="000000"/>
                <w:spacing w:val="-7"/>
                <w:szCs w:val="24"/>
              </w:rPr>
              <w:t xml:space="preserve">студентів; </w:t>
            </w:r>
            <w:r w:rsidRPr="0057209A">
              <w:rPr>
                <w:color w:val="000000"/>
                <w:spacing w:val="3"/>
                <w:szCs w:val="24"/>
              </w:rPr>
              <w:t xml:space="preserve">формування в студентів потреби безперервного самостійного </w:t>
            </w:r>
            <w:r w:rsidRPr="0057209A">
              <w:rPr>
                <w:color w:val="000000"/>
                <w:spacing w:val="-2"/>
                <w:szCs w:val="24"/>
              </w:rPr>
              <w:t>поповнення знань;</w:t>
            </w:r>
            <w:r w:rsidRPr="0057209A">
              <w:rPr>
                <w:color w:val="000000"/>
                <w:szCs w:val="24"/>
              </w:rPr>
              <w:t xml:space="preserve"> </w:t>
            </w:r>
            <w:r w:rsidRPr="0057209A">
              <w:rPr>
                <w:color w:val="000000"/>
                <w:spacing w:val="-2"/>
                <w:szCs w:val="24"/>
              </w:rPr>
              <w:t xml:space="preserve">розвиток морально-вольових зусиль; </w:t>
            </w:r>
            <w:r w:rsidRPr="0057209A">
              <w:rPr>
                <w:szCs w:val="24"/>
              </w:rPr>
              <w:t>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BD4263" w:rsidRPr="00A604E4" w14:paraId="51DB3817" w14:textId="77777777" w:rsidTr="009E15B5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800CC" w14:textId="77777777" w:rsidR="00BD4263" w:rsidRPr="00A604E4" w:rsidRDefault="00BD4263" w:rsidP="009E15B5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34EE1" w14:textId="77777777" w:rsidR="00A17585" w:rsidRPr="00A17585" w:rsidRDefault="00BD4263" w:rsidP="00A17585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b/>
                <w:lang w:val="uk-UA"/>
              </w:rPr>
              <w:t>Знання:</w:t>
            </w:r>
            <w:r w:rsidRPr="0057209A">
              <w:rPr>
                <w:lang w:val="uk-UA"/>
              </w:rPr>
              <w:t xml:space="preserve"> </w:t>
            </w:r>
            <w:r w:rsidR="00A17585" w:rsidRPr="00A17585">
              <w:rPr>
                <w:lang w:val="uk-UA"/>
              </w:rPr>
              <w:t xml:space="preserve">поняття, основні задачі і головні цілі професійної орієнтації і професійного відбору; </w:t>
            </w:r>
            <w:r w:rsidR="00A17585">
              <w:rPr>
                <w:lang w:val="uk-UA"/>
              </w:rPr>
              <w:t xml:space="preserve"> </w:t>
            </w:r>
            <w:r w:rsidR="00A17585" w:rsidRPr="00A17585">
              <w:rPr>
                <w:lang w:val="uk-UA"/>
              </w:rPr>
              <w:t xml:space="preserve">форми і методи професійної орієнтації і професійного відбору; </w:t>
            </w:r>
            <w:r w:rsidR="00A17585">
              <w:rPr>
                <w:lang w:val="uk-UA"/>
              </w:rPr>
              <w:t xml:space="preserve"> </w:t>
            </w:r>
            <w:r w:rsidR="00A17585" w:rsidRPr="00A17585">
              <w:rPr>
                <w:lang w:val="uk-UA"/>
              </w:rPr>
              <w:t xml:space="preserve">способи допомоги безробітним; </w:t>
            </w:r>
            <w:r w:rsidR="00A17585">
              <w:rPr>
                <w:lang w:val="uk-UA"/>
              </w:rPr>
              <w:t xml:space="preserve"> </w:t>
            </w:r>
            <w:r w:rsidR="00A17585" w:rsidRPr="00A17585">
              <w:rPr>
                <w:lang w:val="uk-UA"/>
              </w:rPr>
              <w:t xml:space="preserve">найбільш поширені напрямки і форми </w:t>
            </w:r>
            <w:r w:rsidR="00A17585" w:rsidRPr="00A17585">
              <w:rPr>
                <w:lang w:val="uk-UA"/>
              </w:rPr>
              <w:lastRenderedPageBreak/>
              <w:t xml:space="preserve">профорієнтаційної діяльності; особливості профорієнтації різних категорій населення. </w:t>
            </w:r>
          </w:p>
          <w:p w14:paraId="3545CD21" w14:textId="77777777" w:rsidR="00BD4263" w:rsidRPr="00A17585" w:rsidRDefault="00BD4263" w:rsidP="00A17585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b/>
                <w:lang w:val="uk-UA"/>
              </w:rPr>
              <w:t>Вміння:</w:t>
            </w:r>
            <w:r w:rsidRPr="0057209A">
              <w:rPr>
                <w:lang w:val="uk-UA"/>
              </w:rPr>
              <w:t xml:space="preserve"> </w:t>
            </w:r>
            <w:r w:rsidR="00A17585">
              <w:rPr>
                <w:lang w:val="uk-UA"/>
              </w:rPr>
              <w:t xml:space="preserve"> </w:t>
            </w:r>
            <w:r w:rsidR="00A17585" w:rsidRPr="00A17585">
              <w:rPr>
                <w:lang w:val="uk-UA"/>
              </w:rPr>
              <w:t xml:space="preserve">застосовувати на практиці отримані теоретичні знання; </w:t>
            </w:r>
            <w:r w:rsidR="00A17585">
              <w:rPr>
                <w:lang w:val="uk-UA"/>
              </w:rPr>
              <w:t xml:space="preserve"> </w:t>
            </w:r>
            <w:r w:rsidR="00A17585" w:rsidRPr="00A17585">
              <w:rPr>
                <w:lang w:val="uk-UA"/>
              </w:rPr>
              <w:t>аналізувати і критично оцінювати основні н</w:t>
            </w:r>
            <w:r w:rsidR="00A17585">
              <w:rPr>
                <w:lang w:val="uk-UA"/>
              </w:rPr>
              <w:t xml:space="preserve">апрямки професійної орієнтації; </w:t>
            </w:r>
            <w:r w:rsidR="00A17585" w:rsidRPr="00A17585">
              <w:rPr>
                <w:lang w:val="uk-UA"/>
              </w:rPr>
              <w:t xml:space="preserve">використовувати методи і методики професійної орієнтації; використовувати методи і методики професійного відбору; </w:t>
            </w:r>
            <w:r w:rsidR="00A17585">
              <w:rPr>
                <w:lang w:val="uk-UA"/>
              </w:rPr>
              <w:t xml:space="preserve"> </w:t>
            </w:r>
            <w:r w:rsidR="00A17585" w:rsidRPr="00A17585">
              <w:rPr>
                <w:lang w:val="uk-UA"/>
              </w:rPr>
              <w:t xml:space="preserve">розробляти </w:t>
            </w:r>
            <w:proofErr w:type="spellStart"/>
            <w:r w:rsidR="00A17585" w:rsidRPr="00A17585">
              <w:rPr>
                <w:lang w:val="uk-UA"/>
              </w:rPr>
              <w:t>професіограми</w:t>
            </w:r>
            <w:proofErr w:type="spellEnd"/>
            <w:r w:rsidR="00A17585" w:rsidRPr="00A17585">
              <w:rPr>
                <w:lang w:val="uk-UA"/>
              </w:rPr>
              <w:t xml:space="preserve">; розробляти програми професійної орієнтації; </w:t>
            </w:r>
            <w:r w:rsidR="00A17585">
              <w:rPr>
                <w:lang w:val="uk-UA"/>
              </w:rPr>
              <w:t xml:space="preserve"> </w:t>
            </w:r>
            <w:r w:rsidR="00A17585" w:rsidRPr="00A17585">
              <w:rPr>
                <w:lang w:val="uk-UA"/>
              </w:rPr>
              <w:t>діагностувати основні проблеми безробітних.</w:t>
            </w:r>
          </w:p>
        </w:tc>
      </w:tr>
      <w:tr w:rsidR="00BD4263" w:rsidRPr="00A604E4" w14:paraId="3749F145" w14:textId="77777777" w:rsidTr="009E15B5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3A0AC" w14:textId="77777777" w:rsidR="00BD4263" w:rsidRPr="00A604E4" w:rsidRDefault="00BD4263" w:rsidP="006E6679">
            <w:pPr>
              <w:jc w:val="both"/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7C9EA" w14:textId="77777777" w:rsidR="00BD4263" w:rsidRPr="006E6679" w:rsidRDefault="00BD4263" w:rsidP="006E6679">
            <w:pPr>
              <w:pStyle w:val="Default"/>
              <w:jc w:val="both"/>
              <w:rPr>
                <w:lang w:val="uk-UA"/>
              </w:rPr>
            </w:pPr>
            <w:r w:rsidRPr="0057209A">
              <w:rPr>
                <w:lang w:val="uk-UA"/>
              </w:rPr>
              <w:t xml:space="preserve">Для засвоєння дисципліни повинні бути знання з:  </w:t>
            </w:r>
            <w:r w:rsidR="006E6679" w:rsidRPr="006E6679">
              <w:rPr>
                <w:lang w:val="uk-UA"/>
              </w:rPr>
              <w:t xml:space="preserve"> «Психологічні основи профорієнтації та підбору кадрів» студент повинен мати знання з дисциплін «Загальна психологія», «Експериментальна психологія», «Психодіагностика».</w:t>
            </w:r>
          </w:p>
        </w:tc>
      </w:tr>
    </w:tbl>
    <w:p w14:paraId="2AB9C70C" w14:textId="77777777" w:rsidR="00BD4263" w:rsidRPr="00A604E4" w:rsidRDefault="00BD4263" w:rsidP="006E6679">
      <w:pPr>
        <w:jc w:val="both"/>
        <w:rPr>
          <w:sz w:val="22"/>
        </w:rPr>
      </w:pPr>
    </w:p>
    <w:p w14:paraId="3415EF2D" w14:textId="77777777" w:rsidR="00BD4263" w:rsidRPr="00A604E4" w:rsidRDefault="00BD4263" w:rsidP="00BD4263">
      <w:pPr>
        <w:spacing w:line="276" w:lineRule="auto"/>
        <w:ind w:left="3119" w:hanging="3119"/>
        <w:jc w:val="center"/>
        <w:rPr>
          <w:b/>
          <w:szCs w:val="24"/>
        </w:rPr>
      </w:pPr>
    </w:p>
    <w:p w14:paraId="488566B1" w14:textId="77777777" w:rsidR="00BD4263" w:rsidRPr="001C1305" w:rsidRDefault="00BD4263" w:rsidP="00BD4263">
      <w:pPr>
        <w:spacing w:line="276" w:lineRule="auto"/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 xml:space="preserve">Мета курсу (набуті </w:t>
      </w:r>
      <w:r w:rsidRPr="001C1305">
        <w:rPr>
          <w:b/>
          <w:szCs w:val="24"/>
        </w:rPr>
        <w:t>компетентності)</w:t>
      </w:r>
    </w:p>
    <w:p w14:paraId="40C169DF" w14:textId="77777777" w:rsidR="00BD4263" w:rsidRPr="00A604E4" w:rsidRDefault="00BD4263" w:rsidP="00BD4263">
      <w:pPr>
        <w:pStyle w:val="a5"/>
        <w:spacing w:line="235" w:lineRule="auto"/>
        <w:rPr>
          <w:b/>
          <w:bCs/>
          <w:szCs w:val="24"/>
        </w:rPr>
      </w:pPr>
    </w:p>
    <w:p w14:paraId="5707541F" w14:textId="77777777" w:rsidR="00BD4263" w:rsidRPr="008410F1" w:rsidRDefault="00BD4263" w:rsidP="001C1305">
      <w:pPr>
        <w:pStyle w:val="Default"/>
        <w:ind w:firstLine="708"/>
        <w:jc w:val="both"/>
        <w:rPr>
          <w:lang w:val="uk-UA"/>
        </w:rPr>
      </w:pPr>
      <w:bookmarkStart w:id="0" w:name="_GoBack"/>
      <w:bookmarkEnd w:id="0"/>
      <w:r w:rsidRPr="008410F1">
        <w:rPr>
          <w:b/>
          <w:lang w:val="uk-UA"/>
        </w:rPr>
        <w:t>Мета викладання дисципліни</w:t>
      </w:r>
      <w:r w:rsidRPr="008410F1">
        <w:rPr>
          <w:lang w:val="uk-UA"/>
        </w:rPr>
        <w:t xml:space="preserve"> </w:t>
      </w:r>
      <w:r w:rsidR="00830D65" w:rsidRPr="00830D65">
        <w:rPr>
          <w:lang w:val="uk-UA"/>
        </w:rPr>
        <w:t>опанувати психологічні основи, етапи, форми та методи професійної орієнтації, набути навичок профорієнтаційної роботи.</w:t>
      </w:r>
    </w:p>
    <w:p w14:paraId="4F33075F" w14:textId="77777777" w:rsidR="00BD4263" w:rsidRDefault="00BD4263" w:rsidP="00BD4263">
      <w:pPr>
        <w:pStyle w:val="a5"/>
        <w:rPr>
          <w:szCs w:val="24"/>
          <w:u w:val="single"/>
        </w:rPr>
      </w:pPr>
      <w:r w:rsidRPr="00A604E4">
        <w:rPr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A604E4">
        <w:rPr>
          <w:szCs w:val="24"/>
          <w:u w:val="single"/>
        </w:rPr>
        <w:t>компетентностей</w:t>
      </w:r>
      <w:proofErr w:type="spellEnd"/>
      <w:r w:rsidRPr="00A604E4">
        <w:rPr>
          <w:szCs w:val="24"/>
          <w:u w:val="single"/>
        </w:rPr>
        <w:t>:</w:t>
      </w:r>
    </w:p>
    <w:p w14:paraId="73AEA6BE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ЗК1. Здатність застосовувати знання у практичних ситуаціях. </w:t>
      </w:r>
    </w:p>
    <w:p w14:paraId="0E3FC20F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ЗК2. Знання та розуміння предметної області та розуміння професійної діяльності. </w:t>
      </w:r>
    </w:p>
    <w:p w14:paraId="3F0476D1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ЗК3. Навички використання інформаційних і комунікаційних технологій. </w:t>
      </w:r>
    </w:p>
    <w:p w14:paraId="294F00B3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ЗК4. Здатність вчитися і оволодівати сучасними знаннями. </w:t>
      </w:r>
    </w:p>
    <w:p w14:paraId="56DAA586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ЗК5. Здатність бути критичним і самокритичним. </w:t>
      </w:r>
    </w:p>
    <w:p w14:paraId="1D0CDEFF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ЗК6. Здатність приймати обґрунтовані рішення. </w:t>
      </w:r>
    </w:p>
    <w:p w14:paraId="11D3A3E6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ЗК7. Здатність генерувати нові ідеї (креативність). </w:t>
      </w:r>
    </w:p>
    <w:p w14:paraId="7F435810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ЗК8. Навички міжособистісної взаємодії, </w:t>
      </w:r>
    </w:p>
    <w:p w14:paraId="55964FC7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ЗК9 Здатність працювати в команді. </w:t>
      </w:r>
    </w:p>
    <w:p w14:paraId="027F69C7" w14:textId="77777777" w:rsidR="006E6679" w:rsidRPr="006E6679" w:rsidRDefault="006E6679" w:rsidP="006E6679">
      <w:pPr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ЗК10.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 </w:t>
      </w:r>
    </w:p>
    <w:p w14:paraId="6D099AA8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СК3. Здатність до розуміння природи поведінки, діяльності та вчинків. </w:t>
      </w:r>
    </w:p>
    <w:p w14:paraId="247F150C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СК4. Здатність самостійно збирати та критично опрацьовувати, аналізувати та узагальнювати психологічну інформацію з різних джерел </w:t>
      </w:r>
    </w:p>
    <w:p w14:paraId="3A573B10" w14:textId="77777777" w:rsidR="006E6679" w:rsidRPr="006E6679" w:rsidRDefault="006E6679" w:rsidP="006E6679">
      <w:pPr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СК5. Здатність використовувати </w:t>
      </w:r>
      <w:proofErr w:type="spellStart"/>
      <w:r w:rsidRPr="006E6679">
        <w:rPr>
          <w:rFonts w:eastAsiaTheme="minorHAnsi"/>
          <w:color w:val="000000"/>
          <w:szCs w:val="24"/>
        </w:rPr>
        <w:t>валідний</w:t>
      </w:r>
      <w:proofErr w:type="spellEnd"/>
      <w:r w:rsidRPr="006E6679">
        <w:rPr>
          <w:rFonts w:eastAsiaTheme="minorHAnsi"/>
          <w:color w:val="000000"/>
          <w:szCs w:val="24"/>
        </w:rPr>
        <w:t xml:space="preserve"> і надійний </w:t>
      </w:r>
      <w:proofErr w:type="spellStart"/>
      <w:r w:rsidRPr="006E6679">
        <w:rPr>
          <w:rFonts w:eastAsiaTheme="minorHAnsi"/>
          <w:color w:val="000000"/>
          <w:szCs w:val="24"/>
        </w:rPr>
        <w:t>психодіагностичний</w:t>
      </w:r>
      <w:proofErr w:type="spellEnd"/>
      <w:r w:rsidRPr="006E6679">
        <w:rPr>
          <w:rFonts w:eastAsiaTheme="minorHAnsi"/>
          <w:color w:val="000000"/>
          <w:szCs w:val="24"/>
        </w:rPr>
        <w:t xml:space="preserve"> інструментарій </w:t>
      </w:r>
    </w:p>
    <w:p w14:paraId="3F819626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СК7. Здатність аналізувати та систематизувати одержані результати, формулювати аргументовані висновки та рекомендації </w:t>
      </w:r>
    </w:p>
    <w:p w14:paraId="696A18A1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СК11. Здатність дотримуватися норм професійної етики </w:t>
      </w:r>
    </w:p>
    <w:p w14:paraId="263FB6C0" w14:textId="77777777" w:rsidR="006E6679" w:rsidRPr="006E6679" w:rsidRDefault="006E6679" w:rsidP="006E6679">
      <w:pPr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>СК12. Здатність до особистісного та професійного самовдосконалення, навчання та саморозвитку .</w:t>
      </w:r>
    </w:p>
    <w:p w14:paraId="7552AA8E" w14:textId="77777777" w:rsidR="00BD4263" w:rsidRPr="00A604E4" w:rsidRDefault="00BD4263" w:rsidP="006E6679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7F65FC5F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ПР2. Розуміти закономірності та особливості розвитку і функціонування психічних явищ в контексті професійних завдань </w:t>
      </w:r>
    </w:p>
    <w:p w14:paraId="068FD335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ПР3. Здійснювати пошук інформації з різних джерел, у </w:t>
      </w:r>
      <w:proofErr w:type="spellStart"/>
      <w:r w:rsidRPr="006E6679">
        <w:rPr>
          <w:rFonts w:eastAsiaTheme="minorHAnsi"/>
          <w:color w:val="000000"/>
          <w:szCs w:val="24"/>
        </w:rPr>
        <w:t>т.ч</w:t>
      </w:r>
      <w:proofErr w:type="spellEnd"/>
      <w:r w:rsidRPr="006E6679">
        <w:rPr>
          <w:rFonts w:eastAsiaTheme="minorHAnsi"/>
          <w:color w:val="000000"/>
          <w:szCs w:val="24"/>
        </w:rPr>
        <w:t xml:space="preserve">. з використанням інформаційно-комунікаційних технологій, для вирішення професійних завдань. </w:t>
      </w:r>
    </w:p>
    <w:p w14:paraId="56A6541F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</w:r>
    </w:p>
    <w:p w14:paraId="45F6081F" w14:textId="77777777" w:rsidR="00BD4263" w:rsidRPr="006E6679" w:rsidRDefault="006E6679" w:rsidP="006E6679">
      <w:pPr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ПР5. Обирати та застосовувати </w:t>
      </w:r>
      <w:proofErr w:type="spellStart"/>
      <w:r w:rsidRPr="006E6679">
        <w:rPr>
          <w:rFonts w:eastAsiaTheme="minorHAnsi"/>
          <w:color w:val="000000"/>
          <w:szCs w:val="24"/>
        </w:rPr>
        <w:t>валідний</w:t>
      </w:r>
      <w:proofErr w:type="spellEnd"/>
      <w:r w:rsidRPr="006E6679">
        <w:rPr>
          <w:rFonts w:eastAsiaTheme="minorHAnsi"/>
          <w:color w:val="000000"/>
          <w:szCs w:val="24"/>
        </w:rPr>
        <w:t xml:space="preserve"> і надійний </w:t>
      </w:r>
      <w:proofErr w:type="spellStart"/>
      <w:r w:rsidRPr="006E6679">
        <w:rPr>
          <w:rFonts w:eastAsiaTheme="minorHAnsi"/>
          <w:color w:val="000000"/>
          <w:szCs w:val="24"/>
        </w:rPr>
        <w:t>психодіагностичний</w:t>
      </w:r>
      <w:proofErr w:type="spellEnd"/>
      <w:r w:rsidRPr="006E6679">
        <w:rPr>
          <w:rFonts w:eastAsiaTheme="minorHAnsi"/>
          <w:color w:val="000000"/>
          <w:szCs w:val="24"/>
        </w:rPr>
        <w:t xml:space="preserve"> інструментарій (тести, опитувальники, проективні методики тощо) психологічного дослідження та технології психологічної допомоги </w:t>
      </w:r>
    </w:p>
    <w:p w14:paraId="0AA26575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lastRenderedPageBreak/>
        <w:t xml:space="preserve">ПР6. Формулювати мету, завдання дослідження, володіти навичками збору первинного матеріалу, дотримуватися процедури дослідження </w:t>
      </w:r>
    </w:p>
    <w:p w14:paraId="131AE4F7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ПР7. Рефлексувати та критично оцінювати достовірність одержаних результатів психологічного дослідження, формулювати аргументовані висновки </w:t>
      </w:r>
    </w:p>
    <w:p w14:paraId="09CE98B2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ПР8. Презентувати результати власних досліджень усно / письмово для фахівців і нефахівців. </w:t>
      </w:r>
    </w:p>
    <w:p w14:paraId="55C4AAA5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 </w:t>
      </w:r>
    </w:p>
    <w:p w14:paraId="74D36ECE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ПР10. Формулювати думку </w:t>
      </w:r>
      <w:proofErr w:type="spellStart"/>
      <w:r w:rsidRPr="006E6679">
        <w:rPr>
          <w:rFonts w:eastAsiaTheme="minorHAnsi"/>
          <w:color w:val="000000"/>
          <w:szCs w:val="24"/>
        </w:rPr>
        <w:t>логічно</w:t>
      </w:r>
      <w:proofErr w:type="spellEnd"/>
      <w:r w:rsidRPr="006E6679">
        <w:rPr>
          <w:rFonts w:eastAsiaTheme="minorHAnsi"/>
          <w:color w:val="000000"/>
          <w:szCs w:val="24"/>
        </w:rPr>
        <w:t xml:space="preserve">, доступно, дискутувати, обстоювати власну позицію, модифікувати висловлювання відповідно до </w:t>
      </w:r>
      <w:proofErr w:type="spellStart"/>
      <w:r w:rsidRPr="006E6679">
        <w:rPr>
          <w:rFonts w:eastAsiaTheme="minorHAnsi"/>
          <w:color w:val="000000"/>
          <w:szCs w:val="24"/>
        </w:rPr>
        <w:t>культуральних</w:t>
      </w:r>
      <w:proofErr w:type="spellEnd"/>
      <w:r w:rsidRPr="006E6679">
        <w:rPr>
          <w:rFonts w:eastAsiaTheme="minorHAnsi"/>
          <w:color w:val="000000"/>
          <w:szCs w:val="24"/>
        </w:rPr>
        <w:t xml:space="preserve"> особливостей співрозмовника </w:t>
      </w:r>
    </w:p>
    <w:p w14:paraId="6E4EC021" w14:textId="77777777" w:rsidR="006E6679" w:rsidRPr="006E6679" w:rsidRDefault="006E6679" w:rsidP="006E6679">
      <w:pPr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>ПР11.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дій.</w:t>
      </w:r>
    </w:p>
    <w:p w14:paraId="5E2DB663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 </w:t>
      </w:r>
    </w:p>
    <w:p w14:paraId="1ABACC4F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ПР14. Ефективно виконувати різні ролі у команді у процесі вирішення фахових завдань, у тому числі демонструвати лідерські якості. </w:t>
      </w:r>
    </w:p>
    <w:p w14:paraId="0B3CAC19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ПР15. </w:t>
      </w:r>
      <w:proofErr w:type="spellStart"/>
      <w:r w:rsidRPr="006E6679">
        <w:rPr>
          <w:rFonts w:eastAsiaTheme="minorHAnsi"/>
          <w:color w:val="000000"/>
          <w:szCs w:val="24"/>
        </w:rPr>
        <w:t>Відповідально</w:t>
      </w:r>
      <w:proofErr w:type="spellEnd"/>
      <w:r w:rsidRPr="006E6679">
        <w:rPr>
          <w:rFonts w:eastAsiaTheme="minorHAnsi"/>
          <w:color w:val="000000"/>
          <w:szCs w:val="24"/>
        </w:rPr>
        <w:t xml:space="preserve"> ставитися до професійного самовдосконалення, навчання та саморозвитку </w:t>
      </w:r>
    </w:p>
    <w:p w14:paraId="31A2F3CE" w14:textId="77777777" w:rsidR="006E6679" w:rsidRPr="006E6679" w:rsidRDefault="006E6679" w:rsidP="006E667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ПР16. Знати, розуміти та дотримуватися етичних принципів професійної діяльності психолога </w:t>
      </w:r>
    </w:p>
    <w:p w14:paraId="536FEC91" w14:textId="77777777" w:rsidR="006E6679" w:rsidRPr="006E6679" w:rsidRDefault="006E6679" w:rsidP="006E6679">
      <w:pPr>
        <w:ind w:firstLine="567"/>
        <w:jc w:val="both"/>
        <w:rPr>
          <w:rFonts w:eastAsiaTheme="minorHAnsi"/>
          <w:color w:val="000000"/>
          <w:szCs w:val="24"/>
        </w:rPr>
      </w:pPr>
      <w:r w:rsidRPr="006E6679">
        <w:rPr>
          <w:rFonts w:eastAsiaTheme="minorHAnsi"/>
          <w:color w:val="000000"/>
          <w:szCs w:val="24"/>
        </w:rPr>
        <w:t xml:space="preserve"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 </w:t>
      </w:r>
    </w:p>
    <w:p w14:paraId="07D36280" w14:textId="77777777" w:rsidR="006E6679" w:rsidRDefault="006E6679" w:rsidP="00BD4263">
      <w:pPr>
        <w:ind w:left="3119" w:hanging="3119"/>
        <w:jc w:val="center"/>
        <w:rPr>
          <w:b/>
          <w:szCs w:val="24"/>
        </w:rPr>
      </w:pPr>
    </w:p>
    <w:p w14:paraId="53768A96" w14:textId="77777777" w:rsidR="00BD4263" w:rsidRPr="00A604E4" w:rsidRDefault="00BD4263" w:rsidP="00BD4263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05AF7E47" w14:textId="77777777" w:rsidR="00BD4263" w:rsidRPr="00A604E4" w:rsidRDefault="00BD4263" w:rsidP="00BD4263">
      <w:pPr>
        <w:spacing w:line="276" w:lineRule="auto"/>
        <w:jc w:val="both"/>
        <w:rPr>
          <w:szCs w:val="24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3132"/>
        <w:gridCol w:w="851"/>
        <w:gridCol w:w="3634"/>
        <w:gridCol w:w="1972"/>
      </w:tblGrid>
      <w:tr w:rsidR="00BD4263" w:rsidRPr="00093A81" w14:paraId="53680AB3" w14:textId="77777777" w:rsidTr="002769EF">
        <w:trPr>
          <w:tblHeader/>
          <w:jc w:val="center"/>
        </w:trPr>
        <w:tc>
          <w:tcPr>
            <w:tcW w:w="407" w:type="dxa"/>
            <w:shd w:val="clear" w:color="auto" w:fill="ECE1FF"/>
            <w:vAlign w:val="center"/>
          </w:tcPr>
          <w:p w14:paraId="388C1ED8" w14:textId="77777777" w:rsidR="00BD4263" w:rsidRPr="00093A81" w:rsidRDefault="00BD4263" w:rsidP="009E15B5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3132" w:type="dxa"/>
            <w:shd w:val="clear" w:color="auto" w:fill="ECE1FF"/>
            <w:vAlign w:val="center"/>
          </w:tcPr>
          <w:p w14:paraId="72880F05" w14:textId="77777777" w:rsidR="00BD4263" w:rsidRPr="00093A81" w:rsidRDefault="00BD4263" w:rsidP="009E15B5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851" w:type="dxa"/>
            <w:shd w:val="clear" w:color="auto" w:fill="ECE1FF"/>
            <w:vAlign w:val="center"/>
          </w:tcPr>
          <w:p w14:paraId="68B528C0" w14:textId="77777777" w:rsidR="00BD4263" w:rsidRPr="00093A81" w:rsidRDefault="00BD4263" w:rsidP="009E15B5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Години (Л/</w:t>
            </w:r>
            <w:r w:rsidRPr="00093A81">
              <w:rPr>
                <w:sz w:val="20"/>
              </w:rPr>
              <w:t>/ПЗ)</w:t>
            </w:r>
          </w:p>
        </w:tc>
        <w:tc>
          <w:tcPr>
            <w:tcW w:w="3634" w:type="dxa"/>
            <w:shd w:val="clear" w:color="auto" w:fill="ECE1FF"/>
            <w:vAlign w:val="center"/>
          </w:tcPr>
          <w:p w14:paraId="08E94A5C" w14:textId="77777777" w:rsidR="00BD4263" w:rsidRPr="00093A81" w:rsidRDefault="00BD4263" w:rsidP="009E15B5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78D66184" w14:textId="77777777" w:rsidR="00BD4263" w:rsidRPr="00093A81" w:rsidRDefault="00BD4263" w:rsidP="009E15B5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BD4263" w:rsidRPr="00093A81" w14:paraId="4C929E56" w14:textId="77777777" w:rsidTr="002769EF">
        <w:trPr>
          <w:jc w:val="center"/>
        </w:trPr>
        <w:tc>
          <w:tcPr>
            <w:tcW w:w="407" w:type="dxa"/>
            <w:shd w:val="clear" w:color="auto" w:fill="auto"/>
          </w:tcPr>
          <w:p w14:paraId="596F57B5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1F849D10" w14:textId="77777777" w:rsidR="00BD4263" w:rsidRPr="006A0E68" w:rsidRDefault="00C80C5A" w:rsidP="002572A9">
            <w:pPr>
              <w:jc w:val="both"/>
              <w:rPr>
                <w:b/>
                <w:szCs w:val="24"/>
              </w:rPr>
            </w:pPr>
            <w:r w:rsidRPr="006A0E68">
              <w:rPr>
                <w:rFonts w:eastAsiaTheme="minorHAnsi"/>
                <w:b/>
                <w:szCs w:val="24"/>
              </w:rPr>
              <w:t>Історія розвитку профорієнтації</w:t>
            </w:r>
          </w:p>
        </w:tc>
        <w:tc>
          <w:tcPr>
            <w:tcW w:w="851" w:type="dxa"/>
            <w:shd w:val="clear" w:color="auto" w:fill="auto"/>
          </w:tcPr>
          <w:p w14:paraId="3D8A2E47" w14:textId="77777777" w:rsidR="00BD4263" w:rsidRPr="00093A81" w:rsidRDefault="00BD4263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4/-</w:t>
            </w:r>
          </w:p>
        </w:tc>
        <w:tc>
          <w:tcPr>
            <w:tcW w:w="3634" w:type="dxa"/>
            <w:shd w:val="clear" w:color="auto" w:fill="auto"/>
          </w:tcPr>
          <w:p w14:paraId="791E2DDC" w14:textId="77777777" w:rsidR="00BD4263" w:rsidRPr="002572A9" w:rsidRDefault="00C80C5A" w:rsidP="002572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val="ru-RU"/>
              </w:rPr>
            </w:pPr>
            <w:r w:rsidRPr="00402E1B">
              <w:rPr>
                <w:rFonts w:eastAsiaTheme="minorHAnsi"/>
                <w:sz w:val="22"/>
                <w:szCs w:val="22"/>
              </w:rPr>
              <w:t>Історія розвитку професійної орієнтації у зарубіжній психології. Розвиток профорієнтації у руслі психотехніки. Профорієнтація і психологія праці. Розвиток профорієнтації на сучасному етапі. Розвиток профорієнтації в сучасній Україні</w:t>
            </w:r>
            <w:r>
              <w:rPr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15D2497C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093A81">
              <w:rPr>
                <w:sz w:val="20"/>
              </w:rPr>
              <w:t xml:space="preserve"> </w:t>
            </w: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F59D790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4AF8E05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1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0DE84670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2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2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14:paraId="22E2EA77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3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3"/>
            <w:r w:rsidRPr="00A604E4">
              <w:rPr>
                <w:sz w:val="22"/>
                <w:szCs w:val="22"/>
              </w:rPr>
              <w:t>й.</w:t>
            </w:r>
          </w:p>
          <w:p w14:paraId="76499E69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014F116B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515BDF4E" w14:textId="77777777" w:rsidR="00BD4263" w:rsidRPr="00093A81" w:rsidRDefault="00BD4263" w:rsidP="009E15B5">
            <w:pPr>
              <w:rPr>
                <w:sz w:val="20"/>
              </w:rPr>
            </w:pPr>
          </w:p>
        </w:tc>
      </w:tr>
      <w:tr w:rsidR="00BD4263" w:rsidRPr="00093A81" w14:paraId="2DA2B1F7" w14:textId="77777777" w:rsidTr="002769EF">
        <w:trPr>
          <w:jc w:val="center"/>
        </w:trPr>
        <w:tc>
          <w:tcPr>
            <w:tcW w:w="407" w:type="dxa"/>
            <w:shd w:val="clear" w:color="auto" w:fill="auto"/>
          </w:tcPr>
          <w:p w14:paraId="2FD116DF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03672363" w14:textId="77777777" w:rsidR="00BD4263" w:rsidRPr="00C80C5A" w:rsidRDefault="00C80C5A" w:rsidP="00C80C5A">
            <w:pPr>
              <w:spacing w:before="120" w:after="120"/>
              <w:jc w:val="both"/>
              <w:rPr>
                <w:b/>
                <w:szCs w:val="24"/>
              </w:rPr>
            </w:pPr>
            <w:r w:rsidRPr="00C80C5A">
              <w:rPr>
                <w:b/>
              </w:rPr>
              <w:t>Психологія праці як наука.</w:t>
            </w:r>
          </w:p>
        </w:tc>
        <w:tc>
          <w:tcPr>
            <w:tcW w:w="851" w:type="dxa"/>
            <w:shd w:val="clear" w:color="auto" w:fill="auto"/>
          </w:tcPr>
          <w:p w14:paraId="26C52D30" w14:textId="77777777" w:rsidR="00BD4263" w:rsidRDefault="00C80C5A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2/-</w:t>
            </w:r>
          </w:p>
        </w:tc>
        <w:tc>
          <w:tcPr>
            <w:tcW w:w="3634" w:type="dxa"/>
            <w:shd w:val="clear" w:color="auto" w:fill="auto"/>
          </w:tcPr>
          <w:p w14:paraId="756341F5" w14:textId="77777777" w:rsidR="00BD4263" w:rsidRPr="00C80C5A" w:rsidRDefault="00C80C5A" w:rsidP="00C80C5A">
            <w:pPr>
              <w:jc w:val="both"/>
            </w:pPr>
            <w:r w:rsidRPr="00BF24DE">
              <w:t>Психологія праці як наука. Зв’язок психології праці з іншими науками. Поняття “робота” та “безробіття”. Плюси та мінуси роботи. Цілі та завдання психології праці. Об'єкт та предмет психології праці. Суб'єкт праці. Методи психології праці.</w:t>
            </w:r>
          </w:p>
        </w:tc>
        <w:tc>
          <w:tcPr>
            <w:tcW w:w="1972" w:type="dxa"/>
            <w:shd w:val="clear" w:color="auto" w:fill="auto"/>
          </w:tcPr>
          <w:p w14:paraId="7BE644B1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4BE641B2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B732C32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C734E88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98A57A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61110CB7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621A8B0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34514A78" w14:textId="77777777" w:rsidR="00BD4263" w:rsidRPr="00093A81" w:rsidRDefault="00BD4263" w:rsidP="009E15B5">
            <w:pPr>
              <w:rPr>
                <w:sz w:val="20"/>
              </w:rPr>
            </w:pPr>
          </w:p>
        </w:tc>
      </w:tr>
      <w:tr w:rsidR="00BD4263" w:rsidRPr="00093A81" w14:paraId="314F5E2B" w14:textId="77777777" w:rsidTr="002769EF">
        <w:trPr>
          <w:jc w:val="center"/>
        </w:trPr>
        <w:tc>
          <w:tcPr>
            <w:tcW w:w="407" w:type="dxa"/>
            <w:shd w:val="clear" w:color="auto" w:fill="auto"/>
          </w:tcPr>
          <w:p w14:paraId="55921870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60C05402" w14:textId="77777777" w:rsidR="00C80C5A" w:rsidRPr="006A0E68" w:rsidRDefault="00C80C5A" w:rsidP="00C80C5A">
            <w:pPr>
              <w:spacing w:before="120" w:after="120"/>
              <w:jc w:val="both"/>
              <w:rPr>
                <w:b/>
              </w:rPr>
            </w:pPr>
            <w:r w:rsidRPr="006A0E68">
              <w:rPr>
                <w:b/>
              </w:rPr>
              <w:t>Практичне застосування психології праці. Методи та інструменти психології праці.</w:t>
            </w:r>
          </w:p>
          <w:p w14:paraId="4D63A9F7" w14:textId="77777777" w:rsidR="00BD4263" w:rsidRPr="00FE44D3" w:rsidRDefault="00BD4263" w:rsidP="00C80C5A">
            <w:pPr>
              <w:spacing w:before="120" w:after="120"/>
              <w:jc w:val="both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7C4F63" w14:textId="77777777" w:rsidR="00BD4263" w:rsidRPr="001408B3" w:rsidRDefault="00C80C5A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4/2</w:t>
            </w:r>
          </w:p>
        </w:tc>
        <w:tc>
          <w:tcPr>
            <w:tcW w:w="3634" w:type="dxa"/>
            <w:shd w:val="clear" w:color="auto" w:fill="auto"/>
          </w:tcPr>
          <w:p w14:paraId="52FE3698" w14:textId="77777777" w:rsidR="00BD4263" w:rsidRPr="00EA5300" w:rsidRDefault="00C80C5A" w:rsidP="00C80C5A">
            <w:pPr>
              <w:ind w:firstLine="709"/>
              <w:jc w:val="both"/>
              <w:rPr>
                <w:szCs w:val="24"/>
              </w:rPr>
            </w:pPr>
            <w:r w:rsidRPr="00BF24DE">
              <w:t xml:space="preserve">Психологічна служба. Посада психолога в організації. Виникнення професійного відбору. Принципи та методи відбору персоналу. Кадрова </w:t>
            </w:r>
            <w:r w:rsidRPr="00BF24DE">
              <w:lastRenderedPageBreak/>
              <w:t>політика та дискри</w:t>
            </w:r>
            <w:r>
              <w:t xml:space="preserve">мінація. Фактори дискримінації. </w:t>
            </w:r>
            <w:r w:rsidRPr="00BF24DE">
              <w:t>Методи та інструменти психології праці. Експериментальні та не експериментальні методи психології праці. Природній та лабораторний експеримент. Зовнішнє та внутрішнє спостереження. Хронометраж. Аналіз продуктів трудової</w:t>
            </w:r>
            <w:r>
              <w:t xml:space="preserve"> </w:t>
            </w:r>
            <w:r w:rsidRPr="00BF24DE">
              <w:t>діяльності. Метод опитування, анкетування, тестування. Метод експертних оцінок. Метод аналізу анамнезу. Вимоги до результатів організаційних досліджень.</w:t>
            </w:r>
            <w:r>
              <w:t xml:space="preserve"> </w:t>
            </w:r>
            <w:r w:rsidRPr="00BF24DE">
              <w:t>Поняття професійної адаптації. Елементи професійної самоідентифікації. Адаптивна та не адаптивна професійна поведінка.</w:t>
            </w:r>
          </w:p>
        </w:tc>
        <w:tc>
          <w:tcPr>
            <w:tcW w:w="1972" w:type="dxa"/>
            <w:shd w:val="clear" w:color="auto" w:fill="auto"/>
          </w:tcPr>
          <w:p w14:paraId="7D8156CE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65EC2B1F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303F4211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5D65F0B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C08ECCF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4D71836F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16CC290C" w14:textId="77777777" w:rsidR="00BD4263" w:rsidRPr="00FD15AF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Індивідуальні завдання.</w:t>
            </w:r>
          </w:p>
        </w:tc>
      </w:tr>
      <w:tr w:rsidR="00BD4263" w:rsidRPr="00093A81" w14:paraId="5C01E190" w14:textId="77777777" w:rsidTr="002769EF">
        <w:trPr>
          <w:jc w:val="center"/>
        </w:trPr>
        <w:tc>
          <w:tcPr>
            <w:tcW w:w="407" w:type="dxa"/>
            <w:shd w:val="clear" w:color="auto" w:fill="auto"/>
          </w:tcPr>
          <w:p w14:paraId="4CDC62EC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3DCBE6A1" w14:textId="77777777" w:rsidR="00BD4263" w:rsidRPr="00C80C5A" w:rsidRDefault="00C80C5A" w:rsidP="009E15B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0C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Трудова мотивація.</w:t>
            </w:r>
          </w:p>
        </w:tc>
        <w:tc>
          <w:tcPr>
            <w:tcW w:w="851" w:type="dxa"/>
            <w:shd w:val="clear" w:color="auto" w:fill="auto"/>
          </w:tcPr>
          <w:p w14:paraId="525B81BC" w14:textId="77777777" w:rsidR="00BD4263" w:rsidRPr="001408B3" w:rsidRDefault="00BD4263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3634" w:type="dxa"/>
            <w:shd w:val="clear" w:color="auto" w:fill="auto"/>
          </w:tcPr>
          <w:p w14:paraId="1B8CDB92" w14:textId="77777777" w:rsidR="00C80C5A" w:rsidRPr="00C80C5A" w:rsidRDefault="00C80C5A" w:rsidP="00C80C5A">
            <w:pPr>
              <w:jc w:val="both"/>
            </w:pPr>
            <w:r w:rsidRPr="00C80C5A">
              <w:t>Поняття мотивації. Позитивна та негативна мотивація. Змістовні та процесуальні теорії мотивації.</w:t>
            </w:r>
          </w:p>
          <w:p w14:paraId="05D03474" w14:textId="77777777" w:rsidR="00C80C5A" w:rsidRPr="00C80C5A" w:rsidRDefault="00C80C5A" w:rsidP="00C80C5A">
            <w:pPr>
              <w:jc w:val="both"/>
            </w:pPr>
            <w:r w:rsidRPr="00C80C5A">
              <w:t xml:space="preserve">Теорія потреб </w:t>
            </w:r>
            <w:proofErr w:type="spellStart"/>
            <w:r w:rsidRPr="00C80C5A">
              <w:t>А.Маслоу</w:t>
            </w:r>
            <w:proofErr w:type="spellEnd"/>
            <w:r w:rsidRPr="00C80C5A">
              <w:t xml:space="preserve">. Теорія мотивації </w:t>
            </w:r>
            <w:proofErr w:type="spellStart"/>
            <w:r w:rsidRPr="00C80C5A">
              <w:t>Д.Мак-Клелланда</w:t>
            </w:r>
            <w:proofErr w:type="spellEnd"/>
            <w:r w:rsidRPr="00C80C5A">
              <w:t xml:space="preserve">. Теорія  ERG </w:t>
            </w:r>
            <w:proofErr w:type="spellStart"/>
            <w:r w:rsidRPr="00C80C5A">
              <w:t>К.Альдерфера</w:t>
            </w:r>
            <w:proofErr w:type="spellEnd"/>
            <w:r w:rsidRPr="00C80C5A">
              <w:t>. Подібність та відмінність процесуальних теорій мотивації.</w:t>
            </w:r>
          </w:p>
          <w:p w14:paraId="1F78F366" w14:textId="77777777" w:rsidR="00C80C5A" w:rsidRPr="00C80C5A" w:rsidRDefault="00C80C5A" w:rsidP="00C80C5A">
            <w:pPr>
              <w:jc w:val="both"/>
              <w:rPr>
                <w:lang w:val="ru-RU"/>
              </w:rPr>
            </w:pPr>
            <w:proofErr w:type="spellStart"/>
            <w:r w:rsidRPr="00C80C5A">
              <w:t>Двофакторна</w:t>
            </w:r>
            <w:proofErr w:type="spellEnd"/>
            <w:r w:rsidRPr="00C80C5A">
              <w:t xml:space="preserve"> теорія </w:t>
            </w:r>
            <w:proofErr w:type="spellStart"/>
            <w:r w:rsidRPr="00C80C5A">
              <w:t>Ф.Герцберга</w:t>
            </w:r>
            <w:proofErr w:type="spellEnd"/>
            <w:r w:rsidRPr="00C80C5A">
              <w:t xml:space="preserve">. Особливості </w:t>
            </w:r>
            <w:proofErr w:type="spellStart"/>
            <w:r w:rsidRPr="00C80C5A">
              <w:t>мотиваторів</w:t>
            </w:r>
            <w:proofErr w:type="spellEnd"/>
            <w:r w:rsidRPr="00C80C5A">
              <w:t xml:space="preserve"> та стабілізаторів. Теорія очікувань </w:t>
            </w:r>
            <w:proofErr w:type="spellStart"/>
            <w:r w:rsidRPr="00C80C5A">
              <w:t>В.Врума</w:t>
            </w:r>
            <w:proofErr w:type="spellEnd"/>
            <w:r w:rsidRPr="00C80C5A">
              <w:t xml:space="preserve">. Теорія справедливості </w:t>
            </w:r>
            <w:proofErr w:type="spellStart"/>
            <w:r w:rsidRPr="00C80C5A">
              <w:t>Д.Адамса</w:t>
            </w:r>
            <w:proofErr w:type="spellEnd"/>
            <w:r w:rsidRPr="00C80C5A">
              <w:t>. Теорія “X” і теорія “</w:t>
            </w:r>
            <w:proofErr w:type="spellStart"/>
            <w:r w:rsidRPr="00C80C5A">
              <w:t>Y”Д.МакГрегора</w:t>
            </w:r>
            <w:proofErr w:type="spellEnd"/>
            <w:r w:rsidRPr="00C80C5A">
              <w:t>. Характерні риси автократичного та демократичного управління. Теорія постан</w:t>
            </w:r>
            <w:r>
              <w:t xml:space="preserve">овки цілей </w:t>
            </w:r>
            <w:proofErr w:type="spellStart"/>
            <w:r>
              <w:t>Е.Лока</w:t>
            </w:r>
            <w:proofErr w:type="spellEnd"/>
            <w:r>
              <w:t xml:space="preserve">. Теорія циклу </w:t>
            </w:r>
            <w:r w:rsidRPr="00C80C5A">
              <w:t>високопродуктивної праці</w:t>
            </w:r>
            <w:r w:rsidRPr="00C80C5A">
              <w:rPr>
                <w:lang w:val="ru-RU"/>
              </w:rPr>
              <w:t>.</w:t>
            </w:r>
          </w:p>
          <w:p w14:paraId="7E1E5ECD" w14:textId="77777777" w:rsidR="00BD4263" w:rsidRPr="00C73152" w:rsidRDefault="00BD4263" w:rsidP="009E15B5">
            <w:pPr>
              <w:jc w:val="both"/>
              <w:rPr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6E27DB00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0A098B03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B2696E2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27716B3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2DAE8627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B5D57B2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6FA03C1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206EF6E1" w14:textId="77777777" w:rsidR="00BD4263" w:rsidRPr="00093A81" w:rsidRDefault="00BD4263" w:rsidP="009E15B5">
            <w:pPr>
              <w:rPr>
                <w:sz w:val="20"/>
              </w:rPr>
            </w:pPr>
          </w:p>
        </w:tc>
      </w:tr>
      <w:tr w:rsidR="00BD4263" w:rsidRPr="00093A81" w14:paraId="3039B23B" w14:textId="77777777" w:rsidTr="002769EF">
        <w:trPr>
          <w:jc w:val="center"/>
        </w:trPr>
        <w:tc>
          <w:tcPr>
            <w:tcW w:w="407" w:type="dxa"/>
            <w:shd w:val="clear" w:color="auto" w:fill="auto"/>
          </w:tcPr>
          <w:p w14:paraId="4F374A9F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17369287" w14:textId="77777777" w:rsidR="002769EF" w:rsidRPr="002769EF" w:rsidRDefault="002769EF" w:rsidP="002769EF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Поняття </w:t>
            </w:r>
            <w:r w:rsidRPr="002769EF">
              <w:rPr>
                <w:b/>
              </w:rPr>
              <w:t>"</w:t>
            </w:r>
            <w:proofErr w:type="spellStart"/>
            <w:r w:rsidRPr="002769EF">
              <w:rPr>
                <w:b/>
              </w:rPr>
              <w:t>професіограма</w:t>
            </w:r>
            <w:proofErr w:type="spellEnd"/>
            <w:r w:rsidRPr="002769EF">
              <w:rPr>
                <w:b/>
              </w:rPr>
              <w:t>", "</w:t>
            </w:r>
            <w:proofErr w:type="spellStart"/>
            <w:r w:rsidRPr="002769EF">
              <w:rPr>
                <w:b/>
              </w:rPr>
              <w:t>психограма</w:t>
            </w:r>
            <w:proofErr w:type="spellEnd"/>
            <w:r w:rsidRPr="002769EF">
              <w:rPr>
                <w:b/>
              </w:rPr>
              <w:t>", “формула професії", "модель спеціаліста".</w:t>
            </w:r>
          </w:p>
          <w:p w14:paraId="239FF393" w14:textId="77777777" w:rsidR="00BD4263" w:rsidRPr="00A40CEF" w:rsidRDefault="00BD4263" w:rsidP="009E15B5">
            <w:pPr>
              <w:jc w:val="both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A502086" w14:textId="77777777" w:rsidR="00BD4263" w:rsidRPr="001408B3" w:rsidRDefault="000A0237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14:paraId="7EFC9183" w14:textId="77777777" w:rsidR="002769EF" w:rsidRPr="00DF1D71" w:rsidRDefault="002769EF" w:rsidP="002769EF">
            <w:pPr>
              <w:jc w:val="both"/>
            </w:pPr>
            <w:r w:rsidRPr="00DF1D71">
              <w:t xml:space="preserve">Означення психологічного </w:t>
            </w:r>
            <w:proofErr w:type="spellStart"/>
            <w:r w:rsidRPr="00DF1D71">
              <w:t>професіографування</w:t>
            </w:r>
            <w:proofErr w:type="spellEnd"/>
            <w:r w:rsidRPr="00DF1D71">
              <w:t>.</w:t>
            </w:r>
            <w:r>
              <w:t xml:space="preserve"> </w:t>
            </w:r>
            <w:r w:rsidRPr="00301E46">
              <w:t>Поняття «</w:t>
            </w:r>
            <w:proofErr w:type="spellStart"/>
            <w:r w:rsidRPr="00301E46">
              <w:t>професіограма</w:t>
            </w:r>
            <w:proofErr w:type="spellEnd"/>
            <w:r w:rsidRPr="00301E46">
              <w:t>», «</w:t>
            </w:r>
            <w:proofErr w:type="spellStart"/>
            <w:r w:rsidRPr="00301E46">
              <w:t>психограма</w:t>
            </w:r>
            <w:proofErr w:type="spellEnd"/>
            <w:r w:rsidRPr="00301E46">
              <w:t xml:space="preserve">», «модуль професії», «модуль </w:t>
            </w:r>
            <w:r w:rsidRPr="00DF1D71">
              <w:t xml:space="preserve">професії». </w:t>
            </w:r>
            <w:proofErr w:type="spellStart"/>
            <w:r w:rsidRPr="00DF1D71">
              <w:t>Професіографія</w:t>
            </w:r>
            <w:proofErr w:type="spellEnd"/>
            <w:r w:rsidRPr="00DF1D71">
              <w:t xml:space="preserve"> як засіб психологічного вивчення професії і професійної діяльності людини. Основні підходи до змісту та структури</w:t>
            </w:r>
            <w:r>
              <w:t xml:space="preserve"> </w:t>
            </w:r>
            <w:proofErr w:type="spellStart"/>
            <w:r w:rsidRPr="00DF1D71">
              <w:lastRenderedPageBreak/>
              <w:t>професіограм</w:t>
            </w:r>
            <w:proofErr w:type="spellEnd"/>
            <w:r w:rsidRPr="00DF1D71">
              <w:t xml:space="preserve"> та методи </w:t>
            </w:r>
            <w:proofErr w:type="spellStart"/>
            <w:r w:rsidRPr="00DF1D71">
              <w:t>професіографування</w:t>
            </w:r>
            <w:proofErr w:type="spellEnd"/>
            <w:r w:rsidRPr="00DF1D71">
              <w:t>.</w:t>
            </w:r>
            <w:r>
              <w:t xml:space="preserve"> Типи </w:t>
            </w:r>
            <w:proofErr w:type="spellStart"/>
            <w:r>
              <w:t>професіограм</w:t>
            </w:r>
            <w:proofErr w:type="spellEnd"/>
            <w:r>
              <w:t xml:space="preserve">.  </w:t>
            </w:r>
            <w:r w:rsidRPr="00BF24DE">
              <w:t xml:space="preserve">Програми і схеми </w:t>
            </w:r>
            <w:proofErr w:type="spellStart"/>
            <w:r w:rsidRPr="00BF24DE">
              <w:t>професіографування</w:t>
            </w:r>
            <w:proofErr w:type="spellEnd"/>
            <w:r w:rsidRPr="00BF24DE">
              <w:t xml:space="preserve">, способи фіксації </w:t>
            </w:r>
            <w:proofErr w:type="spellStart"/>
            <w:r w:rsidRPr="00BF24DE">
              <w:t>професіографічного</w:t>
            </w:r>
            <w:proofErr w:type="spellEnd"/>
            <w:r w:rsidRPr="00BF24DE">
              <w:t xml:space="preserve"> матеріалу. </w:t>
            </w:r>
            <w:proofErr w:type="spellStart"/>
            <w:r w:rsidRPr="00BF24DE">
              <w:t>Професіограма</w:t>
            </w:r>
            <w:proofErr w:type="spellEnd"/>
            <w:r w:rsidRPr="00BF24DE">
              <w:t xml:space="preserve"> професії і її структура.</w:t>
            </w:r>
            <w:r>
              <w:t xml:space="preserve"> </w:t>
            </w:r>
            <w:r w:rsidRPr="00BF24DE">
              <w:t>«Формула професії». Схема аналізу професії і варіанти її використання в груповій роботі та індивідуальному професійному консультуванні.</w:t>
            </w:r>
            <w:r>
              <w:t xml:space="preserve"> Модель спеціаліста. </w:t>
            </w:r>
            <w:r w:rsidRPr="00DF1D71">
              <w:t>Особливості профвідбору.</w:t>
            </w:r>
          </w:p>
          <w:p w14:paraId="3A6750D1" w14:textId="77777777" w:rsidR="00BD4263" w:rsidRPr="002769EF" w:rsidRDefault="00BD4263" w:rsidP="00C80C5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28943014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5805340C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AAAA6D2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FCEA6CC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5E1B827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0F62740E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4F0B064A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74FD307A" w14:textId="77777777" w:rsidR="00BD4263" w:rsidRPr="00093A81" w:rsidRDefault="00BD4263" w:rsidP="009E15B5">
            <w:pPr>
              <w:rPr>
                <w:sz w:val="20"/>
              </w:rPr>
            </w:pPr>
          </w:p>
        </w:tc>
      </w:tr>
      <w:tr w:rsidR="00BD4263" w:rsidRPr="00093A81" w14:paraId="023736E3" w14:textId="77777777" w:rsidTr="002769EF">
        <w:trPr>
          <w:trHeight w:val="1923"/>
          <w:jc w:val="center"/>
        </w:trPr>
        <w:tc>
          <w:tcPr>
            <w:tcW w:w="407" w:type="dxa"/>
            <w:shd w:val="clear" w:color="auto" w:fill="auto"/>
          </w:tcPr>
          <w:p w14:paraId="3077494B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6B437D23" w14:textId="77777777" w:rsidR="006A0E68" w:rsidRPr="006A0E68" w:rsidRDefault="006A0E68" w:rsidP="006A0E68">
            <w:pPr>
              <w:spacing w:before="120" w:after="120"/>
              <w:jc w:val="both"/>
              <w:rPr>
                <w:b/>
              </w:rPr>
            </w:pPr>
            <w:r w:rsidRPr="006A0E68">
              <w:rPr>
                <w:b/>
              </w:rPr>
              <w:t>Психофізіологічні основи профорієнтації і профвідбору.</w:t>
            </w:r>
          </w:p>
          <w:p w14:paraId="17249F14" w14:textId="77777777" w:rsidR="00BD4263" w:rsidRPr="00FE44D3" w:rsidRDefault="00BD4263" w:rsidP="009E15B5">
            <w:pPr>
              <w:jc w:val="both"/>
              <w:rPr>
                <w:b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F78360" w14:textId="77777777" w:rsidR="00BD4263" w:rsidRPr="00912F9B" w:rsidRDefault="006A0E68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BD4263">
              <w:rPr>
                <w:sz w:val="20"/>
              </w:rPr>
              <w:t>/2</w:t>
            </w:r>
          </w:p>
        </w:tc>
        <w:tc>
          <w:tcPr>
            <w:tcW w:w="3634" w:type="dxa"/>
            <w:shd w:val="clear" w:color="auto" w:fill="auto"/>
          </w:tcPr>
          <w:p w14:paraId="1C77F429" w14:textId="77777777" w:rsidR="006A0E68" w:rsidRPr="00301E46" w:rsidRDefault="006A0E68" w:rsidP="006A0E68">
            <w:pPr>
              <w:jc w:val="both"/>
            </w:pPr>
            <w:r w:rsidRPr="00301E46">
              <w:t>Загальні положення про професійну орієнтацію.</w:t>
            </w:r>
            <w:r>
              <w:t xml:space="preserve"> Основне завдання профорієнтації. </w:t>
            </w:r>
            <w:r w:rsidRPr="00301E46">
              <w:t>Складові профорієнтації</w:t>
            </w:r>
            <w:r>
              <w:t xml:space="preserve">: </w:t>
            </w:r>
            <w:r>
              <w:rPr>
                <w:bCs/>
              </w:rPr>
              <w:t>п</w:t>
            </w:r>
            <w:r w:rsidRPr="00301E46">
              <w:rPr>
                <w:bCs/>
              </w:rPr>
              <w:t xml:space="preserve">рофесійна інформація, </w:t>
            </w:r>
            <w:r>
              <w:rPr>
                <w:bCs/>
              </w:rPr>
              <w:t>п</w:t>
            </w:r>
            <w:r w:rsidRPr="00301E46">
              <w:rPr>
                <w:bCs/>
              </w:rPr>
              <w:t xml:space="preserve">рофесійна консультація, </w:t>
            </w:r>
            <w:r>
              <w:rPr>
                <w:bCs/>
              </w:rPr>
              <w:t>п</w:t>
            </w:r>
            <w:r w:rsidRPr="00301E46">
              <w:rPr>
                <w:bCs/>
              </w:rPr>
              <w:t>рофвідбір</w:t>
            </w:r>
            <w:r w:rsidRPr="00301E46">
              <w:t>.</w:t>
            </w:r>
            <w:r>
              <w:t xml:space="preserve"> </w:t>
            </w:r>
            <w:r w:rsidRPr="00301E46">
              <w:rPr>
                <w:bCs/>
                <w:iCs/>
              </w:rPr>
              <w:t>Мета професійного відбору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301E46">
              <w:rPr>
                <w:bCs/>
                <w:iCs/>
              </w:rPr>
              <w:t>Прогностична трудова експертиза</w:t>
            </w:r>
            <w:r w:rsidRPr="00301E46">
              <w:t xml:space="preserve">. </w:t>
            </w:r>
            <w:r w:rsidRPr="00301E46">
              <w:rPr>
                <w:bCs/>
                <w:iCs/>
              </w:rPr>
              <w:t>Ретроспективна</w:t>
            </w:r>
            <w:r w:rsidRPr="00301E46">
              <w:t xml:space="preserve"> </w:t>
            </w:r>
            <w:r w:rsidRPr="00301E46">
              <w:rPr>
                <w:bCs/>
                <w:iCs/>
              </w:rPr>
              <w:t>трудова експертиза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301E46">
              <w:rPr>
                <w:bCs/>
              </w:rPr>
              <w:t xml:space="preserve">Професійна переорієнтація. </w:t>
            </w:r>
            <w:r w:rsidRPr="00301E46">
              <w:t>Загальні положення про профвідбір.</w:t>
            </w:r>
            <w:r>
              <w:t xml:space="preserve"> </w:t>
            </w:r>
            <w:r w:rsidRPr="00301E46">
              <w:rPr>
                <w:bCs/>
              </w:rPr>
              <w:t>Основ</w:t>
            </w:r>
            <w:r>
              <w:rPr>
                <w:bCs/>
              </w:rPr>
              <w:t>и</w:t>
            </w:r>
            <w:r w:rsidRPr="00301E46">
              <w:rPr>
                <w:bCs/>
              </w:rPr>
              <w:t xml:space="preserve"> для професійного відбору</w:t>
            </w:r>
            <w:r>
              <w:rPr>
                <w:bCs/>
              </w:rPr>
              <w:t>.</w:t>
            </w:r>
            <w:r w:rsidRPr="00301E46">
              <w:rPr>
                <w:bCs/>
              </w:rPr>
              <w:t xml:space="preserve"> Етапи профвідбору. </w:t>
            </w:r>
            <w:r w:rsidRPr="00301E46">
              <w:t xml:space="preserve">Профвідбір та професійна придатність. </w:t>
            </w:r>
            <w:r w:rsidRPr="00301E46">
              <w:rPr>
                <w:bCs/>
                <w:iCs/>
              </w:rPr>
              <w:t>Завдання професійного відбору</w:t>
            </w:r>
            <w:r>
              <w:rPr>
                <w:bCs/>
                <w:iCs/>
              </w:rPr>
              <w:t>.</w:t>
            </w:r>
            <w:r w:rsidRPr="00301E46">
              <w:rPr>
                <w:bCs/>
                <w:iCs/>
              </w:rPr>
              <w:t xml:space="preserve"> Абсолютна професійна придатність</w:t>
            </w:r>
            <w:r>
              <w:rPr>
                <w:bCs/>
                <w:iCs/>
              </w:rPr>
              <w:t>.</w:t>
            </w:r>
            <w:r w:rsidRPr="00301E46">
              <w:rPr>
                <w:bCs/>
                <w:iCs/>
              </w:rPr>
              <w:t xml:space="preserve"> Відносна професійна придатність</w:t>
            </w:r>
            <w:r>
              <w:rPr>
                <w:bCs/>
                <w:iCs/>
              </w:rPr>
              <w:t>.</w:t>
            </w:r>
            <w:r w:rsidRPr="00301E4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О</w:t>
            </w:r>
            <w:r w:rsidRPr="00301E46">
              <w:rPr>
                <w:bCs/>
                <w:iCs/>
              </w:rPr>
              <w:t>знак</w:t>
            </w:r>
            <w:r>
              <w:rPr>
                <w:bCs/>
                <w:iCs/>
              </w:rPr>
              <w:t>и</w:t>
            </w:r>
            <w:r w:rsidRPr="00301E46">
              <w:rPr>
                <w:bCs/>
                <w:iCs/>
              </w:rPr>
              <w:t xml:space="preserve"> професійної придатності</w:t>
            </w:r>
            <w:r>
              <w:rPr>
                <w:bCs/>
                <w:iCs/>
              </w:rPr>
              <w:t>,</w:t>
            </w:r>
            <w:r w:rsidRPr="00301E46">
              <w:rPr>
                <w:bCs/>
                <w:iCs/>
              </w:rPr>
              <w:t xml:space="preserve"> непридатності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301E46">
              <w:rPr>
                <w:bCs/>
                <w:iCs/>
              </w:rPr>
              <w:t>Професійна спрямованість</w:t>
            </w:r>
            <w:r>
              <w:rPr>
                <w:bCs/>
                <w:iCs/>
              </w:rPr>
              <w:t>.</w:t>
            </w:r>
            <w:r w:rsidRPr="00301E46">
              <w:rPr>
                <w:bCs/>
                <w:iCs/>
              </w:rPr>
              <w:t xml:space="preserve"> Професійний інтерес</w:t>
            </w:r>
            <w:r>
              <w:rPr>
                <w:bCs/>
                <w:iCs/>
              </w:rPr>
              <w:t>.</w:t>
            </w:r>
            <w:r w:rsidRPr="00301E46">
              <w:rPr>
                <w:bCs/>
                <w:iCs/>
              </w:rPr>
              <w:t xml:space="preserve"> Професійне покликання</w:t>
            </w:r>
            <w:r>
              <w:rPr>
                <w:bCs/>
                <w:iCs/>
              </w:rPr>
              <w:t>.</w:t>
            </w:r>
            <w:r>
              <w:t xml:space="preserve"> </w:t>
            </w:r>
            <w:r w:rsidRPr="00301E46">
              <w:t xml:space="preserve">Професійна адаптація. </w:t>
            </w:r>
            <w:r>
              <w:rPr>
                <w:bCs/>
              </w:rPr>
              <w:t>С</w:t>
            </w:r>
            <w:r w:rsidRPr="00301E46">
              <w:rPr>
                <w:bCs/>
              </w:rPr>
              <w:t>оціально-психологічн</w:t>
            </w:r>
            <w:r>
              <w:rPr>
                <w:bCs/>
              </w:rPr>
              <w:t xml:space="preserve">а </w:t>
            </w:r>
            <w:r w:rsidRPr="00301E46">
              <w:rPr>
                <w:bCs/>
              </w:rPr>
              <w:t>адаптаці</w:t>
            </w:r>
            <w:r>
              <w:rPr>
                <w:bCs/>
              </w:rPr>
              <w:t>я.</w:t>
            </w:r>
            <w:r>
              <w:t xml:space="preserve"> </w:t>
            </w:r>
            <w:r>
              <w:rPr>
                <w:bCs/>
              </w:rPr>
              <w:t>І</w:t>
            </w:r>
            <w:r w:rsidRPr="00301E46">
              <w:rPr>
                <w:bCs/>
              </w:rPr>
              <w:t>ндивідуальний стиль діяльності</w:t>
            </w:r>
            <w:r>
              <w:rPr>
                <w:bCs/>
              </w:rPr>
              <w:t>.</w:t>
            </w:r>
          </w:p>
          <w:p w14:paraId="40DE8D28" w14:textId="77777777" w:rsidR="00BD4263" w:rsidRPr="00C543D4" w:rsidRDefault="00BD4263" w:rsidP="006E667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34D9FD37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D3FDF9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4C30EE0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A1E83EA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FB767FF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4A1D801F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8C900F9" w14:textId="77777777" w:rsidR="00BD4263" w:rsidRPr="00C543D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BD4263" w:rsidRPr="00093A81" w14:paraId="282636BC" w14:textId="77777777" w:rsidTr="002769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14:paraId="1B41618F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36485C2E" w14:textId="77777777" w:rsidR="00BD4263" w:rsidRPr="00375614" w:rsidRDefault="00375614" w:rsidP="009E15B5">
            <w:pPr>
              <w:jc w:val="both"/>
              <w:rPr>
                <w:b/>
                <w:szCs w:val="24"/>
              </w:rPr>
            </w:pPr>
            <w:r w:rsidRPr="00375614">
              <w:rPr>
                <w:b/>
              </w:rPr>
              <w:t>Задоволеність роботою. Трудова мобільність. Професіоналізація.</w:t>
            </w:r>
          </w:p>
        </w:tc>
        <w:tc>
          <w:tcPr>
            <w:tcW w:w="851" w:type="dxa"/>
            <w:shd w:val="clear" w:color="auto" w:fill="auto"/>
          </w:tcPr>
          <w:p w14:paraId="11052828" w14:textId="77777777" w:rsidR="00BD4263" w:rsidRPr="00912F9B" w:rsidRDefault="006A0E68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A0237">
              <w:rPr>
                <w:sz w:val="20"/>
              </w:rPr>
              <w:t>/-</w:t>
            </w:r>
          </w:p>
        </w:tc>
        <w:tc>
          <w:tcPr>
            <w:tcW w:w="3634" w:type="dxa"/>
            <w:shd w:val="clear" w:color="auto" w:fill="auto"/>
          </w:tcPr>
          <w:p w14:paraId="0DE23909" w14:textId="77777777" w:rsidR="00375614" w:rsidRPr="00BF24DE" w:rsidRDefault="00375614" w:rsidP="00375614">
            <w:pPr>
              <w:jc w:val="both"/>
            </w:pPr>
            <w:r w:rsidRPr="00BF24DE">
              <w:t xml:space="preserve">Поняття задоволеності роботою. Особистісні якості, що впливають на задоволеність роботою. Критерії задоволеності роботою. Поведінка працівника у </w:t>
            </w:r>
            <w:r w:rsidRPr="00BF24DE">
              <w:lastRenderedPageBreak/>
              <w:t>зв'язку з задоволеністю працею. Мотивація, задоволе</w:t>
            </w:r>
            <w:r>
              <w:t xml:space="preserve">ність працею і заробітна плата. </w:t>
            </w:r>
            <w:r w:rsidRPr="00BF24DE">
              <w:t>Фактори, що впливають на залученість до роботи. Поняття трудової мобільності. Види мобільності.</w:t>
            </w:r>
            <w:r>
              <w:t xml:space="preserve"> </w:t>
            </w:r>
            <w:r w:rsidRPr="00BF24DE">
              <w:t>Поняття стресу. Причини виробничих стресів. Форми прояву виробничих стресів. Профілактика виробничих стресів. Індивідуальні підходи до запобігання стресів.</w:t>
            </w:r>
            <w:r>
              <w:t xml:space="preserve"> </w:t>
            </w:r>
            <w:r w:rsidRPr="00BF24DE">
              <w:t>Поняття професіоналізації. Стадії професіоналізації.</w:t>
            </w:r>
          </w:p>
          <w:p w14:paraId="3AB2D215" w14:textId="77777777" w:rsidR="00BD4263" w:rsidRPr="00E9014E" w:rsidRDefault="00BD4263" w:rsidP="009E15B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793231DD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15AFDB02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1671889D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1C929AF2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F4EFA53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53E615C5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3CDE1BAE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Індивідуальні завдання.</w:t>
            </w:r>
          </w:p>
          <w:p w14:paraId="2FD8B861" w14:textId="77777777" w:rsidR="00BD4263" w:rsidRPr="00093A81" w:rsidRDefault="00BD4263" w:rsidP="009E15B5">
            <w:pPr>
              <w:rPr>
                <w:sz w:val="20"/>
              </w:rPr>
            </w:pPr>
          </w:p>
        </w:tc>
      </w:tr>
      <w:tr w:rsidR="00BD4263" w:rsidRPr="00093A81" w14:paraId="5E64D08D" w14:textId="77777777" w:rsidTr="002769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14:paraId="5D0E8770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116EB5EC" w14:textId="77777777" w:rsidR="00BD4263" w:rsidRPr="004271AC" w:rsidRDefault="006A0E68" w:rsidP="009E15B5">
            <w:pPr>
              <w:jc w:val="both"/>
              <w:rPr>
                <w:b/>
                <w:szCs w:val="24"/>
              </w:rPr>
            </w:pPr>
            <w:r w:rsidRPr="004271AC">
              <w:rPr>
                <w:b/>
              </w:rPr>
              <w:t>Професійна переорієнтація населення</w:t>
            </w:r>
            <w:r w:rsidR="004271AC" w:rsidRPr="004271AC"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F45D73B" w14:textId="77777777" w:rsidR="00BD4263" w:rsidRPr="00912F9B" w:rsidRDefault="00BD4263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14:paraId="155ECAA1" w14:textId="77777777" w:rsidR="00BD4263" w:rsidRPr="007465C3" w:rsidRDefault="004271AC" w:rsidP="009E15B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>
              <w:t>Стан та психологічні особливості дослідження професійної переорієнтації особистості. Сутність, мета і завдання професійної переорієнтації людини. Основні етапи професійної переорієнтації особистості. Фактори, які впливають на процес професійної переорієнтації особистості.</w:t>
            </w:r>
          </w:p>
        </w:tc>
        <w:tc>
          <w:tcPr>
            <w:tcW w:w="1972" w:type="dxa"/>
            <w:shd w:val="clear" w:color="auto" w:fill="auto"/>
          </w:tcPr>
          <w:p w14:paraId="70902DF2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63F843D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DC10495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0D99B99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73323C3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FEFA7E3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48088435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09C4CFCE" w14:textId="77777777" w:rsidR="00BD4263" w:rsidRPr="00093A81" w:rsidRDefault="00BD4263" w:rsidP="009E15B5">
            <w:pPr>
              <w:rPr>
                <w:sz w:val="20"/>
              </w:rPr>
            </w:pPr>
          </w:p>
        </w:tc>
      </w:tr>
      <w:tr w:rsidR="00BD4263" w:rsidRPr="00093A81" w14:paraId="0C86DE16" w14:textId="77777777" w:rsidTr="002769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14:paraId="5CA18C56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3C919449" w14:textId="77777777" w:rsidR="00BD4263" w:rsidRPr="004271AC" w:rsidRDefault="004271AC" w:rsidP="009E15B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Cs w:val="24"/>
              </w:rPr>
            </w:pPr>
            <w:r w:rsidRPr="004271AC">
              <w:rPr>
                <w:b/>
              </w:rPr>
              <w:t>Профорієнтаційна робота з безробітними.</w:t>
            </w:r>
          </w:p>
        </w:tc>
        <w:tc>
          <w:tcPr>
            <w:tcW w:w="851" w:type="dxa"/>
            <w:shd w:val="clear" w:color="auto" w:fill="auto"/>
          </w:tcPr>
          <w:p w14:paraId="37F29494" w14:textId="77777777" w:rsidR="00BD4263" w:rsidRDefault="00BD4263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14:paraId="703AC65B" w14:textId="77777777" w:rsidR="00BD4263" w:rsidRPr="007465C3" w:rsidRDefault="004271AC" w:rsidP="009E15B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>
              <w:t xml:space="preserve">Основні соціальні наслідки безробіття. Етапи стресових станів, пов’язаних з безробіттям. Типи психологічних особистісних деформацій. Конфлікт нахилів і професій залежно від статі , віку, освіти. Особливості проведення профорієнтаційної роботи з безробітними. Мета профорієнтаційної роботи. Рівні </w:t>
            </w:r>
            <w:proofErr w:type="spellStart"/>
            <w:r>
              <w:t>профдіагностичного</w:t>
            </w:r>
            <w:proofErr w:type="spellEnd"/>
            <w:r>
              <w:t xml:space="preserve"> обстеження безробітного. Основні етапи діагностичної консультації осіб, що втратили роботу.</w:t>
            </w:r>
          </w:p>
        </w:tc>
        <w:tc>
          <w:tcPr>
            <w:tcW w:w="1972" w:type="dxa"/>
            <w:shd w:val="clear" w:color="auto" w:fill="auto"/>
          </w:tcPr>
          <w:p w14:paraId="19D89409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4B3E43B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4475F70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1250169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63B3FC0C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0AD94F93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4DCE6D81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034BC310" w14:textId="77777777" w:rsidR="00BD4263" w:rsidRPr="00093A81" w:rsidRDefault="00BD4263" w:rsidP="009E15B5">
            <w:pPr>
              <w:rPr>
                <w:sz w:val="20"/>
              </w:rPr>
            </w:pPr>
          </w:p>
        </w:tc>
      </w:tr>
      <w:tr w:rsidR="00BD4263" w:rsidRPr="00093A81" w14:paraId="66B499D4" w14:textId="77777777" w:rsidTr="002769EF">
        <w:trPr>
          <w:trHeight w:val="888"/>
          <w:jc w:val="center"/>
        </w:trPr>
        <w:tc>
          <w:tcPr>
            <w:tcW w:w="407" w:type="dxa"/>
            <w:shd w:val="clear" w:color="auto" w:fill="auto"/>
          </w:tcPr>
          <w:p w14:paraId="2D0297FC" w14:textId="77777777" w:rsidR="00BD4263" w:rsidRPr="00093A81" w:rsidRDefault="00BD4263" w:rsidP="009E15B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132" w:type="dxa"/>
            <w:shd w:val="clear" w:color="auto" w:fill="auto"/>
          </w:tcPr>
          <w:p w14:paraId="578D6C89" w14:textId="77777777" w:rsidR="00BD4263" w:rsidRPr="001073FA" w:rsidRDefault="004271AC" w:rsidP="009E15B5">
            <w:pPr>
              <w:autoSpaceDE w:val="0"/>
              <w:autoSpaceDN w:val="0"/>
              <w:adjustRightInd w:val="0"/>
              <w:rPr>
                <w:rFonts w:eastAsia="TimesNewRoman"/>
                <w:b/>
                <w:szCs w:val="24"/>
              </w:rPr>
            </w:pPr>
            <w:r w:rsidRPr="001073FA">
              <w:rPr>
                <w:b/>
              </w:rPr>
              <w:t>Управління системою професійної орієнтації молоді.</w:t>
            </w:r>
          </w:p>
        </w:tc>
        <w:tc>
          <w:tcPr>
            <w:tcW w:w="851" w:type="dxa"/>
            <w:shd w:val="clear" w:color="auto" w:fill="auto"/>
          </w:tcPr>
          <w:p w14:paraId="6789B818" w14:textId="77777777" w:rsidR="00BD4263" w:rsidRDefault="00BD4263" w:rsidP="009E15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3634" w:type="dxa"/>
            <w:shd w:val="clear" w:color="auto" w:fill="auto"/>
          </w:tcPr>
          <w:p w14:paraId="29685DAB" w14:textId="77777777" w:rsidR="00BD4263" w:rsidRPr="007465C3" w:rsidRDefault="004271AC" w:rsidP="009E15B5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Cs w:val="24"/>
              </w:rPr>
            </w:pPr>
            <w:r>
              <w:t xml:space="preserve">Організація управління системою професійної орієнтації населення. Основні принципи управління системою професійної орієнтації.  Функції, за допомогою яких здійснюється процес управління системою </w:t>
            </w:r>
            <w:r>
              <w:lastRenderedPageBreak/>
              <w:t>професійної орієнтації.  Прогресивні методи управління системою профорієнтації.</w:t>
            </w:r>
          </w:p>
        </w:tc>
        <w:tc>
          <w:tcPr>
            <w:tcW w:w="1972" w:type="dxa"/>
            <w:shd w:val="clear" w:color="auto" w:fill="auto"/>
          </w:tcPr>
          <w:p w14:paraId="23DE20A5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 xml:space="preserve">Презентації в </w:t>
            </w:r>
          </w:p>
          <w:p w14:paraId="1B972446" w14:textId="77777777" w:rsidR="00BD4263" w:rsidRPr="00A604E4" w:rsidRDefault="00BD4263" w:rsidP="009E15B5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10574C1A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00F3D8B" w14:textId="77777777" w:rsidR="00BD4263" w:rsidRPr="00A604E4" w:rsidRDefault="00BD4263" w:rsidP="009E15B5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63B8A488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3D8CE799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619DB92A" w14:textId="77777777" w:rsidR="00BD4263" w:rsidRPr="00A604E4" w:rsidRDefault="00BD4263" w:rsidP="009E15B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7AD55F43" w14:textId="77777777" w:rsidR="00BD4263" w:rsidRPr="00093A81" w:rsidRDefault="00BD4263" w:rsidP="009E15B5">
            <w:pPr>
              <w:rPr>
                <w:sz w:val="20"/>
              </w:rPr>
            </w:pPr>
          </w:p>
        </w:tc>
      </w:tr>
    </w:tbl>
    <w:p w14:paraId="397E4A09" w14:textId="77777777" w:rsidR="001073FA" w:rsidRDefault="001073FA" w:rsidP="00BD4263">
      <w:pPr>
        <w:spacing w:line="276" w:lineRule="auto"/>
        <w:jc w:val="center"/>
        <w:rPr>
          <w:b/>
          <w:szCs w:val="24"/>
        </w:rPr>
      </w:pPr>
    </w:p>
    <w:p w14:paraId="3CEB03F3" w14:textId="77777777" w:rsidR="00BD4263" w:rsidRPr="00A604E4" w:rsidRDefault="00BD4263" w:rsidP="00BD4263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1F036276" w14:textId="77777777" w:rsidR="00BD4263" w:rsidRDefault="00BD4263" w:rsidP="00BD4263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5FE512E5" w14:textId="77777777" w:rsidR="000A0237" w:rsidRDefault="000A0237" w:rsidP="000A0237">
      <w:pPr>
        <w:jc w:val="both"/>
      </w:pPr>
      <w:r w:rsidRPr="000A0237">
        <w:rPr>
          <w:szCs w:val="24"/>
        </w:rPr>
        <w:t xml:space="preserve">1. </w:t>
      </w:r>
      <w:proofErr w:type="spellStart"/>
      <w:r w:rsidRPr="00BF24DE">
        <w:t>Баклицький</w:t>
      </w:r>
      <w:proofErr w:type="spellEnd"/>
      <w:r w:rsidRPr="00BF24DE">
        <w:t xml:space="preserve"> І. О. Психологія праці</w:t>
      </w:r>
      <w:r w:rsidR="001C3A32">
        <w:t xml:space="preserve"> : </w:t>
      </w:r>
      <w:proofErr w:type="spellStart"/>
      <w:r w:rsidR="001C3A32">
        <w:t>підруч</w:t>
      </w:r>
      <w:proofErr w:type="spellEnd"/>
      <w:r w:rsidR="001C3A32">
        <w:t xml:space="preserve">. / І. О. </w:t>
      </w:r>
      <w:proofErr w:type="spellStart"/>
      <w:r w:rsidR="001C3A32">
        <w:t>Баклицький</w:t>
      </w:r>
      <w:proofErr w:type="spellEnd"/>
      <w:r w:rsidR="001C3A32">
        <w:t>. -</w:t>
      </w:r>
      <w:r w:rsidRPr="00BF24DE">
        <w:t xml:space="preserve"> 2-ге вид., </w:t>
      </w:r>
      <w:proofErr w:type="spellStart"/>
      <w:r w:rsidRPr="00BF24DE">
        <w:t>переробл</w:t>
      </w:r>
      <w:proofErr w:type="spellEnd"/>
      <w:r w:rsidRPr="00BF24DE">
        <w:t xml:space="preserve">. і </w:t>
      </w:r>
      <w:proofErr w:type="spellStart"/>
      <w:r w:rsidRPr="00BF24DE">
        <w:t>допов</w:t>
      </w:r>
      <w:proofErr w:type="spellEnd"/>
      <w:r w:rsidRPr="00BF24DE">
        <w:t>. – К. : Знання, 2008. – 655 с.</w:t>
      </w:r>
    </w:p>
    <w:p w14:paraId="7212C6B6" w14:textId="77777777" w:rsidR="000A0237" w:rsidRDefault="000A0237" w:rsidP="000A0237">
      <w:pPr>
        <w:jc w:val="both"/>
      </w:pPr>
      <w:r>
        <w:t xml:space="preserve">2. </w:t>
      </w:r>
      <w:r w:rsidRPr="00BF24DE">
        <w:t xml:space="preserve">Методи психодіагностики в системі профвідбору : метод. </w:t>
      </w:r>
      <w:proofErr w:type="spellStart"/>
      <w:r w:rsidRPr="00BF24DE">
        <w:t>посіб</w:t>
      </w:r>
      <w:proofErr w:type="spellEnd"/>
      <w:r w:rsidRPr="00BF24DE">
        <w:t>. / [</w:t>
      </w:r>
      <w:proofErr w:type="spellStart"/>
      <w:r w:rsidRPr="00BF24DE">
        <w:t>авт</w:t>
      </w:r>
      <w:proofErr w:type="spellEnd"/>
      <w:r w:rsidRPr="00BF24DE">
        <w:t>.-ук</w:t>
      </w:r>
      <w:r w:rsidR="001C3A32">
        <w:t xml:space="preserve">лад. В. В. </w:t>
      </w:r>
      <w:proofErr w:type="spellStart"/>
      <w:r w:rsidR="001C3A32">
        <w:t>Синявський</w:t>
      </w:r>
      <w:proofErr w:type="spellEnd"/>
      <w:r w:rsidR="001C3A32">
        <w:t xml:space="preserve"> та ін.]. -</w:t>
      </w:r>
      <w:r w:rsidRPr="00BF24DE">
        <w:t xml:space="preserve"> К. : ДЦЗ, 2006. – 241 с.</w:t>
      </w:r>
    </w:p>
    <w:p w14:paraId="555E270E" w14:textId="77777777" w:rsidR="000A0237" w:rsidRDefault="000A0237" w:rsidP="000A0237">
      <w:pPr>
        <w:jc w:val="both"/>
      </w:pPr>
      <w:r>
        <w:t xml:space="preserve">3. </w:t>
      </w:r>
      <w:r w:rsidRPr="00BF24DE">
        <w:t xml:space="preserve">Рибалка В. В. Психологія праці особистості : </w:t>
      </w:r>
      <w:proofErr w:type="spellStart"/>
      <w:r w:rsidRPr="00BF24DE">
        <w:t>навч</w:t>
      </w:r>
      <w:proofErr w:type="spellEnd"/>
      <w:r w:rsidRPr="00BF24DE">
        <w:t>.-м</w:t>
      </w:r>
      <w:r w:rsidR="001C3A32">
        <w:t xml:space="preserve">етод. </w:t>
      </w:r>
      <w:proofErr w:type="spellStart"/>
      <w:r w:rsidR="001C3A32">
        <w:t>посіб</w:t>
      </w:r>
      <w:proofErr w:type="spellEnd"/>
      <w:r w:rsidR="001C3A32">
        <w:t>. / В. В. Рибалка . -</w:t>
      </w:r>
      <w:r w:rsidRPr="00BF24DE">
        <w:t xml:space="preserve"> К. : Київ. </w:t>
      </w:r>
      <w:proofErr w:type="spellStart"/>
      <w:r w:rsidRPr="00BF24DE">
        <w:t>міськ</w:t>
      </w:r>
      <w:proofErr w:type="spellEnd"/>
      <w:r w:rsidRPr="00BF24DE">
        <w:t>. пед. ун-т ім. Б. Д. Грінченка, 2006. – 59 с. 143</w:t>
      </w:r>
      <w:r>
        <w:t>.</w:t>
      </w:r>
    </w:p>
    <w:p w14:paraId="180D3681" w14:textId="77777777" w:rsidR="000A0237" w:rsidRPr="00BF24DE" w:rsidRDefault="000A0237" w:rsidP="000A0237">
      <w:pPr>
        <w:jc w:val="both"/>
      </w:pPr>
      <w:r>
        <w:t xml:space="preserve">4. </w:t>
      </w:r>
      <w:r w:rsidRPr="00BF24DE">
        <w:t xml:space="preserve">Шейко В. М. Організація та методика науково-дослідницької діяльності : </w:t>
      </w:r>
      <w:proofErr w:type="spellStart"/>
      <w:r w:rsidRPr="00BF24DE">
        <w:t>підруч</w:t>
      </w:r>
      <w:proofErr w:type="spellEnd"/>
      <w:r w:rsidRPr="00BF24DE">
        <w:t xml:space="preserve">. / </w:t>
      </w:r>
      <w:r w:rsidR="001C3A32">
        <w:t xml:space="preserve">В. М. Шейко, Н. М. </w:t>
      </w:r>
      <w:proofErr w:type="spellStart"/>
      <w:r w:rsidR="001C3A32">
        <w:t>Кушнаренко</w:t>
      </w:r>
      <w:proofErr w:type="spellEnd"/>
      <w:r w:rsidR="001C3A32">
        <w:t xml:space="preserve">. - 6-те вид., </w:t>
      </w:r>
      <w:proofErr w:type="spellStart"/>
      <w:r w:rsidR="001C3A32">
        <w:t>переробл</w:t>
      </w:r>
      <w:proofErr w:type="spellEnd"/>
      <w:r w:rsidR="001C3A32">
        <w:t xml:space="preserve">. і </w:t>
      </w:r>
      <w:proofErr w:type="spellStart"/>
      <w:r w:rsidR="001C3A32">
        <w:t>допов</w:t>
      </w:r>
      <w:proofErr w:type="spellEnd"/>
      <w:r w:rsidR="001C3A32">
        <w:t>. -</w:t>
      </w:r>
      <w:r w:rsidRPr="00BF24DE">
        <w:t xml:space="preserve"> К. : Знання, 2008. – 310 с.</w:t>
      </w:r>
    </w:p>
    <w:p w14:paraId="4DF0B45A" w14:textId="77777777" w:rsidR="000A0237" w:rsidRDefault="000A0237" w:rsidP="000A0237">
      <w:pPr>
        <w:jc w:val="both"/>
      </w:pPr>
      <w:r>
        <w:t xml:space="preserve">5. </w:t>
      </w:r>
      <w:r w:rsidRPr="00BF24DE">
        <w:t xml:space="preserve">Щербакова І. М. Психодіагностика професійного самовизначення особистості : </w:t>
      </w:r>
      <w:proofErr w:type="spellStart"/>
      <w:r w:rsidRPr="00BF24DE">
        <w:t>навч</w:t>
      </w:r>
      <w:proofErr w:type="spellEnd"/>
      <w:r w:rsidRPr="00BF24DE">
        <w:t xml:space="preserve">.-метод. </w:t>
      </w:r>
      <w:proofErr w:type="spellStart"/>
      <w:r w:rsidRPr="00BF24DE">
        <w:t>посіб</w:t>
      </w:r>
      <w:proofErr w:type="spellEnd"/>
      <w:r w:rsidRPr="00BF24DE">
        <w:t>. / І</w:t>
      </w:r>
      <w:r w:rsidR="001C3A32">
        <w:t>. М. Щербакова, Г. А. Стадник. -</w:t>
      </w:r>
      <w:r w:rsidRPr="00BF24DE">
        <w:t xml:space="preserve"> Суми : Вид-во </w:t>
      </w:r>
      <w:proofErr w:type="spellStart"/>
      <w:r w:rsidRPr="00BF24DE">
        <w:t>СумДПУ</w:t>
      </w:r>
      <w:proofErr w:type="spellEnd"/>
      <w:r w:rsidRPr="00BF24DE">
        <w:t xml:space="preserve"> імені А. С. Макаренка, 2012. – 324 с.</w:t>
      </w:r>
    </w:p>
    <w:p w14:paraId="2643B118" w14:textId="77777777" w:rsidR="000A0237" w:rsidRDefault="000A0237" w:rsidP="000A0237">
      <w:pPr>
        <w:jc w:val="both"/>
      </w:pPr>
      <w:r>
        <w:t xml:space="preserve">6. </w:t>
      </w:r>
      <w:proofErr w:type="spellStart"/>
      <w:r w:rsidRPr="00BF24DE">
        <w:t>Винославська</w:t>
      </w:r>
      <w:proofErr w:type="spellEnd"/>
      <w:r w:rsidRPr="00BF24DE">
        <w:t xml:space="preserve"> О. В., Психологія: </w:t>
      </w:r>
      <w:proofErr w:type="spellStart"/>
      <w:r w:rsidRPr="00BF24DE">
        <w:t>Навч</w:t>
      </w:r>
      <w:proofErr w:type="spellEnd"/>
      <w:r w:rsidRPr="00BF24DE">
        <w:t xml:space="preserve">. </w:t>
      </w:r>
      <w:proofErr w:type="spellStart"/>
      <w:r w:rsidRPr="00BF24DE">
        <w:t>пос</w:t>
      </w:r>
      <w:proofErr w:type="spellEnd"/>
      <w:r w:rsidRPr="00BF24DE">
        <w:t xml:space="preserve">. / О. В. </w:t>
      </w:r>
      <w:proofErr w:type="spellStart"/>
      <w:r w:rsidRPr="00BF24DE">
        <w:t>Винославська</w:t>
      </w:r>
      <w:proofErr w:type="spellEnd"/>
      <w:r w:rsidRPr="00BF24DE">
        <w:t xml:space="preserve">, О. А. </w:t>
      </w:r>
      <w:proofErr w:type="spellStart"/>
      <w:r w:rsidRPr="00BF24DE">
        <w:t>Бреусенко</w:t>
      </w:r>
      <w:proofErr w:type="spellEnd"/>
      <w:r w:rsidRPr="00BF24DE">
        <w:t xml:space="preserve">-Кузнєцов, В. Л. </w:t>
      </w:r>
      <w:proofErr w:type="spellStart"/>
      <w:r w:rsidRPr="00BF24DE">
        <w:t>Зливков</w:t>
      </w:r>
      <w:proofErr w:type="spellEnd"/>
      <w:r w:rsidRPr="00BF24DE">
        <w:t>.</w:t>
      </w:r>
      <w:r w:rsidR="001C3A32">
        <w:t xml:space="preserve"> / О.А. </w:t>
      </w:r>
      <w:proofErr w:type="spellStart"/>
      <w:r w:rsidR="001C3A32">
        <w:t>Бреусенко</w:t>
      </w:r>
      <w:proofErr w:type="spellEnd"/>
      <w:r w:rsidR="001C3A32">
        <w:t>-Кузнєцов</w:t>
      </w:r>
      <w:r w:rsidR="001C3A32" w:rsidRPr="00BF24DE">
        <w:t xml:space="preserve">., </w:t>
      </w:r>
      <w:r w:rsidR="001C3A32">
        <w:t xml:space="preserve"> В.Л.. </w:t>
      </w:r>
      <w:proofErr w:type="spellStart"/>
      <w:r w:rsidR="001C3A32" w:rsidRPr="00BF24DE">
        <w:t>Зливков</w:t>
      </w:r>
      <w:proofErr w:type="spellEnd"/>
      <w:r w:rsidR="001C3A32" w:rsidRPr="00BF24DE">
        <w:t xml:space="preserve"> В. Л.</w:t>
      </w:r>
      <w:r w:rsidR="001C3A32">
        <w:t xml:space="preserve"> - </w:t>
      </w:r>
      <w:r w:rsidRPr="00BF24DE">
        <w:t>Київ: Фірма «ІНКОС», 2005. – 352</w:t>
      </w:r>
      <w:r>
        <w:t>с.</w:t>
      </w:r>
    </w:p>
    <w:p w14:paraId="0DEDBBBD" w14:textId="77777777" w:rsidR="000A0237" w:rsidRPr="000A0237" w:rsidRDefault="000A0237" w:rsidP="000A0237">
      <w:pPr>
        <w:jc w:val="both"/>
        <w:rPr>
          <w:color w:val="000000"/>
        </w:rPr>
      </w:pPr>
      <w:r>
        <w:t xml:space="preserve">7. </w:t>
      </w:r>
      <w:proofErr w:type="spellStart"/>
      <w:r w:rsidRPr="004246FA">
        <w:rPr>
          <w:bCs/>
          <w:color w:val="000000"/>
        </w:rPr>
        <w:t>Корольчук</w:t>
      </w:r>
      <w:proofErr w:type="spellEnd"/>
      <w:r w:rsidRPr="004246FA">
        <w:rPr>
          <w:bCs/>
          <w:color w:val="000000"/>
        </w:rPr>
        <w:t xml:space="preserve"> М.С., </w:t>
      </w:r>
      <w:r w:rsidRPr="004246FA">
        <w:rPr>
          <w:color w:val="000000"/>
        </w:rPr>
        <w:t xml:space="preserve">Теорія і практика професійного психологічного </w:t>
      </w:r>
      <w:r w:rsidR="001C3A32">
        <w:rPr>
          <w:color w:val="000000"/>
        </w:rPr>
        <w:t xml:space="preserve">відбору [Текст]: </w:t>
      </w:r>
      <w:proofErr w:type="spellStart"/>
      <w:r w:rsidR="001C3A32">
        <w:rPr>
          <w:color w:val="000000"/>
        </w:rPr>
        <w:t>навч</w:t>
      </w:r>
      <w:proofErr w:type="spellEnd"/>
      <w:r w:rsidR="001C3A32">
        <w:rPr>
          <w:color w:val="000000"/>
        </w:rPr>
        <w:t>. посібник</w:t>
      </w:r>
      <w:r w:rsidRPr="004246FA">
        <w:rPr>
          <w:color w:val="000000"/>
        </w:rPr>
        <w:t xml:space="preserve">. </w:t>
      </w:r>
      <w:r w:rsidR="001C3A32">
        <w:rPr>
          <w:color w:val="000000"/>
        </w:rPr>
        <w:t xml:space="preserve">/ В.М.  </w:t>
      </w:r>
      <w:proofErr w:type="spellStart"/>
      <w:r w:rsidR="001C3A32">
        <w:rPr>
          <w:bCs/>
          <w:color w:val="000000"/>
        </w:rPr>
        <w:t>Крайнюк</w:t>
      </w:r>
      <w:proofErr w:type="spellEnd"/>
      <w:r w:rsidR="001C3A32">
        <w:rPr>
          <w:bCs/>
          <w:color w:val="000000"/>
        </w:rPr>
        <w:t xml:space="preserve"> В.М. - </w:t>
      </w:r>
      <w:r w:rsidR="001C3A32">
        <w:rPr>
          <w:color w:val="000000"/>
        </w:rPr>
        <w:t>К.:Ніка-Центр,2006. - 536с</w:t>
      </w:r>
      <w:r w:rsidRPr="009227FC">
        <w:t>.</w:t>
      </w:r>
    </w:p>
    <w:p w14:paraId="74480937" w14:textId="77777777" w:rsidR="000A0237" w:rsidRDefault="001C3A32" w:rsidP="000A0237">
      <w:pPr>
        <w:pStyle w:val="a3"/>
        <w:tabs>
          <w:tab w:val="num" w:pos="426"/>
        </w:tabs>
        <w:ind w:left="0"/>
        <w:jc w:val="both"/>
      </w:pPr>
      <w:r>
        <w:t>8</w:t>
      </w:r>
      <w:r w:rsidR="000A0237">
        <w:t>. Калюжна Ю.І. Психологічні основи здійснення профорієнтаційної роботи зі шкільною молоддю / Ю.І. Калюжна // Удосконалення педагогічної майстерності в умовах особистісно зорієнтованої освіти / [Автори-упорядники П.І. Матвієнко, Н.І. Білик, О.О. Но</w:t>
      </w:r>
      <w:r>
        <w:t>вак]. - Полтава: ПОІППО, 2006. -</w:t>
      </w:r>
      <w:r w:rsidR="000A0237">
        <w:t xml:space="preserve"> С. 168–176.</w:t>
      </w:r>
    </w:p>
    <w:p w14:paraId="0A966EBB" w14:textId="77777777" w:rsidR="000A0237" w:rsidRPr="000A0237" w:rsidRDefault="001C3A32" w:rsidP="000A0237">
      <w:pPr>
        <w:pStyle w:val="a3"/>
        <w:tabs>
          <w:tab w:val="num" w:pos="426"/>
        </w:tabs>
        <w:ind w:left="0"/>
        <w:jc w:val="both"/>
      </w:pPr>
      <w:r>
        <w:t>9</w:t>
      </w:r>
      <w:r w:rsidR="000A0237">
        <w:t>. Вітковська О.І. Професійне самовизначення особистості і практичні аспекти професійної к</w:t>
      </w:r>
      <w:r>
        <w:t>онсультації / О.І. Вітковська. -</w:t>
      </w:r>
      <w:r w:rsidR="000A0237">
        <w:t xml:space="preserve"> К. : Наук. світ, 2001. – С. 64–74.</w:t>
      </w:r>
    </w:p>
    <w:p w14:paraId="4822B734" w14:textId="77777777" w:rsidR="00BD4263" w:rsidRPr="00A604E4" w:rsidRDefault="00BD4263" w:rsidP="00BD4263">
      <w:pPr>
        <w:spacing w:line="276" w:lineRule="auto"/>
        <w:ind w:left="284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76DB135D" w14:textId="77777777" w:rsidR="00BD4263" w:rsidRPr="00892ECE" w:rsidRDefault="00BD4263" w:rsidP="00BD4263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Національна бібліотека ім. В. Вернадського [Електронний ресурс]. - Режим доступу: </w:t>
      </w:r>
      <w:hyperlink r:id="rId6" w:history="1">
        <w:r w:rsidRPr="00892ECE">
          <w:rPr>
            <w:szCs w:val="28"/>
          </w:rPr>
          <w:t>http://nbuv.gov.ua/</w:t>
        </w:r>
      </w:hyperlink>
      <w:r w:rsidRPr="00892ECE">
        <w:rPr>
          <w:szCs w:val="28"/>
        </w:rPr>
        <w:t xml:space="preserve">. </w:t>
      </w:r>
    </w:p>
    <w:p w14:paraId="4D82CFF2" w14:textId="77777777" w:rsidR="00BD4263" w:rsidRPr="00892ECE" w:rsidRDefault="00BD4263" w:rsidP="00BD4263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Система дистанційного навчання СНУ ім. В. Даля –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2E7045D1" w14:textId="77777777" w:rsidR="00BD4263" w:rsidRDefault="00BD4263" w:rsidP="00BD4263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szCs w:val="28"/>
        </w:rPr>
      </w:pPr>
      <w:r w:rsidRPr="00892ECE">
        <w:rPr>
          <w:szCs w:val="28"/>
        </w:rPr>
        <w:t xml:space="preserve">Сайт №2 системи дистанційного навчання СНУ ім. В. Даля – </w:t>
      </w:r>
      <w:hyperlink r:id="rId8" w:history="1">
        <w:r w:rsidRPr="00892ECE">
          <w:rPr>
            <w:szCs w:val="28"/>
          </w:rPr>
          <w:t>http://moodlesti.snu.edu.ua/</w:t>
        </w:r>
      </w:hyperlink>
    </w:p>
    <w:p w14:paraId="243320AB" w14:textId="77777777" w:rsidR="00BD4263" w:rsidRPr="00A85FE1" w:rsidRDefault="00BD4263" w:rsidP="00BD426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</w:rPr>
      </w:pPr>
      <w:r w:rsidRPr="00A85FE1">
        <w:rPr>
          <w:rFonts w:eastAsiaTheme="minorHAnsi"/>
          <w:color w:val="000000"/>
          <w:sz w:val="23"/>
          <w:szCs w:val="23"/>
        </w:rPr>
        <w:t xml:space="preserve">4. Психологія: схеми, таблиці, </w:t>
      </w:r>
      <w:proofErr w:type="spellStart"/>
      <w:r w:rsidRPr="00A85FE1">
        <w:rPr>
          <w:rFonts w:eastAsiaTheme="minorHAnsi"/>
          <w:color w:val="000000"/>
          <w:sz w:val="23"/>
          <w:szCs w:val="23"/>
        </w:rPr>
        <w:t>коментарії</w:t>
      </w:r>
      <w:proofErr w:type="spellEnd"/>
      <w:r w:rsidRPr="00A85FE1">
        <w:rPr>
          <w:rFonts w:eastAsiaTheme="minorHAnsi"/>
          <w:color w:val="000000"/>
          <w:sz w:val="23"/>
          <w:szCs w:val="23"/>
        </w:rPr>
        <w:t xml:space="preserve">: навчально–наочний посібник / за загал. ред. </w:t>
      </w:r>
      <w:proofErr w:type="spellStart"/>
      <w:r w:rsidRPr="00A85FE1">
        <w:rPr>
          <w:rFonts w:eastAsiaTheme="minorHAnsi"/>
          <w:color w:val="000000"/>
          <w:sz w:val="23"/>
          <w:szCs w:val="23"/>
        </w:rPr>
        <w:t>Цільмак</w:t>
      </w:r>
      <w:proofErr w:type="spellEnd"/>
      <w:r w:rsidRPr="00A85FE1">
        <w:rPr>
          <w:rFonts w:eastAsiaTheme="minorHAnsi"/>
          <w:color w:val="000000"/>
          <w:sz w:val="23"/>
          <w:szCs w:val="23"/>
        </w:rPr>
        <w:t xml:space="preserve"> О.М. Одеса: ОДУВС, 2015. 271 с. Режим доступу: </w:t>
      </w:r>
      <w:hyperlink r:id="rId9" w:history="1">
        <w:r w:rsidRPr="00A85FE1">
          <w:rPr>
            <w:rStyle w:val="a7"/>
            <w:rFonts w:eastAsiaTheme="minorHAnsi"/>
            <w:sz w:val="23"/>
            <w:szCs w:val="23"/>
          </w:rPr>
          <w:t>http://www.oduvs.edu.ua/navch_pidruch_psixolog.html</w:t>
        </w:r>
      </w:hyperlink>
      <w:r w:rsidRPr="00A85FE1">
        <w:rPr>
          <w:rFonts w:eastAsiaTheme="minorHAnsi"/>
          <w:color w:val="000000"/>
          <w:sz w:val="23"/>
          <w:szCs w:val="23"/>
        </w:rPr>
        <w:t xml:space="preserve"> </w:t>
      </w:r>
    </w:p>
    <w:p w14:paraId="58790D5F" w14:textId="77777777" w:rsidR="00BD4263" w:rsidRPr="00617E9C" w:rsidRDefault="00BD4263" w:rsidP="00905248">
      <w:pPr>
        <w:pStyle w:val="Default"/>
        <w:jc w:val="both"/>
        <w:rPr>
          <w:sz w:val="23"/>
          <w:szCs w:val="23"/>
          <w:lang w:val="uk-UA"/>
        </w:rPr>
      </w:pPr>
      <w:r w:rsidRPr="00A85FE1">
        <w:rPr>
          <w:sz w:val="23"/>
          <w:szCs w:val="23"/>
          <w:lang w:val="uk-UA"/>
        </w:rPr>
        <w:t xml:space="preserve">5. </w:t>
      </w:r>
    </w:p>
    <w:p w14:paraId="3702D9C4" w14:textId="77777777" w:rsidR="00BD4263" w:rsidRPr="00A604E4" w:rsidRDefault="00BD4263" w:rsidP="00BD4263">
      <w:pPr>
        <w:spacing w:line="228" w:lineRule="auto"/>
        <w:ind w:left="284"/>
        <w:jc w:val="center"/>
        <w:rPr>
          <w:b/>
          <w:szCs w:val="24"/>
        </w:rPr>
      </w:pPr>
      <w:r w:rsidRPr="00A604E4">
        <w:rPr>
          <w:b/>
          <w:szCs w:val="24"/>
        </w:rPr>
        <w:t>Методичне забезпечення</w:t>
      </w:r>
    </w:p>
    <w:p w14:paraId="03690F65" w14:textId="77777777" w:rsidR="00BD4263" w:rsidRPr="00617E9C" w:rsidRDefault="000A0237" w:rsidP="000A0237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lang w:eastAsia="ar-SA"/>
        </w:rPr>
        <w:t>1.</w:t>
      </w:r>
      <w:r w:rsidRPr="000A0237">
        <w:rPr>
          <w:rFonts w:eastAsiaTheme="minorHAnsi"/>
          <w:bCs/>
          <w:szCs w:val="24"/>
        </w:rPr>
        <w:t>Коропецька О. М.</w:t>
      </w:r>
      <w:r w:rsidR="001C3A32">
        <w:rPr>
          <w:rFonts w:eastAsiaTheme="minorHAnsi"/>
          <w:bCs/>
          <w:szCs w:val="24"/>
        </w:rPr>
        <w:t xml:space="preserve"> </w:t>
      </w:r>
      <w:r w:rsidRPr="000A0237">
        <w:rPr>
          <w:rFonts w:eastAsiaTheme="minorHAnsi"/>
          <w:bCs/>
          <w:szCs w:val="24"/>
        </w:rPr>
        <w:t>Психологічні основи професійної орієнтації та самореалізації</w:t>
      </w:r>
      <w:r w:rsidR="001C3A32">
        <w:rPr>
          <w:rFonts w:eastAsiaTheme="minorHAnsi"/>
          <w:bCs/>
          <w:szCs w:val="24"/>
        </w:rPr>
        <w:t xml:space="preserve"> </w:t>
      </w:r>
      <w:r w:rsidRPr="000A0237">
        <w:rPr>
          <w:rFonts w:eastAsiaTheme="minorHAnsi"/>
          <w:bCs/>
          <w:szCs w:val="24"/>
        </w:rPr>
        <w:t xml:space="preserve">особистості. </w:t>
      </w:r>
      <w:r w:rsidRPr="001C3A32">
        <w:rPr>
          <w:rFonts w:eastAsiaTheme="minorHAnsi"/>
          <w:szCs w:val="24"/>
        </w:rPr>
        <w:t>Навчальний посібник</w:t>
      </w:r>
      <w:r w:rsidRPr="00617E9C">
        <w:rPr>
          <w:rFonts w:eastAsiaTheme="minorHAnsi"/>
          <w:szCs w:val="24"/>
        </w:rPr>
        <w:t>.</w:t>
      </w:r>
      <w:r w:rsidR="001C3A32" w:rsidRPr="00617E9C">
        <w:rPr>
          <w:rFonts w:eastAsiaTheme="minorHAnsi"/>
          <w:szCs w:val="24"/>
        </w:rPr>
        <w:t xml:space="preserve"> / О.М. </w:t>
      </w:r>
      <w:proofErr w:type="spellStart"/>
      <w:r w:rsidR="001C3A32" w:rsidRPr="00617E9C">
        <w:rPr>
          <w:rFonts w:eastAsiaTheme="minorHAnsi"/>
          <w:szCs w:val="24"/>
        </w:rPr>
        <w:t>Коропецька</w:t>
      </w:r>
      <w:proofErr w:type="spellEnd"/>
      <w:r w:rsidR="001C3A32" w:rsidRPr="00617E9C">
        <w:rPr>
          <w:rFonts w:eastAsiaTheme="minorHAnsi"/>
          <w:szCs w:val="24"/>
        </w:rPr>
        <w:t xml:space="preserve"> . - </w:t>
      </w:r>
      <w:r w:rsidRPr="00617E9C">
        <w:rPr>
          <w:rFonts w:eastAsiaTheme="minorHAnsi"/>
          <w:szCs w:val="24"/>
        </w:rPr>
        <w:t xml:space="preserve">К. : КНТ, 2016. – 438 </w:t>
      </w:r>
      <w:r w:rsidRPr="000A0237">
        <w:rPr>
          <w:rFonts w:eastAsiaTheme="minorHAnsi"/>
          <w:szCs w:val="24"/>
          <w:lang w:val="ru-RU"/>
        </w:rPr>
        <w:t>c</w:t>
      </w:r>
      <w:r w:rsidRPr="00617E9C">
        <w:rPr>
          <w:rFonts w:eastAsiaTheme="minorHAnsi"/>
          <w:szCs w:val="24"/>
        </w:rPr>
        <w:t>.</w:t>
      </w:r>
    </w:p>
    <w:p w14:paraId="70804B56" w14:textId="77777777" w:rsidR="000A0237" w:rsidRDefault="000A0237" w:rsidP="000A0237">
      <w:pPr>
        <w:jc w:val="both"/>
      </w:pPr>
      <w:r w:rsidRPr="00617E9C">
        <w:rPr>
          <w:rFonts w:eastAsiaTheme="minorHAnsi"/>
          <w:szCs w:val="24"/>
        </w:rPr>
        <w:t xml:space="preserve">2. </w:t>
      </w:r>
      <w:r w:rsidRPr="00BF24DE">
        <w:t xml:space="preserve">Карпенко Г. В. Психологія праці та вибір професії : </w:t>
      </w:r>
      <w:proofErr w:type="spellStart"/>
      <w:r w:rsidRPr="00BF24DE">
        <w:t>навч</w:t>
      </w:r>
      <w:proofErr w:type="spellEnd"/>
      <w:r w:rsidRPr="00BF24DE">
        <w:t xml:space="preserve">.-метод. </w:t>
      </w:r>
      <w:proofErr w:type="spellStart"/>
      <w:r w:rsidRPr="00BF24DE">
        <w:t>посіб</w:t>
      </w:r>
      <w:proofErr w:type="spellEnd"/>
      <w:r w:rsidRPr="00BF24DE">
        <w:t xml:space="preserve">. / Г. В. Карпенко. – Суми : </w:t>
      </w:r>
      <w:proofErr w:type="spellStart"/>
      <w:r w:rsidRPr="00BF24DE">
        <w:t>Унів</w:t>
      </w:r>
      <w:proofErr w:type="spellEnd"/>
      <w:r w:rsidRPr="00BF24DE">
        <w:t>. кн., 2008. – 167 с.</w:t>
      </w:r>
    </w:p>
    <w:p w14:paraId="04D7248C" w14:textId="77777777" w:rsidR="000A0237" w:rsidRDefault="000A0237" w:rsidP="000A0237">
      <w:pPr>
        <w:jc w:val="both"/>
      </w:pPr>
      <w:r>
        <w:t>3. Гончарова Н.О. Основи професійної орієнтації / За ред.. В.Ф. Моргуна. Навчальний посібник. – К.: Видавничий Дім «Слово», 2010. – 168 с</w:t>
      </w:r>
    </w:p>
    <w:p w14:paraId="4CA1BD8A" w14:textId="77777777" w:rsidR="000A0237" w:rsidRPr="00BF24DE" w:rsidRDefault="000A0237" w:rsidP="000A0237">
      <w:pPr>
        <w:jc w:val="both"/>
      </w:pPr>
    </w:p>
    <w:p w14:paraId="73F13730" w14:textId="77777777" w:rsidR="000A0237" w:rsidRPr="000A0237" w:rsidRDefault="000A0237" w:rsidP="000A0237">
      <w:pPr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</w:p>
    <w:p w14:paraId="07DF2766" w14:textId="77777777" w:rsidR="001C3A32" w:rsidRDefault="001C3A32" w:rsidP="00BD4263">
      <w:pPr>
        <w:spacing w:line="276" w:lineRule="auto"/>
        <w:jc w:val="center"/>
        <w:rPr>
          <w:b/>
          <w:szCs w:val="24"/>
        </w:rPr>
      </w:pPr>
    </w:p>
    <w:p w14:paraId="16F72A61" w14:textId="77777777" w:rsidR="001C3A32" w:rsidRDefault="001C3A32" w:rsidP="00BD4263">
      <w:pPr>
        <w:spacing w:line="276" w:lineRule="auto"/>
        <w:jc w:val="center"/>
        <w:rPr>
          <w:b/>
          <w:szCs w:val="24"/>
        </w:rPr>
      </w:pPr>
    </w:p>
    <w:p w14:paraId="2321992A" w14:textId="77777777" w:rsidR="00BD4263" w:rsidRDefault="00BD4263" w:rsidP="00BD4263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Оцінювання курсу</w:t>
      </w:r>
    </w:p>
    <w:p w14:paraId="5AFDB680" w14:textId="77777777" w:rsidR="00BD4263" w:rsidRPr="00A604E4" w:rsidRDefault="00BD4263" w:rsidP="00BD4263">
      <w:pPr>
        <w:spacing w:line="276" w:lineRule="auto"/>
        <w:jc w:val="center"/>
        <w:rPr>
          <w:b/>
          <w:szCs w:val="24"/>
        </w:rPr>
      </w:pPr>
    </w:p>
    <w:p w14:paraId="524F28F6" w14:textId="77777777" w:rsidR="00BD4263" w:rsidRPr="00A604E4" w:rsidRDefault="00BD4263" w:rsidP="00BD4263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BD4263" w:rsidRPr="00A604E4" w14:paraId="68D0EA65" w14:textId="77777777" w:rsidTr="009E15B5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1E344C0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46D15C5B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BD4263" w:rsidRPr="00A604E4" w14:paraId="64E7CFD9" w14:textId="77777777" w:rsidTr="009E15B5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31BD0EA4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3CE77D46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7BDBC27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BD4263" w:rsidRPr="00A604E4" w14:paraId="57274107" w14:textId="77777777" w:rsidTr="009E15B5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2C1DB411" w14:textId="77777777" w:rsidR="00BD4263" w:rsidRPr="00A604E4" w:rsidRDefault="00BD4263" w:rsidP="009E15B5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0A91A9CD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12BC4BD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D4263" w:rsidRPr="00A604E4" w14:paraId="0F6C4039" w14:textId="77777777" w:rsidTr="009E15B5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17F6967E" w14:textId="77777777" w:rsidR="00BD4263" w:rsidRPr="00A604E4" w:rsidRDefault="00BD4263" w:rsidP="009E15B5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69F8174B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DA288F0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A604E4">
              <w:rPr>
                <w:szCs w:val="24"/>
              </w:rPr>
              <w:t>0</w:t>
            </w:r>
          </w:p>
        </w:tc>
      </w:tr>
      <w:tr w:rsidR="00BD4263" w:rsidRPr="00A604E4" w14:paraId="0E9DC20B" w14:textId="77777777" w:rsidTr="009E15B5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46E886E0" w14:textId="77777777" w:rsidR="00BD4263" w:rsidRPr="00A604E4" w:rsidRDefault="00BD4263" w:rsidP="009E15B5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shd w:val="clear" w:color="auto" w:fill="auto"/>
          </w:tcPr>
          <w:p w14:paraId="618B13BE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2F814E18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BD4263" w:rsidRPr="00A604E4" w14:paraId="0B8D6358" w14:textId="77777777" w:rsidTr="009E15B5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529D2DF" w14:textId="77777777" w:rsidR="00BD4263" w:rsidRPr="00A604E4" w:rsidRDefault="00BD4263" w:rsidP="009E15B5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 (тест)</w:t>
            </w:r>
          </w:p>
        </w:tc>
        <w:tc>
          <w:tcPr>
            <w:tcW w:w="1707" w:type="dxa"/>
            <w:shd w:val="clear" w:color="auto" w:fill="auto"/>
          </w:tcPr>
          <w:p w14:paraId="408B9BAA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46DF9CC1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A604E4">
              <w:rPr>
                <w:szCs w:val="24"/>
              </w:rPr>
              <w:t>0</w:t>
            </w:r>
          </w:p>
        </w:tc>
      </w:tr>
      <w:tr w:rsidR="00BD4263" w:rsidRPr="00A604E4" w14:paraId="03A375F3" w14:textId="77777777" w:rsidTr="009E15B5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4A28E888" w14:textId="77777777" w:rsidR="00BD4263" w:rsidRPr="00A604E4" w:rsidRDefault="00BD4263" w:rsidP="009E15B5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E6D80C6" w14:textId="77777777" w:rsidR="00BD4263" w:rsidRPr="00A604E4" w:rsidRDefault="00BD4263" w:rsidP="009E15B5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9F1FDD3" w14:textId="77777777" w:rsidR="00BD4263" w:rsidRPr="00A604E4" w:rsidRDefault="00BD4263" w:rsidP="009E15B5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30F0AD24" w14:textId="77777777" w:rsidR="00BD4263" w:rsidRDefault="00BD4263" w:rsidP="00BD4263">
      <w:pPr>
        <w:spacing w:line="276" w:lineRule="auto"/>
        <w:jc w:val="center"/>
        <w:rPr>
          <w:b/>
          <w:szCs w:val="24"/>
        </w:rPr>
      </w:pPr>
    </w:p>
    <w:p w14:paraId="1C2F0AF5" w14:textId="77777777" w:rsidR="00BD4263" w:rsidRDefault="00BD4263" w:rsidP="00BD4263">
      <w:pPr>
        <w:spacing w:line="276" w:lineRule="auto"/>
        <w:jc w:val="center"/>
        <w:rPr>
          <w:b/>
          <w:szCs w:val="24"/>
        </w:rPr>
      </w:pPr>
    </w:p>
    <w:p w14:paraId="53C41A6A" w14:textId="77777777" w:rsidR="00BD4263" w:rsidRDefault="00BD4263" w:rsidP="00BD4263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536444E" w14:textId="77777777" w:rsidR="00BD4263" w:rsidRDefault="00BD4263" w:rsidP="00BD4263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BD4263" w:rsidRPr="00A604E4" w14:paraId="33EC737A" w14:textId="77777777" w:rsidTr="009E15B5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DE7181D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bookmarkStart w:id="4" w:name="_17dp8vu"/>
            <w:bookmarkEnd w:id="4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1594D7B8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0A2476C1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BD4263" w:rsidRPr="00A604E4" w14:paraId="213BD56E" w14:textId="77777777" w:rsidTr="009E15B5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1116CCFD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32C2CC32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76205C2C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527D0529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BD4263" w:rsidRPr="00A604E4" w14:paraId="4B9A920F" w14:textId="77777777" w:rsidTr="009E15B5">
        <w:trPr>
          <w:trHeight w:val="271"/>
          <w:jc w:val="center"/>
        </w:trPr>
        <w:tc>
          <w:tcPr>
            <w:tcW w:w="1172" w:type="pct"/>
            <w:vAlign w:val="center"/>
          </w:tcPr>
          <w:p w14:paraId="0F77A725" w14:textId="77777777" w:rsidR="00BD4263" w:rsidRPr="00A604E4" w:rsidRDefault="00BD4263" w:rsidP="009E15B5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7C53E32C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393EF9AF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3FFD7B3A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  <w:p w14:paraId="7A6D32F0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  <w:p w14:paraId="4A481D58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BD4263" w:rsidRPr="00A604E4" w14:paraId="62F94593" w14:textId="77777777" w:rsidTr="009E15B5">
        <w:trPr>
          <w:trHeight w:val="193"/>
          <w:jc w:val="center"/>
        </w:trPr>
        <w:tc>
          <w:tcPr>
            <w:tcW w:w="1172" w:type="pct"/>
            <w:vAlign w:val="center"/>
          </w:tcPr>
          <w:p w14:paraId="03E2222B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1545817F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2685AF9E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71AF0900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D4263" w:rsidRPr="00A604E4" w14:paraId="344A84AE" w14:textId="77777777" w:rsidTr="009E15B5">
        <w:trPr>
          <w:trHeight w:val="271"/>
          <w:jc w:val="center"/>
        </w:trPr>
        <w:tc>
          <w:tcPr>
            <w:tcW w:w="1172" w:type="pct"/>
            <w:vAlign w:val="center"/>
          </w:tcPr>
          <w:p w14:paraId="0FEF0CEB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0CF5827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0D75C6A2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7A51EEFE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D4263" w:rsidRPr="00A604E4" w14:paraId="1F129D91" w14:textId="77777777" w:rsidTr="009E15B5">
        <w:trPr>
          <w:trHeight w:val="271"/>
          <w:jc w:val="center"/>
        </w:trPr>
        <w:tc>
          <w:tcPr>
            <w:tcW w:w="1172" w:type="pct"/>
            <w:vAlign w:val="center"/>
          </w:tcPr>
          <w:p w14:paraId="29D0CB2C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4A0F2728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425E1102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2DBF4DA6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D4263" w:rsidRPr="00A604E4" w14:paraId="1255B535" w14:textId="77777777" w:rsidTr="009E15B5">
        <w:trPr>
          <w:trHeight w:val="271"/>
          <w:jc w:val="center"/>
        </w:trPr>
        <w:tc>
          <w:tcPr>
            <w:tcW w:w="1172" w:type="pct"/>
            <w:vAlign w:val="center"/>
          </w:tcPr>
          <w:p w14:paraId="2833895C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C29656A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3B2468ED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7EDA28A1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BD4263" w:rsidRPr="00A604E4" w14:paraId="7C5D44E9" w14:textId="77777777" w:rsidTr="009E15B5">
        <w:trPr>
          <w:trHeight w:val="827"/>
          <w:jc w:val="center"/>
        </w:trPr>
        <w:tc>
          <w:tcPr>
            <w:tcW w:w="1172" w:type="pct"/>
            <w:vAlign w:val="center"/>
          </w:tcPr>
          <w:p w14:paraId="7D156A86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39A48054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76DBF4D9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F4D1CF8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BD4263" w:rsidRPr="00A604E4" w14:paraId="6C0D2EA4" w14:textId="77777777" w:rsidTr="009E15B5">
        <w:trPr>
          <w:trHeight w:val="706"/>
          <w:jc w:val="center"/>
        </w:trPr>
        <w:tc>
          <w:tcPr>
            <w:tcW w:w="1172" w:type="pct"/>
            <w:vAlign w:val="center"/>
          </w:tcPr>
          <w:p w14:paraId="2129915D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52BA53DB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512FE5CE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358FE33B" w14:textId="77777777" w:rsidR="00BD4263" w:rsidRPr="00A604E4" w:rsidRDefault="00BD4263" w:rsidP="009E15B5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50C32C1C" w14:textId="77777777" w:rsidR="00BD4263" w:rsidRPr="00A604E4" w:rsidRDefault="00BD4263" w:rsidP="00BD4263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6A80029D" w14:textId="77777777" w:rsidR="00BD4263" w:rsidRPr="00A604E4" w:rsidRDefault="00BD4263" w:rsidP="00BD4263">
      <w:pPr>
        <w:jc w:val="both"/>
        <w:rPr>
          <w:sz w:val="22"/>
        </w:rPr>
      </w:pPr>
    </w:p>
    <w:p w14:paraId="4BF13613" w14:textId="77777777" w:rsidR="00BD4263" w:rsidRDefault="00BD4263" w:rsidP="00BD4263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FB44619" w14:textId="77777777" w:rsidR="00BD4263" w:rsidRPr="00A604E4" w:rsidRDefault="00BD4263" w:rsidP="00BD4263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BD4263" w:rsidRPr="00A604E4" w14:paraId="088F356C" w14:textId="77777777" w:rsidTr="009E15B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2D0F" w14:textId="77777777" w:rsidR="00BD4263" w:rsidRPr="00A604E4" w:rsidRDefault="00BD4263" w:rsidP="009E15B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77B95" w14:textId="77777777" w:rsidR="00BD4263" w:rsidRPr="00A604E4" w:rsidRDefault="00BD4263" w:rsidP="009E15B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</w:t>
            </w:r>
            <w:r>
              <w:rPr>
                <w:szCs w:val="24"/>
              </w:rPr>
              <w:t>виявлення академічного плагіату</w:t>
            </w:r>
            <w:r w:rsidRPr="00A604E4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До основних вимог за курсом віднесено - </w:t>
            </w:r>
            <w:r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540CC284" w14:textId="77777777" w:rsidR="00BD4263" w:rsidRPr="00A604E4" w:rsidRDefault="00BD4263" w:rsidP="009E15B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Pr="00A604E4">
              <w:rPr>
                <w:szCs w:val="24"/>
              </w:rPr>
              <w:t xml:space="preserve"> </w:t>
            </w:r>
          </w:p>
        </w:tc>
      </w:tr>
      <w:tr w:rsidR="00BD4263" w:rsidRPr="00A604E4" w14:paraId="6164807E" w14:textId="77777777" w:rsidTr="009E15B5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13730" w14:textId="77777777" w:rsidR="00BD4263" w:rsidRPr="00A604E4" w:rsidRDefault="00BD4263" w:rsidP="009E15B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2D2A" w14:textId="77777777" w:rsidR="00BD4263" w:rsidRPr="00A604E4" w:rsidRDefault="00BD4263" w:rsidP="009E15B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</w:t>
            </w:r>
            <w:r w:rsidRPr="004A40CA">
              <w:rPr>
                <w:szCs w:val="24"/>
              </w:rPr>
              <w:lastRenderedPageBreak/>
              <w:t>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BD4263" w:rsidRPr="00A604E4" w14:paraId="0DD63BEB" w14:textId="77777777" w:rsidTr="009E15B5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2529D" w14:textId="77777777" w:rsidR="00BD4263" w:rsidRPr="00A604E4" w:rsidRDefault="00BD4263" w:rsidP="009E15B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4001" w14:textId="77777777" w:rsidR="00BD4263" w:rsidRDefault="00BD4263" w:rsidP="009E15B5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43CC4094" w14:textId="77777777" w:rsidR="00BD4263" w:rsidRPr="00A604E4" w:rsidRDefault="00BD4263" w:rsidP="009E15B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14:paraId="6EC56B27" w14:textId="77777777" w:rsidR="00BD4263" w:rsidRDefault="00BD4263" w:rsidP="00BD4263">
      <w:pPr>
        <w:tabs>
          <w:tab w:val="left" w:pos="284"/>
        </w:tabs>
      </w:pPr>
    </w:p>
    <w:p w14:paraId="26ACADA2" w14:textId="77777777" w:rsidR="00BD4263" w:rsidRPr="0080469F" w:rsidRDefault="00BD4263" w:rsidP="00BD4263"/>
    <w:p w14:paraId="498DDA12" w14:textId="77777777" w:rsidR="00BD4263" w:rsidRPr="00BC14AC" w:rsidRDefault="00BD4263" w:rsidP="00BD4263"/>
    <w:p w14:paraId="61F3C38C" w14:textId="77777777" w:rsidR="001D485C" w:rsidRDefault="001D485C"/>
    <w:sectPr w:rsidR="001D485C" w:rsidSect="00BD1B3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4BD"/>
    <w:multiLevelType w:val="hybridMultilevel"/>
    <w:tmpl w:val="2EE6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12D"/>
    <w:multiLevelType w:val="hybridMultilevel"/>
    <w:tmpl w:val="DBC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54AD"/>
    <w:multiLevelType w:val="hybridMultilevel"/>
    <w:tmpl w:val="5DCE3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903E5F"/>
    <w:multiLevelType w:val="hybridMultilevel"/>
    <w:tmpl w:val="28FCA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663E6"/>
    <w:multiLevelType w:val="hybridMultilevel"/>
    <w:tmpl w:val="2EE6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63"/>
    <w:rsid w:val="000A0237"/>
    <w:rsid w:val="001073FA"/>
    <w:rsid w:val="001C1305"/>
    <w:rsid w:val="001C3A32"/>
    <w:rsid w:val="001D485C"/>
    <w:rsid w:val="002572A9"/>
    <w:rsid w:val="002769EF"/>
    <w:rsid w:val="00375614"/>
    <w:rsid w:val="00402E1B"/>
    <w:rsid w:val="004271AC"/>
    <w:rsid w:val="00617E9C"/>
    <w:rsid w:val="006A0E68"/>
    <w:rsid w:val="006E6679"/>
    <w:rsid w:val="0071162D"/>
    <w:rsid w:val="00830D65"/>
    <w:rsid w:val="00905248"/>
    <w:rsid w:val="00A17585"/>
    <w:rsid w:val="00BD4263"/>
    <w:rsid w:val="00C72BBC"/>
    <w:rsid w:val="00C8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CF5B"/>
  <w15:chartTrackingRefBased/>
  <w15:docId w15:val="{D0C41188-2DC0-478F-B32E-CAFB6084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63"/>
    <w:pPr>
      <w:ind w:left="720"/>
      <w:contextualSpacing/>
    </w:pPr>
  </w:style>
  <w:style w:type="paragraph" w:styleId="a4">
    <w:name w:val="No Spacing"/>
    <w:uiPriority w:val="1"/>
    <w:qFormat/>
    <w:rsid w:val="00BD42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Default">
    <w:name w:val="Default"/>
    <w:rsid w:val="00BD4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BD4263"/>
    <w:pPr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BD4263"/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7">
    <w:name w:val="Hyperlink"/>
    <w:basedOn w:val="a0"/>
    <w:uiPriority w:val="99"/>
    <w:unhideWhenUsed/>
    <w:rsid w:val="00BD4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s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duvs.edu.ua/navch_pidruch_psixol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11</cp:revision>
  <dcterms:created xsi:type="dcterms:W3CDTF">2020-11-15T23:08:00Z</dcterms:created>
  <dcterms:modified xsi:type="dcterms:W3CDTF">2020-11-16T11:23:00Z</dcterms:modified>
</cp:coreProperties>
</file>