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2969D2D8" w:rsidR="00ED7BA0" w:rsidRPr="00A604E4" w:rsidRDefault="00BE4EAF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УПРАВЛІННЯ ТУРИТИЧНОЮ ДЕСТИНАЦІЄЮ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1803330" w:rsidR="00ED7BA0" w:rsidRPr="00A604E4" w:rsidRDefault="00BE4EA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1B2BB08" w:rsidR="00ED7BA0" w:rsidRPr="00A604E4" w:rsidRDefault="00BE4EAF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F16740B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FD565B" w:rsidRPr="00FD565B">
              <w:rPr>
                <w:szCs w:val="24"/>
              </w:rPr>
              <w:t xml:space="preserve">розкриття сутності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як організаційної структури туризму; проведення типізації туристичних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 класифікації туристичних ресурсів та інтенсивності їх використання; розкриття ролі життєвого циклу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у розвитку туризму; дослідження тенденцій  розвитку туризму в Україні  та  процесів формування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461649CC" w:rsidR="000F6A6A" w:rsidRDefault="00E02F70" w:rsidP="00FD565B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FD565B" w:rsidRPr="00FD565B">
              <w:rPr>
                <w:szCs w:val="24"/>
              </w:rPr>
              <w:t>основн</w:t>
            </w:r>
            <w:r w:rsidR="004A1AD5">
              <w:rPr>
                <w:szCs w:val="24"/>
              </w:rPr>
              <w:t>их</w:t>
            </w:r>
            <w:r w:rsidR="00FD565B" w:rsidRPr="00FD565B">
              <w:rPr>
                <w:szCs w:val="24"/>
              </w:rPr>
              <w:t xml:space="preserve"> визначен</w:t>
            </w:r>
            <w:r w:rsidR="004A1AD5">
              <w:rPr>
                <w:szCs w:val="24"/>
              </w:rPr>
              <w:t>ь</w:t>
            </w:r>
            <w:r w:rsidR="00FD565B" w:rsidRPr="00FD565B">
              <w:rPr>
                <w:szCs w:val="24"/>
              </w:rPr>
              <w:t xml:space="preserve"> та термін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навчальної дисципліни; сутн</w:t>
            </w:r>
            <w:r w:rsidR="004A1AD5">
              <w:rPr>
                <w:szCs w:val="24"/>
              </w:rPr>
              <w:t>ості</w:t>
            </w:r>
            <w:r w:rsidR="00FD565B" w:rsidRPr="00FD565B">
              <w:rPr>
                <w:szCs w:val="24"/>
              </w:rPr>
              <w:t xml:space="preserve"> та типізаці</w:t>
            </w:r>
            <w:r w:rsidR="004A1AD5">
              <w:rPr>
                <w:szCs w:val="24"/>
              </w:rPr>
              <w:t>ї</w:t>
            </w:r>
            <w:r w:rsidR="00FD565B" w:rsidRPr="00FD565B">
              <w:rPr>
                <w:szCs w:val="24"/>
              </w:rPr>
              <w:t xml:space="preserve">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класифікації туристичних ресурсів; основ</w:t>
            </w:r>
            <w:r w:rsidR="004A1AD5">
              <w:rPr>
                <w:szCs w:val="24"/>
              </w:rPr>
              <w:t>них</w:t>
            </w:r>
            <w:r w:rsidR="00FD565B" w:rsidRPr="00FD565B">
              <w:rPr>
                <w:szCs w:val="24"/>
              </w:rPr>
              <w:t xml:space="preserve"> принципи функціонування  сучасних туристичних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у вітчизняній туристичній галузі; логістичн</w:t>
            </w:r>
            <w:r w:rsidR="004A1AD5">
              <w:rPr>
                <w:szCs w:val="24"/>
              </w:rPr>
              <w:t>их</w:t>
            </w:r>
            <w:r w:rsidR="00FD565B" w:rsidRPr="00FD565B">
              <w:rPr>
                <w:szCs w:val="24"/>
              </w:rPr>
              <w:t xml:space="preserve"> підход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до управління туристичними </w:t>
            </w:r>
            <w:proofErr w:type="spellStart"/>
            <w:r w:rsidR="00FD565B" w:rsidRPr="00FD565B">
              <w:rPr>
                <w:szCs w:val="24"/>
              </w:rPr>
              <w:t>дестинаціями</w:t>
            </w:r>
            <w:proofErr w:type="spellEnd"/>
            <w:r w:rsidR="00FD565B" w:rsidRPr="00FD565B">
              <w:rPr>
                <w:szCs w:val="24"/>
              </w:rPr>
              <w:t xml:space="preserve"> та механізм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оптимізації розвитку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кластеризації туризму.</w:t>
            </w:r>
          </w:p>
          <w:p w14:paraId="407AE239" w14:textId="11877CD0" w:rsidR="002B68A8" w:rsidRPr="00A604E4" w:rsidRDefault="002B68A8" w:rsidP="004A1AD5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4A1AD5" w:rsidRPr="004A1AD5">
              <w:rPr>
                <w:szCs w:val="24"/>
              </w:rPr>
              <w:t xml:space="preserve">будувати моделі розвитку туристичних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 xml:space="preserve"> та формува</w:t>
            </w:r>
            <w:r w:rsidR="004A1AD5">
              <w:rPr>
                <w:szCs w:val="24"/>
              </w:rPr>
              <w:t>ти</w:t>
            </w:r>
            <w:r w:rsidR="004A1AD5" w:rsidRPr="004A1AD5">
              <w:rPr>
                <w:szCs w:val="24"/>
              </w:rPr>
              <w:t xml:space="preserve"> стратегічн</w:t>
            </w:r>
            <w:r w:rsidR="004A1AD5">
              <w:rPr>
                <w:szCs w:val="24"/>
              </w:rPr>
              <w:t>і</w:t>
            </w:r>
            <w:r w:rsidR="004A1AD5" w:rsidRPr="004A1AD5">
              <w:rPr>
                <w:szCs w:val="24"/>
              </w:rPr>
              <w:t xml:space="preserve"> альтернатив</w:t>
            </w:r>
            <w:r w:rsidR="004A1AD5">
              <w:rPr>
                <w:szCs w:val="24"/>
              </w:rPr>
              <w:t>и</w:t>
            </w:r>
            <w:r w:rsidR="004A1AD5" w:rsidRPr="004A1AD5">
              <w:rPr>
                <w:szCs w:val="24"/>
              </w:rPr>
              <w:t xml:space="preserve"> управління ними в туристичній галузі; визначати  вплив економічної ефективності функціонування туристських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 xml:space="preserve"> на привабливість для інвесторів та бізнесу; аналізувати підходи до управління туристичними </w:t>
            </w:r>
            <w:proofErr w:type="spellStart"/>
            <w:r w:rsidR="004A1AD5" w:rsidRPr="004A1AD5">
              <w:rPr>
                <w:szCs w:val="24"/>
              </w:rPr>
              <w:t>дестинаціями</w:t>
            </w:r>
            <w:proofErr w:type="spellEnd"/>
            <w:r w:rsidR="004A1AD5" w:rsidRPr="004A1AD5">
              <w:rPr>
                <w:szCs w:val="24"/>
              </w:rPr>
              <w:t xml:space="preserve">; формувати стратегічні напрямки управління  регіональним  розвитком туристичних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3CE0257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>, «</w:t>
            </w:r>
            <w:proofErr w:type="spellStart"/>
            <w:r w:rsidR="00176730">
              <w:rPr>
                <w:szCs w:val="24"/>
              </w:rPr>
              <w:t>Туроперейтинг</w:t>
            </w:r>
            <w:proofErr w:type="spellEnd"/>
            <w:r w:rsidR="00176730">
              <w:rPr>
                <w:szCs w:val="24"/>
              </w:rPr>
              <w:t>», тощо</w:t>
            </w:r>
            <w:r w:rsidR="00B218AE" w:rsidRPr="00A604E4">
              <w:rPr>
                <w:szCs w:val="24"/>
              </w:rPr>
              <w:t xml:space="preserve">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EBDF9E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 є  поглиблення  теоретико-методичних </w:t>
      </w:r>
      <w:r w:rsidR="00FD565B">
        <w:rPr>
          <w:szCs w:val="24"/>
        </w:rPr>
        <w:t>зн</w:t>
      </w:r>
      <w:r w:rsidR="00FD565B" w:rsidRPr="00FD565B">
        <w:rPr>
          <w:szCs w:val="24"/>
        </w:rPr>
        <w:t xml:space="preserve">ань  студентів </w:t>
      </w:r>
      <w:r w:rsidR="00FD565B">
        <w:rPr>
          <w:szCs w:val="24"/>
        </w:rPr>
        <w:t>щ</w:t>
      </w:r>
      <w:r w:rsidR="00FD565B" w:rsidRPr="00FD565B">
        <w:rPr>
          <w:szCs w:val="24"/>
        </w:rPr>
        <w:t xml:space="preserve">одо основ формування й розвитку туристичних </w:t>
      </w:r>
      <w:proofErr w:type="spellStart"/>
      <w:r w:rsidR="00FD565B" w:rsidRPr="00FD565B">
        <w:rPr>
          <w:szCs w:val="24"/>
        </w:rPr>
        <w:t>дестинацій</w:t>
      </w:r>
      <w:proofErr w:type="spellEnd"/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7C15987E" w14:textId="14712134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E4B61">
        <w:rPr>
          <w:szCs w:val="24"/>
        </w:rPr>
        <w:t>К06. Здатність до пошуку, обр</w:t>
      </w:r>
      <w:r>
        <w:rPr>
          <w:szCs w:val="24"/>
        </w:rPr>
        <w:t xml:space="preserve">облення та аналізу інформації з </w:t>
      </w:r>
      <w:r w:rsidRPr="00AE4B61">
        <w:rPr>
          <w:szCs w:val="24"/>
        </w:rPr>
        <w:t>різних джерел</w:t>
      </w:r>
      <w:r w:rsidR="00701715">
        <w:rPr>
          <w:szCs w:val="24"/>
        </w:rPr>
        <w:t>.</w:t>
      </w:r>
    </w:p>
    <w:p w14:paraId="53137213" w14:textId="3992B6C5" w:rsidR="007374A4" w:rsidRDefault="007374A4" w:rsidP="00AE4B61">
      <w:pPr>
        <w:ind w:firstLine="709"/>
        <w:jc w:val="both"/>
        <w:rPr>
          <w:szCs w:val="24"/>
        </w:rPr>
      </w:pPr>
      <w:r>
        <w:rPr>
          <w:szCs w:val="24"/>
          <w:lang w:val="ru-RU"/>
        </w:rPr>
        <w:t>З</w:t>
      </w:r>
      <w:r w:rsidRPr="007374A4">
        <w:rPr>
          <w:szCs w:val="24"/>
        </w:rPr>
        <w:t>К07. Здатність працювати в міжнародному контексті</w:t>
      </w:r>
    </w:p>
    <w:p w14:paraId="74838343" w14:textId="15C2776B" w:rsidR="00AE4B61" w:rsidRDefault="00AE4B61" w:rsidP="00224E22">
      <w:pPr>
        <w:ind w:firstLine="709"/>
        <w:jc w:val="both"/>
        <w:rPr>
          <w:szCs w:val="24"/>
        </w:rPr>
      </w:pPr>
      <w:r w:rsidRPr="00AE4B61">
        <w:rPr>
          <w:szCs w:val="24"/>
        </w:rPr>
        <w:t xml:space="preserve">ЗК14. Здатність працювати в команді та </w:t>
      </w:r>
      <w:proofErr w:type="spellStart"/>
      <w:r w:rsidRPr="00AE4B61">
        <w:rPr>
          <w:szCs w:val="24"/>
        </w:rPr>
        <w:t>автономно</w:t>
      </w:r>
      <w:proofErr w:type="spellEnd"/>
      <w:r>
        <w:rPr>
          <w:szCs w:val="24"/>
        </w:rPr>
        <w:t>.</w:t>
      </w:r>
    </w:p>
    <w:p w14:paraId="1C914008" w14:textId="42EE6EE4" w:rsidR="00AE4B61" w:rsidRDefault="00AE4B61" w:rsidP="00224E22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>К16.</w:t>
      </w:r>
      <w:r w:rsidR="00FD565B">
        <w:rPr>
          <w:szCs w:val="24"/>
        </w:rPr>
        <w:t xml:space="preserve"> </w:t>
      </w:r>
      <w:r w:rsidRPr="00AE4B61">
        <w:rPr>
          <w:szCs w:val="24"/>
        </w:rPr>
        <w:t>Здатність застосовувати знання у практичних ситуаціях</w:t>
      </w:r>
    </w:p>
    <w:p w14:paraId="02117DAB" w14:textId="6F1BF9F8" w:rsidR="005B7C26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К21. Здатність розробля</w:t>
      </w:r>
      <w:r>
        <w:rPr>
          <w:szCs w:val="24"/>
        </w:rPr>
        <w:t xml:space="preserve">ти, просувати, реалізовувати та </w:t>
      </w:r>
      <w:r w:rsidRPr="005B7C26">
        <w:rPr>
          <w:szCs w:val="24"/>
        </w:rPr>
        <w:t>організовувати споживання туристичного продукту</w:t>
      </w:r>
    </w:p>
    <w:p w14:paraId="7B057F41" w14:textId="1F518320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 xml:space="preserve">К23.Здатність забезпечувати </w:t>
      </w:r>
      <w:r>
        <w:rPr>
          <w:szCs w:val="24"/>
        </w:rPr>
        <w:t xml:space="preserve">безпеку туристів у звичайних та </w:t>
      </w:r>
      <w:r w:rsidRPr="00AE4B61">
        <w:rPr>
          <w:szCs w:val="24"/>
        </w:rPr>
        <w:t>складних форс-мажорних обставинах</w:t>
      </w:r>
    </w:p>
    <w:p w14:paraId="152028FC" w14:textId="1BE8FB0C" w:rsidR="005B7C26" w:rsidRPr="00AE4B61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К27. Здатність до сп</w:t>
      </w:r>
      <w:r>
        <w:rPr>
          <w:szCs w:val="24"/>
        </w:rPr>
        <w:t xml:space="preserve">івпраці з діловими партнерами і </w:t>
      </w:r>
      <w:r w:rsidRPr="005B7C26">
        <w:rPr>
          <w:szCs w:val="24"/>
        </w:rPr>
        <w:t>клієнтами, уміння</w:t>
      </w:r>
      <w:r>
        <w:rPr>
          <w:szCs w:val="24"/>
        </w:rPr>
        <w:t xml:space="preserve"> забезпечувати з ними ефективні </w:t>
      </w:r>
      <w:r w:rsidRPr="005B7C26">
        <w:rPr>
          <w:szCs w:val="24"/>
        </w:rPr>
        <w:t>комунікації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684398B" w14:textId="364DA46B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ПР09. Організовувати процес обслуговування споживачів туристични</w:t>
      </w:r>
      <w:r>
        <w:rPr>
          <w:bCs/>
          <w:iCs/>
          <w:szCs w:val="24"/>
          <w:lang w:eastAsia="uk-UA"/>
        </w:rPr>
        <w:t xml:space="preserve">х послуг </w:t>
      </w:r>
      <w:r w:rsidRPr="005B7C26">
        <w:rPr>
          <w:bCs/>
          <w:iCs/>
          <w:szCs w:val="24"/>
          <w:lang w:eastAsia="uk-UA"/>
        </w:rPr>
        <w:t>на основі використання сучасних інформацій</w:t>
      </w:r>
      <w:r>
        <w:rPr>
          <w:bCs/>
          <w:iCs/>
          <w:szCs w:val="24"/>
          <w:lang w:eastAsia="uk-UA"/>
        </w:rPr>
        <w:t xml:space="preserve">них, комунікаційних і сервісних </w:t>
      </w:r>
      <w:r w:rsidRPr="005B7C26">
        <w:rPr>
          <w:bCs/>
          <w:iCs/>
          <w:szCs w:val="24"/>
          <w:lang w:eastAsia="uk-UA"/>
        </w:rPr>
        <w:t>технологій та дотримання стандартів якості і норм безпеки.</w:t>
      </w:r>
    </w:p>
    <w:p w14:paraId="799C8593" w14:textId="56008DE2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ПР12. Застосовувати навички продуктив</w:t>
      </w:r>
      <w:r>
        <w:rPr>
          <w:bCs/>
          <w:iCs/>
          <w:szCs w:val="24"/>
          <w:lang w:eastAsia="uk-UA"/>
        </w:rPr>
        <w:t xml:space="preserve">ного спілкування зі споживачами </w:t>
      </w:r>
      <w:r w:rsidRPr="005B7C26">
        <w:rPr>
          <w:bCs/>
          <w:iCs/>
          <w:szCs w:val="24"/>
          <w:lang w:eastAsia="uk-UA"/>
        </w:rPr>
        <w:t>туристичних послуг.</w:t>
      </w:r>
    </w:p>
    <w:p w14:paraId="6E4FFA3B" w14:textId="21AB3579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ПР16.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5B7C26">
        <w:rPr>
          <w:bCs/>
          <w:iCs/>
          <w:szCs w:val="24"/>
          <w:lang w:eastAsia="uk-UA"/>
        </w:rPr>
        <w:t>громадянської свідомості.</w:t>
      </w:r>
    </w:p>
    <w:p w14:paraId="402F2C50" w14:textId="12E06743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ПР19. Аргументовано відстоювати свої по</w:t>
      </w:r>
      <w:r>
        <w:rPr>
          <w:bCs/>
          <w:iCs/>
          <w:szCs w:val="24"/>
          <w:lang w:eastAsia="uk-UA"/>
        </w:rPr>
        <w:t xml:space="preserve">гляди у розв’язанні професійних </w:t>
      </w:r>
      <w:r w:rsidRPr="00701715">
        <w:rPr>
          <w:bCs/>
          <w:iCs/>
          <w:szCs w:val="24"/>
          <w:lang w:eastAsia="uk-UA"/>
        </w:rPr>
        <w:t>завдань.</w:t>
      </w:r>
    </w:p>
    <w:p w14:paraId="6D67B65D" w14:textId="2215868B" w:rsidR="005B7C26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ПР21. Приймати обґрунтовані рішення та нести</w:t>
      </w:r>
      <w:r>
        <w:rPr>
          <w:bCs/>
          <w:iCs/>
          <w:szCs w:val="24"/>
          <w:lang w:eastAsia="uk-UA"/>
        </w:rPr>
        <w:t xml:space="preserve"> відповідальність за результати </w:t>
      </w:r>
      <w:r w:rsidRPr="00701715">
        <w:rPr>
          <w:bCs/>
          <w:iCs/>
          <w:szCs w:val="24"/>
          <w:lang w:eastAsia="uk-UA"/>
        </w:rPr>
        <w:t>своєї професійної діяльності.</w:t>
      </w:r>
    </w:p>
    <w:p w14:paraId="2AA460FF" w14:textId="4A08F44E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 xml:space="preserve">ПР22. </w:t>
      </w:r>
      <w:proofErr w:type="spellStart"/>
      <w:r w:rsidRPr="00701715">
        <w:rPr>
          <w:bCs/>
          <w:iCs/>
          <w:szCs w:val="24"/>
          <w:lang w:eastAsia="uk-UA"/>
        </w:rPr>
        <w:t>Професійно</w:t>
      </w:r>
      <w:proofErr w:type="spellEnd"/>
      <w:r w:rsidRPr="00701715">
        <w:rPr>
          <w:bCs/>
          <w:iCs/>
          <w:szCs w:val="24"/>
          <w:lang w:eastAsia="uk-UA"/>
        </w:rPr>
        <w:t xml:space="preserve"> виконувати завдання </w:t>
      </w:r>
      <w:r>
        <w:rPr>
          <w:bCs/>
          <w:iCs/>
          <w:szCs w:val="24"/>
          <w:lang w:eastAsia="uk-UA"/>
        </w:rPr>
        <w:t xml:space="preserve">в невизначених та екстремальних </w:t>
      </w:r>
      <w:r w:rsidRPr="00701715">
        <w:rPr>
          <w:bCs/>
          <w:iCs/>
          <w:szCs w:val="24"/>
          <w:lang w:eastAsia="uk-UA"/>
        </w:rPr>
        <w:t>ситуаціях.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926CB68" w:rsidR="00F53CB4" w:rsidRPr="00C83B22" w:rsidRDefault="007374A4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Наукові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засади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визначення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поняття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C83B22" w:rsidRPr="00C83B22">
              <w:rPr>
                <w:b/>
                <w:bCs/>
                <w:sz w:val="22"/>
                <w:szCs w:val="22"/>
                <w:lang w:val="ru-RU"/>
              </w:rPr>
              <w:t>туристична</w:t>
            </w:r>
            <w:proofErr w:type="spellEnd"/>
            <w:r w:rsidR="00C83B22" w:rsidRPr="00C83B2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дестинац</w:t>
            </w:r>
            <w:r w:rsidRPr="00C83B22">
              <w:rPr>
                <w:b/>
                <w:bCs/>
                <w:sz w:val="22"/>
                <w:szCs w:val="22"/>
              </w:rPr>
              <w:t>ія</w:t>
            </w:r>
            <w:proofErr w:type="spellEnd"/>
            <w:r w:rsidRPr="00C83B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6CA632FE" w:rsidR="00F53CB4" w:rsidRPr="007A343E" w:rsidRDefault="007374A4" w:rsidP="00C83B22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val="ru-RU" w:eastAsia="ru-RU"/>
              </w:rPr>
              <w:t>М</w:t>
            </w:r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ета і завдання дисципліни. Предмет, зміст і структура дисципліни. Туристична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дестинація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  як  центральний  елемент в процесі формування та реалізації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турпродукту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. Еволюція підходів до визначення поняття «туристична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дестинація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». Принцип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міждисциплінарності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 в розумінні  туристичних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дестинацій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>.</w:t>
            </w:r>
            <w:r w:rsidR="00C83B22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ацій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 xml:space="preserve">. Туристична і  рекреаційно-туристична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дестинації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 xml:space="preserve"> як  маркетингові одиниці й управлінські категорії. Складові елементи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дестинації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92EB770" w14:textId="77777777" w:rsidR="00C83B22" w:rsidRPr="00A26F65" w:rsidRDefault="00C83B22" w:rsidP="00C83B22">
            <w:pPr>
              <w:spacing w:line="216" w:lineRule="auto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A26F65">
              <w:rPr>
                <w:b/>
                <w:bCs/>
                <w:snapToGrid w:val="0"/>
                <w:sz w:val="22"/>
                <w:szCs w:val="22"/>
              </w:rPr>
              <w:t xml:space="preserve">Моделі рекреаційно-туристичних </w:t>
            </w:r>
            <w:proofErr w:type="spellStart"/>
            <w:r w:rsidRPr="00A26F65">
              <w:rPr>
                <w:b/>
                <w:bCs/>
                <w:snapToGrid w:val="0"/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  <w:p w14:paraId="26ECA047" w14:textId="4C7A844C" w:rsidR="00F53CB4" w:rsidRPr="007A343E" w:rsidRDefault="00F53CB4" w:rsidP="00F5143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7FDFFAB" w14:textId="2A5949C5" w:rsidR="00C83B22" w:rsidRPr="00C83B22" w:rsidRDefault="00C83B22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83B22">
              <w:rPr>
                <w:snapToGrid w:val="0"/>
                <w:sz w:val="22"/>
                <w:szCs w:val="22"/>
              </w:rPr>
              <w:t xml:space="preserve">Класифікація видів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Типологія  туристичних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Моделі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>:  еволюційно-генетична модель, функціональна  модель структурна модель</w:t>
            </w:r>
            <w:r>
              <w:rPr>
                <w:snapToGrid w:val="0"/>
                <w:sz w:val="22"/>
                <w:szCs w:val="22"/>
              </w:rPr>
              <w:t>,</w:t>
            </w:r>
            <w:r w:rsidR="00A26F65">
              <w:rPr>
                <w:snapToGrid w:val="0"/>
                <w:sz w:val="22"/>
                <w:szCs w:val="22"/>
              </w:rPr>
              <w:t xml:space="preserve"> </w:t>
            </w:r>
            <w:r w:rsidRPr="00C83B22">
              <w:rPr>
                <w:snapToGrid w:val="0"/>
                <w:sz w:val="22"/>
                <w:szCs w:val="22"/>
              </w:rPr>
              <w:t>типологічна модель</w:t>
            </w:r>
            <w:r>
              <w:rPr>
                <w:snapToGrid w:val="0"/>
                <w:sz w:val="22"/>
                <w:szCs w:val="22"/>
              </w:rPr>
              <w:t>,</w:t>
            </w:r>
            <w:r w:rsidRPr="00C83B22">
              <w:rPr>
                <w:snapToGrid w:val="0"/>
                <w:sz w:val="22"/>
                <w:szCs w:val="22"/>
              </w:rPr>
              <w:t xml:space="preserve"> інформаційна модель</w:t>
            </w:r>
            <w:r w:rsidR="00A26F65">
              <w:rPr>
                <w:snapToGrid w:val="0"/>
                <w:sz w:val="22"/>
                <w:szCs w:val="22"/>
              </w:rPr>
              <w:t xml:space="preserve">. </w:t>
            </w:r>
            <w:r w:rsidRPr="00C83B22">
              <w:rPr>
                <w:snapToGrid w:val="0"/>
                <w:sz w:val="22"/>
                <w:szCs w:val="22"/>
              </w:rPr>
              <w:t xml:space="preserve">Особливості  </w:t>
            </w:r>
            <w:r w:rsidRPr="00C83B22">
              <w:rPr>
                <w:snapToGrid w:val="0"/>
                <w:sz w:val="22"/>
                <w:szCs w:val="22"/>
              </w:rPr>
              <w:lastRenderedPageBreak/>
              <w:t xml:space="preserve">інтеграційних процесів в управлінні  організаціями індустрії туризму в регіоні.  Мережеві структури  співпраці  підприємств  в  туристичній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дестинації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Стратегічні альянси як форма співпраці в туристичній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дестинації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Поняття туристичного кластеру, його структура. Види кластерів. Умови  формування </w:t>
            </w:r>
          </w:p>
          <w:p w14:paraId="0F593638" w14:textId="56461B76" w:rsidR="00F53CB4" w:rsidRPr="00A604E4" w:rsidRDefault="00C83B22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83B22">
              <w:rPr>
                <w:snapToGrid w:val="0"/>
                <w:sz w:val="22"/>
                <w:szCs w:val="22"/>
              </w:rPr>
              <w:t xml:space="preserve">кластерних утворень.  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4429F313" w14:textId="77777777" w:rsidR="00A26F65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Інструменти управління туристичними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дестинаціями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A705FF" w14:textId="3E6FC77C" w:rsidR="00F53CB4" w:rsidRPr="007A343E" w:rsidRDefault="00F53CB4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632B0CA" w14:textId="199A1877" w:rsidR="00837E90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Елементи механізму менеджменту  туристичними </w:t>
            </w:r>
            <w:proofErr w:type="spellStart"/>
            <w:r w:rsidRPr="00A26F65">
              <w:rPr>
                <w:sz w:val="22"/>
                <w:szCs w:val="22"/>
              </w:rPr>
              <w:t>дестинаціями</w:t>
            </w:r>
            <w:proofErr w:type="spellEnd"/>
            <w:r w:rsidRPr="00A26F65">
              <w:rPr>
                <w:sz w:val="22"/>
                <w:szCs w:val="22"/>
              </w:rPr>
              <w:t xml:space="preserve">. Управлінський механізм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Вертикальна ієрархія  управління  розвитком туризму. Концепція прогресивного розвитку. Типи цілей державного управлінського механізму в туристичній індустрії. Методи вивчення туристичних  потоків і перспективних географічних ринків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>. Методика розрахунку індексів</w:t>
            </w:r>
            <w:r>
              <w:rPr>
                <w:sz w:val="22"/>
                <w:szCs w:val="22"/>
              </w:rPr>
              <w:t xml:space="preserve"> </w:t>
            </w:r>
            <w:r w:rsidRPr="00A26F65">
              <w:rPr>
                <w:sz w:val="22"/>
                <w:szCs w:val="22"/>
              </w:rPr>
              <w:t xml:space="preserve">туристичної вибірковості та пріоритетності ринку збуту </w:t>
            </w:r>
            <w:proofErr w:type="spellStart"/>
            <w:r w:rsidRPr="00A26F65">
              <w:rPr>
                <w:sz w:val="22"/>
                <w:szCs w:val="22"/>
              </w:rPr>
              <w:t>турпродукту</w:t>
            </w:r>
            <w:proofErr w:type="spellEnd"/>
            <w:r w:rsidRPr="00A26F65">
              <w:rPr>
                <w:sz w:val="22"/>
                <w:szCs w:val="22"/>
              </w:rPr>
              <w:t xml:space="preserve">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0DC699B6" w:rsidR="00F53CB4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Особливості управління туристичною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2B390CFA" w:rsidR="00F53CB4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Життєвий цикл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 (концепції </w:t>
            </w:r>
            <w:proofErr w:type="spellStart"/>
            <w:r w:rsidRPr="00A26F65">
              <w:rPr>
                <w:sz w:val="22"/>
                <w:szCs w:val="22"/>
              </w:rPr>
              <w:t>Плога</w:t>
            </w:r>
            <w:proofErr w:type="spellEnd"/>
            <w:r w:rsidRPr="00A26F65">
              <w:rPr>
                <w:sz w:val="22"/>
                <w:szCs w:val="22"/>
              </w:rPr>
              <w:t xml:space="preserve">, </w:t>
            </w:r>
            <w:proofErr w:type="spellStart"/>
            <w:r w:rsidRPr="00A26F65">
              <w:rPr>
                <w:sz w:val="22"/>
                <w:szCs w:val="22"/>
              </w:rPr>
              <w:t>Р.Батлера</w:t>
            </w:r>
            <w:proofErr w:type="spellEnd"/>
            <w:r w:rsidRPr="00A26F65">
              <w:rPr>
                <w:sz w:val="22"/>
                <w:szCs w:val="22"/>
              </w:rPr>
              <w:t xml:space="preserve">, </w:t>
            </w:r>
            <w:proofErr w:type="spellStart"/>
            <w:r w:rsidRPr="00A26F65">
              <w:rPr>
                <w:sz w:val="22"/>
                <w:szCs w:val="22"/>
              </w:rPr>
              <w:t>Т.Ткаченко</w:t>
            </w:r>
            <w:proofErr w:type="spellEnd"/>
            <w:r w:rsidRPr="00A26F65">
              <w:rPr>
                <w:sz w:val="22"/>
                <w:szCs w:val="22"/>
              </w:rPr>
              <w:t xml:space="preserve">). Еволюція циклу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 xml:space="preserve">. Гіпотетична </w:t>
            </w:r>
            <w:proofErr w:type="spellStart"/>
            <w:r w:rsidRPr="00A26F65">
              <w:rPr>
                <w:sz w:val="22"/>
                <w:szCs w:val="22"/>
              </w:rPr>
              <w:t>дестинація</w:t>
            </w:r>
            <w:proofErr w:type="spellEnd"/>
            <w:r w:rsidRPr="00A26F65">
              <w:rPr>
                <w:sz w:val="22"/>
                <w:szCs w:val="22"/>
              </w:rPr>
              <w:t xml:space="preserve">. Сталість розвитку туризму. Рекреаційно-туристичне природокористування .  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C0CB0FE" w14:textId="77777777" w:rsidR="00A26F65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Стратегічне планування розвитку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F8584A" w14:textId="22BC00BC" w:rsidR="00F53CB4" w:rsidRPr="00F31007" w:rsidRDefault="00F53CB4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6E5A1594" w:rsidR="00A26523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Туристична </w:t>
            </w:r>
            <w:proofErr w:type="spellStart"/>
            <w:r w:rsidRPr="00A26F65">
              <w:rPr>
                <w:sz w:val="22"/>
                <w:szCs w:val="22"/>
              </w:rPr>
              <w:t>дестинація</w:t>
            </w:r>
            <w:proofErr w:type="spellEnd"/>
            <w:r w:rsidRPr="00A26F65">
              <w:rPr>
                <w:sz w:val="22"/>
                <w:szCs w:val="22"/>
              </w:rPr>
              <w:t xml:space="preserve"> як об’єкт управління.  Принципи управління туристичною 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Цілі управління туристичною 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Поняття стратегічного планування  розвитку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 xml:space="preserve">, його інструментарій. Методологія аналізу та стратегічного планування розвитку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Методичні засади оцінювання туристичної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>. SWOT-аналіз основних напрямів  стратегічного розвитку регіону (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Р</w:t>
            </w:r>
            <w:r w:rsidRPr="00A26F65">
              <w:rPr>
                <w:sz w:val="22"/>
                <w:szCs w:val="22"/>
              </w:rPr>
              <w:t xml:space="preserve">озробка оперативних цілей стратегічного  розвитку. Організація виконання стратегічного плану, моніторинг результатів. 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2E4E8CA6" w:rsidR="00F53CB4" w:rsidRPr="00F9088E" w:rsidRDefault="00A26F65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Управління конкурентоспроможністю туристичної </w:t>
            </w:r>
            <w:proofErr w:type="spellStart"/>
            <w:r>
              <w:rPr>
                <w:b/>
                <w:sz w:val="22"/>
                <w:szCs w:val="22"/>
              </w:rPr>
              <w:t>дестинації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2950FA" w14:textId="3D8E6C81" w:rsidR="00F53CB4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Сутність і зміст конкуренції і конкурентних  переваг в туризмі. Особливості конкурентоспроможності туристичних 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Концептуальні моделі конкурентоспроможності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Оцінка конкурентоспроможності та привабливості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 Напрями  підвищення конкурентоспроможності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>. Провести аналіз туристичної привабливості регіону (за  вибором),  виділити його сильні та слабкі сторони, можливості та загрози.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A3C73CD" w14:textId="77777777" w:rsidR="001F333F" w:rsidRPr="001F333F" w:rsidRDefault="001F333F" w:rsidP="001F333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F333F">
              <w:rPr>
                <w:b/>
                <w:bCs/>
                <w:sz w:val="22"/>
                <w:szCs w:val="22"/>
              </w:rPr>
              <w:t xml:space="preserve">Управління маркетингом туристичних </w:t>
            </w:r>
            <w:proofErr w:type="spellStart"/>
            <w:r w:rsidRPr="001F333F">
              <w:rPr>
                <w:b/>
                <w:bCs/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DC82F0F" w14:textId="08AA7D20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7844A96" w14:textId="7FAC0FBC" w:rsidR="001F333F" w:rsidRPr="001F333F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333F">
              <w:rPr>
                <w:sz w:val="22"/>
                <w:szCs w:val="22"/>
              </w:rPr>
              <w:t xml:space="preserve">Територіальний маркетинг в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дестинаціях</w:t>
            </w:r>
            <w:proofErr w:type="spellEnd"/>
            <w:r w:rsidRPr="001F333F">
              <w:rPr>
                <w:sz w:val="22"/>
                <w:szCs w:val="22"/>
              </w:rPr>
              <w:t xml:space="preserve">. Формування маркетингової  стратегії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Формування  комплексу маркетингових комунікацій туристичних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Бренд – менеджмент туристичної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Сутність бренду туристичної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Розробка бренду і  </w:t>
            </w:r>
            <w:proofErr w:type="spellStart"/>
            <w:r w:rsidRPr="001F333F">
              <w:rPr>
                <w:sz w:val="22"/>
                <w:szCs w:val="22"/>
              </w:rPr>
              <w:t>брендбук</w:t>
            </w:r>
            <w:proofErr w:type="spellEnd"/>
            <w:r w:rsidRPr="001F333F">
              <w:rPr>
                <w:sz w:val="22"/>
                <w:szCs w:val="22"/>
              </w:rPr>
              <w:t xml:space="preserve">. Неформалізовані бренди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Формалізовані </w:t>
            </w:r>
            <w:proofErr w:type="spellStart"/>
            <w:r w:rsidRPr="001F333F">
              <w:rPr>
                <w:sz w:val="22"/>
                <w:szCs w:val="22"/>
              </w:rPr>
              <w:t>брендитуристичних</w:t>
            </w:r>
            <w:proofErr w:type="spellEnd"/>
            <w:r w:rsidRPr="001F333F">
              <w:rPr>
                <w:sz w:val="22"/>
                <w:szCs w:val="22"/>
              </w:rPr>
              <w:t xml:space="preserve">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 Концепція туристичного бренду </w:t>
            </w:r>
          </w:p>
          <w:p w14:paraId="680508C4" w14:textId="392E3B21" w:rsidR="00F9088E" w:rsidRPr="00F9088E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333F">
              <w:rPr>
                <w:sz w:val="22"/>
                <w:szCs w:val="22"/>
              </w:rPr>
              <w:lastRenderedPageBreak/>
              <w:t xml:space="preserve">України. Провести дослідження туристичного продукту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D64E2BD" w14:textId="525B6A04" w:rsidR="001F333F" w:rsidRPr="00313E83" w:rsidRDefault="001F333F" w:rsidP="001F333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313E83">
              <w:rPr>
                <w:b/>
                <w:bCs/>
                <w:sz w:val="22"/>
                <w:szCs w:val="22"/>
              </w:rPr>
              <w:t xml:space="preserve">Система формування та просування </w:t>
            </w:r>
            <w:proofErr w:type="spellStart"/>
            <w:r w:rsidRPr="00313E83">
              <w:rPr>
                <w:b/>
                <w:bCs/>
                <w:sz w:val="22"/>
                <w:szCs w:val="22"/>
              </w:rPr>
              <w:t>турпродукту</w:t>
            </w:r>
            <w:proofErr w:type="spellEnd"/>
            <w:r w:rsidRPr="00313E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13E83">
              <w:rPr>
                <w:b/>
                <w:bCs/>
                <w:sz w:val="22"/>
                <w:szCs w:val="22"/>
              </w:rPr>
              <w:t>дестинацій</w:t>
            </w:r>
            <w:proofErr w:type="spellEnd"/>
            <w:r w:rsidRPr="00313E8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5311C0" w14:textId="0F8EF1EB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9136684" w14:textId="3B88FD62" w:rsidR="00F9088E" w:rsidRPr="00F9088E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1F333F">
              <w:rPr>
                <w:sz w:val="22"/>
                <w:szCs w:val="22"/>
              </w:rPr>
              <w:t>Дестинація</w:t>
            </w:r>
            <w:proofErr w:type="spellEnd"/>
            <w:r w:rsidRPr="001F333F">
              <w:rPr>
                <w:sz w:val="22"/>
                <w:szCs w:val="22"/>
              </w:rPr>
              <w:t xml:space="preserve"> - продукт споживання як основа  впровадження карт-системи. Механізм дії карт-системи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Типи карток </w:t>
            </w:r>
            <w:proofErr w:type="spellStart"/>
            <w:r w:rsidRPr="001F333F">
              <w:rPr>
                <w:sz w:val="22"/>
                <w:szCs w:val="22"/>
              </w:rPr>
              <w:t>турпродукту</w:t>
            </w:r>
            <w:proofErr w:type="spellEnd"/>
            <w:r w:rsidRPr="001F333F">
              <w:rPr>
                <w:sz w:val="22"/>
                <w:szCs w:val="22"/>
              </w:rPr>
              <w:t xml:space="preserve">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Туристичні потоки та ринки збуту </w:t>
            </w:r>
            <w:proofErr w:type="spellStart"/>
            <w:r w:rsidRPr="001F333F">
              <w:rPr>
                <w:sz w:val="22"/>
                <w:szCs w:val="22"/>
              </w:rPr>
              <w:t>турпродукту</w:t>
            </w:r>
            <w:proofErr w:type="spellEnd"/>
            <w:r w:rsidRPr="001F333F">
              <w:rPr>
                <w:sz w:val="22"/>
                <w:szCs w:val="22"/>
              </w:rPr>
              <w:t xml:space="preserve">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Фактори розвитку туризму як ринку збуту послуг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 «Туристична привабливість» як фактор  розвитку 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Дослідити інноваційні маркетингові технології в туризмі, розробити пропозиції для конкретних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90EC598" w14:textId="422CDA0C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Туристичні  </w:t>
      </w:r>
      <w:proofErr w:type="spellStart"/>
      <w:r w:rsidRPr="00283AFC">
        <w:rPr>
          <w:szCs w:val="24"/>
        </w:rPr>
        <w:t>дестинації</w:t>
      </w:r>
      <w:proofErr w:type="spellEnd"/>
      <w:r w:rsidRPr="00283AFC">
        <w:rPr>
          <w:szCs w:val="24"/>
        </w:rPr>
        <w:t xml:space="preserve">  (теорія,  управління,  брендинг):  монографія  /  А.А. </w:t>
      </w:r>
      <w:proofErr w:type="spellStart"/>
      <w:r w:rsidRPr="00283AFC">
        <w:rPr>
          <w:szCs w:val="24"/>
        </w:rPr>
        <w:t>Мазаракі</w:t>
      </w:r>
      <w:proofErr w:type="spellEnd"/>
      <w:r w:rsidRPr="00283AFC">
        <w:rPr>
          <w:szCs w:val="24"/>
        </w:rPr>
        <w:t xml:space="preserve"> та ін.; за </w:t>
      </w:r>
      <w:proofErr w:type="spellStart"/>
      <w:r w:rsidRPr="00283AFC">
        <w:rPr>
          <w:szCs w:val="24"/>
        </w:rPr>
        <w:t>заг</w:t>
      </w:r>
      <w:proofErr w:type="spellEnd"/>
      <w:r w:rsidRPr="00283AFC">
        <w:rPr>
          <w:szCs w:val="24"/>
        </w:rPr>
        <w:t xml:space="preserve">. ред. А.А. </w:t>
      </w:r>
      <w:proofErr w:type="spellStart"/>
      <w:r w:rsidRPr="00283AFC">
        <w:rPr>
          <w:szCs w:val="24"/>
        </w:rPr>
        <w:t>Мазаракі</w:t>
      </w:r>
      <w:proofErr w:type="spellEnd"/>
      <w:r w:rsidRPr="00283AFC">
        <w:rPr>
          <w:szCs w:val="24"/>
        </w:rPr>
        <w:t xml:space="preserve">. – К.: КНТЕУ, 2013. – 388 с. </w:t>
      </w:r>
    </w:p>
    <w:p w14:paraId="70B69232" w14:textId="392896D3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Ткаченко Т. І. Сталий розвиток туризму: теорія, методологія, реалії бізнесу: монографія / Т. І. Ткаченко. – К. : КНТЕУ, 2009. – 463 с. </w:t>
      </w:r>
    </w:p>
    <w:p w14:paraId="0A500226" w14:textId="46D72F34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Басюк Д. І. Теоретичні і прикладні основи формування </w:t>
      </w:r>
      <w:proofErr w:type="spellStart"/>
      <w:r w:rsidRPr="00283AFC">
        <w:rPr>
          <w:szCs w:val="24"/>
        </w:rPr>
        <w:t>дестинацій</w:t>
      </w:r>
      <w:proofErr w:type="spellEnd"/>
      <w:r w:rsidRPr="00283AFC">
        <w:rPr>
          <w:szCs w:val="24"/>
        </w:rPr>
        <w:t xml:space="preserve"> винного туризму:  монографія. / Д. І. Басюк. – Кам'янець-Подільський: Видавець  ПП </w:t>
      </w:r>
      <w:proofErr w:type="spellStart"/>
      <w:r w:rsidRPr="00283AFC">
        <w:rPr>
          <w:szCs w:val="24"/>
        </w:rPr>
        <w:t>Д.Г.Зволейко</w:t>
      </w:r>
      <w:proofErr w:type="spellEnd"/>
      <w:r w:rsidRPr="00283AFC">
        <w:rPr>
          <w:szCs w:val="24"/>
        </w:rPr>
        <w:t xml:space="preserve">, 2014. 272с.  </w:t>
      </w:r>
    </w:p>
    <w:p w14:paraId="562686C6" w14:textId="738D49DF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proofErr w:type="spellStart"/>
      <w:r w:rsidRPr="00283AFC">
        <w:rPr>
          <w:szCs w:val="24"/>
        </w:rPr>
        <w:t>Божук</w:t>
      </w:r>
      <w:proofErr w:type="spellEnd"/>
      <w:r w:rsidRPr="00283AFC">
        <w:rPr>
          <w:szCs w:val="24"/>
        </w:rPr>
        <w:t xml:space="preserve"> Т. Рекреаційно-туристичні </w:t>
      </w:r>
      <w:proofErr w:type="spellStart"/>
      <w:r w:rsidRPr="00283AFC">
        <w:rPr>
          <w:szCs w:val="24"/>
        </w:rPr>
        <w:t>дестинації</w:t>
      </w:r>
      <w:proofErr w:type="spellEnd"/>
      <w:r w:rsidRPr="00283AFC">
        <w:rPr>
          <w:szCs w:val="24"/>
        </w:rPr>
        <w:t xml:space="preserve">: теорія, методологія, практика / Тетяна </w:t>
      </w:r>
      <w:proofErr w:type="spellStart"/>
      <w:r w:rsidRPr="00283AFC">
        <w:rPr>
          <w:szCs w:val="24"/>
        </w:rPr>
        <w:t>Божук</w:t>
      </w:r>
      <w:proofErr w:type="spellEnd"/>
      <w:r w:rsidRPr="00283AFC">
        <w:rPr>
          <w:szCs w:val="24"/>
        </w:rPr>
        <w:t xml:space="preserve">. – Львів: Український бестселер, 2014. – 400 с. </w:t>
      </w:r>
    </w:p>
    <w:p w14:paraId="7972861A" w14:textId="01D8DF5D" w:rsidR="001C3A61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Корж Н. В. Управління туристичними </w:t>
      </w:r>
      <w:proofErr w:type="spellStart"/>
      <w:r w:rsidRPr="00283AFC">
        <w:rPr>
          <w:szCs w:val="24"/>
        </w:rPr>
        <w:t>дестинаціями</w:t>
      </w:r>
      <w:proofErr w:type="spellEnd"/>
      <w:r w:rsidRPr="00283AFC">
        <w:rPr>
          <w:szCs w:val="24"/>
        </w:rPr>
        <w:t>: підручник / Корж Н. В., Басюк Д. І. – Вінниця: ПП «ТД Едельвейс і К», 2017. – 322 с.</w:t>
      </w:r>
    </w:p>
    <w:p w14:paraId="36716743" w14:textId="77777777" w:rsidR="00283AFC" w:rsidRDefault="00283AFC" w:rsidP="00283AFC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631C1B28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26D0DD3" w:rsidR="00F34871" w:rsidRPr="00A604E4" w:rsidRDefault="00283AF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23"/>
  </w:num>
  <w:num w:numId="7">
    <w:abstractNumId w:val="4"/>
  </w:num>
  <w:num w:numId="8">
    <w:abstractNumId w:val="17"/>
  </w:num>
  <w:num w:numId="9">
    <w:abstractNumId w:val="26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9"/>
  </w:num>
  <w:num w:numId="24">
    <w:abstractNumId w:val="30"/>
  </w:num>
  <w:num w:numId="25">
    <w:abstractNumId w:val="22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43607F"/>
    <w:rsid w:val="004513D7"/>
    <w:rsid w:val="004942B8"/>
    <w:rsid w:val="004A1213"/>
    <w:rsid w:val="004A1AD5"/>
    <w:rsid w:val="004A40CA"/>
    <w:rsid w:val="004B3131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26F65"/>
    <w:rsid w:val="00A44B07"/>
    <w:rsid w:val="00A604E4"/>
    <w:rsid w:val="00A6577E"/>
    <w:rsid w:val="00A7082C"/>
    <w:rsid w:val="00A91CAC"/>
    <w:rsid w:val="00A95A05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7</cp:revision>
  <dcterms:created xsi:type="dcterms:W3CDTF">2020-10-11T20:04:00Z</dcterms:created>
  <dcterms:modified xsi:type="dcterms:W3CDTF">2020-10-12T01:09:00Z</dcterms:modified>
</cp:coreProperties>
</file>