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2E" w:rsidRPr="00C956AB" w:rsidRDefault="00076BCD" w:rsidP="0099528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733D93" w:rsidRPr="00C956A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C968A1" w:rsidRPr="00C956AB">
        <w:rPr>
          <w:rFonts w:ascii="Times New Roman" w:hAnsi="Times New Roman"/>
          <w:b/>
          <w:sz w:val="28"/>
          <w:szCs w:val="28"/>
          <w:lang w:val="uk-UA"/>
        </w:rPr>
        <w:t>5</w:t>
      </w:r>
    </w:p>
    <w:p w:rsidR="00995288" w:rsidRPr="00C956AB" w:rsidRDefault="0038282E" w:rsidP="0099528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Н</w:t>
      </w:r>
      <w:r w:rsidR="00995288" w:rsidRPr="00C956AB">
        <w:rPr>
          <w:rFonts w:ascii="Times New Roman" w:hAnsi="Times New Roman"/>
          <w:b/>
          <w:sz w:val="28"/>
          <w:szCs w:val="28"/>
          <w:lang w:val="uk-UA"/>
        </w:rPr>
        <w:t>а тему:</w:t>
      </w:r>
      <w:r w:rsidR="00995288" w:rsidRPr="00C956AB">
        <w:rPr>
          <w:rFonts w:ascii="Times New Roman" w:hAnsi="Times New Roman"/>
          <w:b/>
          <w:color w:val="000000"/>
          <w:spacing w:val="2"/>
          <w:sz w:val="28"/>
          <w:szCs w:val="28"/>
          <w:lang w:val="uk-UA"/>
        </w:rPr>
        <w:t xml:space="preserve"> Вибір стратегічної позиції</w:t>
      </w:r>
      <w:r w:rsidR="00C956AB">
        <w:rPr>
          <w:rFonts w:ascii="Times New Roman" w:hAnsi="Times New Roman"/>
          <w:b/>
          <w:color w:val="000000"/>
          <w:spacing w:val="2"/>
          <w:sz w:val="28"/>
          <w:szCs w:val="28"/>
          <w:lang w:val="uk-UA"/>
        </w:rPr>
        <w:t xml:space="preserve"> </w:t>
      </w:r>
      <w:r w:rsidR="00995288" w:rsidRPr="00C956AB">
        <w:rPr>
          <w:rFonts w:ascii="Times New Roman" w:hAnsi="Times New Roman"/>
          <w:b/>
          <w:color w:val="000000"/>
          <w:spacing w:val="1"/>
          <w:sz w:val="28"/>
          <w:szCs w:val="28"/>
          <w:lang w:val="uk-UA"/>
        </w:rPr>
        <w:t>підприємства на підставі</w:t>
      </w:r>
    </w:p>
    <w:p w:rsidR="00995288" w:rsidRPr="00C956AB" w:rsidRDefault="00995288" w:rsidP="0099528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color w:val="000000"/>
          <w:spacing w:val="1"/>
          <w:sz w:val="28"/>
          <w:szCs w:val="28"/>
          <w:lang w:val="uk-UA"/>
        </w:rPr>
        <w:t>стратегічного аналізу</w:t>
      </w:r>
    </w:p>
    <w:p w:rsidR="00B17EB3" w:rsidRPr="00C956AB" w:rsidRDefault="00B17EB3" w:rsidP="00F913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337" w:rsidRPr="00C956AB" w:rsidRDefault="00F91337" w:rsidP="00B608DC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1. Для підприємства з діяльністю якого Ви обізнані проведіть сегментацію  зовнішнього середовища , виділивши  за  певними критеріями (потреба, технологія, споживачі, географічне місце розміщення, умови ведення бізнесу тощо ) та обґрунтувавши стратегічні зони господарювання.</w:t>
      </w:r>
    </w:p>
    <w:p w:rsidR="00F91337" w:rsidRPr="00C956AB" w:rsidRDefault="00F91337" w:rsidP="00B608D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Проведемо сегментацію зовнішнього середовища </w:t>
      </w:r>
      <w:r w:rsidR="00853080" w:rsidRPr="00C956AB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>та виділимо його стратегічні зони господарювання (СЗГ).</w:t>
      </w:r>
    </w:p>
    <w:p w:rsidR="00F91337" w:rsidRPr="00C956AB" w:rsidRDefault="00F91337" w:rsidP="00B608D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>Динамічність ринкової кон’юнктури, ускладнення умов провадження діяльності, наявність сильних конкурентів стало приводом для того, щоб провести сегментацію зон господарювання підприємства.</w:t>
      </w:r>
    </w:p>
    <w:p w:rsidR="00F91337" w:rsidRPr="00C956AB" w:rsidRDefault="00F91337" w:rsidP="00F9133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>Стратегічна зона господарювання (СЗГ) - це окремий сегмент бізнес-середовища організації, в якому вона працює (або планує працювати в перспективі).</w:t>
      </w:r>
    </w:p>
    <w:p w:rsidR="00F91337" w:rsidRPr="00C956AB" w:rsidRDefault="00F91337" w:rsidP="00F9133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>Перший крок аналізу стратегії складається у визначенні відповідних зон, їх дослідженні без зв'язків зі структурою організації чи її поточними послугами. Результат такого аналізу - оцінка перспективи, яка відкривається для організації в плані росту, стабільності та технології. Далі ця інформація потрібна для вибору способу конкуренції з іншими організаціями у відповідній області.</w:t>
      </w:r>
    </w:p>
    <w:p w:rsidR="00F91337" w:rsidRPr="00C956AB" w:rsidRDefault="00F91337" w:rsidP="00B608DC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 xml:space="preserve">Стратегічними зонами господарювання для </w:t>
      </w:r>
      <w:r w:rsidR="00B608DC" w:rsidRPr="00C956AB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C956AB">
        <w:rPr>
          <w:rFonts w:ascii="Times New Roman" w:hAnsi="Times New Roman"/>
          <w:sz w:val="28"/>
          <w:szCs w:val="28"/>
          <w:lang w:val="uk-UA"/>
        </w:rPr>
        <w:t xml:space="preserve"> зайнятості є:</w:t>
      </w:r>
    </w:p>
    <w:p w:rsidR="00B608DC" w:rsidRPr="00C956AB" w:rsidRDefault="00B608DC" w:rsidP="00B608DC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Наприклад:</w:t>
      </w:r>
    </w:p>
    <w:p w:rsidR="00F91337" w:rsidRPr="00C956AB" w:rsidRDefault="00F91337" w:rsidP="00B608DC">
      <w:pPr>
        <w:spacing w:after="0" w:line="360" w:lineRule="auto"/>
        <w:ind w:left="54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1.</w:t>
      </w:r>
      <w:r w:rsidR="00AD05E6" w:rsidRPr="00C956AB">
        <w:rPr>
          <w:rFonts w:ascii="Times New Roman" w:hAnsi="Times New Roman"/>
          <w:b/>
          <w:sz w:val="28"/>
          <w:szCs w:val="28"/>
          <w:lang w:val="uk-UA"/>
        </w:rPr>
        <w:t>Пошук вакансій</w:t>
      </w:r>
      <w:r w:rsidRPr="00C956AB"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F91337" w:rsidRPr="00C956AB" w:rsidRDefault="00B608DC" w:rsidP="00B608DC">
      <w:pPr>
        <w:spacing w:after="0" w:line="360" w:lineRule="auto"/>
        <w:ind w:left="54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2.</w:t>
      </w:r>
      <w:r w:rsidR="00AD05E6" w:rsidRPr="00C956AB">
        <w:rPr>
          <w:rFonts w:ascii="Times New Roman" w:hAnsi="Times New Roman"/>
          <w:b/>
          <w:sz w:val="28"/>
          <w:szCs w:val="28"/>
          <w:lang w:val="uk-UA"/>
        </w:rPr>
        <w:t>Організація навчання</w:t>
      </w:r>
      <w:r w:rsidR="00F91337" w:rsidRPr="00C956A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91337" w:rsidRPr="00C956AB" w:rsidRDefault="00F91337" w:rsidP="00B608DC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2. Для СЗГ</w:t>
      </w:r>
      <w:r w:rsidR="00AD05E6" w:rsidRPr="00C956AB">
        <w:rPr>
          <w:rFonts w:ascii="Times New Roman" w:hAnsi="Times New Roman"/>
          <w:b/>
          <w:sz w:val="28"/>
          <w:szCs w:val="28"/>
          <w:lang w:val="uk-UA"/>
        </w:rPr>
        <w:t xml:space="preserve"> організації</w:t>
      </w:r>
      <w:r w:rsidRPr="00C956AB">
        <w:rPr>
          <w:rFonts w:ascii="Times New Roman" w:hAnsi="Times New Roman"/>
          <w:b/>
          <w:sz w:val="28"/>
          <w:szCs w:val="28"/>
          <w:lang w:val="uk-UA"/>
        </w:rPr>
        <w:t xml:space="preserve">  провести оцінку перспективної привабливості (у випадку широкої диверсифікації діяльності фірми таку оцінку необхідно проводити для 2-3 СЗГ з найбільшою питомою вагою у портфелі фірми).</w:t>
      </w:r>
    </w:p>
    <w:p w:rsidR="00F91337" w:rsidRPr="00C956AB" w:rsidRDefault="00F91337" w:rsidP="00F9133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 xml:space="preserve">Оцінка привабливості СЗГ починається із складання прогнозу економічно соціально-політичних умов, а також технологічних умов діяльності організації  в зоні господарювання. </w:t>
      </w:r>
    </w:p>
    <w:p w:rsidR="00F91337" w:rsidRPr="00C956AB" w:rsidRDefault="00F91337" w:rsidP="00F9133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lastRenderedPageBreak/>
        <w:t xml:space="preserve">Крім того з’ясовується, наскільки нестабільними будуть умови господарювання в даній зоні, тобто наскільки багато несприятливих моментів для ведення бізнесу і сприятливих моментів в даній зоні господарювання. </w:t>
      </w:r>
    </w:p>
    <w:p w:rsidR="00B17EB3" w:rsidRPr="00C956AB" w:rsidRDefault="00B17EB3" w:rsidP="00B17E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 xml:space="preserve">Роблять прогноз на перспективу, щодо змін попиту та рентабельності у СЗГ. Такий прогноз роблять користуючись тестовими таблицями за допомогою аналізу факторів, що визначаються в даній зоні господарювання (перелік факторів див. табл. 1). </w:t>
      </w: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>Прогноз здійснюється методом бальної оцінки (за шкалою від –5 до +5).</w:t>
      </w:r>
    </w:p>
    <w:p w:rsidR="00B17EB3" w:rsidRPr="00C956AB" w:rsidRDefault="00B17EB3" w:rsidP="00B17EB3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Аналогічним же чином здійснюють оцінку перспективної рентабельності (див. табл. 2).</w:t>
      </w:r>
    </w:p>
    <w:p w:rsidR="00B608DC" w:rsidRPr="00C956AB" w:rsidRDefault="00B608DC" w:rsidP="00B608DC">
      <w:pPr>
        <w:shd w:val="clear" w:color="auto" w:fill="FFFFFF"/>
        <w:ind w:left="567"/>
        <w:jc w:val="both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Сполучення перспектив зростання </w:t>
      </w:r>
      <w:r w:rsidRPr="00C956AB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uk-UA"/>
        </w:rPr>
        <w:t>(П</w:t>
      </w:r>
      <w:r w:rsidRPr="00C956AB">
        <w:rPr>
          <w:rFonts w:ascii="Times New Roman" w:hAnsi="Times New Roman"/>
          <w:i/>
          <w:iCs/>
          <w:color w:val="000000"/>
          <w:spacing w:val="-4"/>
          <w:sz w:val="28"/>
          <w:szCs w:val="28"/>
          <w:vertAlign w:val="subscript"/>
          <w:lang w:val="uk-UA"/>
        </w:rPr>
        <w:t>зрост</w:t>
      </w:r>
      <w:r w:rsidRPr="00C956AB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uk-UA"/>
        </w:rPr>
        <w:t xml:space="preserve">) </w:t>
      </w:r>
      <w:r w:rsidRPr="00C956AB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СЗГ, параметрів </w:t>
      </w:r>
      <w:r w:rsidRPr="00C956AB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рентабельності </w:t>
      </w:r>
      <w:r w:rsidRPr="00C956A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uk-UA"/>
        </w:rPr>
        <w:t>(П</w:t>
      </w:r>
      <w:r w:rsidRPr="00C956AB">
        <w:rPr>
          <w:rFonts w:ascii="Times New Roman" w:hAnsi="Times New Roman"/>
          <w:i/>
          <w:iCs/>
          <w:color w:val="000000"/>
          <w:spacing w:val="-6"/>
          <w:sz w:val="28"/>
          <w:szCs w:val="28"/>
          <w:vertAlign w:val="subscript"/>
          <w:lang w:val="uk-UA"/>
        </w:rPr>
        <w:t>рент</w:t>
      </w:r>
      <w:r w:rsidRPr="00C956AB">
        <w:rPr>
          <w:rFonts w:ascii="Times New Roman" w:hAnsi="Times New Roman"/>
          <w:i/>
          <w:iCs/>
          <w:color w:val="000000"/>
          <w:spacing w:val="-6"/>
          <w:sz w:val="28"/>
          <w:szCs w:val="28"/>
          <w:lang w:val="uk-UA"/>
        </w:rPr>
        <w:t xml:space="preserve">) </w:t>
      </w:r>
      <w:r w:rsidRPr="00C956AB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та рівня нестабільності надає можливість </w:t>
      </w:r>
      <w:r w:rsidRPr="00C956A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одержання загальної оцінки привабливості СЗГ у майбутньому.</w:t>
      </w:r>
    </w:p>
    <w:p w:rsidR="00B608DC" w:rsidRPr="00C956AB" w:rsidRDefault="00B608DC" w:rsidP="00B608DC">
      <w:pPr>
        <w:shd w:val="clear" w:color="auto" w:fill="FFFFFF"/>
        <w:ind w:left="567"/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 xml:space="preserve">Оцінка привабливості СЗГ </w:t>
      </w:r>
      <w:r w:rsidRPr="00C956AB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(Дсзг) здійснюється за такою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  <w:t xml:space="preserve"> формулою:</w:t>
      </w:r>
    </w:p>
    <w:p w:rsidR="00B608DC" w:rsidRPr="00C956AB" w:rsidRDefault="00B608DC" w:rsidP="00B608DC">
      <w:pPr>
        <w:shd w:val="clear" w:color="auto" w:fill="FFFFFF"/>
        <w:ind w:left="567"/>
        <w:rPr>
          <w:rFonts w:ascii="Times New Roman" w:hAnsi="Times New Roman"/>
          <w:sz w:val="28"/>
          <w:szCs w:val="28"/>
          <w:vertAlign w:val="subscript"/>
          <w:lang w:val="uk-UA"/>
        </w:rPr>
      </w:pP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  <w:t>П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  <w:lang w:val="uk-UA"/>
        </w:rPr>
        <w:t>СЗГ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  <w:t>=а·П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  <w:lang w:val="uk-UA"/>
        </w:rPr>
        <w:t>зрост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  <w:t>+b·П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  <w:lang w:val="uk-UA"/>
        </w:rPr>
        <w:t>рент.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  <w:t>+с·Т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  <w:lang w:val="uk-UA"/>
        </w:rPr>
        <w:t>с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uk-UA"/>
        </w:rPr>
        <w:t>-d·Т</w:t>
      </w:r>
      <w:r w:rsidRPr="00C956AB">
        <w:rPr>
          <w:rFonts w:ascii="Times New Roman" w:hAnsi="Times New Roman"/>
          <w:i/>
          <w:iCs/>
          <w:color w:val="000000"/>
          <w:spacing w:val="-2"/>
          <w:sz w:val="28"/>
          <w:szCs w:val="28"/>
          <w:vertAlign w:val="subscript"/>
          <w:lang w:val="uk-UA"/>
        </w:rPr>
        <w:t>Н</w:t>
      </w:r>
    </w:p>
    <w:p w:rsidR="00B608DC" w:rsidRPr="00C956AB" w:rsidRDefault="00B608DC" w:rsidP="00B608DC">
      <w:pPr>
        <w:shd w:val="clear" w:color="auto" w:fill="FFFFFF"/>
        <w:ind w:left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 xml:space="preserve">де </w:t>
      </w:r>
      <w:r w:rsidRPr="00C956AB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Т</w:t>
      </w:r>
      <w:r w:rsidRPr="00C956AB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uk-UA"/>
        </w:rPr>
        <w:t>с</w:t>
      </w:r>
      <w:r w:rsidRPr="00C956AB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- </w:t>
      </w: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сприятливі тенденції </w:t>
      </w:r>
    </w:p>
    <w:p w:rsidR="00B608DC" w:rsidRPr="00C956AB" w:rsidRDefault="00B608DC" w:rsidP="00B608DC">
      <w:pPr>
        <w:shd w:val="clear" w:color="auto" w:fill="FFFFFF"/>
        <w:ind w:left="567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 w:rsidRPr="00C956A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uk-UA"/>
        </w:rPr>
        <w:t>Т</w:t>
      </w:r>
      <w:r w:rsidRPr="00C956AB">
        <w:rPr>
          <w:rFonts w:ascii="Times New Roman" w:hAnsi="Times New Roman"/>
          <w:i/>
          <w:iCs/>
          <w:color w:val="000000"/>
          <w:spacing w:val="-1"/>
          <w:sz w:val="28"/>
          <w:szCs w:val="28"/>
          <w:vertAlign w:val="subscript"/>
          <w:lang w:val="uk-UA"/>
        </w:rPr>
        <w:t>н</w:t>
      </w:r>
      <w:r w:rsidRPr="00C956AB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uk-UA"/>
        </w:rPr>
        <w:t xml:space="preserve"> - </w:t>
      </w:r>
      <w:r w:rsidRPr="00C956AB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несприятливі тенденції </w:t>
      </w:r>
    </w:p>
    <w:p w:rsidR="00B608DC" w:rsidRPr="00C956AB" w:rsidRDefault="00B608DC" w:rsidP="00B608DC">
      <w:pPr>
        <w:shd w:val="clear" w:color="auto" w:fill="FFFFFF"/>
        <w:ind w:left="567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C956AB">
        <w:rPr>
          <w:rFonts w:ascii="Times New Roman" w:hAnsi="Times New Roman"/>
          <w:i/>
          <w:iCs/>
          <w:color w:val="000000"/>
          <w:spacing w:val="-5"/>
          <w:sz w:val="28"/>
          <w:szCs w:val="28"/>
          <w:lang w:val="uk-UA"/>
        </w:rPr>
        <w:t xml:space="preserve">а, b, с, d — </w:t>
      </w:r>
      <w:r w:rsidRPr="00C956AB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коефіцієнти значущості кожного параметра</w:t>
      </w:r>
      <w:r w:rsidR="00C956AB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color w:val="000000"/>
          <w:sz w:val="28"/>
          <w:szCs w:val="28"/>
          <w:lang w:val="uk-UA"/>
        </w:rPr>
        <w:t>факторів попиту, рентабельності, сприятливих та несприятливих тенденцій для кожної зони господарювання. В сумі вони рівні одиниці.</w:t>
      </w:r>
    </w:p>
    <w:p w:rsidR="00B17EB3" w:rsidRPr="00C956AB" w:rsidRDefault="00B17EB3" w:rsidP="00B17EB3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Отже, проведемо оцінку комплексного параметру перспектив попиту в кожній із зон господарювання, використовуючи таблицю 1.</w:t>
      </w:r>
    </w:p>
    <w:p w:rsidR="00B17EB3" w:rsidRPr="00C956AB" w:rsidRDefault="00B17EB3" w:rsidP="00B17EB3">
      <w:pPr>
        <w:spacing w:after="0" w:line="360" w:lineRule="auto"/>
        <w:ind w:firstLine="539"/>
        <w:jc w:val="both"/>
        <w:rPr>
          <w:lang w:val="uk-UA"/>
        </w:rPr>
      </w:pPr>
    </w:p>
    <w:p w:rsidR="00B608DC" w:rsidRPr="00C956AB" w:rsidRDefault="00B608DC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7EB3" w:rsidRPr="00C956AB" w:rsidRDefault="00B17EB3" w:rsidP="00B608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Таблиця 1 – Оцінка комплексного параметру перспектив попиту в стратегічних зонах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0"/>
        <w:gridCol w:w="1770"/>
        <w:gridCol w:w="1620"/>
      </w:tblGrid>
      <w:tr w:rsidR="00B17EB3" w:rsidRPr="00C956AB" w:rsidTr="00B17EB3">
        <w:tc>
          <w:tcPr>
            <w:tcW w:w="5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Параметр</w:t>
            </w:r>
          </w:p>
        </w:tc>
        <w:tc>
          <w:tcPr>
            <w:tcW w:w="33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Оцінка</w:t>
            </w:r>
            <w:r w:rsidR="00A27FC1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lang w:val="uk-UA"/>
              </w:rPr>
              <w:t>значення параметра</w:t>
            </w:r>
          </w:p>
        </w:tc>
      </w:tr>
      <w:tr w:rsidR="00B17EB3" w:rsidRPr="00C956AB" w:rsidTr="00B17EB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EB3" w:rsidRPr="00C956AB" w:rsidRDefault="00B17EB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СЗГ-1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СЗГ-2</w:t>
            </w:r>
          </w:p>
        </w:tc>
      </w:tr>
      <w:tr w:rsidR="00B17EB3" w:rsidRPr="00C956AB" w:rsidTr="00B17EB3">
        <w:tc>
          <w:tcPr>
            <w:tcW w:w="5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1. Темп зростання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сфери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діяльності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2. Приріст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чисельності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споживачів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3. Динаміка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географічного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розширення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ринків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4. Ступінь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оновлення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основних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фондів і засобів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праці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5. Використання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сучасн</w:t>
            </w:r>
            <w:r w:rsidR="00E76CA7" w:rsidRPr="00C956AB">
              <w:rPr>
                <w:rFonts w:ascii="Times New Roman" w:hAnsi="Times New Roman"/>
                <w:lang w:val="uk-UA"/>
              </w:rPr>
              <w:t>ої техніки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6. Рівень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оновлення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7. Рівень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задоволеності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попиту та вимог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споживачів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8. Сприйнятливість</w:t>
            </w:r>
            <w:r w:rsidR="00E76CA7" w:rsidRPr="00C956AB">
              <w:rPr>
                <w:rFonts w:ascii="Times New Roman" w:hAnsi="Times New Roman"/>
                <w:lang w:val="uk-UA"/>
              </w:rPr>
              <w:t xml:space="preserve"> послуг </w:t>
            </w:r>
            <w:r w:rsidRPr="00C956AB">
              <w:rPr>
                <w:rFonts w:ascii="Times New Roman" w:hAnsi="Times New Roman"/>
                <w:lang w:val="uk-UA"/>
              </w:rPr>
              <w:t>суспільством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9. Рівень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доходів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населення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7EB3" w:rsidRPr="00C956AB" w:rsidTr="00B17EB3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10. Рівень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якості та надійності</w:t>
            </w:r>
            <w:r w:rsidR="00C956AB" w:rsidRP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послуг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7EB3" w:rsidRPr="00C956AB" w:rsidRDefault="00B17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B36EAD">
        <w:tc>
          <w:tcPr>
            <w:tcW w:w="5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Комплексний параметр перспектив попиту в СЗГ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B17EB3" w:rsidRPr="00C956AB" w:rsidRDefault="00B17EB3" w:rsidP="00B17EB3">
      <w:pPr>
        <w:spacing w:line="360" w:lineRule="auto"/>
        <w:jc w:val="both"/>
        <w:rPr>
          <w:lang w:val="uk-UA"/>
        </w:rPr>
      </w:pPr>
    </w:p>
    <w:p w:rsidR="00E76CA7" w:rsidRPr="00C956AB" w:rsidRDefault="00E76CA7" w:rsidP="00E76CA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Тепер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оцінимо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значення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комплексних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параметрів перспектив рентабельності в кожній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із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наведених зон господарювання. Для цього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скористаємось таблицею 2.</w:t>
      </w:r>
    </w:p>
    <w:p w:rsidR="00E76CA7" w:rsidRPr="00C956AB" w:rsidRDefault="00E76CA7" w:rsidP="00E76CA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E76CA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8DC" w:rsidRPr="00C956AB" w:rsidRDefault="00B608DC" w:rsidP="00E76CA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CA7" w:rsidRPr="00C956AB" w:rsidRDefault="00E76CA7" w:rsidP="000C0A2A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lastRenderedPageBreak/>
        <w:t>Таблиця 2 – Оцінка комплексного параметру перспектив рентабельності в стратегічних зонах господарювання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0"/>
        <w:gridCol w:w="1770"/>
        <w:gridCol w:w="1620"/>
      </w:tblGrid>
      <w:tr w:rsidR="00E76CA7" w:rsidRPr="00C956AB" w:rsidTr="00E76CA7">
        <w:tc>
          <w:tcPr>
            <w:tcW w:w="5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Параметр</w:t>
            </w:r>
          </w:p>
        </w:tc>
        <w:tc>
          <w:tcPr>
            <w:tcW w:w="33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Оцінка</w:t>
            </w:r>
            <w:r w:rsidR="00C956AB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lang w:val="uk-UA"/>
              </w:rPr>
              <w:t>значення параметра</w:t>
            </w:r>
          </w:p>
        </w:tc>
      </w:tr>
      <w:tr w:rsidR="00E76CA7" w:rsidRPr="00C956AB" w:rsidTr="00E76CA7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A7" w:rsidRPr="00C956AB" w:rsidRDefault="00E76CA7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СЗГ-1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СЗГ-2</w:t>
            </w:r>
          </w:p>
        </w:tc>
      </w:tr>
      <w:tr w:rsidR="00E76CA7" w:rsidRPr="00C956AB" w:rsidTr="00E76CA7">
        <w:tc>
          <w:tcPr>
            <w:tcW w:w="5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1. Коливання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рентабельності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2. Рівень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попиту по відношенню до послуг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3. Стабільність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структури ринку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4. Оновлення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асортименту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послуг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5. Тривалість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життєвих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циклів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6. Агресивність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ведучих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конкурентів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7. Інтенсивність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реклами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8. Ступінь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задоволення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споживачів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9. Тиск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споживачів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10. Державне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регулювання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сфери</w:t>
            </w:r>
            <w:r w:rsidR="00C956AB">
              <w:rPr>
                <w:rFonts w:ascii="Times New Roman" w:hAnsi="Times New Roman"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lang w:val="uk-UA"/>
              </w:rPr>
              <w:t>діяльності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76CA7" w:rsidRPr="00C956AB" w:rsidTr="00E76CA7">
        <w:tc>
          <w:tcPr>
            <w:tcW w:w="5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 xml:space="preserve">Комплексний параметр </w:t>
            </w:r>
          </w:p>
          <w:p w:rsidR="00E76CA7" w:rsidRPr="00C956AB" w:rsidRDefault="00E76CA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перспектив рентабельності в СЗГ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A7" w:rsidRPr="00C956AB" w:rsidRDefault="00E76CA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76CA7" w:rsidRPr="00C956AB" w:rsidRDefault="00E76CA7" w:rsidP="00E76CA7">
      <w:pPr>
        <w:spacing w:line="360" w:lineRule="auto"/>
        <w:ind w:firstLine="540"/>
        <w:jc w:val="both"/>
        <w:rPr>
          <w:lang w:val="uk-UA"/>
        </w:rPr>
      </w:pPr>
    </w:p>
    <w:p w:rsidR="00E76CA7" w:rsidRPr="00C956AB" w:rsidRDefault="00E76CA7" w:rsidP="00E76CA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 xml:space="preserve">Комплексна 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>оцінка сприятливих</w:t>
      </w:r>
      <w:r w:rsidRPr="00C956A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608DC" w:rsidRPr="00C956AB">
        <w:rPr>
          <w:rFonts w:ascii="Times New Roman" w:hAnsi="Times New Roman"/>
          <w:i/>
          <w:iCs/>
          <w:sz w:val="28"/>
          <w:szCs w:val="28"/>
          <w:lang w:val="uk-UA"/>
        </w:rPr>
        <w:t>Т</w:t>
      </w:r>
      <w:r w:rsidR="00B608DC" w:rsidRPr="00C956AB">
        <w:rPr>
          <w:rFonts w:ascii="Times New Roman" w:hAnsi="Times New Roman"/>
          <w:i/>
          <w:iCs/>
          <w:sz w:val="20"/>
          <w:szCs w:val="20"/>
          <w:lang w:val="uk-UA"/>
        </w:rPr>
        <w:t>с</w:t>
      </w:r>
      <w:r w:rsidRPr="00C956AB">
        <w:rPr>
          <w:rFonts w:ascii="Times New Roman" w:hAnsi="Times New Roman"/>
          <w:sz w:val="28"/>
          <w:szCs w:val="28"/>
          <w:lang w:val="uk-UA"/>
        </w:rPr>
        <w:t>) та несприятливих (</w:t>
      </w:r>
      <w:r w:rsidRPr="00C956AB">
        <w:rPr>
          <w:rFonts w:ascii="Times New Roman" w:hAnsi="Times New Roman"/>
          <w:i/>
          <w:iCs/>
          <w:sz w:val="28"/>
          <w:szCs w:val="28"/>
          <w:lang w:val="uk-UA"/>
        </w:rPr>
        <w:t>Т</w:t>
      </w:r>
      <w:r w:rsidR="00B608DC" w:rsidRPr="00C956AB">
        <w:rPr>
          <w:rFonts w:ascii="Times New Roman" w:hAnsi="Times New Roman"/>
          <w:i/>
          <w:iCs/>
          <w:sz w:val="20"/>
          <w:szCs w:val="20"/>
          <w:lang w:val="uk-UA"/>
        </w:rPr>
        <w:t>н</w:t>
      </w:r>
      <w:r w:rsidRPr="00C956AB">
        <w:rPr>
          <w:rFonts w:ascii="Times New Roman" w:hAnsi="Times New Roman"/>
          <w:sz w:val="28"/>
          <w:szCs w:val="28"/>
          <w:lang w:val="uk-UA"/>
        </w:rPr>
        <w:t xml:space="preserve">) чинників для </w:t>
      </w:r>
      <w:r w:rsidR="00C956AB" w:rsidRPr="00C956AB">
        <w:rPr>
          <w:rFonts w:ascii="Times New Roman" w:hAnsi="Times New Roman"/>
          <w:sz w:val="28"/>
          <w:szCs w:val="28"/>
          <w:lang w:val="uk-UA"/>
        </w:rPr>
        <w:t>ведення бізнесу</w:t>
      </w:r>
      <w:r w:rsidRPr="00C956AB">
        <w:rPr>
          <w:rFonts w:ascii="Times New Roman" w:hAnsi="Times New Roman"/>
          <w:sz w:val="28"/>
          <w:szCs w:val="28"/>
          <w:lang w:val="uk-UA"/>
        </w:rPr>
        <w:t xml:space="preserve"> в кожній СЗГ оцінюються за шкалою від 0 до 5 балів. Оскільки для обраних нами СЗГ вплив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зовнішніх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факторів є досить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сильним, то:</w:t>
      </w:r>
    </w:p>
    <w:p w:rsidR="00E76CA7" w:rsidRPr="00C956AB" w:rsidRDefault="00E76CA7" w:rsidP="00E76CA7">
      <w:pPr>
        <w:pStyle w:val="10"/>
        <w:numPr>
          <w:ilvl w:val="0"/>
          <w:numId w:val="2"/>
        </w:numPr>
        <w:spacing w:line="360" w:lineRule="auto"/>
        <w:ind w:firstLine="54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для СЗГ-1: </w:t>
      </w:r>
      <w:r w:rsidR="00B608DC" w:rsidRPr="00C956AB">
        <w:rPr>
          <w:i/>
          <w:iCs/>
          <w:sz w:val="28"/>
          <w:szCs w:val="28"/>
        </w:rPr>
        <w:t>Т</w:t>
      </w:r>
      <w:r w:rsidR="00B608DC" w:rsidRPr="00C956AB">
        <w:rPr>
          <w:i/>
          <w:iCs/>
          <w:sz w:val="20"/>
          <w:szCs w:val="20"/>
        </w:rPr>
        <w:t>с</w:t>
      </w:r>
      <w:r w:rsidRPr="00C956AB">
        <w:rPr>
          <w:sz w:val="28"/>
          <w:szCs w:val="28"/>
        </w:rPr>
        <w:t xml:space="preserve">= </w:t>
      </w:r>
      <w:r w:rsidR="00853080" w:rsidRPr="00C956AB">
        <w:rPr>
          <w:sz w:val="28"/>
          <w:szCs w:val="28"/>
        </w:rPr>
        <w:t>_</w:t>
      </w:r>
      <w:r w:rsidRPr="00C956AB">
        <w:rPr>
          <w:sz w:val="28"/>
          <w:szCs w:val="28"/>
        </w:rPr>
        <w:t xml:space="preserve">, </w:t>
      </w:r>
      <w:r w:rsidRPr="00C956AB">
        <w:rPr>
          <w:i/>
          <w:iCs/>
          <w:sz w:val="28"/>
          <w:szCs w:val="28"/>
        </w:rPr>
        <w:t>Т</w:t>
      </w:r>
      <w:r w:rsidR="00B608DC" w:rsidRPr="00C956AB">
        <w:rPr>
          <w:i/>
          <w:sz w:val="20"/>
          <w:szCs w:val="20"/>
        </w:rPr>
        <w:t>н</w:t>
      </w:r>
      <w:r w:rsidRPr="00C956AB">
        <w:rPr>
          <w:sz w:val="28"/>
          <w:szCs w:val="28"/>
        </w:rPr>
        <w:t xml:space="preserve">= </w:t>
      </w:r>
      <w:r w:rsidR="00853080" w:rsidRPr="00C956AB">
        <w:rPr>
          <w:sz w:val="28"/>
          <w:szCs w:val="28"/>
        </w:rPr>
        <w:t>_.</w:t>
      </w:r>
    </w:p>
    <w:p w:rsidR="00E76CA7" w:rsidRPr="00C956AB" w:rsidRDefault="00E76CA7" w:rsidP="00E76CA7">
      <w:pPr>
        <w:pStyle w:val="10"/>
        <w:numPr>
          <w:ilvl w:val="0"/>
          <w:numId w:val="2"/>
        </w:numPr>
        <w:spacing w:line="360" w:lineRule="auto"/>
        <w:ind w:firstLine="54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для СЗГ-2: </w:t>
      </w:r>
      <w:r w:rsidR="00B608DC" w:rsidRPr="00C956AB">
        <w:rPr>
          <w:i/>
          <w:iCs/>
          <w:sz w:val="28"/>
          <w:szCs w:val="28"/>
        </w:rPr>
        <w:t>Т</w:t>
      </w:r>
      <w:r w:rsidR="00B608DC" w:rsidRPr="00C956AB">
        <w:rPr>
          <w:i/>
          <w:iCs/>
          <w:sz w:val="20"/>
          <w:szCs w:val="20"/>
        </w:rPr>
        <w:t>с</w:t>
      </w:r>
      <w:r w:rsidRPr="00C956AB">
        <w:rPr>
          <w:sz w:val="28"/>
          <w:szCs w:val="28"/>
        </w:rPr>
        <w:t xml:space="preserve"> = </w:t>
      </w:r>
      <w:r w:rsidR="00853080" w:rsidRPr="00C956AB">
        <w:rPr>
          <w:sz w:val="28"/>
          <w:szCs w:val="28"/>
        </w:rPr>
        <w:t>_</w:t>
      </w:r>
      <w:r w:rsidRPr="00C956AB">
        <w:rPr>
          <w:sz w:val="28"/>
          <w:szCs w:val="28"/>
        </w:rPr>
        <w:t xml:space="preserve">, </w:t>
      </w:r>
      <w:r w:rsidR="00B608DC" w:rsidRPr="00C956AB">
        <w:rPr>
          <w:i/>
          <w:iCs/>
          <w:sz w:val="28"/>
          <w:szCs w:val="28"/>
        </w:rPr>
        <w:t>Т</w:t>
      </w:r>
      <w:r w:rsidR="00B608DC" w:rsidRPr="00C956AB">
        <w:rPr>
          <w:i/>
          <w:iCs/>
          <w:sz w:val="20"/>
          <w:szCs w:val="20"/>
        </w:rPr>
        <w:t>н</w:t>
      </w:r>
      <w:r w:rsidRPr="00C956AB">
        <w:rPr>
          <w:sz w:val="28"/>
          <w:szCs w:val="28"/>
        </w:rPr>
        <w:t xml:space="preserve"> = </w:t>
      </w:r>
      <w:r w:rsidR="00853080" w:rsidRPr="00C956AB">
        <w:rPr>
          <w:sz w:val="28"/>
          <w:szCs w:val="28"/>
        </w:rPr>
        <w:t>_</w:t>
      </w:r>
      <w:r w:rsidRPr="00C956AB">
        <w:rPr>
          <w:sz w:val="28"/>
          <w:szCs w:val="28"/>
        </w:rPr>
        <w:t>.</w:t>
      </w:r>
    </w:p>
    <w:p w:rsidR="00E76CA7" w:rsidRPr="00C956AB" w:rsidRDefault="00E76CA7" w:rsidP="00E76CA7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Значення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коефіцієнтів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питомої ваги факторів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аналітичної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моделі (1) для кожної СЗГ наведено нижче:</w:t>
      </w:r>
    </w:p>
    <w:p w:rsidR="00E76CA7" w:rsidRPr="00C956AB" w:rsidRDefault="00E76CA7" w:rsidP="00E76CA7">
      <w:pPr>
        <w:pStyle w:val="10"/>
        <w:numPr>
          <w:ilvl w:val="0"/>
          <w:numId w:val="3"/>
        </w:numPr>
        <w:spacing w:line="360" w:lineRule="auto"/>
        <w:ind w:firstLine="540"/>
        <w:jc w:val="both"/>
        <w:rPr>
          <w:sz w:val="28"/>
          <w:szCs w:val="28"/>
        </w:rPr>
      </w:pPr>
      <w:r w:rsidRPr="00C956AB">
        <w:rPr>
          <w:sz w:val="28"/>
          <w:szCs w:val="28"/>
        </w:rPr>
        <w:lastRenderedPageBreak/>
        <w:t xml:space="preserve">для СЗГ-1: </w:t>
      </w:r>
      <w:r w:rsidRPr="00C956AB">
        <w:rPr>
          <w:i/>
          <w:iCs/>
          <w:sz w:val="28"/>
          <w:szCs w:val="28"/>
        </w:rPr>
        <w:t>α</w:t>
      </w:r>
      <w:r w:rsidRPr="00C956AB">
        <w:rPr>
          <w:sz w:val="28"/>
          <w:szCs w:val="28"/>
        </w:rPr>
        <w:t xml:space="preserve"> = 0,4; </w:t>
      </w:r>
      <w:r w:rsidRPr="00C956AB">
        <w:rPr>
          <w:i/>
          <w:iCs/>
          <w:sz w:val="28"/>
          <w:szCs w:val="28"/>
        </w:rPr>
        <w:t>β</w:t>
      </w:r>
      <w:r w:rsidRPr="00C956AB">
        <w:rPr>
          <w:sz w:val="28"/>
          <w:szCs w:val="28"/>
        </w:rPr>
        <w:t xml:space="preserve"> = 0,3; </w:t>
      </w:r>
      <w:r w:rsidRPr="00C956AB">
        <w:rPr>
          <w:i/>
          <w:iCs/>
          <w:sz w:val="28"/>
          <w:szCs w:val="28"/>
        </w:rPr>
        <w:t>γ</w:t>
      </w:r>
      <w:r w:rsidRPr="00C956AB">
        <w:rPr>
          <w:sz w:val="28"/>
          <w:szCs w:val="28"/>
        </w:rPr>
        <w:t xml:space="preserve"> = 0,2; </w:t>
      </w:r>
      <w:r w:rsidRPr="00C956AB">
        <w:rPr>
          <w:i/>
          <w:iCs/>
          <w:sz w:val="28"/>
          <w:szCs w:val="28"/>
        </w:rPr>
        <w:t>δ</w:t>
      </w:r>
      <w:r w:rsidRPr="00C956AB">
        <w:rPr>
          <w:sz w:val="28"/>
          <w:szCs w:val="28"/>
        </w:rPr>
        <w:t xml:space="preserve"> = 0,1;</w:t>
      </w:r>
    </w:p>
    <w:p w:rsidR="00E76CA7" w:rsidRPr="00C956AB" w:rsidRDefault="00E76CA7" w:rsidP="00E76CA7">
      <w:pPr>
        <w:pStyle w:val="10"/>
        <w:numPr>
          <w:ilvl w:val="0"/>
          <w:numId w:val="3"/>
        </w:numPr>
        <w:spacing w:line="360" w:lineRule="auto"/>
        <w:ind w:firstLine="54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для СЗГ-2: </w:t>
      </w:r>
      <w:r w:rsidRPr="00C956AB">
        <w:rPr>
          <w:i/>
          <w:iCs/>
          <w:sz w:val="28"/>
          <w:szCs w:val="28"/>
        </w:rPr>
        <w:t>α</w:t>
      </w:r>
      <w:r w:rsidRPr="00C956AB">
        <w:rPr>
          <w:sz w:val="28"/>
          <w:szCs w:val="28"/>
        </w:rPr>
        <w:t xml:space="preserve"> = 0,4; </w:t>
      </w:r>
      <w:r w:rsidRPr="00C956AB">
        <w:rPr>
          <w:i/>
          <w:iCs/>
          <w:sz w:val="28"/>
          <w:szCs w:val="28"/>
        </w:rPr>
        <w:t>β</w:t>
      </w:r>
      <w:r w:rsidRPr="00C956AB">
        <w:rPr>
          <w:sz w:val="28"/>
          <w:szCs w:val="28"/>
        </w:rPr>
        <w:t xml:space="preserve"> = 0,3; </w:t>
      </w:r>
      <w:r w:rsidRPr="00C956AB">
        <w:rPr>
          <w:i/>
          <w:iCs/>
          <w:sz w:val="28"/>
          <w:szCs w:val="28"/>
        </w:rPr>
        <w:t>γ</w:t>
      </w:r>
      <w:r w:rsidRPr="00C956AB">
        <w:rPr>
          <w:sz w:val="28"/>
          <w:szCs w:val="28"/>
        </w:rPr>
        <w:t xml:space="preserve"> = 0,2; </w:t>
      </w:r>
      <w:r w:rsidRPr="00C956AB">
        <w:rPr>
          <w:i/>
          <w:iCs/>
          <w:sz w:val="28"/>
          <w:szCs w:val="28"/>
        </w:rPr>
        <w:t>δ</w:t>
      </w:r>
      <w:r w:rsidRPr="00C956AB">
        <w:rPr>
          <w:sz w:val="28"/>
          <w:szCs w:val="28"/>
        </w:rPr>
        <w:t xml:space="preserve"> = 0,1;</w:t>
      </w:r>
    </w:p>
    <w:p w:rsidR="00E76CA7" w:rsidRPr="00C956AB" w:rsidRDefault="00E76CA7" w:rsidP="00E76CA7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68FB" w:rsidRPr="00C956AB" w:rsidRDefault="002768FB" w:rsidP="002768F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Виконаємо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обчислення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стратегічної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привабливості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кожної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стратегічної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зони</w:t>
      </w:r>
      <w:r w:rsidR="00A2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господарювання у майбутньому.</w:t>
      </w:r>
    </w:p>
    <w:p w:rsidR="002768FB" w:rsidRPr="00C956AB" w:rsidRDefault="00C11EFB" w:rsidP="002768FB">
      <w:pPr>
        <w:spacing w:line="36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56AB">
        <w:rPr>
          <w:rFonts w:ascii="Times New Roman" w:eastAsia="Times New Roman" w:hAnsi="Times New Roman"/>
          <w:noProof/>
          <w:color w:val="000000"/>
          <w:position w:val="-30"/>
          <w:sz w:val="28"/>
          <w:szCs w:val="28"/>
          <w:lang w:val="uk-UA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6pt" o:ole="">
            <v:imagedata r:id="rId7" o:title=""/>
          </v:shape>
          <o:OLEObject Type="Embed" ProgID="Equation.3" ShapeID="_x0000_i1025" DrawAspect="Content" ObjectID="_1667027040" r:id="rId8"/>
        </w:object>
      </w:r>
    </w:p>
    <w:p w:rsidR="002768FB" w:rsidRPr="00C956AB" w:rsidRDefault="002768FB" w:rsidP="002768F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Для розшифровки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результатів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дослідження, скористаємось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наступною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оцінювальною шкалою:</w:t>
      </w:r>
    </w:p>
    <w:p w:rsidR="002768FB" w:rsidRPr="00C956AB" w:rsidRDefault="002768FB" w:rsidP="002768F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0 – 2,0 балів – низький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рівень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привабливості;</w:t>
      </w:r>
    </w:p>
    <w:p w:rsidR="002768FB" w:rsidRPr="00C956AB" w:rsidRDefault="002768FB" w:rsidP="002768F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2,1 – 3,5 балів – середній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рівень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привабливості;</w:t>
      </w:r>
    </w:p>
    <w:p w:rsidR="002768FB" w:rsidRPr="00C956AB" w:rsidRDefault="002768FB" w:rsidP="002768F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3,6 – 5,0 балів – високий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C956AB">
        <w:rPr>
          <w:rFonts w:ascii="Times New Roman" w:hAnsi="Times New Roman"/>
          <w:sz w:val="28"/>
          <w:szCs w:val="28"/>
          <w:lang w:val="uk-UA"/>
        </w:rPr>
        <w:t>івень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привабливості.</w:t>
      </w:r>
    </w:p>
    <w:p w:rsidR="00853080" w:rsidRPr="00C956AB" w:rsidRDefault="00853080" w:rsidP="00853080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Висновок стосовно підприємства:</w:t>
      </w:r>
    </w:p>
    <w:p w:rsidR="002768FB" w:rsidRPr="00C956AB" w:rsidRDefault="002768FB" w:rsidP="00853080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3. Для СЗГ </w:t>
      </w:r>
      <w:r w:rsidR="00C956AB">
        <w:rPr>
          <w:rFonts w:ascii="Times New Roman" w:hAnsi="Times New Roman"/>
          <w:b/>
          <w:sz w:val="28"/>
          <w:szCs w:val="28"/>
          <w:lang w:val="uk-UA"/>
        </w:rPr>
        <w:t>фірми провести оцінку конкурент</w:t>
      </w:r>
      <w:r w:rsidR="00C956AB" w:rsidRPr="00C956AB">
        <w:rPr>
          <w:rFonts w:ascii="Times New Roman" w:hAnsi="Times New Roman"/>
          <w:b/>
          <w:sz w:val="28"/>
          <w:szCs w:val="28"/>
          <w:lang w:val="uk-UA"/>
        </w:rPr>
        <w:t>оспроможності</w:t>
      </w:r>
      <w:r w:rsidRPr="00C956AB">
        <w:rPr>
          <w:rFonts w:ascii="Times New Roman" w:hAnsi="Times New Roman"/>
          <w:b/>
          <w:sz w:val="28"/>
          <w:szCs w:val="28"/>
          <w:lang w:val="uk-UA"/>
        </w:rPr>
        <w:t>, користуючись методом  ключових факторів успіху. Прийняти до уваги, що фактори успіху будуть відрізнятися для різних СЗГ.</w:t>
      </w:r>
    </w:p>
    <w:p w:rsidR="002768FB" w:rsidRPr="00C956AB" w:rsidRDefault="002768FB" w:rsidP="002768F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Проведемо оцінку конкурентоспроможності стратегічних зон господарювання організації</w:t>
      </w:r>
    </w:p>
    <w:p w:rsidR="002768FB" w:rsidRPr="00C956AB" w:rsidRDefault="002768FB" w:rsidP="002768F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 xml:space="preserve">В процесі оцінювання СЗГ організації, доцільно також з’ясувати, які конкурентні переваги вона має в даному бізнесі, як їх можна втримати та посилити. </w:t>
      </w:r>
    </w:p>
    <w:p w:rsidR="002768FB" w:rsidRPr="00C956AB" w:rsidRDefault="002768FB" w:rsidP="002768F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Під конкурентними перевагами розуміють унікальні ресурси та можливості організації, а також важливі для даного бізнесу стратегічні зони господарювання, які допомагають перемагати у конкурентній боротьбі.</w:t>
      </w:r>
    </w:p>
    <w:p w:rsidR="002768FB" w:rsidRPr="00C956AB" w:rsidRDefault="002768FB" w:rsidP="002768F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Ключовими факторами успіху називаються ті критичні чинники, необхідні для успішної діяльності у певній СЗГ або в галузі в цілому.</w:t>
      </w:r>
    </w:p>
    <w:p w:rsidR="002768FB" w:rsidRPr="00C956AB" w:rsidRDefault="002768FB" w:rsidP="002768F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Для проведення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дослідження, скористаємось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таблицями 3-4.</w:t>
      </w:r>
    </w:p>
    <w:p w:rsidR="002768FB" w:rsidRPr="00C956AB" w:rsidRDefault="002768FB" w:rsidP="002768FB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68FB" w:rsidRPr="00C956AB" w:rsidRDefault="002768FB" w:rsidP="002768FB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lastRenderedPageBreak/>
        <w:t>Таблиця 3 – Оцінка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конкурентоспроможності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BCD" w:rsidRPr="00C956AB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Pr="00C956AB">
        <w:rPr>
          <w:rFonts w:ascii="Times New Roman" w:hAnsi="Times New Roman"/>
          <w:sz w:val="28"/>
          <w:szCs w:val="28"/>
          <w:lang w:val="uk-UA"/>
        </w:rPr>
        <w:t>за ключовими факторами успіху для СЗГ-1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2768FB" w:rsidRPr="00C956AB" w:rsidTr="00F10E45">
        <w:tc>
          <w:tcPr>
            <w:tcW w:w="2392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Ключовий фактор успіху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Відносна вага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Оцінка конкурентної сили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Результат</w:t>
            </w:r>
          </w:p>
        </w:tc>
      </w:tr>
      <w:tr w:rsidR="002768FB" w:rsidRPr="00C956AB" w:rsidTr="00F10E45">
        <w:tc>
          <w:tcPr>
            <w:tcW w:w="2392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1. Якість послуг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68FB" w:rsidRPr="00C956AB" w:rsidTr="00F10E45">
        <w:tc>
          <w:tcPr>
            <w:tcW w:w="2392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2. Широта асортименту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68FB" w:rsidRPr="00C956AB" w:rsidTr="00F10E45">
        <w:tc>
          <w:tcPr>
            <w:tcW w:w="2392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3. Кваліфікація персоналу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68FB" w:rsidRPr="00C956AB" w:rsidTr="00F10E45">
        <w:tc>
          <w:tcPr>
            <w:tcW w:w="2392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4. Імідж та досвід організації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68FB" w:rsidRPr="00C956AB" w:rsidTr="00F10E45">
        <w:tc>
          <w:tcPr>
            <w:tcW w:w="2392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2768FB" w:rsidRPr="00C956AB" w:rsidRDefault="002768FB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91337" w:rsidRPr="00C956AB" w:rsidRDefault="00F91337" w:rsidP="00F913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7FCD" w:rsidRPr="00C956AB" w:rsidRDefault="00907FCD" w:rsidP="00907FC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Таблиця 4 – Оцінка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конкурентоспроможності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BCD" w:rsidRPr="00C956AB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Pr="00C956AB">
        <w:rPr>
          <w:rFonts w:ascii="Times New Roman" w:hAnsi="Times New Roman"/>
          <w:sz w:val="28"/>
          <w:szCs w:val="28"/>
          <w:lang w:val="uk-UA"/>
        </w:rPr>
        <w:t>за ключовими факторами успіху для СЗГ-2</w:t>
      </w:r>
    </w:p>
    <w:p w:rsidR="00907FCD" w:rsidRPr="00C956AB" w:rsidRDefault="00907FCD" w:rsidP="00907FCD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907FCD" w:rsidRPr="00C956AB" w:rsidTr="00F10E45">
        <w:tc>
          <w:tcPr>
            <w:tcW w:w="2392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Ключовий фактор успіху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Відносна вага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Оцінка конкурентної сили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Результат</w:t>
            </w:r>
          </w:p>
        </w:tc>
      </w:tr>
      <w:tr w:rsidR="00907FCD" w:rsidRPr="00C956AB" w:rsidTr="00F10E45">
        <w:tc>
          <w:tcPr>
            <w:tcW w:w="2392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1. Якість послуг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7FCD" w:rsidRPr="00C956AB" w:rsidTr="00F10E45">
        <w:tc>
          <w:tcPr>
            <w:tcW w:w="2392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2. Широта асортименту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7FCD" w:rsidRPr="00C956AB" w:rsidTr="00F10E45">
        <w:tc>
          <w:tcPr>
            <w:tcW w:w="2392" w:type="dxa"/>
          </w:tcPr>
          <w:p w:rsidR="00907FCD" w:rsidRPr="00C956AB" w:rsidRDefault="00907FCD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3. Кваліфікація персоналу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7FCD" w:rsidRPr="00C956AB" w:rsidTr="00F10E45">
        <w:tc>
          <w:tcPr>
            <w:tcW w:w="2392" w:type="dxa"/>
          </w:tcPr>
          <w:p w:rsidR="00907FCD" w:rsidRPr="00C956AB" w:rsidRDefault="00907FCD" w:rsidP="00F10E4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4. Імідж та досвід організації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7FCD" w:rsidRPr="00C956AB" w:rsidTr="00F10E45">
        <w:tc>
          <w:tcPr>
            <w:tcW w:w="2392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907FCD" w:rsidRPr="00C956AB" w:rsidRDefault="00907FCD" w:rsidP="00F10E45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07FCD" w:rsidRPr="00C956AB" w:rsidRDefault="00907FCD" w:rsidP="00907FCD">
      <w:pPr>
        <w:spacing w:line="360" w:lineRule="auto"/>
        <w:jc w:val="both"/>
        <w:rPr>
          <w:lang w:val="uk-UA"/>
        </w:rPr>
      </w:pPr>
    </w:p>
    <w:p w:rsidR="00907FCD" w:rsidRPr="00C956AB" w:rsidRDefault="00907FCD" w:rsidP="00907FC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Для розшифровки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результатів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дослідження, скористаємось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наступною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оцінювальною шкалою:</w:t>
      </w:r>
    </w:p>
    <w:p w:rsidR="00907FCD" w:rsidRPr="00C956AB" w:rsidRDefault="00907FCD" w:rsidP="00907FC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0 – 2,0 балів – низький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рівень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конкурентоспроможності;</w:t>
      </w:r>
    </w:p>
    <w:p w:rsidR="00907FCD" w:rsidRPr="00C956AB" w:rsidRDefault="00907FCD" w:rsidP="00907FC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lastRenderedPageBreak/>
        <w:t>2,1 – 3,5 балів – середній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рівень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конкурентоспроможності;</w:t>
      </w:r>
    </w:p>
    <w:p w:rsidR="00907FCD" w:rsidRPr="00C956AB" w:rsidRDefault="00907FCD" w:rsidP="00907FCD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3,6 – 5,0 балів – високий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рівень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конкурентоспроможності.</w:t>
      </w:r>
    </w:p>
    <w:p w:rsidR="00757CAA" w:rsidRPr="00C956AB" w:rsidRDefault="00076BCD" w:rsidP="00757CAA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Висновки</w:t>
      </w:r>
      <w:r w:rsidR="00853080" w:rsidRPr="00C956AB">
        <w:rPr>
          <w:rFonts w:ascii="Times New Roman" w:hAnsi="Times New Roman"/>
          <w:b/>
          <w:sz w:val="28"/>
          <w:szCs w:val="28"/>
          <w:lang w:val="uk-UA"/>
        </w:rPr>
        <w:t xml:space="preserve"> стосовно підприємства</w:t>
      </w:r>
      <w:r w:rsidRPr="00C956AB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57CAA" w:rsidRPr="00C956AB" w:rsidRDefault="00757CAA" w:rsidP="00076BCD">
      <w:pPr>
        <w:pStyle w:val="a3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4. Користуючись матрицею Дж.</w:t>
      </w:r>
      <w:r w:rsidR="00076BCD" w:rsidRPr="00C956AB">
        <w:rPr>
          <w:rFonts w:ascii="Times New Roman" w:hAnsi="Times New Roman"/>
          <w:b/>
          <w:sz w:val="28"/>
          <w:szCs w:val="28"/>
          <w:lang w:val="uk-UA"/>
        </w:rPr>
        <w:t>Електрик-МакКінс</w:t>
      </w:r>
      <w:r w:rsidRPr="00C956AB">
        <w:rPr>
          <w:rFonts w:ascii="Times New Roman" w:hAnsi="Times New Roman"/>
          <w:b/>
          <w:sz w:val="28"/>
          <w:szCs w:val="28"/>
          <w:lang w:val="uk-UA"/>
        </w:rPr>
        <w:t xml:space="preserve">і </w:t>
      </w:r>
      <w:r w:rsidR="00076BCD" w:rsidRPr="00C956AB">
        <w:rPr>
          <w:rFonts w:ascii="Times New Roman" w:hAnsi="Times New Roman"/>
          <w:b/>
          <w:sz w:val="28"/>
          <w:szCs w:val="28"/>
          <w:lang w:val="uk-UA"/>
        </w:rPr>
        <w:t xml:space="preserve">або матрицею БКГ </w:t>
      </w:r>
      <w:r w:rsidRPr="00C956AB">
        <w:rPr>
          <w:rFonts w:ascii="Times New Roman" w:hAnsi="Times New Roman"/>
          <w:b/>
          <w:sz w:val="28"/>
          <w:szCs w:val="28"/>
          <w:lang w:val="uk-UA"/>
        </w:rPr>
        <w:t>провести обґрунтування доцільних стратегічних заходів щодо обраних СЗГ фірми.</w:t>
      </w:r>
    </w:p>
    <w:p w:rsidR="00757CAA" w:rsidRPr="00C956AB" w:rsidRDefault="00757CAA" w:rsidP="00757CA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На основі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результатів, отриманих у пунктах 2 і 3 даної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роботи та використовуючи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матрицю «GeneralElectric»/«McKinsey», маємо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 xml:space="preserve">змогу провести 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обґрунтування </w:t>
      </w:r>
      <w:r w:rsidRPr="00C956AB">
        <w:rPr>
          <w:rFonts w:ascii="Times New Roman" w:hAnsi="Times New Roman"/>
          <w:sz w:val="28"/>
          <w:szCs w:val="28"/>
          <w:lang w:val="uk-UA"/>
        </w:rPr>
        <w:t>доцільних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стратегічних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заходів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щодо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 xml:space="preserve">обраних СЗГ </w:t>
      </w:r>
      <w:r w:rsidR="00076BCD" w:rsidRPr="00C956AB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C956AB">
        <w:rPr>
          <w:rFonts w:ascii="Times New Roman" w:hAnsi="Times New Roman"/>
          <w:sz w:val="28"/>
          <w:szCs w:val="28"/>
          <w:lang w:val="uk-UA"/>
        </w:rPr>
        <w:t>.</w:t>
      </w:r>
    </w:p>
    <w:p w:rsidR="00757CAA" w:rsidRPr="00C956AB" w:rsidRDefault="00757CAA" w:rsidP="00757CAA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Наведемо</w:t>
      </w:r>
      <w:r w:rsidR="00C956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6AB">
        <w:rPr>
          <w:rFonts w:ascii="Times New Roman" w:hAnsi="Times New Roman"/>
          <w:sz w:val="28"/>
          <w:szCs w:val="28"/>
          <w:lang w:val="uk-UA"/>
        </w:rPr>
        <w:t>матрицю «General Electric»/«McKinsey»на рисунку 1.</w:t>
      </w:r>
    </w:p>
    <w:tbl>
      <w:tblPr>
        <w:tblW w:w="9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2"/>
        <w:gridCol w:w="425"/>
        <w:gridCol w:w="3012"/>
        <w:gridCol w:w="3012"/>
        <w:gridCol w:w="3013"/>
      </w:tblGrid>
      <w:tr w:rsidR="00757CAA" w:rsidRPr="00C956AB" w:rsidTr="00757CAA">
        <w:trPr>
          <w:jc w:val="center"/>
        </w:trPr>
        <w:tc>
          <w:tcPr>
            <w:tcW w:w="9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КОНКУРЕНТНИЙ СТАТУС</w:t>
            </w:r>
            <w:r w:rsidR="00B36EAD" w:rsidRPr="00C956AB">
              <w:rPr>
                <w:rFonts w:ascii="Times New Roman" w:hAnsi="Times New Roman"/>
                <w:b/>
                <w:bCs/>
                <w:lang w:val="uk-UA"/>
              </w:rPr>
              <w:t xml:space="preserve"> організації</w:t>
            </w:r>
          </w:p>
        </w:tc>
      </w:tr>
      <w:tr w:rsidR="00757CAA" w:rsidRPr="00C956AB" w:rsidTr="00C956AB">
        <w:trPr>
          <w:trHeight w:val="687"/>
          <w:jc w:val="center"/>
        </w:trPr>
        <w:tc>
          <w:tcPr>
            <w:tcW w:w="9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b/>
                <w:bCs/>
                <w:lang w:val="uk-UA"/>
              </w:rPr>
              <w:t>Сильний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b/>
                <w:bCs/>
                <w:lang w:val="uk-UA"/>
              </w:rPr>
              <w:t>Слабкий</w:t>
            </w:r>
          </w:p>
        </w:tc>
      </w:tr>
      <w:tr w:rsidR="00757CAA" w:rsidRPr="00C956AB" w:rsidTr="00757CAA">
        <w:trPr>
          <w:cantSplit/>
          <w:trHeight w:val="1134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57CAA" w:rsidRPr="00C956AB" w:rsidRDefault="00757CA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ПРИВАБЛИВІСТЬ СЗГ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57CAA" w:rsidRPr="00C956AB" w:rsidRDefault="00757CA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Висока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Захищена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позиція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Максимальні інвестиції у розвиток;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Концентрація зусиль на підтримку ефективності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EAD" w:rsidRPr="00C956AB" w:rsidRDefault="00757CAA" w:rsidP="00B36EA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C956AB">
              <w:rPr>
                <w:rFonts w:ascii="Times New Roman" w:hAnsi="Times New Roman"/>
                <w:b/>
                <w:i/>
                <w:lang w:val="uk-UA"/>
              </w:rPr>
              <w:t>Інвестиції у розширення</w:t>
            </w:r>
            <w:r w:rsidR="00C956AB">
              <w:rPr>
                <w:rFonts w:ascii="Times New Roman" w:hAnsi="Times New Roman"/>
                <w:b/>
                <w:i/>
                <w:lang w:val="uk-UA"/>
              </w:rPr>
              <w:t xml:space="preserve"> </w:t>
            </w:r>
            <w:r w:rsidR="00B36EAD"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організації</w:t>
            </w:r>
          </w:p>
          <w:p w:rsidR="00757CAA" w:rsidRPr="00C956AB" w:rsidRDefault="00757CAA" w:rsidP="00B36EAD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C956AB">
              <w:rPr>
                <w:rFonts w:ascii="Times New Roman" w:hAnsi="Times New Roman"/>
                <w:lang w:val="uk-UA"/>
              </w:rPr>
              <w:t>Прагнення до лідерства;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Вибіркові інвестиції за критерієм ефективності;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Укріплення слабких місць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Вибіркове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розширення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="00B36EAD"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організації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Спеціалізація на обраних напрямках;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Пошук шляхів здолання слабких місць;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Ліквідація у випадку відсутності стабільного росту</w:t>
            </w:r>
          </w:p>
        </w:tc>
      </w:tr>
      <w:tr w:rsidR="00757CAA" w:rsidRPr="00C956AB" w:rsidTr="00757CAA">
        <w:trPr>
          <w:cantSplit/>
          <w:trHeight w:val="1134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57CAA" w:rsidRPr="00C956AB" w:rsidRDefault="00757CA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Середня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Вибіркове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розширення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="00B36EAD"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організації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Інтенсивні інвестиції у найбільш привабливі сегменти;</w:t>
            </w:r>
          </w:p>
          <w:p w:rsidR="00757CAA" w:rsidRPr="00C956AB" w:rsidRDefault="00757CAA" w:rsidP="00B36EAD">
            <w:pPr>
              <w:pStyle w:val="10"/>
              <w:spacing w:line="360" w:lineRule="auto"/>
              <w:ind w:left="0"/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Вибірковість. Управління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спрямоване на доходи, захист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існуючої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програми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Концентрація інвестицій на направленнях з високою дохідністю та відносно низьким ризиком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Обмежене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розширення («збір</w:t>
            </w:r>
            <w:r w:rsid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 xml:space="preserve"> </w:t>
            </w: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врожаю»)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Пошук можливостей розширення з низьким ризиком чи скорочення інвестицій</w:t>
            </w:r>
          </w:p>
        </w:tc>
      </w:tr>
      <w:tr w:rsidR="00757CAA" w:rsidRPr="00C956AB" w:rsidTr="00757CAA">
        <w:trPr>
          <w:cantSplit/>
          <w:trHeight w:val="1134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CAA" w:rsidRPr="00C956AB" w:rsidRDefault="00757CAA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57CAA" w:rsidRPr="00C956AB" w:rsidRDefault="00757CAA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lang w:val="uk-UA"/>
              </w:rPr>
              <w:t>Низька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Захист і переорієнтація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Управління поточними доходами;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Концентрація на привабливих сегментах ринку;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 xml:space="preserve">Підтримка ефективності </w:t>
            </w:r>
            <w:r w:rsidR="00B36EAD" w:rsidRPr="00C956AB">
              <w:t>послуг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Управління, зорієнтоване на доходи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Захист позицій у найменш (більш) доходних сегментах;</w:t>
            </w:r>
          </w:p>
          <w:p w:rsidR="00757CAA" w:rsidRPr="00C956AB" w:rsidRDefault="00B36EAD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Удосконалення послуг</w:t>
            </w:r>
            <w:r w:rsidR="00757CAA" w:rsidRPr="00C956AB">
              <w:t>;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Скорочення інвестицій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AA" w:rsidRPr="00C956AB" w:rsidRDefault="00757CA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956AB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Ліквідація</w:t>
            </w:r>
          </w:p>
          <w:p w:rsidR="00757CAA" w:rsidRPr="00C956AB" w:rsidRDefault="00757CAA" w:rsidP="00757CAA">
            <w:pPr>
              <w:pStyle w:val="10"/>
              <w:numPr>
                <w:ilvl w:val="0"/>
                <w:numId w:val="5"/>
              </w:numPr>
              <w:spacing w:line="360" w:lineRule="auto"/>
              <w:ind w:left="176" w:hanging="176"/>
            </w:pPr>
            <w:r w:rsidRPr="00C956AB">
              <w:t>Скорочення постійних витрат і відмова від інвестицій</w:t>
            </w:r>
          </w:p>
        </w:tc>
      </w:tr>
    </w:tbl>
    <w:p w:rsidR="00F91337" w:rsidRPr="00C956AB" w:rsidRDefault="00F91337" w:rsidP="00F91337">
      <w:pPr>
        <w:spacing w:line="360" w:lineRule="auto"/>
        <w:ind w:firstLine="540"/>
        <w:jc w:val="both"/>
        <w:rPr>
          <w:lang w:val="uk-UA"/>
        </w:rPr>
      </w:pPr>
    </w:p>
    <w:p w:rsidR="00B36EAD" w:rsidRPr="00C956AB" w:rsidRDefault="00B36EAD" w:rsidP="00B36EAD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C956AB">
        <w:rPr>
          <w:rFonts w:ascii="Times New Roman" w:hAnsi="Times New Roman"/>
          <w:sz w:val="28"/>
          <w:szCs w:val="28"/>
          <w:lang w:val="uk-UA"/>
        </w:rPr>
        <w:t>Рис. 1 – Матриця «General Electric»/«McKinsey»</w:t>
      </w:r>
    </w:p>
    <w:p w:rsidR="00B36EAD" w:rsidRPr="00C956AB" w:rsidRDefault="00076BCD" w:rsidP="00B36EAD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Висновок відносно підприємства:</w:t>
      </w:r>
    </w:p>
    <w:p w:rsidR="00B36EAD" w:rsidRPr="00C956AB" w:rsidRDefault="00B36EAD" w:rsidP="00B36EAD">
      <w:pPr>
        <w:pStyle w:val="10"/>
        <w:tabs>
          <w:tab w:val="num" w:pos="-18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956AB">
        <w:rPr>
          <w:sz w:val="28"/>
          <w:szCs w:val="28"/>
        </w:rPr>
        <w:t xml:space="preserve">Для визначення конкурентних позицій </w:t>
      </w:r>
      <w:r w:rsidR="00076BCD" w:rsidRPr="00C956AB">
        <w:rPr>
          <w:sz w:val="28"/>
          <w:szCs w:val="28"/>
        </w:rPr>
        <w:t>підприємства</w:t>
      </w:r>
      <w:r w:rsidR="00C956AB">
        <w:rPr>
          <w:sz w:val="28"/>
          <w:szCs w:val="28"/>
          <w:lang w:val="ru-RU"/>
        </w:rPr>
        <w:t xml:space="preserve"> </w:t>
      </w:r>
      <w:r w:rsidRPr="00C956AB">
        <w:rPr>
          <w:sz w:val="28"/>
          <w:szCs w:val="28"/>
        </w:rPr>
        <w:t>н</w:t>
      </w:r>
      <w:r w:rsidR="00733D93" w:rsidRPr="00C956AB">
        <w:rPr>
          <w:sz w:val="28"/>
          <w:szCs w:val="28"/>
        </w:rPr>
        <w:t>а ринку скористаємось таблицею 5</w:t>
      </w:r>
      <w:r w:rsidRPr="00C956AB">
        <w:rPr>
          <w:sz w:val="28"/>
          <w:szCs w:val="28"/>
        </w:rPr>
        <w:t>.</w:t>
      </w:r>
    </w:p>
    <w:p w:rsidR="000258DA" w:rsidRPr="00C956AB" w:rsidRDefault="000258DA" w:rsidP="00B36EAD">
      <w:pPr>
        <w:pStyle w:val="10"/>
        <w:tabs>
          <w:tab w:val="num" w:pos="-18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</w:p>
    <w:p w:rsidR="00076BCD" w:rsidRPr="00C956AB" w:rsidRDefault="00733D93" w:rsidP="00076BCD">
      <w:pPr>
        <w:pStyle w:val="10"/>
        <w:tabs>
          <w:tab w:val="num" w:pos="-180"/>
          <w:tab w:val="left" w:pos="1080"/>
        </w:tabs>
        <w:spacing w:line="360" w:lineRule="auto"/>
        <w:ind w:left="0"/>
        <w:jc w:val="right"/>
        <w:rPr>
          <w:sz w:val="28"/>
          <w:szCs w:val="28"/>
        </w:rPr>
      </w:pPr>
      <w:r w:rsidRPr="00C956AB">
        <w:rPr>
          <w:sz w:val="28"/>
          <w:szCs w:val="28"/>
        </w:rPr>
        <w:t>Таблиця 5</w:t>
      </w:r>
    </w:p>
    <w:p w:rsidR="00B36EAD" w:rsidRPr="00C956AB" w:rsidRDefault="00B36EAD" w:rsidP="00076BCD">
      <w:pPr>
        <w:pStyle w:val="10"/>
        <w:tabs>
          <w:tab w:val="num" w:pos="-180"/>
          <w:tab w:val="left" w:pos="1080"/>
        </w:tabs>
        <w:spacing w:line="360" w:lineRule="auto"/>
        <w:ind w:left="0"/>
        <w:jc w:val="center"/>
        <w:rPr>
          <w:b/>
          <w:sz w:val="28"/>
          <w:szCs w:val="28"/>
        </w:rPr>
      </w:pPr>
      <w:r w:rsidRPr="00C956AB">
        <w:rPr>
          <w:b/>
          <w:sz w:val="28"/>
          <w:szCs w:val="28"/>
        </w:rPr>
        <w:t>Характеристики конкурентних позицій бізнес-одиниць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7946"/>
      </w:tblGrid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  <w:jc w:val="center"/>
              <w:rPr>
                <w:b/>
                <w:bCs/>
              </w:rPr>
            </w:pPr>
            <w:r w:rsidRPr="00C956AB">
              <w:rPr>
                <w:b/>
                <w:bCs/>
              </w:rPr>
              <w:t>Позиції бізнесу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  <w:jc w:val="center"/>
              <w:rPr>
                <w:b/>
                <w:bCs/>
              </w:rPr>
            </w:pPr>
            <w:r w:rsidRPr="00C956AB">
              <w:rPr>
                <w:b/>
                <w:bCs/>
              </w:rPr>
              <w:t>Характеристика позиції</w:t>
            </w:r>
          </w:p>
        </w:tc>
      </w:tr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Провідна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Лише один представник галузі (якщо такий взагалі є) може займати дану позицію. Він встановлює галузевий стандарт і контролює поведінку інших конкурентів. Провідний бізнес має широкий вибір стратегічних варіантів. Така позиція є результатом квазімонополії або надійно захищеного технологічного лідерства</w:t>
            </w:r>
          </w:p>
        </w:tc>
      </w:tr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Сильна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Такий бізнес вибирає свою стратегію незалежно від дій конкурентів і має перед ними певні переваги. Відносна доля ринку може бути в 1,5 разу більше долі найкрупнішого конкурента, але абсолютної переваги немає.</w:t>
            </w:r>
          </w:p>
        </w:tc>
      </w:tr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Помітна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Це, як правило, один з лідерів в слабо концентрованих галузях, де всі учасники знаходяться приблизно на одному рівні і ніхто не займає домінуючих поліцій. Цей бізнес характеризується відносною безпекою, якщо у нього є своя ринкова ніша. Може значно поліпшити своє положення.</w:t>
            </w:r>
          </w:p>
        </w:tc>
      </w:tr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lastRenderedPageBreak/>
              <w:t>Стійка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Спеціалізація у вузькій або відносно захищеній ринковій ніші (невелика частка ринку або підтип продукції). Може довго зберігати таке положення, але практично не має шансів його поліпшити.</w:t>
            </w:r>
          </w:p>
        </w:tc>
      </w:tr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Слабка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Слабкі сторони заважають бізнес-одиниці стати центром генерації прибутку. Слабкість може бути пов’язана з самим бізнесом (дуже малий його розмір, відсутність важливих ресурсів для розвитку) або з помилками в управлінні. Такий бізнес не може вижити самостійно.</w:t>
            </w:r>
          </w:p>
        </w:tc>
      </w:tr>
      <w:tr w:rsidR="00B36EAD" w:rsidRPr="00C956AB" w:rsidTr="00B36E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Нежиттєздатна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D" w:rsidRPr="00C956AB" w:rsidRDefault="00B36EAD">
            <w:pPr>
              <w:pStyle w:val="10"/>
              <w:tabs>
                <w:tab w:val="num" w:pos="-180"/>
                <w:tab w:val="left" w:pos="1080"/>
              </w:tabs>
              <w:spacing w:line="360" w:lineRule="auto"/>
              <w:ind w:left="0"/>
            </w:pPr>
            <w:r w:rsidRPr="00C956AB">
              <w:t>Немає сильних сторін і вони не можуть з’явитися і майбутньому. Продовжити таке існування або ліквідовувати бізнес.</w:t>
            </w:r>
          </w:p>
        </w:tc>
      </w:tr>
    </w:tbl>
    <w:p w:rsidR="00B36EAD" w:rsidRPr="00C956AB" w:rsidRDefault="00076BCD" w:rsidP="00B36EAD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56AB">
        <w:rPr>
          <w:rFonts w:ascii="Times New Roman" w:hAnsi="Times New Roman"/>
          <w:b/>
          <w:sz w:val="28"/>
          <w:szCs w:val="28"/>
          <w:lang w:val="uk-UA"/>
        </w:rPr>
        <w:t>Висновок відносно підприємства:</w:t>
      </w:r>
    </w:p>
    <w:sectPr w:rsidR="00B36EAD" w:rsidRPr="00C956AB" w:rsidSect="00B17EB3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049" w:rsidRDefault="001E7049">
      <w:r>
        <w:separator/>
      </w:r>
    </w:p>
  </w:endnote>
  <w:endnote w:type="continuationSeparator" w:id="1">
    <w:p w:rsidR="001E7049" w:rsidRDefault="001E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049" w:rsidRDefault="001E7049">
      <w:r>
        <w:separator/>
      </w:r>
    </w:p>
  </w:footnote>
  <w:footnote w:type="continuationSeparator" w:id="1">
    <w:p w:rsidR="001E7049" w:rsidRDefault="001E7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AD" w:rsidRDefault="004D2150" w:rsidP="00B36E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6E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6EAD" w:rsidRDefault="00B36EAD" w:rsidP="00B17EB3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EAD" w:rsidRDefault="004D2150" w:rsidP="00B36E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6E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7FC1">
      <w:rPr>
        <w:rStyle w:val="a5"/>
        <w:noProof/>
      </w:rPr>
      <w:t>7</w:t>
    </w:r>
    <w:r>
      <w:rPr>
        <w:rStyle w:val="a5"/>
      </w:rPr>
      <w:fldChar w:fldCharType="end"/>
    </w:r>
  </w:p>
  <w:p w:rsidR="00B36EAD" w:rsidRDefault="00B36EAD" w:rsidP="00B17EB3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F72"/>
    <w:multiLevelType w:val="hybridMultilevel"/>
    <w:tmpl w:val="D3F851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22CD0"/>
    <w:multiLevelType w:val="hybridMultilevel"/>
    <w:tmpl w:val="BEE033D8"/>
    <w:lvl w:ilvl="0" w:tplc="E37C9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D5667B"/>
    <w:multiLevelType w:val="hybridMultilevel"/>
    <w:tmpl w:val="87A8BAC4"/>
    <w:lvl w:ilvl="0" w:tplc="FFFFFFFF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51A0"/>
    <w:multiLevelType w:val="hybridMultilevel"/>
    <w:tmpl w:val="5A28369E"/>
    <w:lvl w:ilvl="0" w:tplc="E37C9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C37080"/>
    <w:multiLevelType w:val="hybridMultilevel"/>
    <w:tmpl w:val="7C901A38"/>
    <w:lvl w:ilvl="0" w:tplc="E37C9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6D4ECB"/>
    <w:multiLevelType w:val="hybridMultilevel"/>
    <w:tmpl w:val="0F687044"/>
    <w:lvl w:ilvl="0" w:tplc="497A24F6">
      <w:start w:val="1"/>
      <w:numFmt w:val="bullet"/>
      <w:lvlText w:val=""/>
      <w:lvlJc w:val="left"/>
      <w:pPr>
        <w:tabs>
          <w:tab w:val="num" w:pos="1097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74690E"/>
    <w:multiLevelType w:val="hybridMultilevel"/>
    <w:tmpl w:val="2070A97E"/>
    <w:lvl w:ilvl="0" w:tplc="E37C9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F52767A"/>
    <w:multiLevelType w:val="hybridMultilevel"/>
    <w:tmpl w:val="F30A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B25EA"/>
    <w:multiLevelType w:val="hybridMultilevel"/>
    <w:tmpl w:val="58ECD68C"/>
    <w:lvl w:ilvl="0" w:tplc="E37C98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337"/>
    <w:rsid w:val="000258DA"/>
    <w:rsid w:val="00076BCD"/>
    <w:rsid w:val="000C0A2A"/>
    <w:rsid w:val="001640D3"/>
    <w:rsid w:val="00166EAD"/>
    <w:rsid w:val="001E7049"/>
    <w:rsid w:val="002145DF"/>
    <w:rsid w:val="00264FEF"/>
    <w:rsid w:val="002768FB"/>
    <w:rsid w:val="002815B7"/>
    <w:rsid w:val="00341AC2"/>
    <w:rsid w:val="0038282E"/>
    <w:rsid w:val="00400EDF"/>
    <w:rsid w:val="004D2150"/>
    <w:rsid w:val="00573068"/>
    <w:rsid w:val="00733D93"/>
    <w:rsid w:val="00757CAA"/>
    <w:rsid w:val="00853080"/>
    <w:rsid w:val="00907FCD"/>
    <w:rsid w:val="00995288"/>
    <w:rsid w:val="009E320B"/>
    <w:rsid w:val="00A27FC1"/>
    <w:rsid w:val="00A30346"/>
    <w:rsid w:val="00AD05E6"/>
    <w:rsid w:val="00B17EB3"/>
    <w:rsid w:val="00B36EAD"/>
    <w:rsid w:val="00B608DC"/>
    <w:rsid w:val="00BD0821"/>
    <w:rsid w:val="00C055D1"/>
    <w:rsid w:val="00C11EFB"/>
    <w:rsid w:val="00C42D8B"/>
    <w:rsid w:val="00C956AB"/>
    <w:rsid w:val="00C968A1"/>
    <w:rsid w:val="00CA0FE7"/>
    <w:rsid w:val="00DA6310"/>
    <w:rsid w:val="00E76CA7"/>
    <w:rsid w:val="00F10E45"/>
    <w:rsid w:val="00F56907"/>
    <w:rsid w:val="00F9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33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91337"/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qFormat/>
    <w:rsid w:val="00F91337"/>
    <w:pPr>
      <w:ind w:left="720"/>
      <w:contextualSpacing/>
    </w:pPr>
  </w:style>
  <w:style w:type="paragraph" w:styleId="a4">
    <w:name w:val="header"/>
    <w:basedOn w:val="a"/>
    <w:rsid w:val="00B17E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7EB3"/>
  </w:style>
  <w:style w:type="paragraph" w:customStyle="1" w:styleId="10">
    <w:name w:val="Абзац списка1"/>
    <w:basedOn w:val="a"/>
    <w:rsid w:val="00E76CA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uk-UA" w:eastAsia="ru-RU"/>
    </w:rPr>
  </w:style>
  <w:style w:type="table" w:styleId="a6">
    <w:name w:val="Table Grid"/>
    <w:basedOn w:val="a1"/>
    <w:rsid w:val="002768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RePack by SPecialiST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subject/>
  <dc:creator>Пользователь</dc:creator>
  <cp:keywords/>
  <dc:description/>
  <cp:lastModifiedBy>Максим</cp:lastModifiedBy>
  <cp:revision>7</cp:revision>
  <cp:lastPrinted>2019-11-05T08:36:00Z</cp:lastPrinted>
  <dcterms:created xsi:type="dcterms:W3CDTF">2020-11-16T06:45:00Z</dcterms:created>
  <dcterms:modified xsi:type="dcterms:W3CDTF">2020-11-16T08:18:00Z</dcterms:modified>
</cp:coreProperties>
</file>