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bl>
      <w:tblPr>
        <w:tblStyle w:val="Table1"/>
        <w:tblW w:w="9469.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8"/>
        <w:gridCol w:w="3077"/>
        <w:gridCol w:w="3354"/>
        <w:tblGridChange w:id="0">
          <w:tblGrid>
            <w:gridCol w:w="3038"/>
            <w:gridCol w:w="3077"/>
            <w:gridCol w:w="335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Силабус курсу:</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Методологія і організація наукових досліджень</w:t>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Pr>
              <w:drawing>
                <wp:inline distB="0" distT="0" distL="0" distR="0">
                  <wp:extent cx="2057400" cy="1209675"/>
                  <wp:effectExtent b="0" l="0" r="0" t="0"/>
                  <wp:docPr id="2" name="image1.png"/>
                  <a:graphic>
                    <a:graphicData uri="http://schemas.openxmlformats.org/drawingml/2006/picture">
                      <pic:pic>
                        <pic:nvPicPr>
                          <pic:cNvPr id="0" name="image1.png"/>
                          <pic:cNvPicPr preferRelativeResize="0"/>
                        </pic:nvPicPr>
                        <pic:blipFill>
                          <a:blip r:embed="rId7"/>
                          <a:srcRect b="14552" l="7867" r="7342" t="9317"/>
                          <a:stretch>
                            <a:fillRect/>
                          </a:stretch>
                        </pic:blipFill>
                        <pic:spPr>
                          <a:xfrm>
                            <a:off x="0" y="0"/>
                            <a:ext cx="2057400" cy="1209675"/>
                          </a:xfrm>
                          <a:prstGeom prst="rect"/>
                          <a:ln/>
                        </pic:spPr>
                      </pic:pic>
                    </a:graphicData>
                  </a:graphic>
                </wp:inline>
              </w:drawing>
            </w:r>
            <w:r w:rsidDel="00000000" w:rsidR="00000000" w:rsidRPr="00000000">
              <w:rPr>
                <w:rtl w:val="0"/>
              </w:rPr>
            </w:r>
          </w:p>
        </w:tc>
      </w:tr>
      <w:tr>
        <w:trPr>
          <w:cantSplit w:val="0"/>
          <w:trHeight w:val="1681" w:hRule="atLeast"/>
          <w:tblHeader w:val="0"/>
        </w:trPr>
        <w:tc>
          <w:tcPr>
            <w:gridSpan w:val="2"/>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5">
            <w:pPr>
              <w:spacing w:after="0" w:line="240" w:lineRule="auto"/>
              <w:jc w:val="both"/>
              <w:rPr>
                <w:rFonts w:ascii="Times New Roman" w:cs="Times New Roman" w:eastAsia="Times New Roman" w:hAnsi="Times New Roman"/>
                <w:b w:val="1"/>
                <w:highlight w:val="white"/>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highlight w:val="whit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Ступінь вищої освіти:</w:t>
            </w:r>
          </w:p>
        </w:tc>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другого (магістерського) рівня вищої освіти </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Освітня програма: </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0C">
            <w:pPr>
              <w:spacing w:after="0" w:line="240" w:lineRule="auto"/>
              <w:ind w:hanging="61"/>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«Середня освіта. Мова та література (англійська)»</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Рік підготовки:</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0F">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Семестр викладання:</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2">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4">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Кількість кредитів ЄКТС:</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5">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Мова(-и) викладання:</w:t>
            </w:r>
          </w:p>
        </w:tc>
        <w:tc>
          <w:tcPr>
            <w:gridSpan w:val="2"/>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8">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українська</w:t>
            </w:r>
          </w:p>
        </w:tc>
      </w:tr>
      <w:tr>
        <w:trPr>
          <w:cantSplit w:val="0"/>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Вид семестрового контролю</w:t>
            </w:r>
          </w:p>
        </w:tc>
        <w:tc>
          <w:tcPr>
            <w:gridSpan w:val="2"/>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01B">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залік</w:t>
            </w:r>
          </w:p>
        </w:tc>
      </w:tr>
    </w:tbl>
    <w:p w:rsidR="00000000" w:rsidDel="00000000" w:rsidP="00000000" w:rsidRDefault="00000000" w:rsidRPr="00000000" w14:paraId="0000001D">
      <w:pPr>
        <w:rPr>
          <w:highlight w:val="white"/>
        </w:rPr>
      </w:pPr>
      <w:r w:rsidDel="00000000" w:rsidR="00000000" w:rsidRPr="00000000">
        <w:rPr>
          <w:rtl w:val="0"/>
        </w:rPr>
      </w:r>
    </w:p>
    <w:tbl>
      <w:tblPr>
        <w:tblStyle w:val="Table2"/>
        <w:tblW w:w="9721.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84"/>
        <w:gridCol w:w="627"/>
        <w:gridCol w:w="1074"/>
        <w:gridCol w:w="283"/>
        <w:gridCol w:w="2127"/>
        <w:gridCol w:w="315"/>
        <w:gridCol w:w="2176"/>
        <w:tblGridChange w:id="0">
          <w:tblGrid>
            <w:gridCol w:w="2835"/>
            <w:gridCol w:w="284"/>
            <w:gridCol w:w="627"/>
            <w:gridCol w:w="1074"/>
            <w:gridCol w:w="283"/>
            <w:gridCol w:w="2127"/>
            <w:gridCol w:w="315"/>
            <w:gridCol w:w="2176"/>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highlight w:val="white"/>
                <w:rtl w:val="0"/>
              </w:rPr>
              <w:t xml:space="preserve">Автор курсу та лектор:</w:t>
            </w: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pacing w:after="0" w:lineRule="auto"/>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gridSpan w:val="8"/>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26">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кандидат філологічних наук, доцент Семенець О. С. </w:t>
            </w:r>
          </w:p>
        </w:tc>
      </w:tr>
      <w:tr>
        <w:trPr>
          <w:cantSplit w:val="0"/>
          <w:tblHeader w:val="0"/>
        </w:trPr>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E">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вчений ступінь, вчене звання, прізвище, ім’я та по батькові</w:t>
            </w:r>
          </w:p>
        </w:tc>
      </w:tr>
      <w:tr>
        <w:trPr>
          <w:cantSplit w:val="0"/>
          <w:tblHeader w:val="0"/>
        </w:trPr>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6">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зав.кафедри кафедри іноземної філології та перекладу</w:t>
            </w:r>
          </w:p>
        </w:tc>
      </w:tr>
      <w:tr>
        <w:trPr>
          <w:cantSplit w:val="0"/>
          <w:tblHeader w:val="0"/>
        </w:trPr>
        <w:tc>
          <w:tcPr>
            <w:gridSpan w:val="8"/>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E">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посада</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color w:val="0070c0"/>
              </w:rPr>
            </w:pPr>
            <w:r w:rsidDel="00000000" w:rsidR="00000000" w:rsidRPr="00000000">
              <w:rPr>
                <w:rFonts w:ascii="Times New Roman" w:cs="Times New Roman" w:eastAsia="Times New Roman" w:hAnsi="Times New Roman"/>
                <w:rtl w:val="0"/>
              </w:rPr>
              <w:t xml:space="preserve">semenets.olha@snu.edu.ua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8">
            <w:pPr>
              <w:spacing w:after="0" w:line="240"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4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+380504047402</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B">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4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телеграм за номером телефону</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D">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4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https://us05web.zoom.us/j/81096665272?pwd=BAUGcn4bacLbm5aR7ZHt0CbnBbagxq.1</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4F">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електронна адреса</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spacing w:after="0" w:line="240" w:lineRule="auto"/>
              <w:jc w:val="center"/>
              <w:rPr>
                <w:rFonts w:ascii="Times New Roman" w:cs="Times New Roman" w:eastAsia="Times New Roman" w:hAnsi="Times New Roman"/>
                <w:highlight w:val="white"/>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1">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телефон</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spacing w:after="0" w:line="240" w:lineRule="auto"/>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4">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месенджер</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spacing w:after="0" w:lineRule="auto"/>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6">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консультації</w:t>
            </w:r>
          </w:p>
        </w:tc>
      </w:tr>
    </w:tbl>
    <w:p w:rsidR="00000000" w:rsidDel="00000000" w:rsidP="00000000" w:rsidRDefault="00000000" w:rsidRPr="00000000" w14:paraId="00000057">
      <w:pPr>
        <w:rPr>
          <w:rFonts w:ascii="Times New Roman" w:cs="Times New Roman" w:eastAsia="Times New Roman" w:hAnsi="Times New Roman"/>
          <w:highlight w:val="white"/>
        </w:rPr>
      </w:pPr>
      <w:r w:rsidDel="00000000" w:rsidR="00000000" w:rsidRPr="00000000">
        <w:rPr>
          <w:rtl w:val="0"/>
        </w:rPr>
      </w:r>
    </w:p>
    <w:tbl>
      <w:tblPr>
        <w:tblStyle w:val="Table3"/>
        <w:tblW w:w="9689.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57"/>
        <w:gridCol w:w="3332"/>
        <w:tblGridChange w:id="0">
          <w:tblGrid>
            <w:gridCol w:w="6357"/>
            <w:gridCol w:w="333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8">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highlight w:val="white"/>
                <w:rtl w:val="0"/>
              </w:rPr>
              <w:t xml:space="preserve">Викладач лабораторних занять:*</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9">
            <w:pPr>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5A">
            <w:pPr>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 передбачено</w:t>
            </w:r>
          </w:p>
        </w:tc>
      </w:tr>
      <w:tr>
        <w:trPr>
          <w:cantSplit w:val="0"/>
          <w:tblHeader w:val="0"/>
        </w:trPr>
        <w:tc>
          <w:tcPr>
            <w:gridSpan w:val="2"/>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5C">
            <w:pPr>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вчений ступінь, вчене звання, прізвище, ім’я та по-батькові</w:t>
            </w:r>
          </w:p>
        </w:tc>
      </w:tr>
    </w:tbl>
    <w:p w:rsidR="00000000" w:rsidDel="00000000" w:rsidP="00000000" w:rsidRDefault="00000000" w:rsidRPr="00000000" w14:paraId="0000005E">
      <w:pPr>
        <w:rPr>
          <w:rFonts w:ascii="Times New Roman" w:cs="Times New Roman" w:eastAsia="Times New Roman" w:hAnsi="Times New Roman"/>
          <w:highlight w:val="white"/>
        </w:rPr>
      </w:pPr>
      <w:r w:rsidDel="00000000" w:rsidR="00000000" w:rsidRPr="00000000">
        <w:rPr>
          <w:rtl w:val="0"/>
        </w:rPr>
      </w:r>
    </w:p>
    <w:tbl>
      <w:tblPr>
        <w:tblStyle w:val="Table4"/>
        <w:tblW w:w="9721.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84"/>
        <w:gridCol w:w="413"/>
        <w:gridCol w:w="1288"/>
        <w:gridCol w:w="283"/>
        <w:gridCol w:w="2127"/>
        <w:gridCol w:w="315"/>
        <w:gridCol w:w="1277"/>
        <w:gridCol w:w="899"/>
        <w:tblGridChange w:id="0">
          <w:tblGrid>
            <w:gridCol w:w="2835"/>
            <w:gridCol w:w="284"/>
            <w:gridCol w:w="413"/>
            <w:gridCol w:w="1288"/>
            <w:gridCol w:w="283"/>
            <w:gridCol w:w="2127"/>
            <w:gridCol w:w="315"/>
            <w:gridCol w:w="1277"/>
            <w:gridCol w:w="899"/>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F">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highlight w:val="white"/>
                <w:rtl w:val="0"/>
              </w:rPr>
              <w:t xml:space="preserve">Викладач практичних занять:*</w:t>
            </w: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2">
            <w:pPr>
              <w:jc w:val="both"/>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67">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кандидат філологічних наук, доцент Семенець О. С.</w:t>
            </w:r>
            <w:r w:rsidDel="00000000" w:rsidR="00000000" w:rsidRPr="00000000">
              <w:rPr>
                <w:rFonts w:ascii="Times New Roman" w:cs="Times New Roman" w:eastAsia="Times New Roman" w:hAnsi="Times New Roman"/>
                <w:highlight w:val="white"/>
                <w:rtl w:val="0"/>
              </w:rPr>
              <w:t xml:space="preserve"> </w:t>
            </w:r>
          </w:p>
        </w:tc>
      </w:tr>
      <w:tr>
        <w:trPr>
          <w:cantSplit w:val="0"/>
          <w:tblHeader w:val="0"/>
        </w:trPr>
        <w:tc>
          <w:tcPr>
            <w:gridSpan w:val="9"/>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0">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вчений ступінь, вчене звання, прізвище, ім’я та по батькові</w:t>
            </w:r>
          </w:p>
        </w:tc>
      </w:tr>
      <w:tr>
        <w:trPr>
          <w:cantSplit w:val="0"/>
          <w:tblHeader w:val="0"/>
        </w:trPr>
        <w:tc>
          <w:tcPr>
            <w:gridSpan w:val="9"/>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9">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зав.кафедри кафедри іноземної філології та перекладу</w:t>
            </w:r>
          </w:p>
        </w:tc>
      </w:tr>
      <w:tr>
        <w:trPr>
          <w:cantSplit w:val="0"/>
          <w:trHeight w:val="258.0059814453125" w:hRule="atLeast"/>
          <w:tblHeader w:val="0"/>
        </w:trPr>
        <w:tc>
          <w:tcPr>
            <w:gridSpan w:val="9"/>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2">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посада</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color w:val="0070c0"/>
              </w:rPr>
            </w:pPr>
            <w:r w:rsidDel="00000000" w:rsidR="00000000" w:rsidRPr="00000000">
              <w:rPr>
                <w:rFonts w:ascii="Times New Roman" w:cs="Times New Roman" w:eastAsia="Times New Roman" w:hAnsi="Times New Roman"/>
                <w:rtl w:val="0"/>
              </w:rPr>
              <w:t xml:space="preserve">semenets.olha@snu.edu.ua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D">
            <w:pPr>
              <w:spacing w:after="0" w:line="240" w:lineRule="auto"/>
              <w:jc w:val="center"/>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8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+380504047402</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0">
            <w:pPr>
              <w:spacing w:after="0"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1">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телеграм за номером телефону</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2">
            <w:pPr>
              <w:spacing w:after="0" w:lineRule="auto"/>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https://us05web.zoom.us/j/81096665272?pwd=BAUGcn4bacLbm5aR7ZHt0CbnBbagxq.1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color w:val="0070c0"/>
              </w:rPr>
            </w:pPr>
            <w:r w:rsidDel="00000000" w:rsidR="00000000" w:rsidRPr="00000000">
              <w:rPr>
                <w:rFonts w:ascii="Times New Roman" w:cs="Times New Roman" w:eastAsia="Times New Roman" w:hAnsi="Times New Roman"/>
                <w:rtl w:val="0"/>
              </w:rPr>
              <w:t xml:space="preserve">semenets.olha@snu.edu.ua  </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6">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електронна адреса</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7">
            <w:pPr>
              <w:spacing w:after="0" w:line="240" w:lineRule="auto"/>
              <w:jc w:val="center"/>
              <w:rPr>
                <w:rFonts w:ascii="Times New Roman" w:cs="Times New Roman" w:eastAsia="Times New Roman" w:hAnsi="Times New Roman"/>
                <w:highlight w:val="white"/>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8">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телефон</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A">
            <w:pPr>
              <w:spacing w:after="0" w:line="240" w:lineRule="auto"/>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B">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месенджер</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C">
            <w:pPr>
              <w:spacing w:after="0" w:lineRule="auto"/>
              <w:jc w:val="center"/>
              <w:rPr>
                <w:rFonts w:ascii="Times New Roman" w:cs="Times New Roman" w:eastAsia="Times New Roman" w:hAnsi="Times New Roman"/>
                <w:highlight w:val="white"/>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D">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консультації</w:t>
            </w:r>
          </w:p>
        </w:tc>
      </w:tr>
    </w:tbl>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tbl>
      <w:tblPr>
        <w:tblStyle w:val="Table5"/>
        <w:tblW w:w="96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7309"/>
        <w:tblGridChange w:id="0">
          <w:tblGrid>
            <w:gridCol w:w="2370"/>
            <w:gridCol w:w="7309"/>
          </w:tblGrid>
        </w:tblGridChange>
      </w:tblGrid>
      <w:tr>
        <w:trPr>
          <w:cantSplit w:val="0"/>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Цілі курсу:</w:t>
            </w:r>
          </w:p>
        </w:tc>
        <w:tc>
          <w:tcPr/>
          <w:p w:rsidR="00000000" w:rsidDel="00000000" w:rsidP="00000000" w:rsidRDefault="00000000" w:rsidRPr="00000000" w14:paraId="000000A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Навчальна дисципліна «Методологія і організація наукових досліджень» має на меті оволодіння студентами необхідними навичками дослідження, знайомство з прийомами та методами наукових досліджень у галузі філології. Вона  покликана сформувати у студентів здатність здійснювати наукове дослідження на конкретну наукову тему в обраній галузі знань та викладати його результати у науковому тексті, формування навичок написання магістерської кваліфікаційної роботи, її грамотного оформлення та підготовки апробаційних матеріалів. Основними завданнями курсу є сформувати у студентів цілісне уявлення про науку як про систему знань і метод пізнання; наукову інформацію; методологію наукового дослідження у галузі філології; про джерела наукової інформації та роботу з нею; організацію науководослідної та самостійної роботи у зво та про її види; про науковий стиль; культуру наукового мовлення; фахову термінологію у галузі філології та ін</w:t>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Результати навчання: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0A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результаті вивчення курсу вивчення здобувач має:</w:t>
            </w:r>
          </w:p>
          <w:p w:rsidR="00000000" w:rsidDel="00000000" w:rsidP="00000000" w:rsidRDefault="00000000" w:rsidRPr="00000000" w14:paraId="000000A6">
            <w:pPr>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знати:</w:t>
            </w:r>
          </w:p>
          <w:p w:rsidR="00000000" w:rsidDel="00000000" w:rsidP="00000000" w:rsidRDefault="00000000" w:rsidRPr="00000000" w14:paraId="000000A7">
            <w:pPr>
              <w:numPr>
                <w:ilvl w:val="0"/>
                <w:numId w:val="5"/>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Завдання і роль науки, систему наук та способи її організації.  </w:t>
            </w:r>
          </w:p>
          <w:p w:rsidR="00000000" w:rsidDel="00000000" w:rsidP="00000000" w:rsidRDefault="00000000" w:rsidRPr="00000000" w14:paraId="000000A8">
            <w:pPr>
              <w:numPr>
                <w:ilvl w:val="0"/>
                <w:numId w:val="5"/>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Типи наукової комунікації.  </w:t>
            </w:r>
          </w:p>
          <w:p w:rsidR="00000000" w:rsidDel="00000000" w:rsidP="00000000" w:rsidRDefault="00000000" w:rsidRPr="00000000" w14:paraId="000000A9">
            <w:pPr>
              <w:numPr>
                <w:ilvl w:val="0"/>
                <w:numId w:val="5"/>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Основи наукової інформації.  </w:t>
            </w:r>
          </w:p>
          <w:p w:rsidR="00000000" w:rsidDel="00000000" w:rsidP="00000000" w:rsidRDefault="00000000" w:rsidRPr="00000000" w14:paraId="000000AA">
            <w:pPr>
              <w:numPr>
                <w:ilvl w:val="0"/>
                <w:numId w:val="5"/>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Вимоги до змісту й оформлення наукових праць.  </w:t>
            </w:r>
          </w:p>
          <w:p w:rsidR="00000000" w:rsidDel="00000000" w:rsidP="00000000" w:rsidRDefault="00000000" w:rsidRPr="00000000" w14:paraId="000000AB">
            <w:pPr>
              <w:numPr>
                <w:ilvl w:val="0"/>
                <w:numId w:val="5"/>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Особливості жанрів наукових праць.</w:t>
            </w:r>
          </w:p>
          <w:p w:rsidR="00000000" w:rsidDel="00000000" w:rsidP="00000000" w:rsidRDefault="00000000" w:rsidRPr="00000000" w14:paraId="000000AC">
            <w:pPr>
              <w:numPr>
                <w:ilvl w:val="0"/>
                <w:numId w:val="5"/>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Принципи і засади академічної доброчесності. </w:t>
            </w:r>
          </w:p>
          <w:p w:rsidR="00000000" w:rsidDel="00000000" w:rsidP="00000000" w:rsidRDefault="00000000" w:rsidRPr="00000000" w14:paraId="000000AD">
            <w:pPr>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вміти:  </w:t>
            </w:r>
          </w:p>
          <w:p w:rsidR="00000000" w:rsidDel="00000000" w:rsidP="00000000" w:rsidRDefault="00000000" w:rsidRPr="00000000" w14:paraId="000000AE">
            <w:pPr>
              <w:numPr>
                <w:ilvl w:val="0"/>
                <w:numId w:val="2"/>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Оперативно користуватись інформаційними науковими джерелами.</w:t>
            </w:r>
          </w:p>
          <w:p w:rsidR="00000000" w:rsidDel="00000000" w:rsidP="00000000" w:rsidRDefault="00000000" w:rsidRPr="00000000" w14:paraId="000000AF">
            <w:pPr>
              <w:numPr>
                <w:ilvl w:val="0"/>
                <w:numId w:val="2"/>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Володіти основами наукових досліджень, правильно, вмотивовано працювати з науковим об’єктом.  </w:t>
            </w:r>
          </w:p>
          <w:p w:rsidR="00000000" w:rsidDel="00000000" w:rsidP="00000000" w:rsidRDefault="00000000" w:rsidRPr="00000000" w14:paraId="000000B0">
            <w:pPr>
              <w:numPr>
                <w:ilvl w:val="0"/>
                <w:numId w:val="2"/>
              </w:numPr>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Правильно будувати та оформлювати залежно від певного призначення власні дослідження, дотримуючись особливостей наукового стилю та принципів академічної доброчесності..</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Передумови до початку вивчення:</w:t>
            </w:r>
            <w:r w:rsidDel="00000000" w:rsidR="00000000" w:rsidRPr="00000000">
              <w:rPr>
                <w:rtl w:val="0"/>
              </w:rPr>
            </w:r>
          </w:p>
        </w:tc>
        <w:tc>
          <w:tcPr/>
          <w:p w:rsidR="00000000" w:rsidDel="00000000" w:rsidP="00000000" w:rsidRDefault="00000000" w:rsidRPr="00000000" w14:paraId="000000B2">
            <w:pPr>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вміння та навички, отримані студентами під час навчання на бакалавраті при написанні курсових робіт.</w:t>
            </w:r>
            <w:r w:rsidDel="00000000" w:rsidR="00000000" w:rsidRPr="00000000">
              <w:rPr>
                <w:rtl w:val="0"/>
              </w:rPr>
            </w:r>
          </w:p>
        </w:tc>
      </w:tr>
    </w:tbl>
    <w:p w:rsidR="00000000" w:rsidDel="00000000" w:rsidP="00000000" w:rsidRDefault="00000000" w:rsidRPr="00000000" w14:paraId="000000B3">
      <w:pPr>
        <w:spacing w:after="0" w:lineRule="auto"/>
        <w:ind w:left="3119" w:hanging="3119"/>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Мета курсу (набуті компетентності)</w:t>
      </w:r>
    </w:p>
    <w:p w:rsidR="00000000" w:rsidDel="00000000" w:rsidP="00000000" w:rsidRDefault="00000000" w:rsidRPr="00000000" w14:paraId="000000B4">
      <w:pPr>
        <w:spacing w:after="0" w:lineRule="auto"/>
        <w:ind w:firstLine="70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Внаслідок вивчення навчального курсу здобувач вищої освіти набуде таких компетентностей, як:</w:t>
      </w:r>
      <w:r w:rsidDel="00000000" w:rsidR="00000000" w:rsidRPr="00000000">
        <w:rPr>
          <w:rtl w:val="0"/>
        </w:rPr>
      </w:r>
    </w:p>
    <w:p w:rsidR="00000000" w:rsidDel="00000000" w:rsidP="00000000" w:rsidRDefault="00000000" w:rsidRPr="00000000" w14:paraId="000000B5">
      <w:pPr>
        <w:shd w:fill="ffffff" w:val="clea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ЗК 2.</w:t>
      </w:r>
      <w:r w:rsidDel="00000000" w:rsidR="00000000" w:rsidRPr="00000000">
        <w:rPr>
          <w:rFonts w:ascii="Times New Roman" w:cs="Times New Roman" w:eastAsia="Times New Roman" w:hAnsi="Times New Roman"/>
          <w:color w:val="000000"/>
          <w:sz w:val="24"/>
          <w:szCs w:val="24"/>
          <w:highlight w:val="white"/>
          <w:rtl w:val="0"/>
        </w:rPr>
        <w:t xml:space="preserve"> Здатність до генерування нових ідей, прояву креативності в освітній діяльності, виявлення та розв’язання проблем, ініціативності, критичного мислення тощо.</w:t>
      </w:r>
      <w:r w:rsidDel="00000000" w:rsidR="00000000" w:rsidRPr="00000000">
        <w:rPr>
          <w:rtl w:val="0"/>
        </w:rPr>
      </w:r>
    </w:p>
    <w:p w:rsidR="00000000" w:rsidDel="00000000" w:rsidP="00000000" w:rsidRDefault="00000000" w:rsidRPr="00000000" w14:paraId="000000B6">
      <w:pPr>
        <w:shd w:fill="ffffff" w:val="clear"/>
        <w:spacing w:after="0" w:line="240" w:lineRule="auto"/>
        <w:ind w:hanging="3"/>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ЗК 5.</w:t>
      </w:r>
      <w:r w:rsidDel="00000000" w:rsidR="00000000" w:rsidRPr="00000000">
        <w:rPr>
          <w:rFonts w:ascii="Times New Roman" w:cs="Times New Roman" w:eastAsia="Times New Roman" w:hAnsi="Times New Roman"/>
          <w:color w:val="000000"/>
          <w:sz w:val="24"/>
          <w:szCs w:val="24"/>
          <w:highlight w:val="white"/>
          <w:rtl w:val="0"/>
        </w:rPr>
        <w:t xml:space="preserve"> Здатність до пошуку, оброблення, аналізу та критичного оцінювання інформації з різних вітчизняних та іншомовних джерел. </w:t>
      </w:r>
    </w:p>
    <w:p w:rsidR="00000000" w:rsidDel="00000000" w:rsidP="00000000" w:rsidRDefault="00000000" w:rsidRPr="00000000" w14:paraId="000000B7">
      <w:pPr>
        <w:shd w:fill="ffffff" w:val="clea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ЗК 6</w:t>
      </w:r>
      <w:r w:rsidDel="00000000" w:rsidR="00000000" w:rsidRPr="00000000">
        <w:rPr>
          <w:rFonts w:ascii="Times New Roman" w:cs="Times New Roman" w:eastAsia="Times New Roman" w:hAnsi="Times New Roman"/>
          <w:sz w:val="24"/>
          <w:szCs w:val="24"/>
          <w:highlight w:val="white"/>
          <w:rtl w:val="0"/>
        </w:rPr>
        <w:t xml:space="preserve">. Здатність усвідомлено визначати цілі особистісного і професійного розвитку, застосовувати навички самоменеджменту, працювати індивідуально та в команді.</w:t>
      </w:r>
    </w:p>
    <w:p w:rsidR="00000000" w:rsidDel="00000000" w:rsidP="00000000" w:rsidRDefault="00000000" w:rsidRPr="00000000" w14:paraId="000000B8">
      <w:pPr>
        <w:spacing w:after="0" w:line="240" w:lineRule="auto"/>
        <w:ind w:hanging="3"/>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ЗК 7.</w:t>
      </w:r>
      <w:r w:rsidDel="00000000" w:rsidR="00000000" w:rsidRPr="00000000">
        <w:rPr>
          <w:rFonts w:ascii="Times New Roman" w:cs="Times New Roman" w:eastAsia="Times New Roman" w:hAnsi="Times New Roman"/>
          <w:color w:val="000000"/>
          <w:sz w:val="24"/>
          <w:szCs w:val="24"/>
          <w:highlight w:val="white"/>
          <w:rtl w:val="0"/>
        </w:rPr>
        <w:t xml:space="preserve"> Здатність застосовувати набуті професійні знання і вміння в реаліях освітнього процесу.</w:t>
      </w:r>
    </w:p>
    <w:p w:rsidR="00000000" w:rsidDel="00000000" w:rsidP="00000000" w:rsidRDefault="00000000" w:rsidRPr="00000000" w14:paraId="000000B9">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ЗК 11</w:t>
      </w:r>
      <w:r w:rsidDel="00000000" w:rsidR="00000000" w:rsidRPr="00000000">
        <w:rPr>
          <w:rFonts w:ascii="Times New Roman" w:cs="Times New Roman" w:eastAsia="Times New Roman" w:hAnsi="Times New Roman"/>
          <w:sz w:val="24"/>
          <w:szCs w:val="24"/>
          <w:highlight w:val="white"/>
          <w:rtl w:val="0"/>
        </w:rPr>
        <w:t xml:space="preserve">. Здатність до прийняття ефективних рішень, уміння спілкуватися з представниками інших професійних груп різного рівня у фаховій педагогічній діяльності та відповідального ставлення до професійних обов’язків.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ЗК 12.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Вільне володіння державною мовою.</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ЗК 13</w:t>
      </w:r>
      <w:r w:rsidDel="00000000" w:rsidR="00000000" w:rsidRPr="00000000">
        <w:rPr>
          <w:rFonts w:ascii="Times New Roman" w:cs="Times New Roman" w:eastAsia="Times New Roman" w:hAnsi="Times New Roman"/>
          <w:sz w:val="24"/>
          <w:szCs w:val="24"/>
          <w:highlight w:val="white"/>
          <w:rtl w:val="0"/>
        </w:rPr>
        <w:t xml:space="preserve">. Володіння іноземними мовами.</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ЗК 14.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Дотримання етичних принципів та загальноприйнятих моральних норм.</w:t>
      </w:r>
    </w:p>
    <w:p w:rsidR="00000000" w:rsidDel="00000000" w:rsidP="00000000" w:rsidRDefault="00000000" w:rsidRPr="00000000" w14:paraId="000000BD">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ФК 4.</w:t>
      </w:r>
      <w:r w:rsidDel="00000000" w:rsidR="00000000" w:rsidRPr="00000000">
        <w:rPr>
          <w:rFonts w:ascii="Times New Roman" w:cs="Times New Roman" w:eastAsia="Times New Roman" w:hAnsi="Times New Roman"/>
          <w:color w:val="000000"/>
          <w:sz w:val="24"/>
          <w:szCs w:val="24"/>
          <w:highlight w:val="white"/>
          <w:rtl w:val="0"/>
        </w:rPr>
        <w:t xml:space="preserve"> Здатність використовувати фахові знання теорії мовознавства та літературознавства, наукових шкіл і напрямів актуальних філологічних досліджень.</w:t>
      </w:r>
      <w:r w:rsidDel="00000000" w:rsidR="00000000" w:rsidRPr="00000000">
        <w:rPr>
          <w:rtl w:val="0"/>
        </w:rPr>
      </w:r>
    </w:p>
    <w:p w:rsidR="00000000" w:rsidDel="00000000" w:rsidP="00000000" w:rsidRDefault="00000000" w:rsidRPr="00000000" w14:paraId="000000BE">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ФК 7.</w:t>
      </w:r>
      <w:r w:rsidDel="00000000" w:rsidR="00000000" w:rsidRPr="00000000">
        <w:rPr>
          <w:rFonts w:ascii="Times New Roman" w:cs="Times New Roman" w:eastAsia="Times New Roman" w:hAnsi="Times New Roman"/>
          <w:color w:val="000000"/>
          <w:sz w:val="24"/>
          <w:szCs w:val="24"/>
          <w:highlight w:val="white"/>
          <w:rtl w:val="0"/>
        </w:rPr>
        <w:t xml:space="preserve"> Здатність проводити професійно-орієнтовані наукові дослідження, аналізувати й узагальнювати результати дослідницького/творчого проєкту. </w:t>
      </w:r>
      <w:r w:rsidDel="00000000" w:rsidR="00000000" w:rsidRPr="00000000">
        <w:rPr>
          <w:rtl w:val="0"/>
        </w:rPr>
      </w:r>
    </w:p>
    <w:p w:rsidR="00000000" w:rsidDel="00000000" w:rsidP="00000000" w:rsidRDefault="00000000" w:rsidRPr="00000000" w14:paraId="000000BF">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ФК 8. </w:t>
      </w:r>
      <w:r w:rsidDel="00000000" w:rsidR="00000000" w:rsidRPr="00000000">
        <w:rPr>
          <w:rFonts w:ascii="Times New Roman" w:cs="Times New Roman" w:eastAsia="Times New Roman" w:hAnsi="Times New Roman"/>
          <w:color w:val="000000"/>
          <w:sz w:val="24"/>
          <w:szCs w:val="24"/>
          <w:highlight w:val="white"/>
          <w:rtl w:val="0"/>
        </w:rPr>
        <w:t xml:space="preserve">Здатність застосовувати науково-педагогічні теорії в освітньому процесі, інновації у фаховій діяльності, використовувати іншомовні комунікативні стратегії</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в освітньому середовищі та міжкультурному контексті.</w:t>
      </w:r>
      <w:r w:rsidDel="00000000" w:rsidR="00000000" w:rsidRPr="00000000">
        <w:rPr>
          <w:rtl w:val="0"/>
        </w:rPr>
      </w:r>
    </w:p>
    <w:p w:rsidR="00000000" w:rsidDel="00000000" w:rsidP="00000000" w:rsidRDefault="00000000" w:rsidRPr="00000000" w14:paraId="000000C0">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ФК 13.</w:t>
      </w:r>
      <w:r w:rsidDel="00000000" w:rsidR="00000000" w:rsidRPr="00000000">
        <w:rPr>
          <w:rFonts w:ascii="Times New Roman" w:cs="Times New Roman" w:eastAsia="Times New Roman" w:hAnsi="Times New Roman"/>
          <w:color w:val="000000"/>
          <w:sz w:val="24"/>
          <w:szCs w:val="24"/>
          <w:highlight w:val="white"/>
          <w:rtl w:val="0"/>
        </w:rPr>
        <w:t xml:space="preserve"> Здатність до навчання впродовж життя, яке є  автономною і самостійною  формою самоосвіти. </w:t>
      </w:r>
      <w:r w:rsidDel="00000000" w:rsidR="00000000" w:rsidRPr="00000000">
        <w:rPr>
          <w:rtl w:val="0"/>
        </w:rPr>
      </w:r>
    </w:p>
    <w:p w:rsidR="00000000" w:rsidDel="00000000" w:rsidP="00000000" w:rsidRDefault="00000000" w:rsidRPr="00000000" w14:paraId="000000C1">
      <w:pPr>
        <w:spacing w:after="0" w:lineRule="auto"/>
        <w:ind w:hanging="709"/>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2">
      <w:pPr>
        <w:spacing w:after="0" w:lineRule="auto"/>
        <w:ind w:hanging="709"/>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Програмні результати навчання</w:t>
      </w:r>
    </w:p>
    <w:p w:rsidR="00000000" w:rsidDel="00000000" w:rsidP="00000000" w:rsidRDefault="00000000" w:rsidRPr="00000000" w14:paraId="000000C3">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ПРН 1. </w:t>
      </w:r>
      <w:r w:rsidDel="00000000" w:rsidR="00000000" w:rsidRPr="00000000">
        <w:rPr>
          <w:rFonts w:ascii="Times New Roman" w:cs="Times New Roman" w:eastAsia="Times New Roman" w:hAnsi="Times New Roman"/>
          <w:color w:val="000000"/>
          <w:sz w:val="24"/>
          <w:szCs w:val="24"/>
          <w:highlight w:val="white"/>
          <w:rtl w:val="0"/>
        </w:rPr>
        <w:t xml:space="preserve">Знання</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сучасних тенденцій методики навчання англійської мови і зарубіжної літератури, особливостей використання мови в іншомовній комунікації, уміння творчо використовувати вітчизняні й зарубіжні теорії та здобутки у процесі вирішення професійних завдань.</w:t>
      </w:r>
      <w:r w:rsidDel="00000000" w:rsidR="00000000" w:rsidRPr="00000000">
        <w:rPr>
          <w:rtl w:val="0"/>
        </w:rPr>
      </w:r>
    </w:p>
    <w:p w:rsidR="00000000" w:rsidDel="00000000" w:rsidP="00000000" w:rsidRDefault="00000000" w:rsidRPr="00000000" w14:paraId="000000C4">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ПРН 7. </w:t>
      </w:r>
      <w:r w:rsidDel="00000000" w:rsidR="00000000" w:rsidRPr="00000000">
        <w:rPr>
          <w:rFonts w:ascii="Times New Roman" w:cs="Times New Roman" w:eastAsia="Times New Roman" w:hAnsi="Times New Roman"/>
          <w:color w:val="000000"/>
          <w:sz w:val="24"/>
          <w:szCs w:val="24"/>
          <w:highlight w:val="white"/>
          <w:rtl w:val="0"/>
        </w:rPr>
        <w:t xml:space="preserve">Уміння здійснювати, опрацьовувати й аналізувати професійно важливі знання, спираючись на сучасні інформаційно-комунікативні технології та різноманітні ресурси.</w:t>
      </w:r>
      <w:r w:rsidDel="00000000" w:rsidR="00000000" w:rsidRPr="00000000">
        <w:rPr>
          <w:rtl w:val="0"/>
        </w:rPr>
      </w:r>
    </w:p>
    <w:p w:rsidR="00000000" w:rsidDel="00000000" w:rsidP="00000000" w:rsidRDefault="00000000" w:rsidRPr="00000000" w14:paraId="000000C5">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ПРН 8.</w:t>
      </w:r>
      <w:r w:rsidDel="00000000" w:rsidR="00000000" w:rsidRPr="00000000">
        <w:rPr>
          <w:rFonts w:ascii="Times New Roman" w:cs="Times New Roman" w:eastAsia="Times New Roman" w:hAnsi="Times New Roman"/>
          <w:color w:val="000000"/>
          <w:sz w:val="24"/>
          <w:szCs w:val="24"/>
          <w:highlight w:val="white"/>
          <w:rtl w:val="0"/>
        </w:rPr>
        <w:t xml:space="preserve"> Уміння знаходити, адаптувати і модифікувати існуючі наукові підходи й методики відповідно до потреб освітнього процесу та конкретних ситуацій професійної діяльності.</w:t>
      </w:r>
      <w:r w:rsidDel="00000000" w:rsidR="00000000" w:rsidRPr="00000000">
        <w:rPr>
          <w:rtl w:val="0"/>
        </w:rPr>
      </w:r>
    </w:p>
    <w:p w:rsidR="00000000" w:rsidDel="00000000" w:rsidP="00000000" w:rsidRDefault="00000000" w:rsidRPr="00000000" w14:paraId="000000C6">
      <w:pPr>
        <w:spacing w:after="0" w:line="240" w:lineRule="auto"/>
        <w:ind w:hanging="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ПРН 13. </w:t>
      </w:r>
      <w:r w:rsidDel="00000000" w:rsidR="00000000" w:rsidRPr="00000000">
        <w:rPr>
          <w:rFonts w:ascii="Times New Roman" w:cs="Times New Roman" w:eastAsia="Times New Roman" w:hAnsi="Times New Roman"/>
          <w:color w:val="000000"/>
          <w:sz w:val="24"/>
          <w:szCs w:val="24"/>
          <w:highlight w:val="white"/>
          <w:rtl w:val="0"/>
        </w:rPr>
        <w:t xml:space="preserve">Знання й використання сучасних  методик і технологій організації навчального  процесу, дослідницької роботи й оцінки  досягнень учнів і студентів на різних етапах  навчання для успішного й ефективного  здійснення професійної діяльності та  забезпечення якості наукового пошуку в  конкретній галузі із дотриманням правил  академічної доброчесності. </w:t>
      </w:r>
      <w:r w:rsidDel="00000000" w:rsidR="00000000" w:rsidRPr="00000000">
        <w:rPr>
          <w:rtl w:val="0"/>
        </w:rPr>
      </w:r>
    </w:p>
    <w:p w:rsidR="00000000" w:rsidDel="00000000" w:rsidP="00000000" w:rsidRDefault="00000000" w:rsidRPr="00000000" w14:paraId="000000C7">
      <w:pPr>
        <w:spacing w:after="0" w:lineRule="auto"/>
        <w:ind w:left="3119" w:hanging="3119"/>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C8">
      <w:pPr>
        <w:spacing w:after="0" w:lineRule="auto"/>
        <w:ind w:left="3119" w:hanging="3119"/>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Структура курсу</w:t>
      </w:r>
    </w:p>
    <w:p w:rsidR="00000000" w:rsidDel="00000000" w:rsidP="00000000" w:rsidRDefault="00000000" w:rsidRPr="00000000" w14:paraId="000000C9">
      <w:pPr>
        <w:widowControl w:val="0"/>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bl>
      <w:tblPr>
        <w:tblStyle w:val="Table6"/>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
        <w:gridCol w:w="2421"/>
        <w:gridCol w:w="1262"/>
        <w:gridCol w:w="3818"/>
        <w:gridCol w:w="1979"/>
        <w:tblGridChange w:id="0">
          <w:tblGrid>
            <w:gridCol w:w="409"/>
            <w:gridCol w:w="2421"/>
            <w:gridCol w:w="1262"/>
            <w:gridCol w:w="3818"/>
            <w:gridCol w:w="1979"/>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ece1ff" w:val="clear"/>
            <w:vAlign w:val="center"/>
          </w:tcPr>
          <w:p w:rsidR="00000000" w:rsidDel="00000000" w:rsidP="00000000" w:rsidRDefault="00000000" w:rsidRPr="00000000" w14:paraId="000000CA">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tc>
        <w:tc>
          <w:tcPr>
            <w:tcBorders>
              <w:top w:color="000000" w:space="0" w:sz="4" w:val="single"/>
              <w:left w:color="000000" w:space="0" w:sz="4" w:val="single"/>
              <w:bottom w:color="000000" w:space="0" w:sz="4" w:val="single"/>
              <w:right w:color="000000" w:space="0" w:sz="4" w:val="single"/>
            </w:tcBorders>
            <w:shd w:fill="ece1ff" w:val="clear"/>
            <w:vAlign w:val="center"/>
          </w:tcPr>
          <w:p w:rsidR="00000000" w:rsidDel="00000000" w:rsidP="00000000" w:rsidRDefault="00000000" w:rsidRPr="00000000" w14:paraId="000000CB">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Тема</w:t>
            </w:r>
          </w:p>
        </w:tc>
        <w:tc>
          <w:tcPr>
            <w:tcBorders>
              <w:top w:color="000000" w:space="0" w:sz="4" w:val="single"/>
              <w:left w:color="000000" w:space="0" w:sz="4" w:val="single"/>
              <w:bottom w:color="000000" w:space="0" w:sz="4" w:val="single"/>
              <w:right w:color="000000" w:space="0" w:sz="4" w:val="single"/>
            </w:tcBorders>
            <w:shd w:fill="ece1ff" w:val="clear"/>
            <w:vAlign w:val="center"/>
          </w:tcPr>
          <w:p w:rsidR="00000000" w:rsidDel="00000000" w:rsidP="00000000" w:rsidRDefault="00000000" w:rsidRPr="00000000" w14:paraId="000000CC">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Години (Л/ЛБ/ПЗ)</w:t>
            </w:r>
          </w:p>
        </w:tc>
        <w:tc>
          <w:tcPr>
            <w:tcBorders>
              <w:top w:color="000000" w:space="0" w:sz="4" w:val="single"/>
              <w:left w:color="000000" w:space="0" w:sz="4" w:val="single"/>
              <w:bottom w:color="000000" w:space="0" w:sz="4" w:val="single"/>
              <w:right w:color="000000" w:space="0" w:sz="4" w:val="single"/>
            </w:tcBorders>
            <w:shd w:fill="ece1ff" w:val="clear"/>
            <w:vAlign w:val="center"/>
          </w:tcPr>
          <w:p w:rsidR="00000000" w:rsidDel="00000000" w:rsidP="00000000" w:rsidRDefault="00000000" w:rsidRPr="00000000" w14:paraId="000000CD">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Стислий зміст</w:t>
            </w:r>
          </w:p>
        </w:tc>
        <w:tc>
          <w:tcPr>
            <w:tcBorders>
              <w:top w:color="000000" w:space="0" w:sz="4" w:val="single"/>
              <w:left w:color="000000" w:space="0" w:sz="4" w:val="single"/>
              <w:bottom w:color="000000" w:space="0" w:sz="4" w:val="single"/>
              <w:right w:color="000000" w:space="0" w:sz="4" w:val="single"/>
            </w:tcBorders>
            <w:shd w:fill="ece1ff" w:val="clear"/>
            <w:vAlign w:val="center"/>
          </w:tcPr>
          <w:p w:rsidR="00000000" w:rsidDel="00000000" w:rsidP="00000000" w:rsidRDefault="00000000" w:rsidRPr="00000000" w14:paraId="000000CE">
            <w:pPr>
              <w:spacing w:after="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Інструменти і завдання</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numPr>
                <w:ilvl w:val="0"/>
                <w:numId w:val="6"/>
              </w:numPr>
              <w:spacing w:after="0" w:line="240" w:lineRule="auto"/>
              <w:ind w:left="0"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Наука і організація наукової роботи.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Специфіка наукового пізнання. Сутність науки. Наукові поняття, категорії, гіпотези, закони, принципи, теорії. Критерії науковості. Наукові парадигми. Теоретична основа наукових досліджень. Структура наукової теорії. Організація наукової роботи в Україні.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28" w:right="0" w:hanging="28"/>
              <w:jc w:val="center"/>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a"/>
                <w:sz w:val="22"/>
                <w:szCs w:val="22"/>
                <w:highlight w:val="white"/>
                <w:u w:val="none"/>
                <w:vertAlign w:val="baseline"/>
                <w:rtl w:val="0"/>
              </w:rPr>
              <w:t xml:space="preserve">Усне опитування на практичних заняттях; виконання індивідуальних, творчих та ситуаційних завдань;</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numPr>
                <w:ilvl w:val="0"/>
                <w:numId w:val="6"/>
              </w:numPr>
              <w:spacing w:after="0" w:line="240" w:lineRule="auto"/>
              <w:ind w:left="0"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Академічна доброчесність в наукових дослідженнях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Поняття «академічної доброчесності». Види академічної недоброчесності. Впровадження академічної доброчесності в ЗВО. Сучасні світові стандарти академічного письма. Ефективні політики академічної доброчесності при підготовці магістерської роботи. Академічна доброчесність та навички якісного академічного письма як важливі компетентності здобувача вищої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Участь в обговоренні</w:t>
            </w:r>
          </w:p>
          <w:p w:rsidR="00000000" w:rsidDel="00000000" w:rsidP="00000000" w:rsidRDefault="00000000" w:rsidRPr="00000000" w14:paraId="000000DE">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Усне опитування</w:t>
            </w:r>
          </w:p>
          <w:p w:rsidR="00000000" w:rsidDel="00000000" w:rsidP="00000000" w:rsidRDefault="00000000" w:rsidRPr="00000000" w14:paraId="000000DF">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Ведення конспекту</w:t>
            </w:r>
          </w:p>
          <w:p w:rsidR="00000000" w:rsidDel="00000000" w:rsidP="00000000" w:rsidRDefault="00000000" w:rsidRPr="00000000" w14:paraId="000000E0">
            <w:pPr>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numPr>
                <w:ilvl w:val="0"/>
                <w:numId w:val="6"/>
              </w:numPr>
              <w:spacing w:after="0" w:line="240" w:lineRule="auto"/>
              <w:ind w:left="0"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Методологічний апарат наукового дослідження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Методологічна культура науки. Методологічні характеристики наукового дослідження. Структура наукового дослідження: методологічна і процедурна частини. Бібліографічний пошук і огляд літератури з проблеми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Участь в обговоренні</w:t>
            </w:r>
          </w:p>
          <w:p w:rsidR="00000000" w:rsidDel="00000000" w:rsidP="00000000" w:rsidRDefault="00000000" w:rsidRPr="00000000" w14:paraId="000000E6">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Усне опитування</w:t>
            </w:r>
          </w:p>
          <w:p w:rsidR="00000000" w:rsidDel="00000000" w:rsidP="00000000" w:rsidRDefault="00000000" w:rsidRPr="00000000" w14:paraId="000000E7">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a"/>
                <w:highlight w:val="white"/>
                <w:rtl w:val="0"/>
              </w:rPr>
              <w:t xml:space="preserve">виконання індивідуальних, творчих та ситуаційних завдань</w:t>
            </w:r>
            <w:r w:rsidDel="00000000" w:rsidR="00000000" w:rsidRPr="00000000">
              <w:rPr>
                <w:rtl w:val="0"/>
              </w:rPr>
            </w:r>
          </w:p>
          <w:p w:rsidR="00000000" w:rsidDel="00000000" w:rsidP="00000000" w:rsidRDefault="00000000" w:rsidRPr="00000000" w14:paraId="000000E8">
            <w:pPr>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numPr>
                <w:ilvl w:val="0"/>
                <w:numId w:val="6"/>
              </w:numPr>
              <w:spacing w:after="0" w:line="240" w:lineRule="auto"/>
              <w:ind w:lef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Огранізація науково-дослідної та самостійної роботи у ЗВО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Логіка наукового дослідження. Загальна схема наукового дослідження. Організація і планування наукового дослідження. Організація науково-дослідної роботи у ЗВО. Самостійна робота: сутність і структура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Участь в обговоренні</w:t>
            </w:r>
          </w:p>
          <w:p w:rsidR="00000000" w:rsidDel="00000000" w:rsidP="00000000" w:rsidRDefault="00000000" w:rsidRPr="00000000" w14:paraId="000000EE">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Усне опитування</w:t>
            </w:r>
          </w:p>
          <w:p w:rsidR="00000000" w:rsidDel="00000000" w:rsidP="00000000" w:rsidRDefault="00000000" w:rsidRPr="00000000" w14:paraId="000000EF">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Ведення конспекту</w:t>
            </w:r>
          </w:p>
          <w:p w:rsidR="00000000" w:rsidDel="00000000" w:rsidP="00000000" w:rsidRDefault="00000000" w:rsidRPr="00000000" w14:paraId="000000F0">
            <w:pPr>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numPr>
                <w:ilvl w:val="0"/>
                <w:numId w:val="6"/>
              </w:numPr>
              <w:spacing w:after="0" w:line="240" w:lineRule="auto"/>
              <w:ind w:left="0"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Процедурна частина наукового дослідження (збір і опрацювання фактичного матеріалу).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Арсенал емпіричних методів у філології (Спостереження. Опитування. Анкетування. Бесіда. Експеримент). Загальнонаукові (теоретичні) методи дослідження (Абстракція і конкретизація. Аналіз, систематизація, класифікація, синтез, узагальнення. Порівняння. Дедукція та індукція. Моделювання).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Участь в обговоренні</w:t>
            </w:r>
          </w:p>
          <w:p w:rsidR="00000000" w:rsidDel="00000000" w:rsidP="00000000" w:rsidRDefault="00000000" w:rsidRPr="00000000" w14:paraId="000000F6">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Усне опитування</w:t>
            </w:r>
          </w:p>
          <w:p w:rsidR="00000000" w:rsidDel="00000000" w:rsidP="00000000" w:rsidRDefault="00000000" w:rsidRPr="00000000" w14:paraId="000000F7">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a"/>
                <w:highlight w:val="white"/>
                <w:rtl w:val="0"/>
              </w:rPr>
              <w:t xml:space="preserve">Презентація матеріалу за заданою темою</w:t>
            </w:r>
            <w:r w:rsidDel="00000000" w:rsidR="00000000" w:rsidRPr="00000000">
              <w:rPr>
                <w:rtl w:val="0"/>
              </w:rPr>
            </w:r>
          </w:p>
          <w:p w:rsidR="00000000" w:rsidDel="00000000" w:rsidP="00000000" w:rsidRDefault="00000000" w:rsidRPr="00000000" w14:paraId="000000F8">
            <w:pPr>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numPr>
                <w:ilvl w:val="0"/>
                <w:numId w:val="6"/>
              </w:numPr>
              <w:spacing w:after="0" w:line="240" w:lineRule="auto"/>
              <w:ind w:left="0"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Науковий текст. </w:t>
            </w:r>
            <w:r w:rsidDel="00000000" w:rsidR="00000000" w:rsidRPr="00000000">
              <w:rPr>
                <w:rFonts w:ascii="Times New Roman" w:cs="Times New Roman" w:eastAsia="Times New Roman" w:hAnsi="Times New Roman"/>
                <w:highlight w:val="white"/>
                <w:rtl w:val="0"/>
              </w:rPr>
              <w:t xml:space="preserve">Презентація і публікація результатів наукових досліджень.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Науковий стиль мовлення. Функції наукового тексту. Первинні та вторинні жанри наукового тексту (монографія, дисертація, автореферат, стаття, анотація, наукова доповідь, тези). Критичні жанри наукового тексту (рецензія, відгук). Публічна презентація наукової роботи (виступ на конференції, публічний захист). Вимоги до оформлення кваліфікаційних робіт. Подання до захисту та експертна оцінка кваліфікаційної роботи. Правила поведінки на наукових публічних заходах.</w:t>
            </w:r>
          </w:p>
          <w:p w:rsidR="00000000" w:rsidDel="00000000" w:rsidP="00000000" w:rsidRDefault="00000000" w:rsidRPr="00000000" w14:paraId="000000FD">
            <w:pPr>
              <w:spacing w:line="254"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Друкована публікація результатів наукових досліджень. Фахові українські та міжнародні видання. Загальні правила публікації у рецензованих фахових виданнях.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a"/>
                <w:highlight w:val="white"/>
                <w:rtl w:val="0"/>
              </w:rPr>
              <w:t xml:space="preserve">Усне опитування на практичних заняттях; виконання індивідуальних, творчих та ситуаційних завдань;</w:t>
            </w:r>
            <w:r w:rsidDel="00000000" w:rsidR="00000000" w:rsidRPr="00000000">
              <w:rPr>
                <w:rtl w:val="0"/>
              </w:rPr>
            </w:r>
          </w:p>
          <w:p w:rsidR="00000000" w:rsidDel="00000000" w:rsidP="00000000" w:rsidRDefault="00000000" w:rsidRPr="00000000" w14:paraId="000000FF">
            <w:pPr>
              <w:spacing w:after="0" w:line="240" w:lineRule="auto"/>
              <w:jc w:val="center"/>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numPr>
                <w:ilvl w:val="0"/>
                <w:numId w:val="6"/>
              </w:numPr>
              <w:spacing w:after="0" w:line="240" w:lineRule="auto"/>
              <w:ind w:left="0" w:firstLine="0"/>
              <w:jc w:val="center"/>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Залік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Підсумковий тест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105">
      <w:pPr>
        <w:widowControl w:val="0"/>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06">
      <w:pPr>
        <w:spacing w:after="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Рекомендована література</w:t>
      </w:r>
    </w:p>
    <w:p w:rsidR="00000000" w:rsidDel="00000000" w:rsidP="00000000" w:rsidRDefault="00000000" w:rsidRPr="00000000" w14:paraId="00000107">
      <w:pPr>
        <w:spacing w:after="0" w:lineRule="auto"/>
        <w:jc w:val="both"/>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Базова:</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Сурмін Ю. П. Наукові тексти: специфіка, підготовка, презентація : навч.-метод. посіб. К. : НАДУ, 2008. 184 с. Режим доступу: </w:t>
      </w:r>
      <w:hyperlink r:id="rId8">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http://academy.gov.ua/NMKD/library_nadu/Navch_Posybniky/c0815324-6801-436a-9214-67c1bb53edb7.pdf</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365"/>
        </w:tabs>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Ушакова Н.Г., Мельник Л.О. Методологія та організація наукових досліджень: конспект лекцій. Х.: ХДУХТ, 2010. 89 с. </w:t>
      </w:r>
      <w:hyperlink r:id="rId9">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elib.hduht.edu.ua/bitstream/123456789/241/1/%D0%B5%D0%BA.%D0%BB%D0%BE%D0%BA.%D0%9A%D0%BE%D0%BD%D1%81%D0%BF%D0%B5%D0%BA%D1%82%20%D0%BB%D0%B5%D0%BA%D1%86%D1%96%D0%B9%20%D0%9C%D0%B5%D1%82%D0%BE%D0%B4%D0%BE%D0%BB%D0%BE%D0%B3.%20%D0%BD%D0%B0%D1%83%D0%BA.%20%D0%B4%D0%BE%D1%81%D0%BB%D1%96%D0%B4%D0%B6%D0%B5%D0%BD%D1%8C.pdf</w:t>
        </w:r>
      </w:hyperlink>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365"/>
        </w:tabs>
        <w:spacing w:after="0" w:before="0" w:line="240" w:lineRule="auto"/>
        <w:ind w:left="357"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0D">
      <w:pPr>
        <w:shd w:fill="ffffff" w:val="clear"/>
        <w:tabs>
          <w:tab w:val="left" w:leader="none" w:pos="365"/>
        </w:tabs>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Допоміжна:</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Ковалів Ю.</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Абетка дисертанта. Методологічні принципи написання дисертації: Посібник. Київ, 2009. 460 с.</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Кодекс наукової етики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Наука та наукознавство</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2005. № 3. С. 31 – 37 </w:t>
      </w:r>
      <w:hyperlink r:id="rId10">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http://dspace.nbuv.gov.ua/bitstream/handle/123456789/49520/05-Codex.pdf?sequence=1</w:t>
        </w:r>
      </w:hyperlink>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Міжнародні</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правила цитування та посилання у наукових роботах: методичні рекомендації / автори-укладачі: О. Боженко, Ю. Корян, М. Федорець; редколегія: В. С. Пашкова, О. В. Воскобойнікова-Гузєва, Я. Є. Сошинська, О. М. Бруй; Науково-технічна бібліотека ім. Г. І. Денисенка Національного технічного університету України «Київський політехнічний інститут»; Українська бібліотечна асоціація. К., 2016. 117 с. // </w:t>
      </w:r>
      <w:hyperlink r:id="rId11">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http://www.library.onaft.edu.ua/plus/Mizhnar_styli_posylannya.pdf</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Пономаренко Л. А.</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Як підготувати і захистити дисертацію на здобуття наукового ступеня. К., 2010. 80 с.</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Academic</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phrasebank // </w:t>
      </w:r>
      <w:hyperlink r:id="rId12">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http://www.phrasebank.manchester.ac.uk</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100 USEFUL PHRASES for Abstract writing // </w:t>
      </w:r>
      <w:hyperlink r:id="rId13">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https://www.academia.edu/37918185/100_USEFUL_PHRASES_for_Abstract_writing?fbclid=IwAR33d_ulInrQDQrA2GyCH7iSnHrmWlTTz9um2AmuoSpLue_dnRmiYXKrgHg</w:t>
        </w:r>
      </w:hyperlink>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12121"/>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Basic Information about Scientific Integrity // </w:t>
      </w:r>
      <w:hyperlink r:id="rId14">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https://www.epa.gov/osa/basic-information-about-scientific-integrity</w:t>
        </w:r>
      </w:hyperlink>
      <w:r w:rsidDel="00000000" w:rsidR="00000000" w:rsidRPr="00000000">
        <w:rPr>
          <w:rFonts w:ascii="Times New Roman" w:cs="Times New Roman" w:eastAsia="Times New Roman" w:hAnsi="Times New Roman"/>
          <w:b w:val="0"/>
          <w:i w:val="0"/>
          <w:smallCaps w:val="0"/>
          <w:strike w:val="0"/>
          <w:color w:val="212121"/>
          <w:sz w:val="22"/>
          <w:szCs w:val="22"/>
          <w:highlight w:val="white"/>
          <w:u w:val="none"/>
          <w:vertAlign w:val="baseline"/>
          <w:rtl w:val="0"/>
        </w:rPr>
        <w:t xml:space="preserve"> </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Winter, Jan De. Defining Scientific Integrity // Philosophy and Public Policy Quarterly. - VOL. 32, NO. 3/4 (FALL/WINTER 2014). – P. 29 – 35. </w:t>
      </w:r>
      <w:hyperlink r:id="rId15">
        <w:r w:rsidDel="00000000" w:rsidR="00000000" w:rsidRPr="00000000">
          <w:rPr>
            <w:rFonts w:ascii="Times New Roman" w:cs="Times New Roman" w:eastAsia="Times New Roman" w:hAnsi="Times New Roman"/>
            <w:b w:val="0"/>
            <w:i w:val="0"/>
            <w:smallCaps w:val="0"/>
            <w:strike w:val="0"/>
            <w:color w:val="0563c1"/>
            <w:sz w:val="22"/>
            <w:szCs w:val="22"/>
            <w:highlight w:val="white"/>
            <w:u w:val="single"/>
            <w:vertAlign w:val="baseline"/>
            <w:rtl w:val="0"/>
          </w:rPr>
          <w:t xml:space="preserve">https://pdfs.semanticscholar.org/1698/f0859ff9fb5ab49458a70ac82593a7ebd67e.pdf</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Model Policy on Scientific Integrity // </w:t>
      </w:r>
      <w:hyperlink r:id="rId16">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http://science.gc.ca/eic/site/063.nsf/eng/h_97643.html</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117">
      <w:pPr>
        <w:widowControl w:val="0"/>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8">
      <w:pPr>
        <w:spacing w:after="0" w:lineRule="auto"/>
        <w:jc w:val="center"/>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9">
      <w:pPr>
        <w:spacing w:after="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Оцінювання курсу</w:t>
      </w:r>
    </w:p>
    <w:p w:rsidR="00000000" w:rsidDel="00000000" w:rsidP="00000000" w:rsidRDefault="00000000" w:rsidRPr="00000000" w14:paraId="0000011A">
      <w:pPr>
        <w:spacing w:after="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 повністю виконані завдання студент може отримати визначену кількість балів:</w:t>
      </w:r>
    </w:p>
    <w:p w:rsidR="00000000" w:rsidDel="00000000" w:rsidP="00000000" w:rsidRDefault="00000000" w:rsidRPr="00000000" w14:paraId="0000011B">
      <w:pPr>
        <w:spacing w:after="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 семестр</w:t>
      </w:r>
    </w:p>
    <w:tbl>
      <w:tblPr>
        <w:tblStyle w:val="Table7"/>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44"/>
        <w:gridCol w:w="6"/>
        <w:gridCol w:w="2255"/>
        <w:tblGridChange w:id="0">
          <w:tblGrid>
            <w:gridCol w:w="7644"/>
            <w:gridCol w:w="6"/>
            <w:gridCol w:w="22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Інструменти і завдання</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Кількість балів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Практичні заняття і самостійна робота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70</w:t>
            </w:r>
          </w:p>
        </w:tc>
      </w:tr>
      <w:tr>
        <w:trPr>
          <w:cantSplit w:val="0"/>
          <w:trHeight w:val="246"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22">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Підсумковий тест/Залік</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24">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Разом</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100</w:t>
            </w:r>
          </w:p>
        </w:tc>
      </w:tr>
    </w:tbl>
    <w:p w:rsidR="00000000" w:rsidDel="00000000" w:rsidP="00000000" w:rsidRDefault="00000000" w:rsidRPr="00000000" w14:paraId="00000128">
      <w:pPr>
        <w:widowControl w:val="0"/>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9">
      <w:pPr>
        <w:widowControl w:val="0"/>
        <w:shd w:fill="ffffff" w:val="clea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2A">
      <w:pPr>
        <w:spacing w:after="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Шкала оцінювання студентів</w:t>
      </w:r>
    </w:p>
    <w:p w:rsidR="00000000" w:rsidDel="00000000" w:rsidP="00000000" w:rsidRDefault="00000000" w:rsidRPr="00000000" w14:paraId="0000012B">
      <w:pPr>
        <w:spacing w:after="0" w:lineRule="auto"/>
        <w:jc w:val="center"/>
        <w:rPr>
          <w:rFonts w:ascii="Times New Roman" w:cs="Times New Roman" w:eastAsia="Times New Roman" w:hAnsi="Times New Roman"/>
          <w:b w:val="1"/>
          <w:highlight w:val="white"/>
        </w:rPr>
      </w:pPr>
      <w:r w:rsidDel="00000000" w:rsidR="00000000" w:rsidRPr="00000000">
        <w:rPr>
          <w:rtl w:val="0"/>
        </w:rPr>
      </w:r>
    </w:p>
    <w:tbl>
      <w:tblPr>
        <w:tblStyle w:val="Table8"/>
        <w:tblW w:w="99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0"/>
        <w:gridCol w:w="1414"/>
        <w:gridCol w:w="3499"/>
        <w:gridCol w:w="2772"/>
        <w:tblGridChange w:id="0">
          <w:tblGrid>
            <w:gridCol w:w="2220"/>
            <w:gridCol w:w="1414"/>
            <w:gridCol w:w="3499"/>
            <w:gridCol w:w="2772"/>
          </w:tblGrid>
        </w:tblGridChange>
      </w:tblGrid>
      <w:tr>
        <w:trPr>
          <w:cantSplit w:val="0"/>
          <w:trHeight w:val="45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0" w:line="240" w:lineRule="auto"/>
              <w:jc w:val="center"/>
              <w:rPr>
                <w:rFonts w:ascii="Times New Roman" w:cs="Times New Roman" w:eastAsia="Times New Roman" w:hAnsi="Times New Roman"/>
                <w:highlight w:val="white"/>
              </w:rPr>
            </w:pPr>
            <w:bookmarkStart w:colFirst="0" w:colLast="0" w:name="_heading=h.gjdgxs" w:id="0"/>
            <w:bookmarkEnd w:id="0"/>
            <w:r w:rsidDel="00000000" w:rsidR="00000000" w:rsidRPr="00000000">
              <w:rPr>
                <w:rFonts w:ascii="Times New Roman" w:cs="Times New Roman" w:eastAsia="Times New Roman" w:hAnsi="Times New Roman"/>
                <w:highlight w:val="white"/>
                <w:rtl w:val="0"/>
              </w:rPr>
              <w:t xml:space="preserve">Сума балів за всі види навчальної діяльності</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Оцінка ECTS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Оцінка за національною шкалою</w:t>
            </w:r>
          </w:p>
        </w:tc>
      </w:tr>
      <w:tr>
        <w:trPr>
          <w:cantSplit w:val="0"/>
          <w:trHeight w:val="45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для екзамену, курсового проекту (роботи), практики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для заліку</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lin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highlight w:val="white"/>
                <w:rtl w:val="0"/>
              </w:rPr>
              <w:t xml:space="preserve">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відмінно</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240"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8">
            <w:pPr>
              <w:spacing w:after="0" w:line="240"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39">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зараховано</w:t>
            </w:r>
          </w:p>
        </w:tc>
      </w:tr>
      <w:tr>
        <w:trPr>
          <w:cantSplit w:val="0"/>
          <w:trHeight w:val="19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82-89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добре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74-81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64-73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задовільно</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60-63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35-59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незадовільно з можливістю повторного складання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 зараховано з можливістю повторного складання</w:t>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0-34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незадовільно з обов’язковим повторним вивченням дисципліни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 зараховано з обов’язковим повторним вивченням дисципліни</w:t>
            </w:r>
          </w:p>
        </w:tc>
      </w:tr>
    </w:tbl>
    <w:p w:rsidR="00000000" w:rsidDel="00000000" w:rsidP="00000000" w:rsidRDefault="00000000" w:rsidRPr="00000000" w14:paraId="00000152">
      <w:pPr>
        <w:spacing w:after="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53">
      <w:pPr>
        <w:spacing w:after="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Політика курсу</w:t>
      </w:r>
    </w:p>
    <w:tbl>
      <w:tblPr>
        <w:tblStyle w:val="Table9"/>
        <w:tblW w:w="9555.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0"/>
        <w:gridCol w:w="7955"/>
        <w:tblGridChange w:id="0">
          <w:tblGrid>
            <w:gridCol w:w="1600"/>
            <w:gridCol w:w="79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4">
            <w:pPr>
              <w:spacing w:after="0" w:line="240"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b w:val="1"/>
                <w:i w:val="1"/>
                <w:highlight w:val="white"/>
                <w:rtl w:val="0"/>
              </w:rPr>
              <w:t xml:space="preserve">Плагіат та академічна доброчесність</w:t>
            </w:r>
            <w:r w:rsidDel="00000000" w:rsidR="00000000" w:rsidRPr="00000000">
              <w:rPr>
                <w:rFonts w:ascii="Times New Roman" w:cs="Times New Roman" w:eastAsia="Times New Roman" w:hAnsi="Times New Roman"/>
                <w:i w:val="1"/>
                <w:highlight w:val="whit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5">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Під час виконання практичних завдань здобувач вищої освіти має дотримуватись політики академічної доброчесності. Запозичення мають бути оформлені відповідними посиланнями. Списування є забороненим. Результати навчання здобувачів вищої освіти оцінюються викладачем об’єктивно. Здобувачі вищої освіти самостійно виконують навчальні завдання, завдання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tc>
      </w:tr>
      <w:tr>
        <w:trPr>
          <w:cantSplit w:val="0"/>
          <w:trHeight w:val="1573" w:hRule="atLeast"/>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6">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Завдання і заняття:</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7">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Усі завдання, передбачені програмою курсу, мають бути виконані своєчасно й оцінені в спосіб, визначений Положенням про оцінювання результатів навчання здобувачів вищої освіти у СНУ ім. В. Даля. Аудиторні заняття мають відвідуватись регулярно. Пропущені заняття (з будь-яких причин) мають бути відпрацьовані з отриманням відповідної оцінки не пізніше останнього тижня поточного семестру. Через поважну причину (хвороба, академічна мобільність тощо) терміни відпрацювання можуть бути збільшені за письмовим дозволом декана. До складання екзамену допускаються студенти, які виконали індивідуальні завдання.</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8">
            <w:pPr>
              <w:spacing w:after="0" w:line="240" w:lineRule="auto"/>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highlight w:val="white"/>
                <w:rtl w:val="0"/>
              </w:rPr>
              <w:t xml:space="preserve">Поведінка на заняттях:</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159">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На заняття студенти з’являються відповідно до розкладу, не запізнюючись.</w:t>
            </w:r>
          </w:p>
          <w:p w:rsidR="00000000" w:rsidDel="00000000" w:rsidP="00000000" w:rsidRDefault="00000000" w:rsidRPr="00000000" w14:paraId="0000015A">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Під час онлайн-занять студенти:</w:t>
            </w:r>
          </w:p>
          <w:p w:rsidR="00000000" w:rsidDel="00000000" w:rsidP="00000000" w:rsidRDefault="00000000" w:rsidRPr="00000000" w14:paraId="0000015B">
            <w:pPr>
              <w:numPr>
                <w:ilvl w:val="0"/>
                <w:numId w:val="1"/>
              </w:numPr>
              <w:spacing w:after="0" w:line="240" w:lineRule="auto"/>
              <w:ind w:lef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Присутні на занятті з увімкненими камерами та вимкненими мікрофонами;</w:t>
            </w:r>
          </w:p>
          <w:p w:rsidR="00000000" w:rsidDel="00000000" w:rsidP="00000000" w:rsidRDefault="00000000" w:rsidRPr="00000000" w14:paraId="0000015C">
            <w:pPr>
              <w:numPr>
                <w:ilvl w:val="0"/>
                <w:numId w:val="1"/>
              </w:numPr>
              <w:spacing w:after="0" w:line="240" w:lineRule="auto"/>
              <w:ind w:lef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коректно поводяться між собою;</w:t>
            </w:r>
          </w:p>
          <w:p w:rsidR="00000000" w:rsidDel="00000000" w:rsidP="00000000" w:rsidRDefault="00000000" w:rsidRPr="00000000" w14:paraId="0000015D">
            <w:pPr>
              <w:numPr>
                <w:ilvl w:val="0"/>
                <w:numId w:val="1"/>
              </w:numPr>
              <w:spacing w:after="0" w:line="240" w:lineRule="auto"/>
              <w:ind w:lef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вмикають мікрофони, відповідаючи на питання викладача;</w:t>
            </w:r>
          </w:p>
          <w:p w:rsidR="00000000" w:rsidDel="00000000" w:rsidP="00000000" w:rsidRDefault="00000000" w:rsidRPr="00000000" w14:paraId="0000015E">
            <w:pPr>
              <w:numPr>
                <w:ilvl w:val="0"/>
                <w:numId w:val="1"/>
              </w:numPr>
              <w:spacing w:after="0" w:line="240" w:lineRule="auto"/>
              <w:ind w:lef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застосовують правило «піднятої руки» за потреби висловити коментар чи відповісти на питання до аудиторії</w:t>
            </w:r>
          </w:p>
          <w:p w:rsidR="00000000" w:rsidDel="00000000" w:rsidP="00000000" w:rsidRDefault="00000000" w:rsidRPr="00000000" w14:paraId="0000015F">
            <w:pPr>
              <w:numPr>
                <w:ilvl w:val="0"/>
                <w:numId w:val="1"/>
              </w:numPr>
              <w:spacing w:after="0" w:line="240" w:lineRule="auto"/>
              <w:ind w:lef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вільно висловлюють свої погляди.</w:t>
            </w:r>
          </w:p>
          <w:p w:rsidR="00000000" w:rsidDel="00000000" w:rsidP="00000000" w:rsidRDefault="00000000" w:rsidRPr="00000000" w14:paraId="00000160">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Під час контролю знань студенти:</w:t>
            </w:r>
          </w:p>
          <w:p w:rsidR="00000000" w:rsidDel="00000000" w:rsidP="00000000" w:rsidRDefault="00000000" w:rsidRPr="00000000" w14:paraId="00000161">
            <w:pPr>
              <w:numPr>
                <w:ilvl w:val="0"/>
                <w:numId w:val="1"/>
              </w:numPr>
              <w:spacing w:after="0" w:line="240" w:lineRule="auto"/>
              <w:ind w:lef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 послуговуються зовнішніми джерелами інформації, які заборонено використовувати під час виконання роботи);</w:t>
            </w:r>
          </w:p>
          <w:p w:rsidR="00000000" w:rsidDel="00000000" w:rsidP="00000000" w:rsidRDefault="00000000" w:rsidRPr="00000000" w14:paraId="00000162">
            <w:pPr>
              <w:numPr>
                <w:ilvl w:val="0"/>
                <w:numId w:val="1"/>
              </w:numPr>
              <w:spacing w:after="0" w:line="240" w:lineRule="auto"/>
              <w:ind w:lef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не можуть розмовляти з іншими студентами та порушувати режим тиші;</w:t>
            </w:r>
          </w:p>
          <w:p w:rsidR="00000000" w:rsidDel="00000000" w:rsidP="00000000" w:rsidRDefault="00000000" w:rsidRPr="00000000" w14:paraId="00000163">
            <w:pPr>
              <w:numPr>
                <w:ilvl w:val="0"/>
                <w:numId w:val="1"/>
              </w:numPr>
              <w:spacing w:after="0" w:line="240" w:lineRule="auto"/>
              <w:ind w:left="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мають право на отримання від викладача роз’яснень про причини отримання низької/незадовільної оцінки.</w:t>
            </w:r>
          </w:p>
        </w:tc>
      </w:tr>
    </w:tb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709" w:right="0" w:firstLine="0"/>
        <w:jc w:val="center"/>
        <w:rPr>
          <w:rFonts w:ascii="Times New Roman" w:cs="Times New Roman" w:eastAsia="Times New Roman" w:hAnsi="Times New Roman"/>
          <w:b w:val="1"/>
          <w:i w:val="0"/>
          <w:smallCaps w:val="0"/>
          <w:strike w:val="0"/>
          <w:color w:val="000000"/>
          <w:sz w:val="28"/>
          <w:szCs w:val="28"/>
          <w:highlight w:val="white"/>
          <w:u w:val="none"/>
          <w:vertAlign w:val="baseline"/>
        </w:rPr>
      </w:pPr>
      <w:bookmarkStart w:colFirst="0" w:colLast="0" w:name="_heading=h.30j0zll" w:id="1"/>
      <w:bookmarkEnd w:id="1"/>
      <w:r w:rsidDel="00000000" w:rsidR="00000000" w:rsidRPr="00000000">
        <w:rPr>
          <w:rtl w:val="0"/>
        </w:rPr>
      </w:r>
    </w:p>
    <w:sectPr>
      <w:pgSz w:h="15840" w:w="1224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07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502" w:hanging="360"/>
      </w:pPr>
      <w:rPr>
        <w:sz w:val="20"/>
        <w:szCs w:val="20"/>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E23E4"/>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E23E4"/>
    <w:rPr>
      <w:color w:val="0563c1" w:themeColor="hyperlink"/>
      <w:u w:val="single"/>
    </w:rPr>
  </w:style>
  <w:style w:type="paragraph" w:styleId="a4">
    <w:name w:val="Body Text"/>
    <w:basedOn w:val="a"/>
    <w:link w:val="a5"/>
    <w:unhideWhenUsed w:val="1"/>
    <w:rsid w:val="00CE23E4"/>
    <w:pPr>
      <w:spacing w:after="0" w:line="240" w:lineRule="auto"/>
      <w:ind w:firstLine="709"/>
      <w:jc w:val="both"/>
    </w:pPr>
    <w:rPr>
      <w:rFonts w:ascii="Times New Roman" w:cs="Times New Roman" w:eastAsia="Times New Roman" w:hAnsi="Times New Roman"/>
      <w:sz w:val="24"/>
      <w:szCs w:val="20"/>
      <w:lang w:val="uk-UA"/>
    </w:rPr>
  </w:style>
  <w:style w:type="character" w:styleId="a5" w:customStyle="1">
    <w:name w:val="Основной текст Знак"/>
    <w:basedOn w:val="a0"/>
    <w:link w:val="a4"/>
    <w:rsid w:val="00CE23E4"/>
    <w:rPr>
      <w:rFonts w:ascii="Times New Roman" w:cs="Times New Roman" w:eastAsia="Times New Roman" w:hAnsi="Times New Roman"/>
      <w:sz w:val="24"/>
      <w:szCs w:val="20"/>
      <w:lang w:val="uk-UA"/>
    </w:rPr>
  </w:style>
  <w:style w:type="character" w:styleId="fontstyle01" w:customStyle="1">
    <w:name w:val="fontstyle01"/>
    <w:rsid w:val="00546116"/>
    <w:rPr>
      <w:rFonts w:ascii="Times New Roman" w:cs="Times New Roman" w:hAnsi="Times New Roman" w:hint="default"/>
      <w:b w:val="0"/>
      <w:bCs w:val="0"/>
      <w:i w:val="0"/>
      <w:iCs w:val="0"/>
      <w:color w:val="000000"/>
      <w:sz w:val="24"/>
      <w:szCs w:val="24"/>
    </w:rPr>
  </w:style>
  <w:style w:type="paragraph" w:styleId="Default" w:customStyle="1">
    <w:name w:val="Default"/>
    <w:rsid w:val="00FA16C1"/>
    <w:pPr>
      <w:autoSpaceDE w:val="0"/>
      <w:autoSpaceDN w:val="0"/>
      <w:adjustRightInd w:val="0"/>
      <w:spacing w:after="0" w:line="240" w:lineRule="auto"/>
    </w:pPr>
    <w:rPr>
      <w:rFonts w:ascii="Times New Roman" w:cs="Times New Roman" w:hAnsi="Times New Roman"/>
      <w:color w:val="000000"/>
      <w:sz w:val="24"/>
      <w:szCs w:val="24"/>
    </w:rPr>
  </w:style>
  <w:style w:type="table" w:styleId="TableNormal" w:customStyle="1">
    <w:name w:val="Table Normal"/>
    <w:uiPriority w:val="2"/>
    <w:semiHidden w:val="1"/>
    <w:unhideWhenUsed w:val="1"/>
    <w:qFormat w:val="1"/>
    <w:rsid w:val="00FA16C1"/>
    <w:pPr>
      <w:widowControl w:val="0"/>
      <w:autoSpaceDE w:val="0"/>
      <w:autoSpaceDN w:val="0"/>
      <w:spacing w:after="0" w:line="240" w:lineRule="auto"/>
    </w:p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FA16C1"/>
    <w:pPr>
      <w:widowControl w:val="0"/>
      <w:autoSpaceDE w:val="0"/>
      <w:autoSpaceDN w:val="0"/>
      <w:spacing w:after="0" w:line="240" w:lineRule="auto"/>
    </w:pPr>
    <w:rPr>
      <w:rFonts w:ascii="Times New Roman" w:cs="Times New Roman" w:eastAsia="Times New Roman" w:hAnsi="Times New Roman"/>
      <w:lang w:bidi="uk-UA" w:eastAsia="uk-UA" w:val="uk-UA"/>
    </w:rPr>
  </w:style>
  <w:style w:type="table" w:styleId="a6">
    <w:name w:val="Table Grid"/>
    <w:basedOn w:val="a1"/>
    <w:uiPriority w:val="39"/>
    <w:rsid w:val="00F915F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7">
    <w:name w:val="No Spacing"/>
    <w:qFormat w:val="1"/>
    <w:rsid w:val="008E197C"/>
    <w:pPr>
      <w:spacing w:after="0" w:line="240" w:lineRule="auto"/>
    </w:pPr>
    <w:rPr>
      <w:rFonts w:ascii="Antiqua" w:cs="Times New Roman" w:eastAsia="Calibri" w:hAnsi="Antiqua"/>
      <w:sz w:val="26"/>
      <w:szCs w:val="20"/>
      <w:lang w:eastAsia="ru-RU" w:val="uk-UA"/>
    </w:rPr>
  </w:style>
  <w:style w:type="paragraph" w:styleId="1" w:customStyle="1">
    <w:name w:val="Звичайний1"/>
    <w:rsid w:val="00FD3A56"/>
    <w:pPr>
      <w:spacing w:after="200" w:line="276" w:lineRule="auto"/>
    </w:pPr>
    <w:rPr>
      <w:rFonts w:ascii="Calibri" w:cs="Calibri" w:eastAsia="Calibri" w:hAnsi="Calibri"/>
      <w:color w:val="000000"/>
      <w:u w:color="000000"/>
      <w:lang w:eastAsia="ru-RU" w:val="ru-RU"/>
    </w:rPr>
  </w:style>
  <w:style w:type="paragraph" w:styleId="a8">
    <w:name w:val="Normal (Web)"/>
    <w:basedOn w:val="a"/>
    <w:uiPriority w:val="99"/>
    <w:unhideWhenUsed w:val="1"/>
    <w:rsid w:val="00984F1A"/>
    <w:pPr>
      <w:spacing w:after="100" w:afterAutospacing="1" w:before="100" w:beforeAutospacing="1" w:line="240" w:lineRule="auto"/>
    </w:pPr>
    <w:rPr>
      <w:rFonts w:ascii="Times New Roman" w:cs="Times New Roman" w:eastAsia="Times New Roman" w:hAnsi="Times New Roman"/>
      <w:sz w:val="24"/>
      <w:szCs w:val="24"/>
      <w:lang w:eastAsia="uk-UA" w:val="uk-UA"/>
    </w:rPr>
  </w:style>
  <w:style w:type="paragraph" w:styleId="a9">
    <w:name w:val="List Paragraph"/>
    <w:basedOn w:val="a"/>
    <w:uiPriority w:val="34"/>
    <w:qFormat w:val="1"/>
    <w:rsid w:val="00C96288"/>
    <w:pPr>
      <w:ind w:left="720"/>
      <w:contextualSpacing w:val="1"/>
    </w:pPr>
  </w:style>
  <w:style w:type="paragraph" w:styleId="aa">
    <w:name w:val="Balloon Text"/>
    <w:basedOn w:val="a"/>
    <w:link w:val="ab"/>
    <w:uiPriority w:val="99"/>
    <w:semiHidden w:val="1"/>
    <w:unhideWhenUsed w:val="1"/>
    <w:rsid w:val="00B8612F"/>
    <w:pPr>
      <w:spacing w:after="0" w:line="240" w:lineRule="auto"/>
    </w:pPr>
    <w:rPr>
      <w:rFonts w:ascii="Tahoma" w:cs="Tahoma" w:hAnsi="Tahoma"/>
      <w:sz w:val="16"/>
      <w:szCs w:val="16"/>
    </w:rPr>
  </w:style>
  <w:style w:type="character" w:styleId="ab" w:customStyle="1">
    <w:name w:val="Текст выноски Знак"/>
    <w:basedOn w:val="a0"/>
    <w:link w:val="aa"/>
    <w:uiPriority w:val="99"/>
    <w:semiHidden w:val="1"/>
    <w:rsid w:val="00B8612F"/>
    <w:rPr>
      <w:rFonts w:ascii="Tahoma" w:cs="Tahoma" w:hAnsi="Tahoma"/>
      <w:sz w:val="16"/>
      <w:szCs w:val="16"/>
    </w:rPr>
  </w:style>
  <w:style w:type="paragraph" w:styleId="normal" w:customStyle="1">
    <w:name w:val="normal"/>
    <w:rsid w:val="00A118A4"/>
    <w:pPr>
      <w:widowControl w:val="0"/>
      <w:spacing w:after="0" w:line="240" w:lineRule="auto"/>
    </w:pPr>
    <w:rPr>
      <w:rFonts w:ascii="Courier New" w:cs="Courier New" w:eastAsia="Courier New" w:hAnsi="Courier New"/>
      <w:sz w:val="24"/>
      <w:szCs w:val="24"/>
      <w:lang w:eastAsia="uk-UA"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57.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brary.onaft.edu.ua/plus/Mizhnar_styli_posylannya.pdf" TargetMode="External"/><Relationship Id="rId10" Type="http://schemas.openxmlformats.org/officeDocument/2006/relationships/hyperlink" Target="http://dspace.nbuv.gov.ua/bitstream/handle/123456789/49520/05-Codex.pdf?sequence=1" TargetMode="External"/><Relationship Id="rId13" Type="http://schemas.openxmlformats.org/officeDocument/2006/relationships/hyperlink" Target="https://www.academia.edu/37918185/100_USEFUL_PHRASES_for_Abstract_writing?fbclid=IwAR33d_ulInrQDQrA2GyCH7iSnHrmWlTTz9um2AmuoSpLue_dnRmiYXKrgHg" TargetMode="External"/><Relationship Id="rId12" Type="http://schemas.openxmlformats.org/officeDocument/2006/relationships/hyperlink" Target="http://www.phrasebank.manchester.ac.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lib.hduht.edu.ua/bitstream/123456789/241/1/%D0%B5%D0%BA.%D0%BB%D0%BE%D0%BA.%D0%9A%D0%BE%D0%BD%D1%81%D0%BF%D0%B5%D0%BA%D1%82%20%D0%BB%D0%B5%D0%BA%D1%86%D1%96%D0%B9%20%D0%9C%D0%B5%D1%82%D0%BE%D0%B4%D0%BE%D0%BB%D0%BE%D0%B3.%20%D0%BD%D0%B0%D1%83%D0%BA.%20%D0%B4%D0%BE%D1%81%D0%BB%D1%96%D0%B4%D0%B6%D0%B5%D0%BD%D1%8C.pdf" TargetMode="External"/><Relationship Id="rId15" Type="http://schemas.openxmlformats.org/officeDocument/2006/relationships/hyperlink" Target="https://pdfs.semanticscholar.org/1698/f0859ff9fb5ab49458a70ac82593a7ebd67e.pdf" TargetMode="External"/><Relationship Id="rId14" Type="http://schemas.openxmlformats.org/officeDocument/2006/relationships/hyperlink" Target="https://www.epa.gov/osa/basic-information-about-scientific-integrity" TargetMode="External"/><Relationship Id="rId16" Type="http://schemas.openxmlformats.org/officeDocument/2006/relationships/hyperlink" Target="http://science.gc.ca/eic/site/063.nsf/eng/h_97643.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academy.gov.ua/NMKD/library_nadu/Navch_Posybniky/c0815324-6801-436a-9214-67c1bb53edb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buM27hGeDzWCiQh4nf/8GDvOw==">CgMxLjAyCGguZ2pkZ3hzMgloLjMwajB6bGw4AHIhMWI5YldCUHNGTEpPWHZiTjZtXy1BSnRZc2FUSDBVeWJv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2021-07-19T09:00:00Z</dcterms:created>
  <dc:creator>lina Беловецкая</dc:creator>
</cp:coreProperties>
</file>