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8"/>
        <w:gridCol w:w="3177"/>
        <w:gridCol w:w="3384"/>
      </w:tblGrid>
      <w:tr w:rsidR="00B5252E" w:rsidRPr="00093A81" w14:paraId="7778C166" w14:textId="77777777" w:rsidTr="00CC5073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319B5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bookmarkStart w:id="0" w:name="_GoBack"/>
            <w:bookmarkEnd w:id="0"/>
            <w:proofErr w:type="spellStart"/>
            <w:r w:rsidRPr="00093A81">
              <w:rPr>
                <w:szCs w:val="24"/>
              </w:rPr>
              <w:t>Силабус</w:t>
            </w:r>
            <w:proofErr w:type="spellEnd"/>
            <w:r w:rsidRPr="00093A81">
              <w:rPr>
                <w:szCs w:val="24"/>
              </w:rPr>
              <w:t xml:space="preserve"> курсу: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DDEC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3E4F0583" wp14:editId="78933FEA">
                  <wp:extent cx="2051685" cy="1208405"/>
                  <wp:effectExtent l="19050" t="0" r="571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52E" w:rsidRPr="00093A81" w14:paraId="17678352" w14:textId="77777777" w:rsidTr="00CC5073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53F9" w14:textId="2034834C" w:rsidR="00B5252E" w:rsidRPr="00E01423" w:rsidRDefault="00E01423" w:rsidP="00CC50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РИНОК ФІНАНСОВИХ ПОСЛУГ</w:t>
            </w: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6348" w14:textId="77777777" w:rsidR="00B5252E" w:rsidRPr="00093A81" w:rsidRDefault="00B5252E" w:rsidP="00CC5073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B5252E" w:rsidRPr="00093A81" w14:paraId="5E447A94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5A32C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CCA4" w14:textId="77777777" w:rsidR="00B5252E" w:rsidRPr="00093A81" w:rsidRDefault="004E6B65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магістр</w:t>
            </w:r>
          </w:p>
        </w:tc>
      </w:tr>
      <w:tr w:rsidR="00B5252E" w:rsidRPr="00093A81" w14:paraId="730A7A8A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7927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78A89" w14:textId="77777777" w:rsidR="00B5252E" w:rsidRPr="00093A81" w:rsidRDefault="00AB7BCF" w:rsidP="00AB7BCF">
            <w:pPr>
              <w:rPr>
                <w:szCs w:val="24"/>
              </w:rPr>
            </w:pPr>
            <w:r w:rsidRPr="000E5232">
              <w:rPr>
                <w:color w:val="000000"/>
                <w:szCs w:val="24"/>
                <w:lang w:eastAsia="uk-UA"/>
              </w:rPr>
              <w:t>072</w:t>
            </w:r>
            <w:r w:rsidR="00B5252E" w:rsidRPr="00093A81">
              <w:rPr>
                <w:szCs w:val="24"/>
              </w:rPr>
              <w:t xml:space="preserve"> «</w:t>
            </w:r>
            <w:r w:rsidRPr="000E5232">
              <w:rPr>
                <w:color w:val="000000"/>
                <w:szCs w:val="24"/>
                <w:lang w:eastAsia="uk-UA"/>
              </w:rPr>
              <w:t>Фінанси, банківська справа та страхування</w:t>
            </w:r>
            <w:r w:rsidR="00B5252E" w:rsidRPr="00093A81">
              <w:rPr>
                <w:szCs w:val="24"/>
              </w:rPr>
              <w:t>»</w:t>
            </w:r>
          </w:p>
        </w:tc>
      </w:tr>
      <w:tr w:rsidR="00B5252E" w:rsidRPr="00093A81" w14:paraId="06B8A510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BF8FD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C01AB" w14:textId="6E6B6F43" w:rsidR="00B5252E" w:rsidRPr="00E01423" w:rsidRDefault="00E01423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5252E" w:rsidRPr="00093A81" w14:paraId="7FF2F76F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1032B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76D7" w14:textId="0E41F27C" w:rsidR="00B5252E" w:rsidRPr="00725AA4" w:rsidRDefault="00725AA4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весняний</w:t>
            </w:r>
          </w:p>
        </w:tc>
      </w:tr>
      <w:tr w:rsidR="00B5252E" w:rsidRPr="00093A81" w14:paraId="07AC0F59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B5BA8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7F918" w14:textId="285CA7E1" w:rsidR="00B5252E" w:rsidRPr="00725AA4" w:rsidRDefault="00E01423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5252E" w:rsidRPr="00093A81" w14:paraId="0C24A8FF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58619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652D6" w14:textId="77777777" w:rsidR="00B5252E" w:rsidRPr="00093A81" w:rsidRDefault="00B5252E" w:rsidP="00CC5073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українська</w:t>
            </w:r>
          </w:p>
        </w:tc>
      </w:tr>
      <w:tr w:rsidR="00B5252E" w:rsidRPr="00093A81" w14:paraId="3C7B8D85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3FC86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ABA23A" w14:textId="74A4EE25" w:rsidR="00B5252E" w:rsidRPr="00093A81" w:rsidRDefault="00C875D2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</w:tr>
    </w:tbl>
    <w:p w14:paraId="6AF10A4B" w14:textId="77777777" w:rsidR="00B5252E" w:rsidRPr="00093A81" w:rsidRDefault="00B5252E" w:rsidP="00B5252E">
      <w:pPr>
        <w:jc w:val="both"/>
        <w:rPr>
          <w:sz w:val="22"/>
        </w:rPr>
      </w:pPr>
    </w:p>
    <w:p w14:paraId="3C24DD6D" w14:textId="77777777" w:rsidR="00B5252E" w:rsidRPr="00093A81" w:rsidRDefault="00B5252E" w:rsidP="00B5252E">
      <w:pPr>
        <w:jc w:val="both"/>
        <w:rPr>
          <w:sz w:val="22"/>
        </w:rPr>
      </w:pPr>
    </w:p>
    <w:p w14:paraId="6D4F73F0" w14:textId="77777777" w:rsidR="00B5252E" w:rsidRPr="00093A81" w:rsidRDefault="00B5252E" w:rsidP="00B5252E">
      <w:pPr>
        <w:jc w:val="both"/>
        <w:rPr>
          <w:sz w:val="22"/>
        </w:rPr>
      </w:pPr>
    </w:p>
    <w:p w14:paraId="1C1FBA1F" w14:textId="77777777" w:rsidR="00B5252E" w:rsidRPr="00093A81" w:rsidRDefault="00B5252E" w:rsidP="00B5252E">
      <w:pPr>
        <w:jc w:val="both"/>
        <w:rPr>
          <w:sz w:val="22"/>
        </w:rPr>
      </w:pPr>
    </w:p>
    <w:p w14:paraId="0833FB86" w14:textId="77777777" w:rsidR="00B5252E" w:rsidRPr="00093A81" w:rsidRDefault="00B5252E" w:rsidP="00B5252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2"/>
        <w:gridCol w:w="276"/>
        <w:gridCol w:w="2056"/>
        <w:gridCol w:w="276"/>
        <w:gridCol w:w="1344"/>
        <w:gridCol w:w="721"/>
        <w:gridCol w:w="275"/>
        <w:gridCol w:w="2269"/>
      </w:tblGrid>
      <w:tr w:rsidR="00B5252E" w:rsidRPr="00093A81" w14:paraId="4721A6B6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5095D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50BC6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78BF9D04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570A7" w14:textId="413D7D3A" w:rsidR="00B5252E" w:rsidRPr="00093A81" w:rsidRDefault="00B5252E" w:rsidP="00AB7BCF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к.</w:t>
            </w:r>
            <w:r w:rsidR="00AB7BCF">
              <w:rPr>
                <w:szCs w:val="24"/>
              </w:rPr>
              <w:t>е</w:t>
            </w:r>
            <w:r w:rsidRPr="00093A81">
              <w:rPr>
                <w:szCs w:val="24"/>
              </w:rPr>
              <w:t xml:space="preserve">.н., доц., </w:t>
            </w:r>
            <w:r w:rsidR="00C875D2">
              <w:rPr>
                <w:szCs w:val="24"/>
              </w:rPr>
              <w:t xml:space="preserve">Чернодубова </w:t>
            </w:r>
            <w:proofErr w:type="spellStart"/>
            <w:r w:rsidR="00C875D2">
              <w:rPr>
                <w:szCs w:val="24"/>
              </w:rPr>
              <w:t>Елєонора</w:t>
            </w:r>
            <w:proofErr w:type="spellEnd"/>
            <w:r w:rsidR="00C875D2">
              <w:rPr>
                <w:szCs w:val="24"/>
              </w:rPr>
              <w:t xml:space="preserve"> Валеріанівна</w:t>
            </w:r>
          </w:p>
        </w:tc>
      </w:tr>
      <w:tr w:rsidR="00B5252E" w:rsidRPr="00093A81" w14:paraId="5CDFD080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F7A77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10E91FC1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EA3A8" w14:textId="77777777" w:rsidR="00B5252E" w:rsidRPr="00093A81" w:rsidRDefault="00B5252E" w:rsidP="00AB7BCF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 xml:space="preserve">доцент кафедри </w:t>
            </w:r>
            <w:r w:rsidR="00AB7BCF">
              <w:rPr>
                <w:szCs w:val="24"/>
              </w:rPr>
              <w:t>фінансів та банківської справи</w:t>
            </w:r>
          </w:p>
        </w:tc>
      </w:tr>
      <w:tr w:rsidR="00B5252E" w:rsidRPr="00093A81" w14:paraId="29727BEB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3D9AC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C875D2" w:rsidRPr="00093A81" w14:paraId="48D173B4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8B772" w14:textId="6B4F98A8" w:rsidR="00B5252E" w:rsidRPr="00C875D2" w:rsidRDefault="00C875D2" w:rsidP="00C875D2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ella</w:t>
            </w:r>
            <w:proofErr w:type="spellEnd"/>
            <w:r w:rsidRPr="00C875D2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cher</w:t>
            </w:r>
            <w:proofErr w:type="spellEnd"/>
            <w:r w:rsidRPr="00C875D2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lg</w:t>
            </w:r>
            <w:proofErr w:type="spellEnd"/>
            <w:r w:rsidR="00AB7BCF" w:rsidRPr="00C875D2">
              <w:rPr>
                <w:szCs w:val="24"/>
              </w:rPr>
              <w:t>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 w:rsidR="00AB7BCF" w:rsidRPr="00C875D2">
              <w:rPr>
                <w:szCs w:val="24"/>
              </w:rPr>
              <w:t>.</w:t>
            </w:r>
            <w:proofErr w:type="spellStart"/>
            <w:r>
              <w:rPr>
                <w:szCs w:val="24"/>
              </w:rPr>
              <w:t>co</w:t>
            </w:r>
            <w:proofErr w:type="spellEnd"/>
            <w:r>
              <w:rPr>
                <w:szCs w:val="24"/>
                <w:lang w:val="en-US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2586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6F010" w14:textId="67A0429D" w:rsidR="00B5252E" w:rsidRPr="00725AA4" w:rsidRDefault="00B5252E" w:rsidP="00754A07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484EE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C869C" w14:textId="0A287C4C" w:rsidR="00B5252E" w:rsidRPr="00725AA4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4FAF2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6BDB86" w14:textId="09DC6D99" w:rsidR="00B5252E" w:rsidRPr="00093A81" w:rsidRDefault="00B5252E" w:rsidP="00754A07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 розкладом</w:t>
            </w:r>
          </w:p>
        </w:tc>
      </w:tr>
      <w:tr w:rsidR="00C875D2" w:rsidRPr="00093A81" w14:paraId="4C537D20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5099E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E1B9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68CA2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E160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F7856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3A81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84FC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E8C17C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39F40E9D" w14:textId="77777777" w:rsidR="00B5252E" w:rsidRPr="00093A81" w:rsidRDefault="00B5252E" w:rsidP="00B5252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81"/>
        <w:gridCol w:w="2099"/>
        <w:gridCol w:w="281"/>
        <w:gridCol w:w="1365"/>
        <w:gridCol w:w="737"/>
        <w:gridCol w:w="280"/>
        <w:gridCol w:w="2299"/>
      </w:tblGrid>
      <w:tr w:rsidR="00B5252E" w:rsidRPr="00093A81" w14:paraId="29EC1C55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17CA4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лабораторних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79716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5BA102BA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7ADB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52A4106B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275F5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32C12B8C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6BF98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048A8BC7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B0611E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B5252E" w:rsidRPr="00093A81" w14:paraId="6F454EEF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0F688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EA3CF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FF2553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B4E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49E6B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E633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1D216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6C272F06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F228D3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5062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B299E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865A5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03D36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3A81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2B6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C26EF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3643F5B6" w14:textId="77777777" w:rsidR="00B5252E" w:rsidRPr="00093A81" w:rsidRDefault="00B5252E" w:rsidP="00B5252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81"/>
        <w:gridCol w:w="2099"/>
        <w:gridCol w:w="281"/>
        <w:gridCol w:w="1365"/>
        <w:gridCol w:w="737"/>
        <w:gridCol w:w="280"/>
        <w:gridCol w:w="2299"/>
      </w:tblGrid>
      <w:tr w:rsidR="00B5252E" w:rsidRPr="00093A81" w14:paraId="5F0D245C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61CC2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практичних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A2FE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19BB8CED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8BD1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45EE97B9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A2AF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382534BC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F802D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686B92E7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4E9D7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B5252E" w:rsidRPr="00093A81" w14:paraId="13E9D45A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F91CC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8E579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82CCC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76C9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8CD6A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D57E4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18D63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3DB98F94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43BD1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78077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8304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952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66A68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3A81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CF9F1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D441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12C5F237" w14:textId="77777777" w:rsidR="00B5252E" w:rsidRPr="00093A81" w:rsidRDefault="00B5252E" w:rsidP="00B5252E">
      <w:pPr>
        <w:rPr>
          <w:szCs w:val="24"/>
        </w:rPr>
      </w:pPr>
    </w:p>
    <w:p w14:paraId="4EE9EC77" w14:textId="77777777" w:rsidR="00B5252E" w:rsidRPr="00093A81" w:rsidRDefault="00B5252E" w:rsidP="00B5252E">
      <w:pPr>
        <w:rPr>
          <w:szCs w:val="24"/>
        </w:rPr>
      </w:pPr>
    </w:p>
    <w:p w14:paraId="7F216BD1" w14:textId="77777777" w:rsidR="00B5252E" w:rsidRPr="00093A81" w:rsidRDefault="00B5252E" w:rsidP="00B5252E">
      <w:pPr>
        <w:rPr>
          <w:szCs w:val="24"/>
        </w:rPr>
      </w:pPr>
    </w:p>
    <w:p w14:paraId="403221EB" w14:textId="77777777" w:rsidR="00B5252E" w:rsidRPr="00093A81" w:rsidRDefault="00B5252E" w:rsidP="00B5252E">
      <w:pPr>
        <w:rPr>
          <w:i/>
          <w:sz w:val="20"/>
        </w:rPr>
      </w:pPr>
      <w:r w:rsidRPr="00093A81">
        <w:rPr>
          <w:szCs w:val="24"/>
        </w:rPr>
        <w:t xml:space="preserve">* </w:t>
      </w:r>
      <w:r w:rsidRPr="00093A81">
        <w:rPr>
          <w:i/>
          <w:sz w:val="20"/>
        </w:rPr>
        <w:t xml:space="preserve">– 1) дані підрозділи вносяться до силабусу в разі, якщо практичні та (або) лабораторні заняття проводить інший викладач, котрий не є автором курсу та лектором; 2) припустимо змінювати назву підрозділу на </w:t>
      </w:r>
      <w:r w:rsidRPr="00093A81">
        <w:rPr>
          <w:b/>
          <w:i/>
          <w:sz w:val="20"/>
        </w:rPr>
        <w:t>«Викладач лабораторних та практичних занять:»</w:t>
      </w:r>
      <w:r w:rsidRPr="00093A81">
        <w:rPr>
          <w:i/>
          <w:sz w:val="20"/>
        </w:rPr>
        <w:t>, якщо лабораторні та практичні заняття проводить один викладач, котрий не є автором курсу та лектором.</w:t>
      </w:r>
    </w:p>
    <w:p w14:paraId="5E4C0AE9" w14:textId="77777777" w:rsidR="00B5252E" w:rsidRPr="00093A81" w:rsidRDefault="00B5252E" w:rsidP="00B5252E">
      <w:pPr>
        <w:jc w:val="both"/>
        <w:rPr>
          <w:sz w:val="22"/>
        </w:rPr>
      </w:pPr>
    </w:p>
    <w:p w14:paraId="264B84FB" w14:textId="77777777" w:rsidR="00B5252E" w:rsidRPr="00093A81" w:rsidRDefault="00B5252E" w:rsidP="00B5252E">
      <w:pPr>
        <w:jc w:val="both"/>
        <w:rPr>
          <w:sz w:val="22"/>
        </w:rPr>
      </w:pPr>
    </w:p>
    <w:p w14:paraId="3A396015" w14:textId="77777777" w:rsidR="00B5252E" w:rsidRPr="00093A81" w:rsidRDefault="00B5252E" w:rsidP="00B5252E">
      <w:pPr>
        <w:jc w:val="both"/>
        <w:rPr>
          <w:sz w:val="22"/>
        </w:rPr>
      </w:pPr>
    </w:p>
    <w:p w14:paraId="4627E9BC" w14:textId="77777777" w:rsidR="00B5252E" w:rsidRPr="00093A81" w:rsidRDefault="00B5252E" w:rsidP="00B5252E">
      <w:pPr>
        <w:jc w:val="both"/>
        <w:rPr>
          <w:sz w:val="22"/>
        </w:rPr>
      </w:pPr>
    </w:p>
    <w:p w14:paraId="043E9E8D" w14:textId="77777777" w:rsidR="00B5252E" w:rsidRDefault="00B5252E" w:rsidP="00B5252E">
      <w:pPr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Анотація навчального курсу</w:t>
      </w:r>
    </w:p>
    <w:p w14:paraId="7155451C" w14:textId="77777777" w:rsidR="00BB6330" w:rsidRPr="00093A81" w:rsidRDefault="00BB6330" w:rsidP="00B5252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7"/>
        <w:gridCol w:w="6772"/>
      </w:tblGrid>
      <w:tr w:rsidR="00B5252E" w:rsidRPr="00093A81" w14:paraId="7A21CECE" w14:textId="77777777" w:rsidTr="00983F2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944B8" w14:textId="77777777" w:rsidR="00B5252E" w:rsidRPr="00093A81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579E2" w14:textId="0655BECB" w:rsidR="00B5252E" w:rsidRPr="00093A81" w:rsidRDefault="00E01423" w:rsidP="00AA14F5">
            <w:pPr>
              <w:spacing w:line="276" w:lineRule="auto"/>
              <w:contextualSpacing/>
              <w:jc w:val="both"/>
              <w:rPr>
                <w:szCs w:val="24"/>
              </w:rPr>
            </w:pPr>
            <w:r>
              <w:t>Дисципліна «Ринок фінансових послуг» спрямована на формування у студентів теоретичних знань та вироблення практичних навичок щодо системи взаємозв’язків учасників ринку фінансових послуг, які виникають у процесі руху фінансових ресурсів між державою, юридичними та фізичними особами; управління фінансами за допомогою фінансових посередників та аналізу фінансових послуг. Дисципліна передбачає послідовне та систематизоване вивчення сутності та призначення ринку фінансових послуг; механізму перерозподілу капіталу між кредиторами й позичальниками за допомогою посередників на основі попиту й пропозиції; покликане дати краще розуміння операцій ринку фінансових послуг та ефективного управління фінансовими ресурсами; напрямів державної політики в галузі регулювання фінансових відносин, які виникають на ринку фінансових послуг.</w:t>
            </w:r>
          </w:p>
        </w:tc>
      </w:tr>
      <w:tr w:rsidR="00B5252E" w:rsidRPr="00093A81" w14:paraId="36995334" w14:textId="77777777" w:rsidTr="00983F2C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7B0D7" w14:textId="77777777" w:rsidR="00B5252E" w:rsidRPr="00983F2C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983F2C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17EB" w14:textId="77777777" w:rsidR="00983F2C" w:rsidRPr="00983F2C" w:rsidRDefault="00725AA4" w:rsidP="00725AA4">
            <w:pPr>
              <w:spacing w:line="276" w:lineRule="auto"/>
              <w:contextualSpacing/>
              <w:jc w:val="both"/>
            </w:pPr>
            <w:r w:rsidRPr="00983F2C">
              <w:t>На основі останніх досягнень науки майбутні фахівці мають змогу засвоїти</w:t>
            </w:r>
            <w:r w:rsidR="00983F2C" w:rsidRPr="00983F2C">
              <w:t xml:space="preserve"> фундаментальні закономірності розвитку фінансів, банківської справи та страхування у поєднанні з дослідницькими і управлінськими інструментами для здійснення професійної та наукової діяльності. </w:t>
            </w:r>
          </w:p>
          <w:p w14:paraId="333667AD" w14:textId="77777777" w:rsidR="00983F2C" w:rsidRPr="00983F2C" w:rsidRDefault="00983F2C" w:rsidP="00725AA4">
            <w:pPr>
              <w:spacing w:line="276" w:lineRule="auto"/>
              <w:contextualSpacing/>
              <w:jc w:val="both"/>
            </w:pPr>
            <w:r w:rsidRPr="00983F2C">
              <w:t xml:space="preserve">Знати на рівні новітніх досягнень основні концепції і методології наукового пізнання у сфері фінансів, банківської справи та страхування. </w:t>
            </w:r>
          </w:p>
          <w:p w14:paraId="36C5A493" w14:textId="77777777" w:rsidR="00983F2C" w:rsidRPr="00983F2C" w:rsidRDefault="00983F2C" w:rsidP="00725AA4">
            <w:pPr>
              <w:spacing w:line="276" w:lineRule="auto"/>
              <w:contextualSpacing/>
              <w:jc w:val="both"/>
            </w:pPr>
            <w:r w:rsidRPr="00983F2C">
              <w:t xml:space="preserve">Здійснювати адаптацію та модифікацію існуючих наукових підходів і методів до конкретних ситуацій професійної діяльності. </w:t>
            </w:r>
          </w:p>
          <w:p w14:paraId="13FFD908" w14:textId="77777777" w:rsidR="00983F2C" w:rsidRPr="00983F2C" w:rsidRDefault="00983F2C" w:rsidP="00725AA4">
            <w:pPr>
              <w:spacing w:line="276" w:lineRule="auto"/>
              <w:contextualSpacing/>
              <w:jc w:val="both"/>
            </w:pPr>
            <w:r w:rsidRPr="00983F2C">
              <w:t xml:space="preserve">Відшуковувати, обробляти, систематизувати та аналізувати інформацію, необхідну для вирішення професійних та наукових завдань в сфері фінансів, банківської справи та страхування. Застосовувати управлінські навички у сфері фінансів, банківської справи та страхування. </w:t>
            </w:r>
          </w:p>
          <w:p w14:paraId="1FC3B6D0" w14:textId="77777777" w:rsidR="00983F2C" w:rsidRPr="00983F2C" w:rsidRDefault="00983F2C" w:rsidP="00725AA4">
            <w:pPr>
              <w:spacing w:line="276" w:lineRule="auto"/>
              <w:contextualSpacing/>
              <w:jc w:val="both"/>
            </w:pPr>
            <w:r w:rsidRPr="00983F2C">
              <w:t xml:space="preserve">Здійснювати діагностику і моделювання фінансової діяльності суб’єктів господарювання. </w:t>
            </w:r>
          </w:p>
          <w:p w14:paraId="2C556B63" w14:textId="6DDF118A" w:rsidR="00983F2C" w:rsidRDefault="00983F2C" w:rsidP="00725AA4">
            <w:pPr>
              <w:spacing w:line="276" w:lineRule="auto"/>
              <w:contextualSpacing/>
              <w:jc w:val="both"/>
            </w:pPr>
            <w:r w:rsidRPr="00983F2C">
              <w:t>Застосовувати поглиблені знання в сфері фінансового, банківського та страхового менеджменту для прийняття рішень. Обґрунтувати вибір варіантів управлінських рішень у сфері фінансів, банківської справи та страхування та оцінювати їх ефективність з урахуванням цілей, наявних обмежень, законодавчих та етичних аспектів.</w:t>
            </w:r>
          </w:p>
          <w:p w14:paraId="1F9BC9CC" w14:textId="21B0D172" w:rsidR="00B5252E" w:rsidRPr="00725AA4" w:rsidRDefault="00B5252E" w:rsidP="00725AA4">
            <w:pPr>
              <w:spacing w:line="276" w:lineRule="auto"/>
              <w:jc w:val="both"/>
              <w:rPr>
                <w:bCs/>
                <w:iCs/>
              </w:rPr>
            </w:pPr>
          </w:p>
        </w:tc>
      </w:tr>
      <w:tr w:rsidR="00B5252E" w:rsidRPr="00093A81" w14:paraId="265AE7DA" w14:textId="77777777" w:rsidTr="00983F2C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9BF4B" w14:textId="77777777" w:rsidR="00B5252E" w:rsidRPr="00093A81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6C12" w14:textId="2C7F7A46" w:rsidR="00B5252E" w:rsidRPr="00093A81" w:rsidRDefault="000C5A7A" w:rsidP="00B33E98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5F3910">
              <w:t>Для вивчення матеріалу даної дисципліни необхідні знання з</w:t>
            </w:r>
            <w:r w:rsidR="00D56B84">
              <w:t xml:space="preserve"> фінансового аналізу</w:t>
            </w:r>
            <w:r w:rsidR="00B33E98">
              <w:rPr>
                <w:rFonts w:eastAsia="Calibri"/>
                <w:szCs w:val="24"/>
              </w:rPr>
              <w:t>,</w:t>
            </w:r>
            <w:r w:rsidR="00B33E98" w:rsidRPr="00CC5A63">
              <w:rPr>
                <w:rFonts w:eastAsia="Calibri"/>
                <w:szCs w:val="24"/>
              </w:rPr>
              <w:t xml:space="preserve"> теорії фінансів, </w:t>
            </w:r>
            <w:r w:rsidR="00E01423">
              <w:rPr>
                <w:rFonts w:eastAsia="Calibri"/>
                <w:szCs w:val="24"/>
              </w:rPr>
              <w:t>фінансового ринку</w:t>
            </w:r>
            <w:r w:rsidR="00B33E98" w:rsidRPr="00CC5A63">
              <w:rPr>
                <w:rFonts w:eastAsia="Calibri"/>
                <w:szCs w:val="24"/>
              </w:rPr>
              <w:t>.</w:t>
            </w:r>
          </w:p>
        </w:tc>
      </w:tr>
    </w:tbl>
    <w:p w14:paraId="087D4CAC" w14:textId="77777777" w:rsidR="00B5252E" w:rsidRPr="00093A81" w:rsidRDefault="00B5252E" w:rsidP="00B5252E">
      <w:pPr>
        <w:jc w:val="both"/>
        <w:rPr>
          <w:sz w:val="22"/>
        </w:rPr>
      </w:pPr>
    </w:p>
    <w:p w14:paraId="49F317FC" w14:textId="2364462C" w:rsidR="00B5252E" w:rsidRDefault="00B5252E" w:rsidP="00B5252E">
      <w:pPr>
        <w:jc w:val="both"/>
        <w:rPr>
          <w:sz w:val="22"/>
        </w:rPr>
      </w:pPr>
    </w:p>
    <w:p w14:paraId="58E4BC62" w14:textId="5A1BD07E" w:rsidR="00983F2C" w:rsidRDefault="00983F2C" w:rsidP="00B5252E">
      <w:pPr>
        <w:jc w:val="both"/>
        <w:rPr>
          <w:sz w:val="22"/>
        </w:rPr>
      </w:pPr>
    </w:p>
    <w:p w14:paraId="781A6A41" w14:textId="77777777" w:rsidR="00983F2C" w:rsidRPr="00093A81" w:rsidRDefault="00983F2C" w:rsidP="00B5252E">
      <w:pPr>
        <w:jc w:val="both"/>
        <w:rPr>
          <w:sz w:val="22"/>
        </w:rPr>
      </w:pPr>
    </w:p>
    <w:p w14:paraId="0DEBEC8D" w14:textId="77777777" w:rsidR="00B5252E" w:rsidRDefault="00B5252E" w:rsidP="00B5252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Мета курсу (набуті компетентності)</w:t>
      </w:r>
    </w:p>
    <w:p w14:paraId="2EDE9412" w14:textId="77777777" w:rsidR="00555C2E" w:rsidRPr="00093A81" w:rsidRDefault="00555C2E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2BE34EE2" w14:textId="77777777" w:rsidR="00B5252E" w:rsidRPr="00093A81" w:rsidRDefault="00B5252E" w:rsidP="00B5252E">
      <w:pPr>
        <w:spacing w:line="276" w:lineRule="auto"/>
        <w:ind w:firstLine="709"/>
        <w:jc w:val="both"/>
        <w:rPr>
          <w:szCs w:val="24"/>
        </w:rPr>
      </w:pPr>
      <w:r w:rsidRPr="00093A81">
        <w:rPr>
          <w:szCs w:val="24"/>
        </w:rPr>
        <w:t>В наслідок вивчення даного навчального курсу здобувач вищої освіти набуде наступних компетентностей:</w:t>
      </w:r>
    </w:p>
    <w:p w14:paraId="54913C67" w14:textId="5E96A336" w:rsidR="00617079" w:rsidRDefault="00A26668" w:rsidP="00A26668">
      <w:pPr>
        <w:spacing w:line="276" w:lineRule="auto"/>
        <w:ind w:left="3119" w:hanging="3119"/>
        <w:jc w:val="both"/>
      </w:pPr>
      <w:r>
        <w:t>- здатність розв’язувати складні задачі і проблеми у професійній діяльності або у процесі навчання у сфері фінансів, банківської справи та страхування, що передбачає проведення досліджень та/або здійснення інновацій та характеризується невизначеністю умов і вимог;</w:t>
      </w:r>
    </w:p>
    <w:p w14:paraId="5400393D" w14:textId="2BDC24C2" w:rsidR="00A26668" w:rsidRDefault="00A26668" w:rsidP="00A26668">
      <w:pPr>
        <w:spacing w:line="276" w:lineRule="auto"/>
        <w:ind w:left="3119" w:hanging="3119"/>
        <w:jc w:val="both"/>
      </w:pPr>
      <w:r>
        <w:t>- здатність до абстрактного мислення, аналізу та синтезу. Вміння виявляти, ставити та вирішувати проблеми. Здатність приймати обґрунтовані рішення;</w:t>
      </w:r>
    </w:p>
    <w:p w14:paraId="08B6EFA4" w14:textId="77777777" w:rsidR="00A26668" w:rsidRDefault="00A26668" w:rsidP="00A26668">
      <w:pPr>
        <w:spacing w:line="276" w:lineRule="auto"/>
        <w:ind w:left="3119" w:hanging="3119"/>
        <w:jc w:val="both"/>
      </w:pPr>
      <w:r>
        <w:t>- здатність використовувати фундаментальні закономірності розвитку фінансів, банківської справи та страхування у поєднанні з дослідницькими і управлінськими інструментами для здійснення професійної та наукової діяльності;</w:t>
      </w:r>
    </w:p>
    <w:p w14:paraId="3B49BF73" w14:textId="77777777" w:rsidR="00A26668" w:rsidRDefault="00A26668" w:rsidP="00A26668">
      <w:pPr>
        <w:spacing w:line="276" w:lineRule="auto"/>
        <w:ind w:left="3119" w:hanging="3119"/>
        <w:jc w:val="both"/>
      </w:pPr>
      <w:r>
        <w:t>- здатність застосовувати міждисциплінарні підходи при розв’язанні складних задач і проблем у сфері фінансів, банківської справи та страхування;</w:t>
      </w:r>
    </w:p>
    <w:p w14:paraId="377AF467" w14:textId="7508A6C5" w:rsidR="00A26668" w:rsidRDefault="00A26668" w:rsidP="00A26668">
      <w:pPr>
        <w:spacing w:line="276" w:lineRule="auto"/>
        <w:ind w:left="3119" w:hanging="3119"/>
        <w:jc w:val="both"/>
      </w:pPr>
      <w:r>
        <w:t>- здатність до пошуку, використання та інтерпретації інформації, необхідної для вирішення професійних і наукових завдань в сфері фінансів, банківської справи та страхування;№</w:t>
      </w:r>
    </w:p>
    <w:p w14:paraId="67F2BCCD" w14:textId="5387C039" w:rsidR="00A26668" w:rsidRDefault="00A26668" w:rsidP="00A26668">
      <w:pPr>
        <w:spacing w:line="276" w:lineRule="auto"/>
        <w:ind w:left="3119" w:hanging="3119"/>
        <w:jc w:val="both"/>
      </w:pPr>
      <w:r>
        <w:t>- здатність досліджувати тенденції розвитку ринку страхових послуг за допомогою інструментарію макро- та мікроекономічного аналізу, оцінювати сучасні економічні явища;</w:t>
      </w:r>
    </w:p>
    <w:p w14:paraId="50DAEDEF" w14:textId="77777777" w:rsidR="00A26668" w:rsidRDefault="00A26668" w:rsidP="00A26668">
      <w:pPr>
        <w:spacing w:line="276" w:lineRule="auto"/>
        <w:ind w:left="3119" w:hanging="3119"/>
        <w:jc w:val="both"/>
      </w:pPr>
      <w:r>
        <w:t xml:space="preserve">- здатність до діагностики стану фінансових систем (фінансові ринки, банківська система та страхування); </w:t>
      </w:r>
    </w:p>
    <w:p w14:paraId="6F62CFA7" w14:textId="77777777" w:rsidR="00A26668" w:rsidRDefault="00A26668" w:rsidP="00A26668">
      <w:pPr>
        <w:spacing w:line="276" w:lineRule="auto"/>
        <w:ind w:left="3119" w:hanging="3119"/>
        <w:jc w:val="both"/>
      </w:pPr>
      <w:r>
        <w:t xml:space="preserve">- здатність застосовувати економіко-математичні методи та моделі для вирішення фінансових задач; </w:t>
      </w:r>
    </w:p>
    <w:p w14:paraId="7AB5359E" w14:textId="77777777" w:rsidR="00A26668" w:rsidRDefault="00A26668" w:rsidP="00A26668">
      <w:pPr>
        <w:spacing w:line="276" w:lineRule="auto"/>
        <w:ind w:left="3119" w:hanging="3119"/>
        <w:jc w:val="both"/>
      </w:pPr>
      <w:r>
        <w:t>- здатність застосовувати знання законодавства у сфері регулювання фінансового ринку;</w:t>
      </w:r>
    </w:p>
    <w:p w14:paraId="3BC4C8F9" w14:textId="77777777" w:rsidR="004D682E" w:rsidRDefault="00A26668" w:rsidP="00A26668">
      <w:pPr>
        <w:spacing w:line="276" w:lineRule="auto"/>
        <w:ind w:left="3119" w:hanging="3119"/>
        <w:jc w:val="both"/>
      </w:pPr>
      <w:r>
        <w:t>- здатність застосовувати сучасне інформаційне та програмне забезпечення для отримання та обробки даних у сфері фінансів, банківської справи та страхування</w:t>
      </w:r>
      <w:r w:rsidR="004D682E">
        <w:t xml:space="preserve">; </w:t>
      </w:r>
    </w:p>
    <w:p w14:paraId="0AF4FAF8" w14:textId="77777777" w:rsidR="004D682E" w:rsidRDefault="004D682E" w:rsidP="00A26668">
      <w:pPr>
        <w:spacing w:line="276" w:lineRule="auto"/>
        <w:ind w:left="3119" w:hanging="3119"/>
        <w:jc w:val="both"/>
      </w:pPr>
      <w:r>
        <w:t>- з</w:t>
      </w:r>
      <w:r w:rsidR="00A26668">
        <w:t>датність визначати, обґрунтовувати та брати відповідальність за професійні рішення</w:t>
      </w:r>
      <w:r>
        <w:t>;</w:t>
      </w:r>
    </w:p>
    <w:p w14:paraId="19E63196" w14:textId="725BB1C7" w:rsidR="00A26668" w:rsidRDefault="004D682E" w:rsidP="00A26668">
      <w:pPr>
        <w:spacing w:line="276" w:lineRule="auto"/>
        <w:ind w:left="3119" w:hanging="3119"/>
        <w:jc w:val="both"/>
        <w:rPr>
          <w:b/>
          <w:szCs w:val="24"/>
        </w:rPr>
      </w:pPr>
      <w:r>
        <w:t>- з</w:t>
      </w:r>
      <w:r w:rsidR="00A26668">
        <w:t>датність підтримувати належний рівень знань та постійно підвищувати свою професійну підготовку.</w:t>
      </w:r>
    </w:p>
    <w:p w14:paraId="0D8F73BC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648ECCA2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13FDABD9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415CAB0F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7D1A8E43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2113EFA1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7322FF30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6DFA2F45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0941835F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51D61281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7957E88C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45C5B0D5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2BC38B40" w14:textId="77777777" w:rsidR="00617079" w:rsidRDefault="00617079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1D493579" w14:textId="02611C80" w:rsidR="00B5252E" w:rsidRPr="00093A81" w:rsidRDefault="00B5252E" w:rsidP="00B5252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Структура курсу</w:t>
      </w:r>
    </w:p>
    <w:p w14:paraId="1C95329C" w14:textId="77777777" w:rsidR="00B5252E" w:rsidRPr="00093A81" w:rsidRDefault="00B5252E" w:rsidP="00B5252E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395"/>
        <w:gridCol w:w="1134"/>
        <w:gridCol w:w="4110"/>
        <w:gridCol w:w="1808"/>
      </w:tblGrid>
      <w:tr w:rsidR="00B5252E" w:rsidRPr="00093A81" w14:paraId="7AC1A328" w14:textId="77777777" w:rsidTr="004E6B65">
        <w:trPr>
          <w:tblHeader/>
        </w:trPr>
        <w:tc>
          <w:tcPr>
            <w:tcW w:w="407" w:type="dxa"/>
            <w:shd w:val="clear" w:color="auto" w:fill="ECE1FF"/>
            <w:vAlign w:val="center"/>
          </w:tcPr>
          <w:p w14:paraId="22C3415F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№</w:t>
            </w:r>
          </w:p>
        </w:tc>
        <w:tc>
          <w:tcPr>
            <w:tcW w:w="2395" w:type="dxa"/>
            <w:shd w:val="clear" w:color="auto" w:fill="ECE1FF"/>
            <w:vAlign w:val="center"/>
          </w:tcPr>
          <w:p w14:paraId="37AFA3EB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Тема</w:t>
            </w:r>
          </w:p>
        </w:tc>
        <w:tc>
          <w:tcPr>
            <w:tcW w:w="1134" w:type="dxa"/>
            <w:shd w:val="clear" w:color="auto" w:fill="ECE1FF"/>
            <w:vAlign w:val="center"/>
          </w:tcPr>
          <w:p w14:paraId="68303002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Години (Л/ЛБ/ПЗ)</w:t>
            </w:r>
          </w:p>
        </w:tc>
        <w:tc>
          <w:tcPr>
            <w:tcW w:w="4110" w:type="dxa"/>
            <w:shd w:val="clear" w:color="auto" w:fill="ECE1FF"/>
            <w:vAlign w:val="center"/>
          </w:tcPr>
          <w:p w14:paraId="1BAE9B10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Стислий зміст</w:t>
            </w:r>
          </w:p>
        </w:tc>
        <w:tc>
          <w:tcPr>
            <w:tcW w:w="1808" w:type="dxa"/>
            <w:shd w:val="clear" w:color="auto" w:fill="ECE1FF"/>
            <w:vAlign w:val="center"/>
          </w:tcPr>
          <w:p w14:paraId="147F8297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Інструменти і завдання</w:t>
            </w:r>
          </w:p>
        </w:tc>
      </w:tr>
      <w:tr w:rsidR="00555C2E" w:rsidRPr="00093A81" w14:paraId="75B1CE95" w14:textId="77777777" w:rsidTr="004E6B65">
        <w:tc>
          <w:tcPr>
            <w:tcW w:w="407" w:type="dxa"/>
            <w:shd w:val="clear" w:color="auto" w:fill="auto"/>
          </w:tcPr>
          <w:p w14:paraId="719D4098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38C40C38" w14:textId="1BC84AC3" w:rsidR="00555C2E" w:rsidRPr="00555C2E" w:rsidRDefault="004D682E" w:rsidP="002D7138">
            <w:pPr>
              <w:rPr>
                <w:sz w:val="20"/>
              </w:rPr>
            </w:pPr>
            <w:r w:rsidRPr="004D682E">
              <w:rPr>
                <w:sz w:val="20"/>
              </w:rPr>
              <w:t>Поняття фінансових послуг та ринку фінансових послуг</w:t>
            </w:r>
          </w:p>
        </w:tc>
        <w:tc>
          <w:tcPr>
            <w:tcW w:w="1134" w:type="dxa"/>
            <w:shd w:val="clear" w:color="auto" w:fill="auto"/>
          </w:tcPr>
          <w:p w14:paraId="541583B4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586A758B" w14:textId="43D13F42" w:rsidR="00555C2E" w:rsidRPr="00093A81" w:rsidRDefault="004D682E" w:rsidP="004E6B65">
            <w:pPr>
              <w:rPr>
                <w:sz w:val="20"/>
              </w:rPr>
            </w:pPr>
            <w:r w:rsidRPr="004D682E">
              <w:rPr>
                <w:sz w:val="20"/>
              </w:rPr>
              <w:t>Виникнення ринку фінансових послуг. Рух фінансових потоків. Попит і пропозиція фінансових фондів. Роль і функції фінансового ринку. Забезпечення руху фінансових потоків в економіці. Перетворення в інвестиції.</w:t>
            </w:r>
            <w:r>
              <w:rPr>
                <w:sz w:val="20"/>
              </w:rPr>
              <w:t xml:space="preserve"> </w:t>
            </w:r>
            <w:r w:rsidRPr="004D682E">
              <w:rPr>
                <w:sz w:val="20"/>
              </w:rPr>
              <w:t>Поняття фінансового посередництва. Функції фінансових посередників. Основні проблеми функціонування фінансових ринків за відсутності фінансових посередників.</w:t>
            </w:r>
          </w:p>
        </w:tc>
        <w:tc>
          <w:tcPr>
            <w:tcW w:w="1808" w:type="dxa"/>
            <w:shd w:val="clear" w:color="auto" w:fill="auto"/>
          </w:tcPr>
          <w:p w14:paraId="072C3795" w14:textId="5F515B4C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465CF9B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77E3B55E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33A037AE" w14:textId="77777777" w:rsidTr="004E6B65">
        <w:tc>
          <w:tcPr>
            <w:tcW w:w="407" w:type="dxa"/>
            <w:shd w:val="clear" w:color="auto" w:fill="auto"/>
          </w:tcPr>
          <w:p w14:paraId="414F18A6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12716F26" w14:textId="42828E06" w:rsidR="00555C2E" w:rsidRPr="00555C2E" w:rsidRDefault="004D682E" w:rsidP="002D7138">
            <w:pPr>
              <w:rPr>
                <w:sz w:val="20"/>
              </w:rPr>
            </w:pPr>
            <w:r w:rsidRPr="004D682E">
              <w:rPr>
                <w:sz w:val="20"/>
              </w:rPr>
              <w:t>Сегментарна структура ринку фінансових послуг</w:t>
            </w:r>
          </w:p>
        </w:tc>
        <w:tc>
          <w:tcPr>
            <w:tcW w:w="1134" w:type="dxa"/>
            <w:shd w:val="clear" w:color="auto" w:fill="auto"/>
          </w:tcPr>
          <w:p w14:paraId="24C1CC4A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39C6F14C" w14:textId="13509E3F" w:rsidR="00555C2E" w:rsidRPr="00093A81" w:rsidRDefault="004D682E" w:rsidP="004E6B65">
            <w:pPr>
              <w:rPr>
                <w:sz w:val="20"/>
              </w:rPr>
            </w:pPr>
            <w:r w:rsidRPr="004D682E">
              <w:rPr>
                <w:sz w:val="20"/>
              </w:rPr>
              <w:t xml:space="preserve">Поняття інститутів інфраструктури і </w:t>
            </w:r>
            <w:proofErr w:type="spellStart"/>
            <w:r w:rsidRPr="004D682E">
              <w:rPr>
                <w:sz w:val="20"/>
              </w:rPr>
              <w:t>позафінансової</w:t>
            </w:r>
            <w:proofErr w:type="spellEnd"/>
            <w:r w:rsidRPr="004D682E">
              <w:rPr>
                <w:sz w:val="20"/>
              </w:rPr>
              <w:t xml:space="preserve"> сфери. Інституціональна структура на основі макроекономічного підходу.</w:t>
            </w:r>
            <w:r>
              <w:rPr>
                <w:sz w:val="20"/>
              </w:rPr>
              <w:t xml:space="preserve"> </w:t>
            </w:r>
            <w:r w:rsidRPr="004D682E">
              <w:rPr>
                <w:sz w:val="20"/>
              </w:rPr>
              <w:t>Методологічні підходи до вирішення проблеми структуризації фінансового ринку. Методи структуризації фінансового ринку. Поняття сегментації фінансового ринку. Характеристика структури фінансового ринку (за основною групою фінансових активів).</w:t>
            </w:r>
          </w:p>
        </w:tc>
        <w:tc>
          <w:tcPr>
            <w:tcW w:w="1808" w:type="dxa"/>
            <w:shd w:val="clear" w:color="auto" w:fill="auto"/>
          </w:tcPr>
          <w:p w14:paraId="2023D637" w14:textId="2FEDB373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19DDBB26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6A61590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19DE8DC9" w14:textId="77777777" w:rsidTr="004E6B65">
        <w:tc>
          <w:tcPr>
            <w:tcW w:w="407" w:type="dxa"/>
            <w:shd w:val="clear" w:color="auto" w:fill="auto"/>
          </w:tcPr>
          <w:p w14:paraId="2484F085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3840B4A4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Фінансові</w:t>
            </w:r>
          </w:p>
          <w:p w14:paraId="255EC4FB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послуги та операції</w:t>
            </w:r>
          </w:p>
          <w:p w14:paraId="3FB79D03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на грошовому та</w:t>
            </w:r>
          </w:p>
          <w:p w14:paraId="1B0BDDC9" w14:textId="561D4F86" w:rsidR="00555C2E" w:rsidRPr="00555C2E" w:rsidRDefault="00B7300C" w:rsidP="00B7300C">
            <w:pPr>
              <w:rPr>
                <w:sz w:val="20"/>
              </w:rPr>
            </w:pPr>
            <w:r>
              <w:rPr>
                <w:sz w:val="20"/>
              </w:rPr>
              <w:t>валютн</w:t>
            </w:r>
            <w:r w:rsidRPr="00B7300C">
              <w:rPr>
                <w:sz w:val="20"/>
              </w:rPr>
              <w:t>ому ринках</w:t>
            </w:r>
          </w:p>
        </w:tc>
        <w:tc>
          <w:tcPr>
            <w:tcW w:w="1134" w:type="dxa"/>
            <w:shd w:val="clear" w:color="auto" w:fill="auto"/>
          </w:tcPr>
          <w:p w14:paraId="314815BA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650AB5D1" w14:textId="2709298C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Організація та особливості функціонування депозитного ринку. Депозитні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послуги. Види банківських депозитів. Інструменти грошового ринку. Вексель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як інструмент грошових розрахунків. Поняття та основні характеристики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векселів, їх види. Операції з інструментами ринку грошей. Інструменти</w:t>
            </w:r>
          </w:p>
          <w:p w14:paraId="66EE0A22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облікового ринку при наданні фінансових послуг. Механізм проведення</w:t>
            </w:r>
          </w:p>
          <w:p w14:paraId="7361B51D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розрахункових операцій як фінансової послуги на обліковому ринку.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Види валютних операцій та послуг. Види фінансових послуг на валютному</w:t>
            </w:r>
          </w:p>
          <w:p w14:paraId="2AE9A0D7" w14:textId="2615D055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ринку. Валютний ринок та операції з готівковою валютою, конверсійні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операції. Сутність та задачі функціонування валютних бірж. Види фінансових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послуг на валютних біржах. Сегментаційна структура валютного ринку.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Основи функціонування валютного ринку. Валютні послуги. Валютні операції.</w:t>
            </w:r>
          </w:p>
          <w:p w14:paraId="5FCC1326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Українська міжбанківська валютна біржа. Ринок фінансових послуг у системі</w:t>
            </w:r>
          </w:p>
          <w:p w14:paraId="330777BD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міжнародних розрахунків. Суб’єкти міжбанківського валютного ринку.</w:t>
            </w:r>
          </w:p>
          <w:p w14:paraId="40896CD2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Інфраструктура валютного ринку. Комерційні банки як суб’єкти ринку</w:t>
            </w:r>
          </w:p>
          <w:p w14:paraId="357652C5" w14:textId="732081FD" w:rsidR="00555C2E" w:rsidRPr="00093A81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фінансових послуг на валютному ринку.</w:t>
            </w:r>
          </w:p>
        </w:tc>
        <w:tc>
          <w:tcPr>
            <w:tcW w:w="1808" w:type="dxa"/>
            <w:shd w:val="clear" w:color="auto" w:fill="auto"/>
          </w:tcPr>
          <w:p w14:paraId="17520D03" w14:textId="647EED49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41C9DD78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784212F7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5E30910F" w14:textId="77777777" w:rsidTr="004E6B65">
        <w:tc>
          <w:tcPr>
            <w:tcW w:w="407" w:type="dxa"/>
            <w:shd w:val="clear" w:color="auto" w:fill="auto"/>
          </w:tcPr>
          <w:p w14:paraId="09F21BD5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600D2EE6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Фінансові</w:t>
            </w:r>
          </w:p>
          <w:p w14:paraId="74CD1195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послуги та операції</w:t>
            </w:r>
          </w:p>
          <w:p w14:paraId="7A286DC6" w14:textId="2714409C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 xml:space="preserve">на </w:t>
            </w:r>
            <w:r>
              <w:rPr>
                <w:sz w:val="20"/>
              </w:rPr>
              <w:t>фонд</w:t>
            </w:r>
            <w:r w:rsidRPr="00B7300C">
              <w:rPr>
                <w:sz w:val="20"/>
              </w:rPr>
              <w:t>овому та</w:t>
            </w:r>
          </w:p>
          <w:p w14:paraId="28227C9E" w14:textId="62CF5655" w:rsidR="00555C2E" w:rsidRPr="00555C2E" w:rsidRDefault="00B7300C" w:rsidP="00B7300C">
            <w:pPr>
              <w:rPr>
                <w:sz w:val="20"/>
              </w:rPr>
            </w:pPr>
            <w:r>
              <w:rPr>
                <w:sz w:val="20"/>
              </w:rPr>
              <w:t>кредитн</w:t>
            </w:r>
            <w:r w:rsidRPr="00B7300C">
              <w:rPr>
                <w:sz w:val="20"/>
              </w:rPr>
              <w:t>ому ринках</w:t>
            </w:r>
          </w:p>
        </w:tc>
        <w:tc>
          <w:tcPr>
            <w:tcW w:w="1134" w:type="dxa"/>
            <w:shd w:val="clear" w:color="auto" w:fill="auto"/>
          </w:tcPr>
          <w:p w14:paraId="4E1382C1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198E1ADC" w14:textId="69A40029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Поняття фондової біржі. Професійна діяльність на ринку цінних паперів.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Види фінансових послуг на первинному ринку цінних паперів. Види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фінансових послуг на вторинному ринку цінних паперів. Біржові операції з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цінними паперами. Технологія біржової торгівлі. Поняття, суб’єкти і</w:t>
            </w:r>
          </w:p>
          <w:p w14:paraId="1FE391CD" w14:textId="07F0217F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класифікація фондових бірж. Позабіржовий ринок цінних паперів. Види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цінних паперів, які знаходяться на ринку цінних паперів України. Види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похідних цінних паперів. Основи функціонування фондового ринку.</w:t>
            </w:r>
          </w:p>
          <w:p w14:paraId="0C30D139" w14:textId="6B62D293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lastRenderedPageBreak/>
              <w:t>Інфраструктура фондового ринку. Суб’єкти фондового ринку. Ефективність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банківських операцій з цінними паперами. Поняття фондового індексу. Види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фондових індексів.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Механізм розрахунку доходності фінансових послуг на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первинному ринку цінних паперів. Механізм розрахунку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доходності фінансових послуг на вторинному ринку цінних</w:t>
            </w:r>
          </w:p>
          <w:p w14:paraId="26162AF0" w14:textId="1A6F1CC0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паперів. Показники, що характеризують якість інструментів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фондового ринку. Особливості надання фінансових послуг,</w:t>
            </w:r>
          </w:p>
          <w:p w14:paraId="5D8BF948" w14:textId="16610AB2" w:rsidR="00555C2E" w:rsidRPr="00093A81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зв’язаних з похідними цінними паперами. Інструментарій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фондового ринку: акції, облігації, похідні цінні папери та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сурогати.</w:t>
            </w:r>
          </w:p>
        </w:tc>
        <w:tc>
          <w:tcPr>
            <w:tcW w:w="1808" w:type="dxa"/>
            <w:shd w:val="clear" w:color="auto" w:fill="auto"/>
          </w:tcPr>
          <w:p w14:paraId="5DE730D2" w14:textId="4589C8D5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Питання</w:t>
            </w:r>
          </w:p>
          <w:p w14:paraId="0948D73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4A73F952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0BFB59FE" w14:textId="77777777" w:rsidTr="004E6B65">
        <w:tc>
          <w:tcPr>
            <w:tcW w:w="407" w:type="dxa"/>
            <w:shd w:val="clear" w:color="auto" w:fill="auto"/>
          </w:tcPr>
          <w:p w14:paraId="0839D73A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40CFD113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Міжнародний ринок</w:t>
            </w:r>
          </w:p>
          <w:p w14:paraId="7F948F41" w14:textId="18CE473D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фінансових послуг</w:t>
            </w:r>
          </w:p>
          <w:p w14:paraId="2E027954" w14:textId="035CC3C0" w:rsidR="00555C2E" w:rsidRPr="00555C2E" w:rsidRDefault="00555C2E" w:rsidP="00B7300C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F55A44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011550AB" w14:textId="1CE2A5AD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Функціонування міжнародних фінансових інститутів на ринку фінансових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послуг. Інструменти міжнародного ринку фінансових послуг. Учасники</w:t>
            </w:r>
          </w:p>
          <w:p w14:paraId="29C45D14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міжнародного ринку фінансових послуг. Світовий фінансовий ринок, його</w:t>
            </w:r>
          </w:p>
          <w:p w14:paraId="6D33A181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структура та суб’єкти. Світові фінансові потоки та світові фінансові центри.</w:t>
            </w:r>
          </w:p>
          <w:p w14:paraId="70C7C404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Фінансові інструменти міжнародного фінансового ринку. Фінансові послуги</w:t>
            </w:r>
          </w:p>
          <w:p w14:paraId="7294B8DE" w14:textId="14A6DBAA" w:rsidR="00555C2E" w:rsidRPr="00093A81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на ринку інвестиційних ресурсів. Комерційні банки як фінансові посередники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на інвестиційному ринку. Види фінансових послуг інвестиційних фондів та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компаній. Механізм формування та управління портфелем цінних паперів.</w:t>
            </w:r>
          </w:p>
        </w:tc>
        <w:tc>
          <w:tcPr>
            <w:tcW w:w="1808" w:type="dxa"/>
            <w:shd w:val="clear" w:color="auto" w:fill="auto"/>
          </w:tcPr>
          <w:p w14:paraId="4E851881" w14:textId="17B3D98F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6309F071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0F5A0841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70A2F976" w14:textId="77777777" w:rsidTr="004E6B65">
        <w:tc>
          <w:tcPr>
            <w:tcW w:w="407" w:type="dxa"/>
            <w:shd w:val="clear" w:color="auto" w:fill="auto"/>
          </w:tcPr>
          <w:p w14:paraId="44B8177A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6D50B988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Ринок інвестиційних</w:t>
            </w:r>
          </w:p>
          <w:p w14:paraId="6569719E" w14:textId="4CEA8467" w:rsidR="00555C2E" w:rsidRPr="00555C2E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ресурсів</w:t>
            </w:r>
          </w:p>
        </w:tc>
        <w:tc>
          <w:tcPr>
            <w:tcW w:w="1134" w:type="dxa"/>
            <w:shd w:val="clear" w:color="auto" w:fill="auto"/>
          </w:tcPr>
          <w:p w14:paraId="1938B37C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1788B1CC" w14:textId="7BD2B5E4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Механізм надання фінансових послуг на міжнародному ринку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фінансових послуг. Міжнародні фінансові організації. Сутність</w:t>
            </w:r>
          </w:p>
          <w:p w14:paraId="5C669BA7" w14:textId="4F3939ED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фінансової діяльності інвестиційних фондів та компаній на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ринку інвестиційних ресурсів як фінансових посередників. Види</w:t>
            </w:r>
          </w:p>
          <w:p w14:paraId="2F4A63E8" w14:textId="26EECC31" w:rsidR="00555C2E" w:rsidRPr="00093A81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фінансових послуг при формуванні та управлінні інвестиційним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портфелем.</w:t>
            </w:r>
          </w:p>
        </w:tc>
        <w:tc>
          <w:tcPr>
            <w:tcW w:w="1808" w:type="dxa"/>
            <w:shd w:val="clear" w:color="auto" w:fill="auto"/>
          </w:tcPr>
          <w:p w14:paraId="53E7762D" w14:textId="4FEAF61E" w:rsidR="00555C2E" w:rsidRPr="00093A81" w:rsidRDefault="00A26668" w:rsidP="00CC5073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71AD6D58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2548B05F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04F6CE1D" w14:textId="77777777" w:rsidTr="004E6B65">
        <w:tc>
          <w:tcPr>
            <w:tcW w:w="407" w:type="dxa"/>
            <w:shd w:val="clear" w:color="auto" w:fill="auto"/>
          </w:tcPr>
          <w:p w14:paraId="3749129D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417E5527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Фінансові</w:t>
            </w:r>
          </w:p>
          <w:p w14:paraId="26958E37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послуги з</w:t>
            </w:r>
          </w:p>
          <w:p w14:paraId="095BD67F" w14:textId="527D8DAD" w:rsidR="00555C2E" w:rsidRPr="00555C2E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перейняття ризику</w:t>
            </w:r>
          </w:p>
        </w:tc>
        <w:tc>
          <w:tcPr>
            <w:tcW w:w="1134" w:type="dxa"/>
            <w:shd w:val="clear" w:color="auto" w:fill="auto"/>
          </w:tcPr>
          <w:p w14:paraId="2340883A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6CBFE9CE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Поняття ризику. Види ризиків на ринку фінансових послуг. Фінансові ризики.</w:t>
            </w:r>
          </w:p>
          <w:p w14:paraId="197984A4" w14:textId="77777777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Методи та критерії виміру фінансового ризику. Способи зниження міри</w:t>
            </w:r>
          </w:p>
          <w:p w14:paraId="3B7E3AC2" w14:textId="1D16701C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фінансового ризику. Стратегія управління ризиками. Страхування та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хеджування. Вплив ризиків на діяльність суб’єктів фінансового ринку: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формування та трансформація банківських ресурсів</w:t>
            </w:r>
            <w:r>
              <w:rPr>
                <w:sz w:val="20"/>
              </w:rPr>
              <w:t xml:space="preserve">. </w:t>
            </w:r>
            <w:r w:rsidRPr="00B7300C">
              <w:rPr>
                <w:sz w:val="20"/>
              </w:rPr>
              <w:t>Фінансові ризики: кредитний ризик, відсотковий ризик,</w:t>
            </w:r>
            <w:r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інвестиційний ризик, валюта ризику. Механізм хеджування за</w:t>
            </w:r>
          </w:p>
          <w:p w14:paraId="5BD1030F" w14:textId="0F38DB79" w:rsidR="00B7300C" w:rsidRPr="00B7300C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допомогою ф’ючерсних контрактів. Міжбанківські операції</w:t>
            </w:r>
            <w:r w:rsidR="00005796"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«</w:t>
            </w:r>
            <w:proofErr w:type="spellStart"/>
            <w:r w:rsidRPr="00B7300C">
              <w:rPr>
                <w:sz w:val="20"/>
              </w:rPr>
              <w:t>своп</w:t>
            </w:r>
            <w:proofErr w:type="spellEnd"/>
            <w:r w:rsidRPr="00B7300C">
              <w:rPr>
                <w:sz w:val="20"/>
              </w:rPr>
              <w:t xml:space="preserve">». Хеджування за допомогою опціонів. </w:t>
            </w:r>
            <w:proofErr w:type="spellStart"/>
            <w:r w:rsidRPr="00B7300C">
              <w:rPr>
                <w:sz w:val="20"/>
              </w:rPr>
              <w:t>Хеджери</w:t>
            </w:r>
            <w:proofErr w:type="spellEnd"/>
            <w:r w:rsidRPr="00B7300C">
              <w:rPr>
                <w:sz w:val="20"/>
              </w:rPr>
              <w:t>. Техніка</w:t>
            </w:r>
          </w:p>
          <w:p w14:paraId="7DB6D47C" w14:textId="5BFF7F76" w:rsidR="00555C2E" w:rsidRPr="00093A81" w:rsidRDefault="00B7300C" w:rsidP="00B7300C">
            <w:pPr>
              <w:rPr>
                <w:sz w:val="20"/>
              </w:rPr>
            </w:pPr>
            <w:r w:rsidRPr="00B7300C">
              <w:rPr>
                <w:sz w:val="20"/>
              </w:rPr>
              <w:t>хеджування. Проблеми організації ф’ючерсної торгівлі на</w:t>
            </w:r>
            <w:r w:rsidR="00005796">
              <w:rPr>
                <w:sz w:val="20"/>
              </w:rPr>
              <w:t xml:space="preserve"> </w:t>
            </w:r>
            <w:r w:rsidRPr="00B7300C">
              <w:rPr>
                <w:sz w:val="20"/>
              </w:rPr>
              <w:t>сучасному етапі розвитку економіки.</w:t>
            </w:r>
          </w:p>
        </w:tc>
        <w:tc>
          <w:tcPr>
            <w:tcW w:w="1808" w:type="dxa"/>
            <w:shd w:val="clear" w:color="auto" w:fill="auto"/>
          </w:tcPr>
          <w:p w14:paraId="6A029AD2" w14:textId="203A9985" w:rsidR="00555C2E" w:rsidRPr="00093A81" w:rsidRDefault="00A26668" w:rsidP="00555C2E">
            <w:pPr>
              <w:rPr>
                <w:sz w:val="20"/>
              </w:rPr>
            </w:pPr>
            <w:r>
              <w:rPr>
                <w:sz w:val="20"/>
              </w:rPr>
              <w:t>Питання</w:t>
            </w:r>
          </w:p>
          <w:p w14:paraId="00FA5B36" w14:textId="77777777" w:rsidR="00555C2E" w:rsidRPr="00093A81" w:rsidRDefault="00555C2E" w:rsidP="00555C2E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1F89CFD4" w14:textId="77777777" w:rsidR="00555C2E" w:rsidRPr="00093A81" w:rsidRDefault="00555C2E" w:rsidP="00555C2E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</w:tbl>
    <w:p w14:paraId="0B4DE234" w14:textId="57B3E873" w:rsidR="00555C2E" w:rsidRDefault="00555C2E" w:rsidP="00B5252E">
      <w:pPr>
        <w:rPr>
          <w:szCs w:val="24"/>
        </w:rPr>
      </w:pPr>
    </w:p>
    <w:p w14:paraId="2BE974EC" w14:textId="36373FDA" w:rsidR="00F65AA3" w:rsidRDefault="00F65AA3" w:rsidP="00B5252E">
      <w:pPr>
        <w:rPr>
          <w:szCs w:val="24"/>
        </w:rPr>
      </w:pPr>
    </w:p>
    <w:p w14:paraId="009957EE" w14:textId="6045B231" w:rsidR="00F65AA3" w:rsidRDefault="00F65AA3" w:rsidP="00B5252E">
      <w:pPr>
        <w:rPr>
          <w:szCs w:val="24"/>
        </w:rPr>
      </w:pPr>
    </w:p>
    <w:p w14:paraId="6CD1ECCC" w14:textId="4C7636A2" w:rsidR="00B7300C" w:rsidRDefault="00B7300C" w:rsidP="00B5252E">
      <w:pPr>
        <w:rPr>
          <w:szCs w:val="24"/>
        </w:rPr>
      </w:pPr>
    </w:p>
    <w:p w14:paraId="6E1ACDAC" w14:textId="1551441C" w:rsidR="00B7300C" w:rsidRDefault="00B7300C" w:rsidP="00B5252E">
      <w:pPr>
        <w:rPr>
          <w:szCs w:val="24"/>
        </w:rPr>
      </w:pPr>
    </w:p>
    <w:p w14:paraId="69AEAD20" w14:textId="321C489F" w:rsidR="00B7300C" w:rsidRDefault="00B7300C" w:rsidP="00B5252E">
      <w:pPr>
        <w:rPr>
          <w:szCs w:val="24"/>
        </w:rPr>
      </w:pPr>
    </w:p>
    <w:p w14:paraId="45EB8E70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Рекомендована література</w:t>
      </w:r>
    </w:p>
    <w:p w14:paraId="78C440F4" w14:textId="77777777" w:rsidR="00555C2E" w:rsidRPr="00093A81" w:rsidRDefault="00555C2E" w:rsidP="00B5252E">
      <w:pPr>
        <w:spacing w:line="276" w:lineRule="auto"/>
        <w:jc w:val="center"/>
        <w:rPr>
          <w:b/>
          <w:szCs w:val="24"/>
        </w:rPr>
      </w:pPr>
    </w:p>
    <w:p w14:paraId="39228549" w14:textId="77777777" w:rsidR="00D56B84" w:rsidRDefault="00D56B84" w:rsidP="00856B8B">
      <w:pPr>
        <w:spacing w:line="276" w:lineRule="auto"/>
        <w:jc w:val="both"/>
      </w:pPr>
      <w:r>
        <w:t xml:space="preserve">1. Алексеєнко Л. М. Ринок фінансових послуг: навч. посіб. / Л.М. Алексеєнко, О.О. </w:t>
      </w:r>
      <w:proofErr w:type="spellStart"/>
      <w:r>
        <w:t>Луцишин</w:t>
      </w:r>
      <w:proofErr w:type="spellEnd"/>
      <w:r>
        <w:t xml:space="preserve">, П.М. </w:t>
      </w:r>
      <w:proofErr w:type="spellStart"/>
      <w:r>
        <w:t>Рендович</w:t>
      </w:r>
      <w:proofErr w:type="spellEnd"/>
      <w:r>
        <w:t xml:space="preserve">, М.В. Стецько. – Тернопіль: ФОП Паляниця В.А., 2018. – 273 с. </w:t>
      </w:r>
    </w:p>
    <w:p w14:paraId="0AFE4D04" w14:textId="77777777" w:rsidR="00D56B84" w:rsidRDefault="00D56B84" w:rsidP="00856B8B">
      <w:pPr>
        <w:spacing w:line="276" w:lineRule="auto"/>
        <w:jc w:val="both"/>
      </w:pPr>
      <w:r>
        <w:t xml:space="preserve">2. </w:t>
      </w:r>
      <w:proofErr w:type="spellStart"/>
      <w:r>
        <w:t>Арутюнян</w:t>
      </w:r>
      <w:proofErr w:type="spellEnd"/>
      <w:r>
        <w:t xml:space="preserve"> С.С. Ринок фінансових послуг: навч. посіб. / С.С. </w:t>
      </w:r>
      <w:proofErr w:type="spellStart"/>
      <w:r>
        <w:t>Арутюнян</w:t>
      </w:r>
      <w:proofErr w:type="spellEnd"/>
      <w:r>
        <w:t xml:space="preserve"> С. С. М. І. </w:t>
      </w:r>
      <w:proofErr w:type="spellStart"/>
      <w:r>
        <w:t>Іоргачов</w:t>
      </w:r>
      <w:proofErr w:type="spellEnd"/>
      <w:r>
        <w:t>. – Харків: «</w:t>
      </w:r>
      <w:proofErr w:type="spellStart"/>
      <w:r>
        <w:t>Діса</w:t>
      </w:r>
      <w:proofErr w:type="spellEnd"/>
      <w:r>
        <w:t xml:space="preserve"> плюс», 2020. – 312 с. </w:t>
      </w:r>
    </w:p>
    <w:p w14:paraId="3BC50DA7" w14:textId="77777777" w:rsidR="00D56B84" w:rsidRDefault="00D56B84" w:rsidP="00856B8B">
      <w:pPr>
        <w:spacing w:line="276" w:lineRule="auto"/>
        <w:jc w:val="both"/>
      </w:pPr>
      <w:r>
        <w:t xml:space="preserve">3. Бакаєв Л. О. Ринок фінансових послуг: Навчальний посібник / Л.О. Бакаєв, Е.О. Соколова, І.П. </w:t>
      </w:r>
      <w:proofErr w:type="spellStart"/>
      <w:r>
        <w:t>Шиндирук</w:t>
      </w:r>
      <w:proofErr w:type="spellEnd"/>
      <w:r>
        <w:t xml:space="preserve">, Л.П. </w:t>
      </w:r>
      <w:proofErr w:type="spellStart"/>
      <w:r>
        <w:t>Грознецька</w:t>
      </w:r>
      <w:proofErr w:type="spellEnd"/>
      <w:r>
        <w:t xml:space="preserve">. – К.: ДЕТУТ, 2014.–384 с. </w:t>
      </w:r>
    </w:p>
    <w:p w14:paraId="2F1A4870" w14:textId="77777777" w:rsidR="00D56B84" w:rsidRDefault="00D56B84" w:rsidP="00856B8B">
      <w:pPr>
        <w:spacing w:line="276" w:lineRule="auto"/>
        <w:jc w:val="both"/>
      </w:pPr>
      <w:r>
        <w:t xml:space="preserve">4. Близнюк О. П. Ринок фінансових послуг: навч. посіб. / О.П. Близнюк, О.М. </w:t>
      </w:r>
      <w:proofErr w:type="spellStart"/>
      <w:r>
        <w:t>Іванюта</w:t>
      </w:r>
      <w:proofErr w:type="spellEnd"/>
      <w:r>
        <w:t xml:space="preserve">. – Харків: ХДУХТ, 2017. – 255с. </w:t>
      </w:r>
    </w:p>
    <w:p w14:paraId="75BB6EB6" w14:textId="77777777" w:rsidR="00D56B84" w:rsidRDefault="00D56B84" w:rsidP="00856B8B">
      <w:pPr>
        <w:spacing w:line="276" w:lineRule="auto"/>
        <w:jc w:val="both"/>
      </w:pPr>
      <w:r>
        <w:t xml:space="preserve">5. Борисова С. Є. Розвиток світового фінансового ринку в умовах глобалізації: монографія / С.Є. Борисова. – Вінниця: </w:t>
      </w:r>
      <w:proofErr w:type="spellStart"/>
      <w:r>
        <w:t>ДонНУ</w:t>
      </w:r>
      <w:proofErr w:type="spellEnd"/>
      <w:r>
        <w:t xml:space="preserve">, 2015. – 310 с. </w:t>
      </w:r>
    </w:p>
    <w:p w14:paraId="556CA850" w14:textId="77777777" w:rsidR="00D56B84" w:rsidRDefault="00D56B84" w:rsidP="00856B8B">
      <w:pPr>
        <w:spacing w:line="276" w:lineRule="auto"/>
        <w:jc w:val="both"/>
      </w:pPr>
      <w:r>
        <w:t xml:space="preserve">6. </w:t>
      </w:r>
      <w:proofErr w:type="spellStart"/>
      <w:r>
        <w:t>Еш</w:t>
      </w:r>
      <w:proofErr w:type="spellEnd"/>
      <w:r>
        <w:t xml:space="preserve"> С.М. Ринок фінансових послуг: підручник / С.М. </w:t>
      </w:r>
      <w:proofErr w:type="spellStart"/>
      <w:r>
        <w:t>Еш</w:t>
      </w:r>
      <w:proofErr w:type="spellEnd"/>
      <w:r>
        <w:t xml:space="preserve">. – К.: ЦУЛ, 2015. – 400 с. </w:t>
      </w:r>
    </w:p>
    <w:p w14:paraId="444001E0" w14:textId="5721BA3B" w:rsidR="00D56B84" w:rsidRDefault="00D56B84" w:rsidP="00856B8B">
      <w:pPr>
        <w:spacing w:line="276" w:lineRule="auto"/>
        <w:jc w:val="both"/>
      </w:pPr>
      <w:r>
        <w:t xml:space="preserve">7. Закон України «Про фінансові послуги та державне регулювання ринку фінансових послуг» від 12.07.2001 року №2664-III. [Електронний ресурс]. – Режим доступу: </w:t>
      </w:r>
      <w:hyperlink r:id="rId6" w:history="1">
        <w:r w:rsidRPr="009475ED">
          <w:rPr>
            <w:rStyle w:val="a6"/>
          </w:rPr>
          <w:t>https://zakon.rada.gov.ua/laws/show/2664-14</w:t>
        </w:r>
      </w:hyperlink>
      <w:r>
        <w:t xml:space="preserve"> </w:t>
      </w:r>
    </w:p>
    <w:p w14:paraId="78A2C6B2" w14:textId="77777777" w:rsidR="00D56B84" w:rsidRDefault="00D56B84" w:rsidP="00856B8B">
      <w:pPr>
        <w:spacing w:line="276" w:lineRule="auto"/>
        <w:jc w:val="both"/>
      </w:pPr>
      <w:r>
        <w:t xml:space="preserve">8. Ковальчук К. Ф. Ринок фінансових послуг: навч. посіб. / К.Ф. Ковальчук, Н.В. </w:t>
      </w:r>
      <w:proofErr w:type="spellStart"/>
      <w:r>
        <w:t>Архірейська</w:t>
      </w:r>
      <w:proofErr w:type="spellEnd"/>
      <w:r>
        <w:t xml:space="preserve">, Н.В. </w:t>
      </w:r>
      <w:proofErr w:type="spellStart"/>
      <w:r>
        <w:t>Валенюк</w:t>
      </w:r>
      <w:proofErr w:type="spellEnd"/>
      <w:r>
        <w:t xml:space="preserve">. – Дніпро: </w:t>
      </w:r>
      <w:proofErr w:type="spellStart"/>
      <w:r>
        <w:t>НМетАУ</w:t>
      </w:r>
      <w:proofErr w:type="spellEnd"/>
      <w:r>
        <w:t xml:space="preserve">, 2018. – 135 с. </w:t>
      </w:r>
    </w:p>
    <w:p w14:paraId="78439D9A" w14:textId="77777777" w:rsidR="00D56B84" w:rsidRDefault="00D56B84" w:rsidP="00856B8B">
      <w:pPr>
        <w:spacing w:line="276" w:lineRule="auto"/>
        <w:jc w:val="both"/>
      </w:pPr>
      <w:r>
        <w:t xml:space="preserve">9. Онищенко В.О. Ринок фінансових послуг: навчальний посібник / В.О. Онищенко, Т.М. </w:t>
      </w:r>
      <w:proofErr w:type="spellStart"/>
      <w:r>
        <w:t>Завора</w:t>
      </w:r>
      <w:proofErr w:type="spellEnd"/>
      <w:r>
        <w:t xml:space="preserve">. – Полтава: </w:t>
      </w:r>
      <w:proofErr w:type="spellStart"/>
      <w:r>
        <w:t>ПолтНТУ</w:t>
      </w:r>
      <w:proofErr w:type="spellEnd"/>
      <w:r>
        <w:t xml:space="preserve">, 2017.– 409 с. </w:t>
      </w:r>
    </w:p>
    <w:p w14:paraId="4BEBBAB9" w14:textId="77777777" w:rsidR="00D56B84" w:rsidRDefault="00D56B84" w:rsidP="00856B8B">
      <w:pPr>
        <w:spacing w:line="276" w:lineRule="auto"/>
        <w:jc w:val="both"/>
      </w:pPr>
      <w:r>
        <w:t xml:space="preserve">10. </w:t>
      </w:r>
      <w:proofErr w:type="spellStart"/>
      <w:r>
        <w:t>Приказюк</w:t>
      </w:r>
      <w:proofErr w:type="spellEnd"/>
      <w:r>
        <w:t xml:space="preserve"> Н.В. Ринок фінансових послуг: підручник / [Н.В. </w:t>
      </w:r>
      <w:proofErr w:type="spellStart"/>
      <w:r>
        <w:t>Приказюк</w:t>
      </w:r>
      <w:proofErr w:type="spellEnd"/>
      <w:r>
        <w:t xml:space="preserve"> Н. В. та ін.]. – Київ: </w:t>
      </w:r>
      <w:proofErr w:type="spellStart"/>
      <w:r>
        <w:t>Ямчинський</w:t>
      </w:r>
      <w:proofErr w:type="spellEnd"/>
      <w:r>
        <w:t xml:space="preserve"> О. В., 2019. – 756 с. </w:t>
      </w:r>
    </w:p>
    <w:p w14:paraId="405E5F1F" w14:textId="550214FB" w:rsidR="00AA14F5" w:rsidRPr="00856B8B" w:rsidRDefault="00D56B84" w:rsidP="00856B8B">
      <w:pPr>
        <w:spacing w:line="276" w:lineRule="auto"/>
        <w:jc w:val="both"/>
        <w:rPr>
          <w:szCs w:val="24"/>
        </w:rPr>
      </w:pPr>
      <w:r>
        <w:t xml:space="preserve">11. </w:t>
      </w:r>
      <w:proofErr w:type="spellStart"/>
      <w:r>
        <w:t>Прямухіна</w:t>
      </w:r>
      <w:proofErr w:type="spellEnd"/>
      <w:r>
        <w:t xml:space="preserve"> Н. В. Ринок фінансових послуг: навч. посіб. / Н. В. </w:t>
      </w:r>
      <w:proofErr w:type="spellStart"/>
      <w:r>
        <w:t>Прямухіна</w:t>
      </w:r>
      <w:proofErr w:type="spellEnd"/>
      <w:r>
        <w:t>. – К.: Кондор, 2013. – 304 с.</w:t>
      </w:r>
    </w:p>
    <w:p w14:paraId="7F73FF2D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Методичне забезпечення</w:t>
      </w:r>
    </w:p>
    <w:p w14:paraId="2011562A" w14:textId="77777777" w:rsidR="00555C2E" w:rsidRPr="00093A81" w:rsidRDefault="00555C2E" w:rsidP="00B5252E">
      <w:pPr>
        <w:spacing w:line="276" w:lineRule="auto"/>
        <w:jc w:val="center"/>
        <w:rPr>
          <w:b/>
          <w:szCs w:val="24"/>
        </w:rPr>
      </w:pPr>
    </w:p>
    <w:p w14:paraId="542343A0" w14:textId="04CCDCEE" w:rsidR="00AC5EB8" w:rsidRDefault="00AC5EB8" w:rsidP="00AA14F5">
      <w:pPr>
        <w:pStyle w:val="a5"/>
        <w:numPr>
          <w:ilvl w:val="0"/>
          <w:numId w:val="10"/>
        </w:numPr>
        <w:jc w:val="both"/>
        <w:rPr>
          <w:szCs w:val="24"/>
        </w:rPr>
      </w:pPr>
      <w:r w:rsidRPr="00AC5EB8">
        <w:rPr>
          <w:szCs w:val="24"/>
        </w:rPr>
        <w:t>Методичні вказівки щодо виконання контрольної роботи з дисципліни «</w:t>
      </w:r>
      <w:r w:rsidR="00D56B84">
        <w:rPr>
          <w:szCs w:val="24"/>
        </w:rPr>
        <w:t>Ринок фінансових послуг</w:t>
      </w:r>
      <w:r w:rsidRPr="00AC5EB8">
        <w:rPr>
          <w:szCs w:val="24"/>
        </w:rPr>
        <w:t xml:space="preserve">» для студентів заочної форми навчання спеціальності 072 Фінанси банківська справа та страхування / Укладач: </w:t>
      </w:r>
      <w:r w:rsidR="00523ECB">
        <w:rPr>
          <w:szCs w:val="24"/>
        </w:rPr>
        <w:t>Чернодубова</w:t>
      </w:r>
      <w:r w:rsidRPr="00AC5EB8">
        <w:rPr>
          <w:szCs w:val="24"/>
        </w:rPr>
        <w:t xml:space="preserve"> </w:t>
      </w:r>
      <w:r w:rsidR="00523ECB">
        <w:rPr>
          <w:szCs w:val="24"/>
        </w:rPr>
        <w:t>Е</w:t>
      </w:r>
      <w:r w:rsidRPr="00AC5EB8">
        <w:rPr>
          <w:szCs w:val="24"/>
        </w:rPr>
        <w:t>.В., – Сєвєродонецьк: Видавництво Східноукраїнського національного університету ім. В.І.</w:t>
      </w:r>
      <w:r w:rsidR="009024AF">
        <w:rPr>
          <w:szCs w:val="24"/>
        </w:rPr>
        <w:t xml:space="preserve"> </w:t>
      </w:r>
      <w:r w:rsidRPr="00AC5EB8">
        <w:rPr>
          <w:szCs w:val="24"/>
        </w:rPr>
        <w:t>Даля,  20</w:t>
      </w:r>
      <w:r w:rsidR="00D56B84">
        <w:rPr>
          <w:szCs w:val="24"/>
        </w:rPr>
        <w:t>19</w:t>
      </w:r>
      <w:r w:rsidRPr="00AC5EB8">
        <w:rPr>
          <w:szCs w:val="24"/>
        </w:rPr>
        <w:t xml:space="preserve">. – </w:t>
      </w:r>
      <w:r w:rsidR="00037835">
        <w:rPr>
          <w:szCs w:val="24"/>
        </w:rPr>
        <w:t>1</w:t>
      </w:r>
      <w:r w:rsidR="00D56B84">
        <w:rPr>
          <w:szCs w:val="24"/>
        </w:rPr>
        <w:t>4</w:t>
      </w:r>
      <w:r w:rsidRPr="00AC5EB8">
        <w:rPr>
          <w:szCs w:val="24"/>
        </w:rPr>
        <w:t xml:space="preserve"> с.</w:t>
      </w:r>
      <w:r w:rsidR="00037835" w:rsidRPr="00037835">
        <w:rPr>
          <w:szCs w:val="24"/>
        </w:rPr>
        <w:t xml:space="preserve"> </w:t>
      </w:r>
      <w:r w:rsidR="00037835" w:rsidRPr="00AC5EB8">
        <w:rPr>
          <w:szCs w:val="24"/>
        </w:rPr>
        <w:t>електронне видання.</w:t>
      </w:r>
    </w:p>
    <w:p w14:paraId="67E63E12" w14:textId="615D1DFD" w:rsidR="00AC5EB8" w:rsidRPr="00AC5EB8" w:rsidRDefault="00AC5EB8" w:rsidP="00AA14F5">
      <w:pPr>
        <w:pStyle w:val="a5"/>
        <w:numPr>
          <w:ilvl w:val="0"/>
          <w:numId w:val="10"/>
        </w:numPr>
        <w:jc w:val="both"/>
        <w:rPr>
          <w:szCs w:val="24"/>
        </w:rPr>
      </w:pPr>
      <w:r w:rsidRPr="00AC5EB8">
        <w:rPr>
          <w:szCs w:val="24"/>
        </w:rPr>
        <w:t>Методичні вказівки для практичних занять з дисципліни «</w:t>
      </w:r>
      <w:r w:rsidR="00D56B84">
        <w:rPr>
          <w:szCs w:val="24"/>
        </w:rPr>
        <w:t>Ринок фінансових послуг</w:t>
      </w:r>
      <w:r w:rsidRPr="00AC5EB8">
        <w:rPr>
          <w:szCs w:val="24"/>
        </w:rPr>
        <w:t xml:space="preserve">» для студентів спеціальності 072 Фінанси банківська справа та страхування / Укладачі:  </w:t>
      </w:r>
      <w:r w:rsidR="00523ECB">
        <w:rPr>
          <w:szCs w:val="24"/>
        </w:rPr>
        <w:t>Чернодубова</w:t>
      </w:r>
      <w:r w:rsidR="00523ECB" w:rsidRPr="00AC5EB8">
        <w:rPr>
          <w:szCs w:val="24"/>
        </w:rPr>
        <w:t xml:space="preserve"> </w:t>
      </w:r>
      <w:r w:rsidR="00523ECB">
        <w:rPr>
          <w:szCs w:val="24"/>
        </w:rPr>
        <w:t>Е</w:t>
      </w:r>
      <w:r w:rsidR="00523ECB" w:rsidRPr="00AC5EB8">
        <w:rPr>
          <w:szCs w:val="24"/>
        </w:rPr>
        <w:t>.В</w:t>
      </w:r>
      <w:r w:rsidRPr="00AC5EB8">
        <w:rPr>
          <w:szCs w:val="24"/>
        </w:rPr>
        <w:t>.</w:t>
      </w:r>
      <w:r w:rsidR="00523ECB">
        <w:rPr>
          <w:szCs w:val="24"/>
        </w:rPr>
        <w:t xml:space="preserve"> </w:t>
      </w:r>
      <w:r w:rsidRPr="00AC5EB8">
        <w:rPr>
          <w:szCs w:val="24"/>
        </w:rPr>
        <w:t>– Сєвєродонецьк: Видавництво Східноукраїнського національного університету ім. В.І.</w:t>
      </w:r>
      <w:r w:rsidR="009024AF">
        <w:rPr>
          <w:szCs w:val="24"/>
        </w:rPr>
        <w:t xml:space="preserve"> </w:t>
      </w:r>
      <w:r w:rsidRPr="00AC5EB8">
        <w:rPr>
          <w:szCs w:val="24"/>
        </w:rPr>
        <w:t>Даля,  20</w:t>
      </w:r>
      <w:r w:rsidR="00983F2C">
        <w:rPr>
          <w:szCs w:val="24"/>
        </w:rPr>
        <w:t>19</w:t>
      </w:r>
      <w:r w:rsidRPr="00AC5EB8">
        <w:rPr>
          <w:szCs w:val="24"/>
        </w:rPr>
        <w:t xml:space="preserve">. – </w:t>
      </w:r>
      <w:r w:rsidR="00037835">
        <w:rPr>
          <w:szCs w:val="24"/>
        </w:rPr>
        <w:t>1</w:t>
      </w:r>
      <w:r w:rsidR="00983F2C">
        <w:rPr>
          <w:szCs w:val="24"/>
        </w:rPr>
        <w:t>6</w:t>
      </w:r>
      <w:r w:rsidRPr="00AC5EB8">
        <w:rPr>
          <w:szCs w:val="24"/>
        </w:rPr>
        <w:t xml:space="preserve"> с.</w:t>
      </w:r>
      <w:r w:rsidR="00037835" w:rsidRPr="00037835">
        <w:rPr>
          <w:szCs w:val="24"/>
        </w:rPr>
        <w:t xml:space="preserve"> </w:t>
      </w:r>
      <w:r w:rsidR="00037835" w:rsidRPr="00AC5EB8">
        <w:rPr>
          <w:szCs w:val="24"/>
        </w:rPr>
        <w:t>електронне видання.</w:t>
      </w:r>
    </w:p>
    <w:p w14:paraId="10B11DEE" w14:textId="77777777" w:rsidR="00B5252E" w:rsidRDefault="00B5252E" w:rsidP="00B5252E">
      <w:pPr>
        <w:spacing w:line="276" w:lineRule="auto"/>
        <w:jc w:val="both"/>
        <w:rPr>
          <w:szCs w:val="24"/>
        </w:rPr>
      </w:pPr>
    </w:p>
    <w:p w14:paraId="75D5EE20" w14:textId="77777777" w:rsidR="00037835" w:rsidRPr="00093A81" w:rsidRDefault="00037835" w:rsidP="00B5252E">
      <w:pPr>
        <w:spacing w:line="276" w:lineRule="auto"/>
        <w:jc w:val="both"/>
        <w:rPr>
          <w:szCs w:val="24"/>
        </w:rPr>
      </w:pPr>
    </w:p>
    <w:p w14:paraId="2B1D4A72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Оцінювання курсу</w:t>
      </w:r>
    </w:p>
    <w:p w14:paraId="1DBDC4F8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p w14:paraId="143A117F" w14:textId="77777777" w:rsidR="00B5252E" w:rsidRDefault="00B5252E" w:rsidP="00B5252E">
      <w:pPr>
        <w:spacing w:line="276" w:lineRule="auto"/>
        <w:jc w:val="both"/>
        <w:rPr>
          <w:szCs w:val="24"/>
        </w:rPr>
      </w:pPr>
      <w:r w:rsidRPr="00093A81">
        <w:rPr>
          <w:szCs w:val="24"/>
        </w:rPr>
        <w:t>За повністю виконані завдання студент може отримати визначену кількість балів:</w:t>
      </w:r>
    </w:p>
    <w:p w14:paraId="12BDFFD8" w14:textId="77777777" w:rsidR="00037835" w:rsidRPr="00093A81" w:rsidRDefault="00037835" w:rsidP="00B5252E">
      <w:pPr>
        <w:spacing w:line="276" w:lineRule="auto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B5252E" w:rsidRPr="00093A81" w14:paraId="256D8D87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1E0CB89E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Інструменти і завдання</w:t>
            </w:r>
          </w:p>
        </w:tc>
        <w:tc>
          <w:tcPr>
            <w:tcW w:w="1844" w:type="dxa"/>
            <w:shd w:val="clear" w:color="auto" w:fill="auto"/>
          </w:tcPr>
          <w:p w14:paraId="6913533F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Кількість балів</w:t>
            </w:r>
          </w:p>
        </w:tc>
      </w:tr>
      <w:tr w:rsidR="00B5252E" w:rsidRPr="00093A81" w14:paraId="4E0FFF75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76DB2E42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Участь в обговоренні</w:t>
            </w:r>
          </w:p>
        </w:tc>
        <w:tc>
          <w:tcPr>
            <w:tcW w:w="1844" w:type="dxa"/>
            <w:shd w:val="clear" w:color="auto" w:fill="auto"/>
          </w:tcPr>
          <w:p w14:paraId="518A9F59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20</w:t>
            </w:r>
          </w:p>
        </w:tc>
      </w:tr>
      <w:tr w:rsidR="00B5252E" w:rsidRPr="00093A81" w14:paraId="6C9EBCB6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56C81B72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Тести</w:t>
            </w:r>
          </w:p>
        </w:tc>
        <w:tc>
          <w:tcPr>
            <w:tcW w:w="1844" w:type="dxa"/>
            <w:shd w:val="clear" w:color="auto" w:fill="auto"/>
          </w:tcPr>
          <w:p w14:paraId="55D1CC7D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25</w:t>
            </w:r>
          </w:p>
        </w:tc>
      </w:tr>
      <w:tr w:rsidR="00B5252E" w:rsidRPr="00093A81" w14:paraId="001F80C0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20BA8223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Індивідуальні завдання</w:t>
            </w:r>
          </w:p>
        </w:tc>
        <w:tc>
          <w:tcPr>
            <w:tcW w:w="1844" w:type="dxa"/>
            <w:shd w:val="clear" w:color="auto" w:fill="auto"/>
          </w:tcPr>
          <w:p w14:paraId="2E1F4179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25</w:t>
            </w:r>
          </w:p>
        </w:tc>
      </w:tr>
      <w:tr w:rsidR="00B5252E" w:rsidRPr="00093A81" w14:paraId="639E14E2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539AE54B" w14:textId="77777777" w:rsidR="00B5252E" w:rsidRPr="00A07F29" w:rsidRDefault="00A07F29" w:rsidP="00CC5073">
            <w:pPr>
              <w:spacing w:line="276" w:lineRule="auto"/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Іспит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785B5A24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30</w:t>
            </w:r>
          </w:p>
        </w:tc>
      </w:tr>
      <w:tr w:rsidR="00B5252E" w:rsidRPr="00093A81" w14:paraId="5F885368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4293FB0B" w14:textId="77777777" w:rsidR="00B5252E" w:rsidRPr="00093A81" w:rsidRDefault="00B5252E" w:rsidP="00CC5073">
            <w:pPr>
              <w:spacing w:line="276" w:lineRule="auto"/>
              <w:jc w:val="center"/>
              <w:rPr>
                <w:b/>
                <w:szCs w:val="24"/>
              </w:rPr>
            </w:pPr>
            <w:r w:rsidRPr="00093A81">
              <w:rPr>
                <w:b/>
                <w:szCs w:val="24"/>
              </w:rPr>
              <w:t>Разом</w:t>
            </w:r>
          </w:p>
        </w:tc>
        <w:tc>
          <w:tcPr>
            <w:tcW w:w="1844" w:type="dxa"/>
            <w:shd w:val="clear" w:color="auto" w:fill="auto"/>
          </w:tcPr>
          <w:p w14:paraId="42129FC6" w14:textId="77777777" w:rsidR="00B5252E" w:rsidRPr="00093A81" w:rsidRDefault="00B5252E" w:rsidP="00CC5073">
            <w:pPr>
              <w:spacing w:line="276" w:lineRule="auto"/>
              <w:jc w:val="center"/>
              <w:rPr>
                <w:b/>
                <w:szCs w:val="24"/>
              </w:rPr>
            </w:pPr>
            <w:r w:rsidRPr="00093A81">
              <w:rPr>
                <w:b/>
                <w:szCs w:val="24"/>
              </w:rPr>
              <w:t>100</w:t>
            </w:r>
          </w:p>
        </w:tc>
      </w:tr>
    </w:tbl>
    <w:p w14:paraId="0BF4ACE1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</w:p>
    <w:p w14:paraId="37640C3E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Шкала оцінювання студентів</w:t>
      </w:r>
    </w:p>
    <w:p w14:paraId="143670EE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077"/>
        <w:gridCol w:w="3501"/>
        <w:gridCol w:w="2794"/>
      </w:tblGrid>
      <w:tr w:rsidR="00B5252E" w:rsidRPr="00093A81" w14:paraId="2B2B379D" w14:textId="77777777" w:rsidTr="00CC5073">
        <w:trPr>
          <w:trHeight w:val="450"/>
        </w:trPr>
        <w:tc>
          <w:tcPr>
            <w:tcW w:w="1172" w:type="pct"/>
            <w:vMerge w:val="restart"/>
            <w:vAlign w:val="center"/>
          </w:tcPr>
          <w:p w14:paraId="07971C1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bookmarkStart w:id="1" w:name="_17dp8vu"/>
            <w:bookmarkEnd w:id="1"/>
            <w:r w:rsidRPr="00093A81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14:paraId="4B1DC96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</w:t>
            </w:r>
            <w:r w:rsidRPr="00093A81">
              <w:rPr>
                <w:b/>
                <w:szCs w:val="24"/>
              </w:rPr>
              <w:t xml:space="preserve"> </w:t>
            </w:r>
            <w:r w:rsidRPr="00093A81">
              <w:rPr>
                <w:szCs w:val="24"/>
              </w:rPr>
              <w:t>ECTS</w:t>
            </w:r>
          </w:p>
        </w:tc>
        <w:tc>
          <w:tcPr>
            <w:tcW w:w="3269" w:type="pct"/>
            <w:gridSpan w:val="2"/>
            <w:vAlign w:val="center"/>
          </w:tcPr>
          <w:p w14:paraId="50C4DBA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 за національною шкалою</w:t>
            </w:r>
          </w:p>
        </w:tc>
      </w:tr>
      <w:tr w:rsidR="00B5252E" w:rsidRPr="00093A81" w14:paraId="0CD2B028" w14:textId="77777777" w:rsidTr="00CC5073">
        <w:trPr>
          <w:trHeight w:val="450"/>
        </w:trPr>
        <w:tc>
          <w:tcPr>
            <w:tcW w:w="1172" w:type="pct"/>
            <w:vMerge/>
            <w:vAlign w:val="center"/>
          </w:tcPr>
          <w:p w14:paraId="3401406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14:paraId="2F0F818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14:paraId="00E841E1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9340C8F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заліку</w:t>
            </w:r>
          </w:p>
        </w:tc>
      </w:tr>
      <w:tr w:rsidR="00B5252E" w:rsidRPr="00093A81" w14:paraId="17443EEC" w14:textId="77777777" w:rsidTr="00CC5073">
        <w:tc>
          <w:tcPr>
            <w:tcW w:w="1172" w:type="pct"/>
            <w:vAlign w:val="center"/>
          </w:tcPr>
          <w:p w14:paraId="09BCA42F" w14:textId="77777777" w:rsidR="00B5252E" w:rsidRPr="00093A81" w:rsidRDefault="00B5252E" w:rsidP="00CC5073">
            <w:pPr>
              <w:jc w:val="center"/>
              <w:rPr>
                <w:b/>
                <w:szCs w:val="24"/>
              </w:rPr>
            </w:pPr>
            <w:r w:rsidRPr="00093A81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14:paraId="24F354A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14:paraId="2603394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відмінно</w:t>
            </w:r>
          </w:p>
        </w:tc>
        <w:tc>
          <w:tcPr>
            <w:tcW w:w="1451" w:type="pct"/>
            <w:vMerge w:val="restart"/>
            <w:vAlign w:val="center"/>
          </w:tcPr>
          <w:p w14:paraId="64B90B8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  <w:p w14:paraId="29FBC60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  <w:p w14:paraId="3AE8FD2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зараховано</w:t>
            </w:r>
          </w:p>
        </w:tc>
      </w:tr>
      <w:tr w:rsidR="00B5252E" w:rsidRPr="00093A81" w14:paraId="1421B9D8" w14:textId="77777777" w:rsidTr="00CC5073">
        <w:trPr>
          <w:trHeight w:val="194"/>
        </w:trPr>
        <w:tc>
          <w:tcPr>
            <w:tcW w:w="1172" w:type="pct"/>
            <w:vAlign w:val="center"/>
          </w:tcPr>
          <w:p w14:paraId="302EAC57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14:paraId="09965FD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14:paraId="68E6C97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добре</w:t>
            </w:r>
          </w:p>
        </w:tc>
        <w:tc>
          <w:tcPr>
            <w:tcW w:w="1451" w:type="pct"/>
            <w:vMerge/>
            <w:vAlign w:val="center"/>
          </w:tcPr>
          <w:p w14:paraId="78CAB8D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53384F7A" w14:textId="77777777" w:rsidTr="00CC5073">
        <w:tc>
          <w:tcPr>
            <w:tcW w:w="1172" w:type="pct"/>
            <w:vAlign w:val="center"/>
          </w:tcPr>
          <w:p w14:paraId="6CE34DB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14:paraId="672837F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14:paraId="0CF7250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14:paraId="0054E09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03A5724E" w14:textId="77777777" w:rsidTr="00CC5073">
        <w:tc>
          <w:tcPr>
            <w:tcW w:w="1172" w:type="pct"/>
            <w:vAlign w:val="center"/>
          </w:tcPr>
          <w:p w14:paraId="324DE0A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14:paraId="70AF322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14:paraId="0C245F8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задовільно</w:t>
            </w:r>
          </w:p>
        </w:tc>
        <w:tc>
          <w:tcPr>
            <w:tcW w:w="1451" w:type="pct"/>
            <w:vMerge/>
            <w:vAlign w:val="center"/>
          </w:tcPr>
          <w:p w14:paraId="6A70C79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4765CFED" w14:textId="77777777" w:rsidTr="00CC5073">
        <w:tc>
          <w:tcPr>
            <w:tcW w:w="1172" w:type="pct"/>
            <w:vAlign w:val="center"/>
          </w:tcPr>
          <w:p w14:paraId="7D1EBF4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14:paraId="1F9CCF5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Е</w:t>
            </w:r>
          </w:p>
        </w:tc>
        <w:tc>
          <w:tcPr>
            <w:tcW w:w="1818" w:type="pct"/>
            <w:vMerge/>
            <w:vAlign w:val="center"/>
          </w:tcPr>
          <w:p w14:paraId="5DCA766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14:paraId="3B2CF95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67BB5F15" w14:textId="77777777" w:rsidTr="00CC5073">
        <w:tc>
          <w:tcPr>
            <w:tcW w:w="1172" w:type="pct"/>
            <w:vAlign w:val="center"/>
          </w:tcPr>
          <w:p w14:paraId="27E68AB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14:paraId="5264839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14:paraId="7519346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  <w:vAlign w:val="center"/>
          </w:tcPr>
          <w:p w14:paraId="62FB8F7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B5252E" w:rsidRPr="00093A81" w14:paraId="163A510E" w14:textId="77777777" w:rsidTr="00CC5073">
        <w:trPr>
          <w:trHeight w:val="708"/>
        </w:trPr>
        <w:tc>
          <w:tcPr>
            <w:tcW w:w="1172" w:type="pct"/>
            <w:vAlign w:val="center"/>
          </w:tcPr>
          <w:p w14:paraId="1A3B91D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14:paraId="7A564CC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14:paraId="5BCB60AD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  <w:vAlign w:val="center"/>
          </w:tcPr>
          <w:p w14:paraId="2448C1A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14:paraId="564445B3" w14:textId="77777777" w:rsidR="00B5252E" w:rsidRPr="00BF1BF7" w:rsidRDefault="00B5252E" w:rsidP="00BF1BF7">
      <w:pPr>
        <w:spacing w:line="276" w:lineRule="auto"/>
        <w:jc w:val="both"/>
        <w:rPr>
          <w:szCs w:val="24"/>
          <w:lang w:val="ru-RU"/>
        </w:rPr>
      </w:pPr>
      <w:r w:rsidRPr="00093A81">
        <w:rPr>
          <w:szCs w:val="24"/>
        </w:rPr>
        <w:t xml:space="preserve"> </w:t>
      </w:r>
    </w:p>
    <w:p w14:paraId="1432C609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Політика курсу</w:t>
      </w:r>
    </w:p>
    <w:p w14:paraId="7AE41138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7"/>
        <w:gridCol w:w="6772"/>
      </w:tblGrid>
      <w:tr w:rsidR="00B5252E" w:rsidRPr="00093A81" w14:paraId="6EC0141C" w14:textId="77777777" w:rsidTr="00CC5073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9C43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Плагіат та академічна доброчесність: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8730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 xml:space="preserve">Студент може пройти певні онлайн-курси, які пов'язані з темами дисципліни, на онлайн-платформах. При поданні документу про проходження курсу студенту можуть бути </w:t>
            </w:r>
            <w:proofErr w:type="spellStart"/>
            <w:r w:rsidRPr="00093A81">
              <w:rPr>
                <w:szCs w:val="24"/>
              </w:rPr>
              <w:t>перезараховані</w:t>
            </w:r>
            <w:proofErr w:type="spellEnd"/>
            <w:r w:rsidRPr="00093A81">
              <w:rPr>
                <w:szCs w:val="24"/>
              </w:rPr>
              <w:t xml:space="preserve"> певні теми курсу та нараховані бали за завдання.</w:t>
            </w:r>
          </w:p>
          <w:p w14:paraId="556715E7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виконання завдань студент має дотримуватись політики академічної доброчесності. Запозичення мають бути оформлені відповідними посиланнями. Списування є забороненим.</w:t>
            </w:r>
          </w:p>
        </w:tc>
      </w:tr>
      <w:tr w:rsidR="00B5252E" w:rsidRPr="00093A81" w14:paraId="46AFDAD1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0642A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Завдання і заняття: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F91F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 Аудиторні заняття мають відвідуватись регулярно. Пропущені заняття (з будь-яких причин) мають бути відпрацьовані з отриманням відповідної оцінки не пізніше останнього тижня поточного семестру. В разі поважної причини (хвороба, академічна мобільність тощо) терміни можуть бути збільшені за письмовим дозволом декана.</w:t>
            </w:r>
          </w:p>
        </w:tc>
      </w:tr>
      <w:tr w:rsidR="00B5252E" w:rsidRPr="00093A81" w14:paraId="19FCA781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A6A33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Поведінка в аудиторії: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92469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14:paraId="3676899E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занять студенти:</w:t>
            </w:r>
          </w:p>
          <w:p w14:paraId="7C8A3216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вживають їжу та жувальну гумку;</w:t>
            </w:r>
          </w:p>
          <w:p w14:paraId="5CB05EF7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залишають аудиторію без дозволу викладача;</w:t>
            </w:r>
          </w:p>
          <w:p w14:paraId="75381600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викладачу проводити заняття.</w:t>
            </w:r>
          </w:p>
          <w:p w14:paraId="03B0E9E7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контролю знань студенти:</w:t>
            </w:r>
          </w:p>
          <w:p w14:paraId="3509E59C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є підготовленими відповідно до вимог даного курсу;</w:t>
            </w:r>
          </w:p>
          <w:p w14:paraId="57BA6F55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14:paraId="264DEBAB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іншим;</w:t>
            </w:r>
          </w:p>
          <w:p w14:paraId="1656C628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виконують усі вимоги викладачів щодо контролю знань.</w:t>
            </w:r>
          </w:p>
        </w:tc>
      </w:tr>
    </w:tbl>
    <w:p w14:paraId="0CB2B178" w14:textId="77777777" w:rsidR="00021DDA" w:rsidRPr="00935D94" w:rsidRDefault="00021DDA" w:rsidP="00BF1BF7">
      <w:pPr>
        <w:jc w:val="both"/>
        <w:rPr>
          <w:sz w:val="22"/>
          <w:lang w:val="ru-RU"/>
        </w:rPr>
      </w:pPr>
    </w:p>
    <w:sectPr w:rsidR="00021DDA" w:rsidRPr="00935D94" w:rsidSect="00021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1BB4"/>
    <w:multiLevelType w:val="hybridMultilevel"/>
    <w:tmpl w:val="FAA04E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BFB"/>
    <w:multiLevelType w:val="hybridMultilevel"/>
    <w:tmpl w:val="F2ECCD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6223C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613F22"/>
    <w:multiLevelType w:val="hybridMultilevel"/>
    <w:tmpl w:val="42008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6A1BF8"/>
    <w:multiLevelType w:val="hybridMultilevel"/>
    <w:tmpl w:val="B01226AE"/>
    <w:lvl w:ilvl="0" w:tplc="4E86DBF4">
      <w:start w:val="1"/>
      <w:numFmt w:val="decimal"/>
      <w:lvlText w:val="%1."/>
      <w:lvlJc w:val="left"/>
      <w:pPr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E"/>
    <w:rsid w:val="00005796"/>
    <w:rsid w:val="00021DDA"/>
    <w:rsid w:val="00037835"/>
    <w:rsid w:val="000733AD"/>
    <w:rsid w:val="000C5A7A"/>
    <w:rsid w:val="003F3684"/>
    <w:rsid w:val="004D682E"/>
    <w:rsid w:val="004E6B65"/>
    <w:rsid w:val="00523ECB"/>
    <w:rsid w:val="00555C2E"/>
    <w:rsid w:val="005C3045"/>
    <w:rsid w:val="00617079"/>
    <w:rsid w:val="006771AE"/>
    <w:rsid w:val="00725AA4"/>
    <w:rsid w:val="00754A07"/>
    <w:rsid w:val="00765ECB"/>
    <w:rsid w:val="00856B8B"/>
    <w:rsid w:val="008D4146"/>
    <w:rsid w:val="009024AF"/>
    <w:rsid w:val="00935D94"/>
    <w:rsid w:val="00983F2C"/>
    <w:rsid w:val="00985439"/>
    <w:rsid w:val="00A07F29"/>
    <w:rsid w:val="00A26668"/>
    <w:rsid w:val="00A75293"/>
    <w:rsid w:val="00A97B79"/>
    <w:rsid w:val="00AA14F5"/>
    <w:rsid w:val="00AB7BCF"/>
    <w:rsid w:val="00AC5EB8"/>
    <w:rsid w:val="00B33E98"/>
    <w:rsid w:val="00B5252E"/>
    <w:rsid w:val="00B7300C"/>
    <w:rsid w:val="00BB6330"/>
    <w:rsid w:val="00BF1BF7"/>
    <w:rsid w:val="00C875D2"/>
    <w:rsid w:val="00D56B84"/>
    <w:rsid w:val="00DD54CE"/>
    <w:rsid w:val="00E01423"/>
    <w:rsid w:val="00EE4113"/>
    <w:rsid w:val="00F03031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B192"/>
  <w15:docId w15:val="{F06EAEBC-1885-439C-8F27-CDA489FA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2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52E"/>
    <w:pPr>
      <w:ind w:left="720"/>
      <w:contextualSpacing/>
    </w:pPr>
  </w:style>
  <w:style w:type="paragraph" w:customStyle="1" w:styleId="211">
    <w:name w:val="Знак2 Знак Знак Знак Знак Знак Знак1 Знак Знак Знак1 Знак Знак Знак"/>
    <w:basedOn w:val="a"/>
    <w:rsid w:val="000C5A7A"/>
    <w:rPr>
      <w:rFonts w:ascii="Verdana" w:hAnsi="Verdana"/>
      <w:sz w:val="20"/>
      <w:lang w:val="en-US"/>
    </w:rPr>
  </w:style>
  <w:style w:type="paragraph" w:styleId="2">
    <w:name w:val="Body Text 2"/>
    <w:basedOn w:val="a"/>
    <w:link w:val="20"/>
    <w:uiPriority w:val="99"/>
    <w:unhideWhenUsed/>
    <w:rsid w:val="009024AF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024AF"/>
    <w:rPr>
      <w:rFonts w:ascii="Times New Roman" w:eastAsia="Times New Roman" w:hAnsi="Times New Roman" w:cs="Times New Roman"/>
      <w:sz w:val="28"/>
      <w:szCs w:val="24"/>
    </w:rPr>
  </w:style>
  <w:style w:type="paragraph" w:customStyle="1" w:styleId="2110">
    <w:name w:val="Знак2 Знак Знак Знак Знак Знак Знак1 Знак Знак Знак1 Знак Знак Знак"/>
    <w:basedOn w:val="a"/>
    <w:rsid w:val="004E6B65"/>
    <w:rPr>
      <w:rFonts w:ascii="Verdana" w:hAnsi="Verdana"/>
      <w:sz w:val="20"/>
      <w:lang w:val="en-US"/>
    </w:rPr>
  </w:style>
  <w:style w:type="character" w:styleId="a6">
    <w:name w:val="Hyperlink"/>
    <w:basedOn w:val="a0"/>
    <w:uiPriority w:val="99"/>
    <w:unhideWhenUsed/>
    <w:rsid w:val="00D56B8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64-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19</cp:revision>
  <dcterms:created xsi:type="dcterms:W3CDTF">2020-11-27T15:16:00Z</dcterms:created>
  <dcterms:modified xsi:type="dcterms:W3CDTF">2022-11-08T20:57:00Z</dcterms:modified>
</cp:coreProperties>
</file>