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0"/>
        <w:gridCol w:w="3309"/>
        <w:gridCol w:w="3586"/>
      </w:tblGrid>
      <w:tr w:rsidR="00ED7BA0" w:rsidRPr="00CC0058" w:rsidTr="009A362B">
        <w:trPr>
          <w:trHeight w:val="326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CC0058">
              <w:rPr>
                <w:szCs w:val="24"/>
              </w:rPr>
              <w:t>Силабус</w:t>
            </w:r>
            <w:proofErr w:type="spellEnd"/>
            <w:r w:rsidRPr="00CC0058">
              <w:rPr>
                <w:szCs w:val="24"/>
              </w:rPr>
              <w:t xml:space="preserve"> курсу:</w:t>
            </w:r>
          </w:p>
        </w:tc>
        <w:tc>
          <w:tcPr>
            <w:tcW w:w="3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both"/>
              <w:rPr>
                <w:szCs w:val="24"/>
              </w:rPr>
            </w:pPr>
            <w:r w:rsidRPr="00CC0058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A0" w:rsidRPr="00CC0058" w:rsidTr="009A362B">
        <w:trPr>
          <w:trHeight w:val="1742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C240B0" w:rsidP="007276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ФІНАНСИ СТРАХОВИХ КОМПАНІЙ</w:t>
            </w:r>
          </w:p>
        </w:tc>
        <w:tc>
          <w:tcPr>
            <w:tcW w:w="3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1C59FC" w:rsidP="00727660">
            <w:pPr>
              <w:spacing w:line="276" w:lineRule="auto"/>
              <w:rPr>
                <w:szCs w:val="24"/>
              </w:rPr>
            </w:pPr>
            <w:r w:rsidRPr="00CC0058">
              <w:rPr>
                <w:szCs w:val="24"/>
              </w:rPr>
              <w:t>Бакалавр</w:t>
            </w: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9409C" w:rsidP="00C240B0">
            <w:pPr>
              <w:spacing w:line="276" w:lineRule="auto"/>
              <w:rPr>
                <w:iCs/>
                <w:szCs w:val="24"/>
              </w:rPr>
            </w:pPr>
            <w:r w:rsidRPr="00CC0058">
              <w:rPr>
                <w:bCs/>
                <w:iCs/>
                <w:szCs w:val="24"/>
                <w:lang w:eastAsia="ru-RU"/>
              </w:rPr>
              <w:t>072 «Фінанси, бан</w:t>
            </w:r>
            <w:r w:rsidR="00C240B0">
              <w:rPr>
                <w:bCs/>
                <w:iCs/>
                <w:szCs w:val="24"/>
                <w:lang w:eastAsia="ru-RU"/>
              </w:rPr>
              <w:t>ківська справа та страхування»</w:t>
            </w: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314D5D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D7BA0" w:rsidRPr="00CC0058" w:rsidTr="00D676DE">
        <w:trPr>
          <w:trHeight w:val="329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9409C" w:rsidP="00346111">
            <w:pPr>
              <w:spacing w:line="276" w:lineRule="auto"/>
              <w:rPr>
                <w:szCs w:val="24"/>
              </w:rPr>
            </w:pPr>
            <w:r w:rsidRPr="00273DD3">
              <w:rPr>
                <w:szCs w:val="24"/>
              </w:rPr>
              <w:t>Весняний</w:t>
            </w: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314D5D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ED7BA0" w:rsidRPr="00CC0058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727660">
            <w:pPr>
              <w:spacing w:line="276" w:lineRule="auto"/>
              <w:rPr>
                <w:szCs w:val="24"/>
              </w:rPr>
            </w:pPr>
            <w:r w:rsidRPr="00CC0058">
              <w:rPr>
                <w:szCs w:val="24"/>
              </w:rPr>
              <w:t>українська</w:t>
            </w:r>
          </w:p>
        </w:tc>
      </w:tr>
      <w:tr w:rsidR="00ED7BA0" w:rsidRPr="00CC0058" w:rsidTr="009A362B">
        <w:trPr>
          <w:trHeight w:val="302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9A362B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7BA0" w:rsidRPr="00CC0058" w:rsidRDefault="006D63C6" w:rsidP="009A362B">
            <w:pPr>
              <w:rPr>
                <w:szCs w:val="24"/>
              </w:rPr>
            </w:pPr>
            <w:r w:rsidRPr="00CC0058">
              <w:rPr>
                <w:szCs w:val="24"/>
              </w:rPr>
              <w:t>іспит</w:t>
            </w:r>
          </w:p>
        </w:tc>
      </w:tr>
    </w:tbl>
    <w:p w:rsidR="00ED7BA0" w:rsidRPr="00CC0058" w:rsidRDefault="00ED7BA0" w:rsidP="00ED7BA0">
      <w:pPr>
        <w:jc w:val="both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5"/>
        <w:gridCol w:w="280"/>
        <w:gridCol w:w="2087"/>
        <w:gridCol w:w="280"/>
        <w:gridCol w:w="1369"/>
        <w:gridCol w:w="736"/>
        <w:gridCol w:w="279"/>
        <w:gridCol w:w="2860"/>
      </w:tblGrid>
      <w:tr w:rsidR="00ED7BA0" w:rsidRPr="00CC0058" w:rsidTr="00F24D02">
        <w:tc>
          <w:tcPr>
            <w:tcW w:w="6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both"/>
              <w:rPr>
                <w:szCs w:val="24"/>
              </w:rPr>
            </w:pPr>
            <w:r w:rsidRPr="00CC0058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D7BA0" w:rsidRPr="00CC0058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E62FB5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к.</w:t>
            </w:r>
            <w:r w:rsidR="00CC1623" w:rsidRPr="00CC0058">
              <w:rPr>
                <w:szCs w:val="24"/>
              </w:rPr>
              <w:t>е</w:t>
            </w:r>
            <w:r w:rsidR="001C125F" w:rsidRPr="00CC0058">
              <w:rPr>
                <w:szCs w:val="24"/>
              </w:rPr>
              <w:t>.н.</w:t>
            </w:r>
            <w:r w:rsidR="006D63C6" w:rsidRPr="00CC0058">
              <w:rPr>
                <w:szCs w:val="24"/>
              </w:rPr>
              <w:t>,</w:t>
            </w:r>
            <w:r w:rsidR="00045057" w:rsidRPr="00CC0058">
              <w:rPr>
                <w:szCs w:val="24"/>
              </w:rPr>
              <w:t xml:space="preserve"> </w:t>
            </w:r>
            <w:r w:rsidR="00D24131" w:rsidRPr="00CC0058">
              <w:rPr>
                <w:szCs w:val="24"/>
              </w:rPr>
              <w:t xml:space="preserve">доц. </w:t>
            </w:r>
            <w:r w:rsidR="00E62FB5">
              <w:rPr>
                <w:szCs w:val="24"/>
              </w:rPr>
              <w:t>Мартинов Андрій Анатолійович</w:t>
            </w:r>
          </w:p>
        </w:tc>
      </w:tr>
      <w:tr w:rsidR="00ED7BA0" w:rsidRPr="00CC0058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ED7BA0" w:rsidRPr="00CC0058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BA0" w:rsidRPr="00CC0058" w:rsidRDefault="00346111" w:rsidP="006E6407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доцент</w:t>
            </w:r>
            <w:r w:rsidR="00ED7BA0" w:rsidRPr="00CC0058">
              <w:rPr>
                <w:szCs w:val="24"/>
              </w:rPr>
              <w:t xml:space="preserve"> кафедри</w:t>
            </w:r>
            <w:r w:rsidR="00CC1623" w:rsidRPr="00CC0058">
              <w:rPr>
                <w:szCs w:val="24"/>
              </w:rPr>
              <w:t xml:space="preserve"> </w:t>
            </w:r>
            <w:r w:rsidR="006E6407" w:rsidRPr="00CC0058">
              <w:rPr>
                <w:szCs w:val="24"/>
              </w:rPr>
              <w:t>фінансів та банківської справи</w:t>
            </w:r>
          </w:p>
        </w:tc>
      </w:tr>
      <w:tr w:rsidR="00ED7BA0" w:rsidRPr="00CC0058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посада</w:t>
            </w:r>
          </w:p>
        </w:tc>
      </w:tr>
      <w:tr w:rsidR="00ED7BA0" w:rsidRPr="00CC0058" w:rsidTr="00F24D02"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62FB5" w:rsidP="00CC16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martynov</w:t>
            </w:r>
            <w:proofErr w:type="spellEnd"/>
            <w:r w:rsidR="009737A9" w:rsidRPr="00CC0058">
              <w:rPr>
                <w:szCs w:val="24"/>
              </w:rPr>
              <w:t>@snu.edu.ua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6E6407">
            <w:pPr>
              <w:jc w:val="center"/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CC1623" w:rsidP="00CC1623">
            <w:pPr>
              <w:jc w:val="center"/>
              <w:rPr>
                <w:szCs w:val="24"/>
              </w:rPr>
            </w:pPr>
            <w:proofErr w:type="spellStart"/>
            <w:r w:rsidRPr="00CC0058">
              <w:rPr>
                <w:szCs w:val="24"/>
              </w:rPr>
              <w:t>Viber</w:t>
            </w:r>
            <w:proofErr w:type="spellEnd"/>
            <w:r w:rsidRPr="00CC0058">
              <w:rPr>
                <w:szCs w:val="24"/>
              </w:rPr>
              <w:t xml:space="preserve"> за номером телефону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CC0058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CC0058" w:rsidRDefault="00346111" w:rsidP="00346111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за розкладом</w:t>
            </w:r>
            <w:r w:rsidR="00CC1623" w:rsidRPr="00CC0058">
              <w:rPr>
                <w:szCs w:val="24"/>
              </w:rPr>
              <w:t xml:space="preserve"> </w:t>
            </w:r>
          </w:p>
        </w:tc>
      </w:tr>
      <w:tr w:rsidR="00ED7BA0" w:rsidRPr="00CC0058" w:rsidTr="00F24D02"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телефон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CC0058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C0058">
              <w:rPr>
                <w:sz w:val="16"/>
                <w:szCs w:val="16"/>
              </w:rPr>
              <w:t>консультації</w:t>
            </w:r>
          </w:p>
        </w:tc>
      </w:tr>
    </w:tbl>
    <w:p w:rsidR="00DC120A" w:rsidRPr="00CC0058" w:rsidRDefault="00DC120A" w:rsidP="00ED7BA0">
      <w:pPr>
        <w:jc w:val="center"/>
        <w:rPr>
          <w:b/>
          <w:szCs w:val="24"/>
        </w:rPr>
      </w:pPr>
    </w:p>
    <w:p w:rsidR="00DC120A" w:rsidRPr="00CC0058" w:rsidRDefault="00DC120A" w:rsidP="00ED7BA0">
      <w:pPr>
        <w:jc w:val="center"/>
        <w:rPr>
          <w:b/>
          <w:szCs w:val="24"/>
        </w:rPr>
      </w:pPr>
    </w:p>
    <w:p w:rsidR="00ED7BA0" w:rsidRPr="00CC0058" w:rsidRDefault="00ED7BA0" w:rsidP="00ED7BA0">
      <w:pPr>
        <w:jc w:val="center"/>
        <w:rPr>
          <w:szCs w:val="24"/>
        </w:rPr>
      </w:pPr>
      <w:r w:rsidRPr="00CC0058">
        <w:rPr>
          <w:b/>
          <w:szCs w:val="24"/>
        </w:rPr>
        <w:t>Анотація навчального курсу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ED7BA0" w:rsidRPr="00CC0058" w:rsidTr="00F24D0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6A5829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9C" w:rsidRDefault="00792B83" w:rsidP="00E940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Отримання здобувачами вищої освіти</w:t>
            </w:r>
            <w:r w:rsidR="00045057" w:rsidRPr="00CC00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базових знань щодо теоретичних і практичних основ організації фінанс</w:t>
            </w:r>
            <w:r w:rsidR="009D34AB">
              <w:rPr>
                <w:rFonts w:ascii="Times New Roman" w:hAnsi="Times New Roman" w:cs="Times New Roman"/>
              </w:rPr>
              <w:t>ів</w:t>
            </w:r>
            <w:r>
              <w:rPr>
                <w:rFonts w:ascii="Times New Roman" w:hAnsi="Times New Roman" w:cs="Times New Roman"/>
              </w:rPr>
              <w:t xml:space="preserve"> страхови</w:t>
            </w:r>
            <w:r w:rsidR="001B7182">
              <w:rPr>
                <w:rFonts w:ascii="Times New Roman" w:hAnsi="Times New Roman" w:cs="Times New Roman"/>
              </w:rPr>
              <w:t>х компаній</w:t>
            </w:r>
            <w:r w:rsidR="00E9409C" w:rsidRPr="00CC0058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D7BA0" w:rsidRPr="00CC0058" w:rsidRDefault="00346111" w:rsidP="001B7182">
            <w:pPr>
              <w:pStyle w:val="a0"/>
              <w:ind w:firstLine="0"/>
              <w:rPr>
                <w:szCs w:val="24"/>
              </w:rPr>
            </w:pPr>
            <w:r w:rsidRPr="00CC0058">
              <w:rPr>
                <w:szCs w:val="24"/>
              </w:rPr>
              <w:t xml:space="preserve">Курс </w:t>
            </w:r>
            <w:r w:rsidR="00D24131" w:rsidRPr="00CC0058">
              <w:rPr>
                <w:szCs w:val="24"/>
              </w:rPr>
              <w:t>є обов’язковим для</w:t>
            </w:r>
            <w:r w:rsidRPr="00CC0058">
              <w:rPr>
                <w:szCs w:val="24"/>
              </w:rPr>
              <w:t xml:space="preserve"> студент</w:t>
            </w:r>
            <w:r w:rsidR="00D24131" w:rsidRPr="00CC0058">
              <w:rPr>
                <w:szCs w:val="24"/>
              </w:rPr>
              <w:t>ів</w:t>
            </w:r>
            <w:r w:rsidRPr="00CC0058">
              <w:rPr>
                <w:szCs w:val="24"/>
              </w:rPr>
              <w:t xml:space="preserve"> </w:t>
            </w:r>
            <w:r w:rsidR="001B7182">
              <w:rPr>
                <w:szCs w:val="24"/>
              </w:rPr>
              <w:t>спеціальності</w:t>
            </w:r>
            <w:r w:rsidR="000A3B60" w:rsidRPr="00CC0058">
              <w:rPr>
                <w:szCs w:val="24"/>
              </w:rPr>
              <w:t xml:space="preserve"> 07</w:t>
            </w:r>
            <w:r w:rsidR="001B7182">
              <w:rPr>
                <w:szCs w:val="24"/>
              </w:rPr>
              <w:t>2</w:t>
            </w:r>
            <w:r w:rsidR="000A3B60" w:rsidRPr="00CC0058">
              <w:rPr>
                <w:szCs w:val="24"/>
              </w:rPr>
              <w:t xml:space="preserve"> «</w:t>
            </w:r>
            <w:r w:rsidR="001B7182">
              <w:rPr>
                <w:szCs w:val="24"/>
              </w:rPr>
              <w:t>Фінанси, банківська справа та страхування</w:t>
            </w:r>
            <w:r w:rsidR="000A3B60" w:rsidRPr="00CC0058">
              <w:rPr>
                <w:szCs w:val="24"/>
              </w:rPr>
              <w:t>»</w:t>
            </w:r>
          </w:p>
        </w:tc>
      </w:tr>
      <w:tr w:rsidR="00ED7BA0" w:rsidRPr="00CC0058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AD1" w:rsidRPr="00CC0058" w:rsidRDefault="008B501D" w:rsidP="00AA415E">
            <w:pPr>
              <w:shd w:val="clear" w:color="auto" w:fill="FFFFFF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Зна</w:t>
            </w:r>
            <w:r w:rsidR="00346111" w:rsidRPr="00CC0058">
              <w:rPr>
                <w:szCs w:val="24"/>
              </w:rPr>
              <w:t>ти</w:t>
            </w:r>
            <w:r w:rsidRPr="00CC0058">
              <w:rPr>
                <w:szCs w:val="24"/>
              </w:rPr>
              <w:t xml:space="preserve">: </w:t>
            </w:r>
            <w:r w:rsidR="001B7182">
              <w:rPr>
                <w:szCs w:val="24"/>
              </w:rPr>
              <w:t xml:space="preserve">базові </w:t>
            </w:r>
            <w:r w:rsidR="00627E95" w:rsidRPr="00CC0058">
              <w:rPr>
                <w:color w:val="000000"/>
                <w:szCs w:val="24"/>
                <w:shd w:val="clear" w:color="auto" w:fill="FFFFFF"/>
              </w:rPr>
              <w:t xml:space="preserve">принципи організації </w:t>
            </w:r>
            <w:r w:rsidR="001B7182">
              <w:rPr>
                <w:color w:val="000000"/>
                <w:szCs w:val="24"/>
                <w:shd w:val="clear" w:color="auto" w:fill="FFFFFF"/>
              </w:rPr>
              <w:t>фінансів страхових компаній</w:t>
            </w:r>
            <w:r w:rsidR="00627E95" w:rsidRPr="00CC0058">
              <w:rPr>
                <w:color w:val="000000"/>
                <w:szCs w:val="24"/>
                <w:shd w:val="clear" w:color="auto" w:fill="FFFFFF"/>
              </w:rPr>
              <w:t xml:space="preserve">; </w:t>
            </w:r>
            <w:r w:rsidR="001B7182">
              <w:rPr>
                <w:color w:val="000000"/>
                <w:szCs w:val="24"/>
                <w:lang w:eastAsia="ru-UA"/>
              </w:rPr>
              <w:t xml:space="preserve">нормативні </w:t>
            </w:r>
            <w:r w:rsidR="009B3DD7">
              <w:rPr>
                <w:color w:val="000000"/>
                <w:szCs w:val="24"/>
                <w:lang w:eastAsia="ru-UA"/>
              </w:rPr>
              <w:t>вимоги до організації фінансової діяльності</w:t>
            </w:r>
            <w:r w:rsidR="001B7182">
              <w:rPr>
                <w:color w:val="000000"/>
                <w:szCs w:val="24"/>
                <w:lang w:eastAsia="ru-UA"/>
              </w:rPr>
              <w:t xml:space="preserve"> страховиків</w:t>
            </w:r>
            <w:r w:rsidR="00627E95" w:rsidRPr="00627E95">
              <w:rPr>
                <w:color w:val="000000"/>
                <w:szCs w:val="24"/>
                <w:lang w:eastAsia="ru-UA"/>
              </w:rPr>
              <w:t>;</w:t>
            </w:r>
            <w:r w:rsidR="000A3B60" w:rsidRPr="00CC0058">
              <w:rPr>
                <w:color w:val="000000"/>
                <w:szCs w:val="24"/>
                <w:lang w:eastAsia="ru-UA"/>
              </w:rPr>
              <w:t xml:space="preserve"> </w:t>
            </w:r>
            <w:r w:rsidR="009B3DD7">
              <w:rPr>
                <w:color w:val="000000"/>
                <w:szCs w:val="24"/>
                <w:shd w:val="clear" w:color="auto" w:fill="FFFFFF"/>
              </w:rPr>
              <w:t>фінансові аспекти організації та проведення страхових операцій</w:t>
            </w:r>
            <w:r w:rsidR="000A3B60" w:rsidRPr="00CC0058">
              <w:rPr>
                <w:color w:val="000000"/>
                <w:szCs w:val="24"/>
                <w:shd w:val="clear" w:color="auto" w:fill="FFFFFF"/>
              </w:rPr>
              <w:t xml:space="preserve">; </w:t>
            </w:r>
            <w:r w:rsidR="009B3DD7">
              <w:rPr>
                <w:color w:val="000000"/>
                <w:szCs w:val="24"/>
                <w:shd w:val="clear" w:color="auto" w:fill="FFFFFF"/>
              </w:rPr>
              <w:t>особливості управління грошовими надходженнями страхових компаній; механізм формування та розміщення страхових резервів страхових компаній; базові підходи до організації фінансового планування, бюджетування та контролінгу фінансової діяльності страхових компаній; інструментарій оцінки фінансового стану страхової компанії</w:t>
            </w:r>
          </w:p>
          <w:p w:rsidR="00627E95" w:rsidRPr="009D34AB" w:rsidRDefault="008B501D" w:rsidP="00AA415E">
            <w:pPr>
              <w:shd w:val="clear" w:color="auto" w:fill="FFFFFF"/>
              <w:jc w:val="both"/>
              <w:rPr>
                <w:color w:val="000000"/>
                <w:szCs w:val="24"/>
                <w:lang w:eastAsia="ru-UA"/>
              </w:rPr>
            </w:pPr>
            <w:r w:rsidRPr="00CC0058">
              <w:rPr>
                <w:szCs w:val="24"/>
              </w:rPr>
              <w:t>Вмі</w:t>
            </w:r>
            <w:r w:rsidR="00346111" w:rsidRPr="00CC0058">
              <w:rPr>
                <w:szCs w:val="24"/>
              </w:rPr>
              <w:t>ти</w:t>
            </w:r>
            <w:r w:rsidRPr="00CC0058">
              <w:rPr>
                <w:szCs w:val="24"/>
              </w:rPr>
              <w:t>:</w:t>
            </w:r>
            <w:r w:rsidR="001B7182">
              <w:rPr>
                <w:szCs w:val="24"/>
              </w:rPr>
              <w:t xml:space="preserve"> </w:t>
            </w:r>
            <w:r w:rsidR="009D34AB">
              <w:rPr>
                <w:szCs w:val="24"/>
              </w:rPr>
              <w:t xml:space="preserve">організовувати фінансову роботу в страховій компанії; </w:t>
            </w:r>
            <w:r w:rsidR="001B7182">
              <w:t xml:space="preserve">критично </w:t>
            </w:r>
            <w:r w:rsidR="009D34AB">
              <w:t>оцінювати</w:t>
            </w:r>
            <w:r w:rsidR="001B7182">
              <w:t xml:space="preserve"> </w:t>
            </w:r>
            <w:r w:rsidR="009D34AB">
              <w:t xml:space="preserve">динаміку та результати фінансової діяльності страхових компаній та здійснювати інтерпретацію результатів оцінки; обґрунтовувати управлінські рішення в сфері фінансової діяльності страхових компаній, </w:t>
            </w:r>
            <w:r w:rsidR="009D34AB">
              <w:t>формування, розподілу та використання фінансових ресурсів, капіталу та страхових резервів страховиків</w:t>
            </w:r>
            <w:r w:rsidR="009D34AB">
              <w:t>; готувати рішення щодо оптимізації структури дозволених активів страхової компанії</w:t>
            </w:r>
            <w:r w:rsidR="001B7182">
              <w:t xml:space="preserve">; </w:t>
            </w:r>
            <w:r w:rsidR="009D34AB">
              <w:t>використовувати інструментарій прогнозування та планування фінансової діяльності страхових компаній.</w:t>
            </w:r>
          </w:p>
        </w:tc>
      </w:tr>
      <w:tr w:rsidR="00ED7BA0" w:rsidRPr="00CC0058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727660">
            <w:pPr>
              <w:rPr>
                <w:b/>
                <w:i/>
                <w:szCs w:val="24"/>
              </w:rPr>
            </w:pPr>
            <w:r w:rsidRPr="00CC0058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CC0058" w:rsidRDefault="00ED7BA0" w:rsidP="00314D5D">
            <w:pPr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Базові знання</w:t>
            </w:r>
            <w:r w:rsidR="009D34AB">
              <w:rPr>
                <w:szCs w:val="24"/>
              </w:rPr>
              <w:t>, отримані</w:t>
            </w:r>
            <w:r w:rsidRPr="00CC0058">
              <w:rPr>
                <w:szCs w:val="24"/>
              </w:rPr>
              <w:t xml:space="preserve"> </w:t>
            </w:r>
            <w:r w:rsidR="009D34AB">
              <w:rPr>
                <w:szCs w:val="24"/>
              </w:rPr>
              <w:t xml:space="preserve">в межах </w:t>
            </w:r>
            <w:r w:rsidR="00314D5D">
              <w:rPr>
                <w:szCs w:val="24"/>
              </w:rPr>
              <w:t xml:space="preserve">вивчення </w:t>
            </w:r>
            <w:r w:rsidR="009D34AB">
              <w:rPr>
                <w:szCs w:val="24"/>
              </w:rPr>
              <w:t xml:space="preserve">курсів </w:t>
            </w:r>
            <w:r w:rsidR="00314D5D">
              <w:rPr>
                <w:szCs w:val="24"/>
              </w:rPr>
              <w:t xml:space="preserve">«Теорія фінансів, банківської справи та страхування», </w:t>
            </w:r>
            <w:r w:rsidR="009D34AB">
              <w:rPr>
                <w:szCs w:val="24"/>
              </w:rPr>
              <w:t xml:space="preserve">«Фінанси», </w:t>
            </w:r>
            <w:r w:rsidR="00314D5D">
              <w:rPr>
                <w:szCs w:val="24"/>
              </w:rPr>
              <w:t xml:space="preserve">«Економіка підприємства та мікроекономіка», «Облік і аудит», </w:t>
            </w:r>
            <w:r w:rsidR="009D34AB">
              <w:rPr>
                <w:szCs w:val="24"/>
              </w:rPr>
              <w:t xml:space="preserve">«Фінанси корпорацій», </w:t>
            </w:r>
            <w:r w:rsidR="00314D5D">
              <w:rPr>
                <w:szCs w:val="24"/>
              </w:rPr>
              <w:t>«Фінансовий аналіз», «Фінансовий ринок»</w:t>
            </w:r>
          </w:p>
        </w:tc>
      </w:tr>
    </w:tbl>
    <w:p w:rsidR="00ED7BA0" w:rsidRPr="00CC0058" w:rsidRDefault="00ED7BA0" w:rsidP="00ED7BA0">
      <w:pPr>
        <w:jc w:val="both"/>
        <w:rPr>
          <w:sz w:val="22"/>
        </w:rPr>
      </w:pPr>
    </w:p>
    <w:p w:rsidR="00251587" w:rsidRPr="00CC0058" w:rsidRDefault="00ED7BA0" w:rsidP="00ED7BA0">
      <w:pPr>
        <w:spacing w:line="276" w:lineRule="auto"/>
        <w:ind w:left="3119" w:hanging="3119"/>
        <w:jc w:val="center"/>
        <w:rPr>
          <w:b/>
          <w:color w:val="FF0000"/>
          <w:szCs w:val="24"/>
        </w:rPr>
      </w:pPr>
      <w:r w:rsidRPr="00CC0058">
        <w:rPr>
          <w:b/>
          <w:szCs w:val="24"/>
        </w:rPr>
        <w:lastRenderedPageBreak/>
        <w:t>Мета курсу (набуті компетентності)</w:t>
      </w:r>
      <w:r w:rsidR="001C125F" w:rsidRPr="00CC0058">
        <w:rPr>
          <w:b/>
          <w:color w:val="FF0000"/>
          <w:szCs w:val="24"/>
        </w:rPr>
        <w:t xml:space="preserve"> </w:t>
      </w:r>
    </w:p>
    <w:p w:rsidR="00521C32" w:rsidRPr="00CC0058" w:rsidRDefault="002A0C75" w:rsidP="00314D5D">
      <w:pPr>
        <w:pStyle w:val="ac"/>
        <w:spacing w:line="276" w:lineRule="auto"/>
        <w:ind w:left="0" w:firstLine="709"/>
        <w:jc w:val="both"/>
        <w:rPr>
          <w:szCs w:val="24"/>
          <w:u w:val="single"/>
          <w:lang w:eastAsia="ar-SA"/>
        </w:rPr>
      </w:pPr>
      <w:r w:rsidRPr="00CC0058">
        <w:rPr>
          <w:szCs w:val="24"/>
        </w:rPr>
        <w:t xml:space="preserve">Метою викладання дисципліни є </w:t>
      </w:r>
      <w:r w:rsidR="00CD6D42" w:rsidRPr="00CC0058">
        <w:t xml:space="preserve">розкриття теоретичних і практичних основ </w:t>
      </w:r>
      <w:r w:rsidR="00314D5D">
        <w:t>управління</w:t>
      </w:r>
      <w:r w:rsidR="000A3B60" w:rsidRPr="00CC0058">
        <w:t xml:space="preserve"> </w:t>
      </w:r>
      <w:r w:rsidR="00314D5D">
        <w:t>фінансами страхових компаній</w:t>
      </w:r>
      <w:r w:rsidR="000A3B60" w:rsidRPr="00CC0058">
        <w:t xml:space="preserve">. </w:t>
      </w:r>
      <w:r w:rsidR="00B96748" w:rsidRPr="00CC0058">
        <w:rPr>
          <w:szCs w:val="24"/>
          <w:u w:val="single"/>
          <w:lang w:eastAsia="ar-SA"/>
        </w:rPr>
        <w:t>За</w:t>
      </w:r>
      <w:r w:rsidR="00521C32" w:rsidRPr="00CC0058">
        <w:rPr>
          <w:szCs w:val="24"/>
          <w:u w:val="single"/>
          <w:lang w:eastAsia="ar-SA"/>
        </w:rPr>
        <w:t xml:space="preserve"> результатами опанування навчальної дисципліни здобувачі вищої освіти набувають професійні компетентності, а саме:</w:t>
      </w:r>
    </w:p>
    <w:p w:rsidR="00DA74BF" w:rsidRPr="00CC0058" w:rsidRDefault="00732533" w:rsidP="00526596">
      <w:pPr>
        <w:ind w:firstLine="709"/>
        <w:jc w:val="both"/>
        <w:rPr>
          <w:szCs w:val="24"/>
        </w:rPr>
      </w:pPr>
      <w:r w:rsidRPr="00CC0058">
        <w:t>Здатність до обробки, аналізу та систематизації інформації з теми дослідження, вибір методів і засобів вирішення задач дослідження, розробка теоретичних моделей досліджуваних процесів, явищ і об’єктів, які відносяться до професійної діяльності, вміння оцінювати і інте</w:t>
      </w:r>
      <w:r w:rsidR="00314D5D">
        <w:t>рпретувати отримані результати.</w:t>
      </w:r>
    </w:p>
    <w:p w:rsidR="004F5326" w:rsidRPr="00CC0058" w:rsidRDefault="00732533" w:rsidP="00526596">
      <w:pPr>
        <w:ind w:firstLine="708"/>
        <w:jc w:val="both"/>
      </w:pPr>
      <w:r w:rsidRPr="00CC0058">
        <w:t>Здійснення страхової діяльності із врахуванням умов ризику, прийняття рішень у ск</w:t>
      </w:r>
      <w:r w:rsidR="00314D5D">
        <w:t>ладних непередбачуваних умовах.</w:t>
      </w:r>
    </w:p>
    <w:p w:rsidR="00732533" w:rsidRPr="00CC0058" w:rsidRDefault="00732533" w:rsidP="00DA74BF">
      <w:pPr>
        <w:ind w:firstLine="709"/>
        <w:jc w:val="both"/>
      </w:pPr>
      <w:r w:rsidRPr="00CC0058">
        <w:t>Здатність до підготовки аналітичних матеріалів для оцінки в галузі страхової діяльності, здатність аналізувати та використовувати різноманітні джерела інформації для проведення економічних розрахунків.</w:t>
      </w:r>
    </w:p>
    <w:p w:rsidR="00DA74BF" w:rsidRPr="00CC0058" w:rsidRDefault="00DA74BF" w:rsidP="00DA74BF">
      <w:pPr>
        <w:ind w:firstLine="709"/>
        <w:jc w:val="both"/>
        <w:rPr>
          <w:bCs/>
          <w:iCs/>
          <w:szCs w:val="24"/>
          <w:u w:val="single"/>
          <w:lang w:eastAsia="uk-UA"/>
        </w:rPr>
      </w:pPr>
      <w:r w:rsidRPr="00CC0058">
        <w:rPr>
          <w:bCs/>
          <w:iCs/>
          <w:szCs w:val="24"/>
          <w:u w:val="single"/>
          <w:lang w:eastAsia="uk-UA"/>
        </w:rPr>
        <w:t>Що забезпечується досягненням наступних програмних результатів навчання:</w:t>
      </w:r>
    </w:p>
    <w:p w:rsidR="00B30A6D" w:rsidRPr="00CC0058" w:rsidRDefault="00B30A6D" w:rsidP="00B30A6D">
      <w:pPr>
        <w:ind w:firstLine="709"/>
        <w:jc w:val="both"/>
      </w:pPr>
      <w:r w:rsidRPr="00CC0058">
        <w:t xml:space="preserve">Здійснювати операції відбору, аналізу, синтезу опрацьованої інформації з метою прийняття певного фінансового рішення, прогнозування ефективності отриманих результатів, пошуку нових підходів до інтерпретації предмета дослідження. </w:t>
      </w:r>
    </w:p>
    <w:p w:rsidR="00B30A6D" w:rsidRPr="00CC0058" w:rsidRDefault="00B30A6D" w:rsidP="00B30A6D">
      <w:pPr>
        <w:ind w:firstLine="709"/>
        <w:jc w:val="both"/>
      </w:pPr>
      <w:r w:rsidRPr="00CC0058">
        <w:t xml:space="preserve">Розпізнавати стратегічні та тактичні цілі </w:t>
      </w:r>
      <w:r w:rsidR="00314D5D">
        <w:t>фінансової</w:t>
      </w:r>
      <w:r w:rsidRPr="00CC0058">
        <w:t xml:space="preserve"> діяльності </w:t>
      </w:r>
      <w:r w:rsidR="00314D5D">
        <w:t xml:space="preserve">страхової компанії </w:t>
      </w:r>
      <w:r w:rsidRPr="00CC0058">
        <w:t>та пропонувати комплекс заходів щодо їх досягнення.</w:t>
      </w:r>
    </w:p>
    <w:p w:rsidR="00DA74BF" w:rsidRPr="00CC0058" w:rsidRDefault="00DA74BF" w:rsidP="00DA74BF"/>
    <w:p w:rsidR="00ED7BA0" w:rsidRPr="00CC0058" w:rsidRDefault="00ED7BA0" w:rsidP="00292879">
      <w:pPr>
        <w:ind w:left="3119" w:hanging="3119"/>
        <w:jc w:val="center"/>
        <w:rPr>
          <w:b/>
          <w:szCs w:val="24"/>
        </w:rPr>
      </w:pPr>
      <w:r w:rsidRPr="00CC0058">
        <w:rPr>
          <w:b/>
          <w:szCs w:val="24"/>
        </w:rPr>
        <w:t>Структура курсу</w:t>
      </w:r>
    </w:p>
    <w:p w:rsidR="00ED7BA0" w:rsidRPr="00CC0058" w:rsidRDefault="00ED7BA0" w:rsidP="00292879">
      <w:pPr>
        <w:jc w:val="both"/>
        <w:rPr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276"/>
        <w:gridCol w:w="4423"/>
        <w:gridCol w:w="1701"/>
      </w:tblGrid>
      <w:tr w:rsidR="00ED7BA0" w:rsidRPr="00BB7D25" w:rsidTr="00BB7D25">
        <w:trPr>
          <w:trHeight w:val="536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BB7D25" w:rsidRDefault="00ED7BA0" w:rsidP="00292879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№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BB7D25" w:rsidRDefault="00ED7BA0" w:rsidP="00292879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Тема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BB7D25" w:rsidRDefault="00ED7BA0" w:rsidP="00292879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Години (Л/ПЗ)</w:t>
            </w:r>
          </w:p>
          <w:p w:rsidR="00346111" w:rsidRPr="00BB7D25" w:rsidRDefault="00346111" w:rsidP="00292879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за формами навчання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BB7D25" w:rsidRDefault="00ED7BA0" w:rsidP="00292879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Стислий зміст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BB7D25" w:rsidRDefault="00ED7BA0" w:rsidP="00292879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Інструменти і завдання</w:t>
            </w:r>
          </w:p>
        </w:tc>
      </w:tr>
      <w:tr w:rsidR="000A3B60" w:rsidRPr="00BB7D25" w:rsidTr="00BB7D25">
        <w:tc>
          <w:tcPr>
            <w:tcW w:w="534" w:type="dxa"/>
            <w:shd w:val="clear" w:color="auto" w:fill="auto"/>
          </w:tcPr>
          <w:p w:rsidR="000A3B60" w:rsidRPr="00BB7D25" w:rsidRDefault="000A3B60" w:rsidP="000A3B60">
            <w:pPr>
              <w:spacing w:line="216" w:lineRule="auto"/>
              <w:rPr>
                <w:szCs w:val="24"/>
              </w:rPr>
            </w:pPr>
            <w:r w:rsidRPr="00BB7D25">
              <w:rPr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0A3B60" w:rsidRPr="00BB7D25" w:rsidRDefault="00314D5D" w:rsidP="00314D5D">
            <w:pPr>
              <w:tabs>
                <w:tab w:val="left" w:pos="720"/>
                <w:tab w:val="num" w:pos="1440"/>
              </w:tabs>
              <w:jc w:val="both"/>
              <w:rPr>
                <w:bCs/>
                <w:szCs w:val="24"/>
              </w:rPr>
            </w:pPr>
            <w:r w:rsidRPr="00BB7D25">
              <w:rPr>
                <w:bCs/>
                <w:szCs w:val="24"/>
              </w:rPr>
              <w:t>Сутність, принципи і роль страхування</w:t>
            </w:r>
          </w:p>
        </w:tc>
        <w:tc>
          <w:tcPr>
            <w:tcW w:w="1276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денна</w:t>
            </w:r>
          </w:p>
          <w:p w:rsidR="000A3B60" w:rsidRPr="00BB7D25" w:rsidRDefault="000A3B60" w:rsidP="00386E56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2/2</w:t>
            </w:r>
          </w:p>
        </w:tc>
        <w:tc>
          <w:tcPr>
            <w:tcW w:w="4423" w:type="dxa"/>
            <w:shd w:val="clear" w:color="auto" w:fill="auto"/>
          </w:tcPr>
          <w:p w:rsidR="000A3B60" w:rsidRPr="00BB7D25" w:rsidRDefault="00BB7D25" w:rsidP="007534A3">
            <w:pPr>
              <w:tabs>
                <w:tab w:val="left" w:pos="720"/>
                <w:tab w:val="num" w:pos="14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Необхідність і форми страхового захисту. Історичні витоки </w:t>
            </w:r>
            <w:r w:rsidR="007534A3">
              <w:rPr>
                <w:szCs w:val="24"/>
              </w:rPr>
              <w:t xml:space="preserve">та передумови виникнення </w:t>
            </w:r>
            <w:r>
              <w:rPr>
                <w:szCs w:val="24"/>
              </w:rPr>
              <w:t xml:space="preserve">страхування. </w:t>
            </w:r>
            <w:r w:rsidR="007534A3">
              <w:rPr>
                <w:szCs w:val="24"/>
              </w:rPr>
              <w:t xml:space="preserve">Етапи становлення системи страхування в Україні. </w:t>
            </w:r>
            <w:r>
              <w:rPr>
                <w:szCs w:val="24"/>
              </w:rPr>
              <w:t>Сутність і функції страхування. Принципи страхування</w:t>
            </w:r>
            <w:r w:rsidR="007534A3">
              <w:rPr>
                <w:szCs w:val="24"/>
              </w:rPr>
              <w:t>. Страхування в умовах ринкової економіки</w:t>
            </w:r>
          </w:p>
        </w:tc>
        <w:tc>
          <w:tcPr>
            <w:tcW w:w="1701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Презентації.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BB7D25">
              <w:rPr>
                <w:snapToGrid w:val="0"/>
                <w:szCs w:val="24"/>
              </w:rPr>
              <w:t>Дискусія</w:t>
            </w:r>
          </w:p>
          <w:p w:rsidR="000A3B60" w:rsidRPr="00BB7D25" w:rsidRDefault="000A3B60" w:rsidP="00BB7D25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Тести</w:t>
            </w:r>
          </w:p>
        </w:tc>
      </w:tr>
      <w:tr w:rsidR="000A3B60" w:rsidRPr="00BB7D25" w:rsidTr="00BB7D25">
        <w:tc>
          <w:tcPr>
            <w:tcW w:w="534" w:type="dxa"/>
            <w:shd w:val="clear" w:color="auto" w:fill="auto"/>
          </w:tcPr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0A3B60" w:rsidRPr="00BB7D25" w:rsidRDefault="00BB7D25" w:rsidP="00BB7D25">
            <w:pPr>
              <w:tabs>
                <w:tab w:val="left" w:pos="720"/>
                <w:tab w:val="num" w:pos="1440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Особливості організації фінансів страховика</w:t>
            </w:r>
          </w:p>
        </w:tc>
        <w:tc>
          <w:tcPr>
            <w:tcW w:w="1276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денна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2/2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</w:p>
          <w:p w:rsidR="00BB7D25" w:rsidRPr="00BB7D25" w:rsidRDefault="00BB7D25" w:rsidP="00BB7D25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заочна</w:t>
            </w:r>
          </w:p>
          <w:p w:rsidR="000A3B60" w:rsidRPr="00BB7D25" w:rsidRDefault="00BB7D25" w:rsidP="00BB7D25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0A3B60" w:rsidRPr="00BB7D25" w:rsidRDefault="007534A3" w:rsidP="007534A3">
            <w:pPr>
              <w:jc w:val="both"/>
              <w:outlineLvl w:val="2"/>
              <w:rPr>
                <w:szCs w:val="24"/>
              </w:rPr>
            </w:pPr>
            <w:r>
              <w:rPr>
                <w:szCs w:val="24"/>
              </w:rPr>
              <w:t>Страхова компанія як специфічна фінансова установа. Суб’єкти страхової діяльності в Україні. Форми організації страховиків в Україні. Ліцензія на страхову діяльність. Сутність фінансів страхових організацій. Кругообіг грошових коштів страховика. Структура капіталу страховика.</w:t>
            </w:r>
          </w:p>
        </w:tc>
        <w:tc>
          <w:tcPr>
            <w:tcW w:w="1701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Презентації.</w:t>
            </w:r>
          </w:p>
          <w:p w:rsidR="00BF0CCC" w:rsidRPr="00BB7D25" w:rsidRDefault="00BF0CCC" w:rsidP="00BF0CCC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BB7D25">
              <w:rPr>
                <w:snapToGrid w:val="0"/>
                <w:szCs w:val="24"/>
              </w:rPr>
              <w:t>Дискусія</w:t>
            </w:r>
          </w:p>
          <w:p w:rsidR="000A3B60" w:rsidRPr="00BB7D25" w:rsidRDefault="000A3B60" w:rsidP="00BB7D25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Тести</w:t>
            </w:r>
          </w:p>
        </w:tc>
      </w:tr>
      <w:tr w:rsidR="000A3B60" w:rsidRPr="00BB7D25" w:rsidTr="00BB7D25">
        <w:tc>
          <w:tcPr>
            <w:tcW w:w="534" w:type="dxa"/>
            <w:shd w:val="clear" w:color="auto" w:fill="auto"/>
          </w:tcPr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0A3B60" w:rsidRPr="00BB7D25" w:rsidRDefault="00BB7D25" w:rsidP="00BB7D25">
            <w:pPr>
              <w:tabs>
                <w:tab w:val="left" w:pos="720"/>
                <w:tab w:val="num" w:pos="1440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Грошові надходження страховиків</w:t>
            </w:r>
          </w:p>
        </w:tc>
        <w:tc>
          <w:tcPr>
            <w:tcW w:w="1276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денна</w:t>
            </w:r>
          </w:p>
          <w:p w:rsidR="000A3B60" w:rsidRPr="00BB7D25" w:rsidRDefault="00BB7D25" w:rsidP="000A3B60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A3B60" w:rsidRPr="00BB7D25">
              <w:rPr>
                <w:szCs w:val="24"/>
              </w:rPr>
              <w:t>/</w:t>
            </w:r>
            <w:r>
              <w:rPr>
                <w:szCs w:val="24"/>
              </w:rPr>
              <w:t>3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заочна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0A3B60" w:rsidRPr="00BB7D25" w:rsidRDefault="007534A3" w:rsidP="000A3B60">
            <w:pPr>
              <w:jc w:val="both"/>
              <w:rPr>
                <w:szCs w:val="24"/>
              </w:rPr>
            </w:pPr>
            <w:r>
              <w:t>Сутність грошових надходжень с</w:t>
            </w:r>
            <w:r>
              <w:t>траховиків та їх класифікація.</w:t>
            </w:r>
            <w:r>
              <w:t xml:space="preserve"> Страхові премії як головне джерело надходжень страхової організації від операційної ді</w:t>
            </w:r>
            <w:r>
              <w:t xml:space="preserve">яльності. </w:t>
            </w:r>
            <w:r>
              <w:t>Страхова сума та страховий тариф</w:t>
            </w:r>
            <w:r>
              <w:t xml:space="preserve">. </w:t>
            </w:r>
            <w:r>
              <w:t>Інші надходження страховикі</w:t>
            </w:r>
            <w:r>
              <w:t xml:space="preserve">в від операційної діяльності </w:t>
            </w:r>
            <w:r>
              <w:t xml:space="preserve">Грошові надходження страховиків від </w:t>
            </w:r>
            <w:r>
              <w:lastRenderedPageBreak/>
              <w:t>інвестиційної та фінансової діяльності; інші доходи</w:t>
            </w:r>
          </w:p>
        </w:tc>
        <w:tc>
          <w:tcPr>
            <w:tcW w:w="1701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lastRenderedPageBreak/>
              <w:t>Презентації.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BB7D25">
              <w:rPr>
                <w:snapToGrid w:val="0"/>
                <w:szCs w:val="24"/>
              </w:rPr>
              <w:t>Практичні вправи</w:t>
            </w:r>
          </w:p>
          <w:p w:rsidR="000A3B60" w:rsidRPr="00BB7D25" w:rsidRDefault="000A3B60" w:rsidP="00BB7D25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Тести</w:t>
            </w:r>
          </w:p>
        </w:tc>
      </w:tr>
      <w:tr w:rsidR="000A3B60" w:rsidRPr="00BB7D25" w:rsidTr="00BB7D25">
        <w:tc>
          <w:tcPr>
            <w:tcW w:w="534" w:type="dxa"/>
            <w:shd w:val="clear" w:color="auto" w:fill="auto"/>
          </w:tcPr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lastRenderedPageBreak/>
              <w:t>4</w:t>
            </w:r>
          </w:p>
        </w:tc>
        <w:tc>
          <w:tcPr>
            <w:tcW w:w="1871" w:type="dxa"/>
            <w:shd w:val="clear" w:color="auto" w:fill="auto"/>
          </w:tcPr>
          <w:p w:rsidR="000A3B60" w:rsidRPr="00BB7D25" w:rsidRDefault="00BB7D25" w:rsidP="000A3B60">
            <w:pPr>
              <w:tabs>
                <w:tab w:val="left" w:pos="720"/>
                <w:tab w:val="num" w:pos="1440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Страхові резерви</w:t>
            </w:r>
          </w:p>
        </w:tc>
        <w:tc>
          <w:tcPr>
            <w:tcW w:w="1276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денна</w:t>
            </w:r>
          </w:p>
          <w:p w:rsidR="000A3B60" w:rsidRPr="00BB7D25" w:rsidRDefault="00BB7D25" w:rsidP="000A3B60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A3B60" w:rsidRPr="00BB7D25">
              <w:rPr>
                <w:szCs w:val="24"/>
              </w:rPr>
              <w:t>/</w:t>
            </w:r>
            <w:r>
              <w:rPr>
                <w:szCs w:val="24"/>
              </w:rPr>
              <w:t>3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заочна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0A3B60" w:rsidRPr="00BB7D25" w:rsidRDefault="007534A3" w:rsidP="000A3B60">
            <w:pPr>
              <w:jc w:val="both"/>
              <w:rPr>
                <w:szCs w:val="24"/>
              </w:rPr>
            </w:pPr>
            <w:r>
              <w:t>Страхові технічні резерви із загального страхування та</w:t>
            </w:r>
            <w:r>
              <w:t xml:space="preserve"> їх склад. </w:t>
            </w:r>
            <w:r>
              <w:t>Резерви пре</w:t>
            </w:r>
            <w:r>
              <w:t>мій та методи їх формування.</w:t>
            </w:r>
            <w:r>
              <w:t xml:space="preserve"> Загальна характеристика методів </w:t>
            </w:r>
            <w:r>
              <w:t>формування резервів премій. Метод 1</w:t>
            </w:r>
            <w:r>
              <w:t>/4</w:t>
            </w:r>
            <w:r>
              <w:t xml:space="preserve">. Метод 1/24. </w:t>
            </w:r>
            <w:r>
              <w:t>Метод 1 /365</w:t>
            </w:r>
            <w:r>
              <w:t xml:space="preserve">. </w:t>
            </w:r>
            <w:r>
              <w:t>Резерви зби</w:t>
            </w:r>
            <w:r>
              <w:t xml:space="preserve">тків та методи їх формування. </w:t>
            </w:r>
            <w:r>
              <w:t>Інші види технічних резервів та методи їх фо</w:t>
            </w:r>
            <w:r>
              <w:t>рмування.</w:t>
            </w:r>
            <w:r>
              <w:t xml:space="preserve"> Поняття резервів зі с</w:t>
            </w:r>
            <w:r>
              <w:t xml:space="preserve">трахування життя та їх склад. </w:t>
            </w:r>
            <w:r>
              <w:t>Порядок розрахунку резервів довгострокових зобов'язань та належних виплат страхових сум</w:t>
            </w:r>
          </w:p>
        </w:tc>
        <w:tc>
          <w:tcPr>
            <w:tcW w:w="1701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Презентації.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Аналіз ситуацій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BB7D25">
              <w:rPr>
                <w:snapToGrid w:val="0"/>
                <w:szCs w:val="24"/>
              </w:rPr>
              <w:t>Практичні вправи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Тести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Індивідуальні завдання</w:t>
            </w:r>
          </w:p>
        </w:tc>
      </w:tr>
      <w:tr w:rsidR="000A3B60" w:rsidRPr="00BB7D25" w:rsidTr="00BB7D25">
        <w:tc>
          <w:tcPr>
            <w:tcW w:w="534" w:type="dxa"/>
            <w:shd w:val="clear" w:color="auto" w:fill="auto"/>
          </w:tcPr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0A3B60" w:rsidRPr="00BB7D25" w:rsidRDefault="00BB7D25" w:rsidP="00BB7D25">
            <w:pPr>
              <w:shd w:val="clear" w:color="auto" w:fill="FFFFFF"/>
              <w:tabs>
                <w:tab w:val="left" w:pos="720"/>
                <w:tab w:val="num" w:pos="1440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Розміщення страхових резервів</w:t>
            </w:r>
          </w:p>
        </w:tc>
        <w:tc>
          <w:tcPr>
            <w:tcW w:w="1276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денна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2/2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заочна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0A3B60" w:rsidRPr="00BB7D25" w:rsidRDefault="007534A3" w:rsidP="00E70D4E">
            <w:pPr>
              <w:jc w:val="both"/>
              <w:rPr>
                <w:szCs w:val="24"/>
              </w:rPr>
            </w:pPr>
            <w:r>
              <w:t>Державне регулювання розміщен</w:t>
            </w:r>
            <w:r>
              <w:t xml:space="preserve">ня коштів страхових резервів. </w:t>
            </w:r>
            <w:r>
              <w:t>Принципи розміщення коштів страхових рез</w:t>
            </w:r>
            <w:r>
              <w:t>ервів</w:t>
            </w:r>
            <w:r>
              <w:t>. Нормативи розміщення та інвестування коштів страхових технічних резервів страховиків</w:t>
            </w:r>
          </w:p>
        </w:tc>
        <w:tc>
          <w:tcPr>
            <w:tcW w:w="1701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Презентації.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BB7D25">
              <w:rPr>
                <w:snapToGrid w:val="0"/>
                <w:szCs w:val="24"/>
              </w:rPr>
              <w:t>Практичні вправи</w:t>
            </w:r>
          </w:p>
          <w:p w:rsidR="000A3B60" w:rsidRPr="00BB7D25" w:rsidRDefault="000A3B60" w:rsidP="00386E56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Тести</w:t>
            </w:r>
          </w:p>
        </w:tc>
      </w:tr>
      <w:tr w:rsidR="000A3B60" w:rsidRPr="00BB7D25" w:rsidTr="00BB7D25">
        <w:tc>
          <w:tcPr>
            <w:tcW w:w="534" w:type="dxa"/>
            <w:shd w:val="clear" w:color="auto" w:fill="auto"/>
          </w:tcPr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0A3B60" w:rsidRPr="00BB7D25" w:rsidRDefault="00BB7D25" w:rsidP="00BB7D25">
            <w:pPr>
              <w:shd w:val="clear" w:color="auto" w:fill="FFFFFF"/>
              <w:tabs>
                <w:tab w:val="left" w:pos="720"/>
                <w:tab w:val="num" w:pos="1440"/>
              </w:tabs>
              <w:jc w:val="both"/>
              <w:rPr>
                <w:bCs/>
                <w:i/>
                <w:iCs/>
                <w:szCs w:val="24"/>
                <w:u w:val="single"/>
              </w:rPr>
            </w:pPr>
            <w:r>
              <w:rPr>
                <w:bCs/>
                <w:szCs w:val="24"/>
              </w:rPr>
              <w:t>Фінансове планування, бюджетування та контролінг діяльності страхових компаній</w:t>
            </w:r>
          </w:p>
        </w:tc>
        <w:tc>
          <w:tcPr>
            <w:tcW w:w="1276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денна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2/2</w:t>
            </w:r>
          </w:p>
        </w:tc>
        <w:tc>
          <w:tcPr>
            <w:tcW w:w="4423" w:type="dxa"/>
            <w:shd w:val="clear" w:color="auto" w:fill="auto"/>
          </w:tcPr>
          <w:p w:rsidR="000A3B60" w:rsidRPr="00C878A5" w:rsidRDefault="007534A3" w:rsidP="00E70D4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C878A5">
              <w:rPr>
                <w:lang w:val="uk-UA"/>
              </w:rPr>
              <w:t>Мета, завдання і зміст фінансового пл</w:t>
            </w:r>
            <w:r w:rsidR="00C878A5" w:rsidRPr="00C878A5">
              <w:rPr>
                <w:lang w:val="uk-UA"/>
              </w:rPr>
              <w:t>анування діяльності страховика</w:t>
            </w:r>
            <w:r w:rsidRPr="00C878A5">
              <w:rPr>
                <w:lang w:val="uk-UA"/>
              </w:rPr>
              <w:t>. Формування системи взаємодії страхових к</w:t>
            </w:r>
            <w:r w:rsidR="00C878A5" w:rsidRPr="00C878A5">
              <w:rPr>
                <w:lang w:val="uk-UA"/>
              </w:rPr>
              <w:t>омпаній та банківських установ</w:t>
            </w:r>
            <w:r w:rsidRPr="00C878A5">
              <w:rPr>
                <w:lang w:val="uk-UA"/>
              </w:rPr>
              <w:t>. Фінансовий план</w:t>
            </w:r>
            <w:r w:rsidR="00C878A5" w:rsidRPr="00C878A5">
              <w:rPr>
                <w:lang w:val="uk-UA"/>
              </w:rPr>
              <w:t xml:space="preserve"> страхової компанії</w:t>
            </w:r>
            <w:r w:rsidRPr="00C878A5">
              <w:rPr>
                <w:lang w:val="uk-UA"/>
              </w:rPr>
              <w:t>. Бюджетування в системі оперативного фінансового планування</w:t>
            </w:r>
            <w:r w:rsidR="00C878A5" w:rsidRPr="00C878A5">
              <w:rPr>
                <w:lang w:val="uk-UA"/>
              </w:rPr>
              <w:t xml:space="preserve"> діяльності страхової компанії</w:t>
            </w:r>
            <w:r w:rsidRPr="00C878A5">
              <w:rPr>
                <w:lang w:val="uk-UA"/>
              </w:rPr>
              <w:t>. Контролінг діяльності страховиків</w:t>
            </w:r>
          </w:p>
        </w:tc>
        <w:tc>
          <w:tcPr>
            <w:tcW w:w="1701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Презентації.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Аналіз ситуацій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BB7D25">
              <w:rPr>
                <w:snapToGrid w:val="0"/>
                <w:szCs w:val="24"/>
              </w:rPr>
              <w:t>Практичні вправи</w:t>
            </w:r>
          </w:p>
          <w:p w:rsidR="000A3B60" w:rsidRPr="00BB7D25" w:rsidRDefault="000A3B60" w:rsidP="00BF0CCC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Тести</w:t>
            </w:r>
          </w:p>
        </w:tc>
      </w:tr>
      <w:tr w:rsidR="000A3B60" w:rsidRPr="00BB7D25" w:rsidTr="00BB7D25">
        <w:tc>
          <w:tcPr>
            <w:tcW w:w="534" w:type="dxa"/>
            <w:shd w:val="clear" w:color="auto" w:fill="auto"/>
          </w:tcPr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7</w:t>
            </w:r>
          </w:p>
        </w:tc>
        <w:tc>
          <w:tcPr>
            <w:tcW w:w="1871" w:type="dxa"/>
            <w:shd w:val="clear" w:color="auto" w:fill="auto"/>
          </w:tcPr>
          <w:p w:rsidR="000A3B60" w:rsidRPr="00BB7D25" w:rsidRDefault="00BB7D25" w:rsidP="000A3B6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Фінансовий стан страховика</w:t>
            </w:r>
          </w:p>
        </w:tc>
        <w:tc>
          <w:tcPr>
            <w:tcW w:w="1276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денна</w:t>
            </w:r>
          </w:p>
          <w:p w:rsidR="000A3B60" w:rsidRPr="00BB7D25" w:rsidRDefault="00BB7D25" w:rsidP="00BB7D25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A3B60" w:rsidRPr="00BB7D25">
              <w:rPr>
                <w:szCs w:val="24"/>
              </w:rPr>
              <w:t>/</w:t>
            </w:r>
            <w:r>
              <w:rPr>
                <w:szCs w:val="24"/>
              </w:rPr>
              <w:t>3</w:t>
            </w:r>
          </w:p>
        </w:tc>
        <w:tc>
          <w:tcPr>
            <w:tcW w:w="4423" w:type="dxa"/>
            <w:shd w:val="clear" w:color="auto" w:fill="auto"/>
          </w:tcPr>
          <w:p w:rsidR="000A3B60" w:rsidRPr="00BB7D25" w:rsidRDefault="00C878A5" w:rsidP="00C878A5">
            <w:pPr>
              <w:shd w:val="clear" w:color="auto" w:fill="FFFFFF"/>
              <w:jc w:val="both"/>
              <w:rPr>
                <w:szCs w:val="24"/>
              </w:rPr>
            </w:pPr>
            <w:r>
              <w:t>Сутність, складові елементи та стадії фінансового</w:t>
            </w:r>
            <w:r>
              <w:t xml:space="preserve"> стану страхових організацій. </w:t>
            </w:r>
            <w:r>
              <w:t>Необхідність, мета та механізм оцінк</w:t>
            </w:r>
            <w:r>
              <w:t>и фінансового стану страховика</w:t>
            </w:r>
            <w:r>
              <w:t>. Фінансова надійність і стійкість страхової орган</w:t>
            </w:r>
            <w:r>
              <w:t>ізації, критерії їх визначення</w:t>
            </w:r>
            <w:r>
              <w:t>. Поняття платоспроможності страхових компаній, показники її оцінки</w:t>
            </w:r>
            <w:r>
              <w:t xml:space="preserve">. </w:t>
            </w:r>
            <w:r>
              <w:t>Порядок розрахунку фактичного і нормативного запасів плат</w:t>
            </w:r>
            <w:r>
              <w:t>оспроможності страховика</w:t>
            </w:r>
            <w:r>
              <w:t>. Оцінка фінансового стану страхових організацій за допомо</w:t>
            </w:r>
            <w:r>
              <w:t>гою тестів раннього реагування</w:t>
            </w:r>
            <w:r>
              <w:t xml:space="preserve">. Загальна характеристика вимог до платоспроможності </w:t>
            </w:r>
            <w:r>
              <w:t>страховиків згідно Директив ЄС</w:t>
            </w:r>
            <w:r>
              <w:t>. Рейтингова оцінка діяльності страхових компаній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0A3B60" w:rsidRPr="00BB7D25" w:rsidRDefault="000A3B60" w:rsidP="000A3B60">
            <w:pPr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Презентації.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Аналіз ситуацій</w:t>
            </w:r>
          </w:p>
          <w:p w:rsidR="000A3B60" w:rsidRPr="00BB7D25" w:rsidRDefault="000A3B60" w:rsidP="000A3B60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BB7D25">
              <w:rPr>
                <w:snapToGrid w:val="0"/>
                <w:szCs w:val="24"/>
              </w:rPr>
              <w:t>Практичні вправи</w:t>
            </w:r>
          </w:p>
          <w:p w:rsidR="000A3B60" w:rsidRPr="00BB7D25" w:rsidRDefault="000A3B60" w:rsidP="00C878A5">
            <w:pPr>
              <w:spacing w:line="216" w:lineRule="auto"/>
              <w:jc w:val="center"/>
              <w:rPr>
                <w:szCs w:val="24"/>
              </w:rPr>
            </w:pPr>
            <w:r w:rsidRPr="00BB7D25">
              <w:rPr>
                <w:szCs w:val="24"/>
              </w:rPr>
              <w:t>Тести</w:t>
            </w:r>
          </w:p>
        </w:tc>
      </w:tr>
    </w:tbl>
    <w:p w:rsidR="00ED7BA0" w:rsidRPr="00CC0058" w:rsidRDefault="00ED7BA0" w:rsidP="00D676DE">
      <w:pPr>
        <w:jc w:val="center"/>
      </w:pPr>
      <w:r w:rsidRPr="00CC0058">
        <w:rPr>
          <w:b/>
          <w:szCs w:val="24"/>
        </w:rPr>
        <w:lastRenderedPageBreak/>
        <w:t>Рекомендована література</w:t>
      </w:r>
    </w:p>
    <w:p w:rsidR="00B54FFC" w:rsidRPr="00CC0058" w:rsidRDefault="00B54FFC" w:rsidP="008C76B8">
      <w:pPr>
        <w:pStyle w:val="1"/>
        <w:numPr>
          <w:ilvl w:val="0"/>
          <w:numId w:val="0"/>
        </w:numPr>
        <w:spacing w:after="0"/>
        <w:ind w:left="284"/>
        <w:rPr>
          <w:i/>
          <w:caps w:val="0"/>
          <w:szCs w:val="24"/>
        </w:rPr>
      </w:pPr>
      <w:r w:rsidRPr="00CC0058">
        <w:rPr>
          <w:i/>
          <w:caps w:val="0"/>
          <w:szCs w:val="24"/>
        </w:rPr>
        <w:t>Основна література:</w:t>
      </w:r>
    </w:p>
    <w:p w:rsidR="00386E56" w:rsidRPr="00386E56" w:rsidRDefault="00386E56" w:rsidP="00CC0058">
      <w:pPr>
        <w:pStyle w:val="a4"/>
        <w:numPr>
          <w:ilvl w:val="0"/>
          <w:numId w:val="25"/>
        </w:numPr>
        <w:spacing w:after="60"/>
        <w:jc w:val="both"/>
        <w:rPr>
          <w:noProof/>
          <w:szCs w:val="24"/>
        </w:rPr>
      </w:pPr>
      <w:proofErr w:type="spellStart"/>
      <w:r>
        <w:t>Аберніхіна</w:t>
      </w:r>
      <w:proofErr w:type="spellEnd"/>
      <w:r>
        <w:t xml:space="preserve"> І. Г., Сокиринська І. Г. Фінанси страхових організацій : навч. посі</w:t>
      </w:r>
      <w:r>
        <w:t>б. Дніпро: Пороги, 2019. 198 с.</w:t>
      </w:r>
    </w:p>
    <w:p w:rsidR="00CC0058" w:rsidRPr="00CC0058" w:rsidRDefault="00386E56" w:rsidP="00CC0058">
      <w:pPr>
        <w:pStyle w:val="a4"/>
        <w:numPr>
          <w:ilvl w:val="0"/>
          <w:numId w:val="25"/>
        </w:numPr>
        <w:spacing w:after="60"/>
        <w:jc w:val="both"/>
        <w:rPr>
          <w:noProof/>
          <w:szCs w:val="24"/>
        </w:rPr>
      </w:pPr>
      <w:proofErr w:type="spellStart"/>
      <w:r>
        <w:t>Алескерова</w:t>
      </w:r>
      <w:proofErr w:type="spellEnd"/>
      <w:r>
        <w:t xml:space="preserve"> Ю., </w:t>
      </w:r>
      <w:proofErr w:type="spellStart"/>
      <w:r>
        <w:t>Сідак</w:t>
      </w:r>
      <w:proofErr w:type="spellEnd"/>
      <w:r>
        <w:t xml:space="preserve"> О. Управління капіталом страхових компаній. Інфраструктура ринку. 2018. Вип. 18. С. 300–306.</w:t>
      </w:r>
    </w:p>
    <w:p w:rsidR="00386E56" w:rsidRPr="00CC0058" w:rsidRDefault="00386E56" w:rsidP="00CC0058">
      <w:pPr>
        <w:pStyle w:val="a4"/>
        <w:numPr>
          <w:ilvl w:val="0"/>
          <w:numId w:val="25"/>
        </w:numPr>
        <w:shd w:val="clear" w:color="auto" w:fill="FFFFFF"/>
        <w:spacing w:after="60"/>
        <w:jc w:val="both"/>
        <w:rPr>
          <w:noProof/>
          <w:szCs w:val="24"/>
        </w:rPr>
      </w:pPr>
      <w:r>
        <w:t xml:space="preserve">Світлична О.С., </w:t>
      </w:r>
      <w:proofErr w:type="spellStart"/>
      <w:r>
        <w:t>Сташкевич</w:t>
      </w:r>
      <w:proofErr w:type="spellEnd"/>
      <w:r>
        <w:t xml:space="preserve"> Н.М. Управління фінансами страхових організацій : навч. посіб. Одеса: Атлант, 2015. 258 с.</w:t>
      </w:r>
    </w:p>
    <w:p w:rsidR="005848EE" w:rsidRPr="00CC0058" w:rsidRDefault="005848EE" w:rsidP="0082198A">
      <w:pPr>
        <w:pStyle w:val="a4"/>
        <w:ind w:left="644"/>
        <w:jc w:val="both"/>
        <w:rPr>
          <w:szCs w:val="24"/>
        </w:rPr>
      </w:pPr>
    </w:p>
    <w:p w:rsidR="00B54FFC" w:rsidRPr="00CC0058" w:rsidRDefault="00B54FFC" w:rsidP="008C76B8">
      <w:pPr>
        <w:pStyle w:val="a0"/>
        <w:ind w:firstLine="0"/>
        <w:jc w:val="center"/>
        <w:rPr>
          <w:b/>
          <w:i/>
          <w:szCs w:val="24"/>
          <w:lang w:eastAsia="ar-SA"/>
        </w:rPr>
      </w:pPr>
      <w:r w:rsidRPr="00CC0058">
        <w:rPr>
          <w:b/>
          <w:i/>
          <w:szCs w:val="24"/>
          <w:lang w:eastAsia="ar-SA"/>
        </w:rPr>
        <w:t>Додаткова література</w:t>
      </w:r>
    </w:p>
    <w:p w:rsidR="00CC0058" w:rsidRPr="00CC0058" w:rsidRDefault="00CC0058" w:rsidP="00757A8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 w:rsidRPr="00CC0058">
        <w:rPr>
          <w:szCs w:val="24"/>
          <w:lang w:eastAsia="ru-UA"/>
        </w:rPr>
        <w:t xml:space="preserve">Інноваційний розвиток корпоративних фінансів: тенденції та перспективи : монографія / [Терещенко О. О., </w:t>
      </w:r>
      <w:proofErr w:type="spellStart"/>
      <w:r w:rsidRPr="00CC0058">
        <w:rPr>
          <w:szCs w:val="24"/>
          <w:lang w:eastAsia="ru-UA"/>
        </w:rPr>
        <w:t>Бабяк</w:t>
      </w:r>
      <w:proofErr w:type="spellEnd"/>
      <w:r w:rsidRPr="00CC0058">
        <w:rPr>
          <w:szCs w:val="24"/>
          <w:lang w:eastAsia="ru-UA"/>
        </w:rPr>
        <w:t xml:space="preserve"> Н. Д., Іващенко А. І. та ін.]; за заг. ред. д.е.н., проф. О. Терещенка. – Київ : КНЕУ, 2017. – 495 с.</w:t>
      </w:r>
    </w:p>
    <w:p w:rsidR="00386E56" w:rsidRPr="00386E56" w:rsidRDefault="00386E56" w:rsidP="00386E56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proofErr w:type="spellStart"/>
      <w:r>
        <w:t>Алескерова</w:t>
      </w:r>
      <w:proofErr w:type="spellEnd"/>
      <w:r>
        <w:t xml:space="preserve"> Ю., </w:t>
      </w:r>
      <w:proofErr w:type="spellStart"/>
      <w:r>
        <w:t>Астапкевич</w:t>
      </w:r>
      <w:proofErr w:type="spellEnd"/>
      <w:r>
        <w:t xml:space="preserve"> А. Фінансовий контроль за страховими компаніями. Інфраструктура ринку</w:t>
      </w:r>
      <w:r>
        <w:t>. 2019. Вип. 29. С. 420–426.</w:t>
      </w:r>
    </w:p>
    <w:p w:rsidR="00386E56" w:rsidRPr="00386E56" w:rsidRDefault="00386E56" w:rsidP="00386E56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proofErr w:type="spellStart"/>
      <w:r>
        <w:t>Аранчій</w:t>
      </w:r>
      <w:proofErr w:type="spellEnd"/>
      <w:r>
        <w:t xml:space="preserve"> В. І., Остапенко О. М., Остапенко Т. М. Страховий менеджмент : навч. посіб. </w:t>
      </w:r>
      <w:r>
        <w:t>Полтава : ПДАА, 2018. 252 с.</w:t>
      </w:r>
    </w:p>
    <w:p w:rsidR="00386E56" w:rsidRPr="00386E56" w:rsidRDefault="00386E56" w:rsidP="00386E56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>
        <w:t xml:space="preserve">Біла Д. В. Регулювання діяльності страхових компаній у Європейському Союзі. </w:t>
      </w:r>
      <w:proofErr w:type="spellStart"/>
      <w:r>
        <w:t>Бізне</w:t>
      </w:r>
      <w:r>
        <w:t>сінформ</w:t>
      </w:r>
      <w:proofErr w:type="spellEnd"/>
      <w:r>
        <w:t>. 2018. №4. С. 33–39.</w:t>
      </w:r>
    </w:p>
    <w:p w:rsidR="00386E56" w:rsidRPr="00386E56" w:rsidRDefault="00386E56" w:rsidP="00386E56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>
        <w:t xml:space="preserve">Євроінтеграційні аспекти розвитку ринків фінансових послуг : монографія / Н. М. Внукова, Р. Пукала, В. А. Смоляк [та ін.] ; за заг. д-ра. </w:t>
      </w:r>
      <w:proofErr w:type="spellStart"/>
      <w:r>
        <w:t>екон</w:t>
      </w:r>
      <w:proofErr w:type="spellEnd"/>
      <w:r>
        <w:t xml:space="preserve">. наук, професора Н. М. Внукової та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екон</w:t>
      </w:r>
      <w:proofErr w:type="spellEnd"/>
      <w:r>
        <w:t>. наук Р. Пукала. Харк</w:t>
      </w:r>
      <w:r>
        <w:t>ів : Ексклюзив, 2018. 178 с.</w:t>
      </w:r>
    </w:p>
    <w:p w:rsidR="00386E56" w:rsidRPr="00386E56" w:rsidRDefault="00386E56" w:rsidP="00386E56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>
        <w:t xml:space="preserve">Журавка О., </w:t>
      </w:r>
      <w:proofErr w:type="spellStart"/>
      <w:r>
        <w:t>Темченко</w:t>
      </w:r>
      <w:proofErr w:type="spellEnd"/>
      <w:r>
        <w:t xml:space="preserve"> А., Федорченко В. Теоретичні підходи до визначення фінансової стійкості страхових компаній. Науковий вісник Ужгородського національного університету. Серія «Міжнародні економічні відносини та світове господарство». 2018</w:t>
      </w:r>
      <w:r>
        <w:t>. Вип. 22. Ч. 1. С. 117–122.</w:t>
      </w:r>
    </w:p>
    <w:p w:rsidR="00386E56" w:rsidRPr="00CC0058" w:rsidRDefault="00386E56" w:rsidP="00386E56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proofErr w:type="spellStart"/>
      <w:r>
        <w:t>Клепікова</w:t>
      </w:r>
      <w:proofErr w:type="spellEnd"/>
      <w:r>
        <w:t xml:space="preserve"> О. А., Поліщук С. О., </w:t>
      </w:r>
      <w:proofErr w:type="spellStart"/>
      <w:r>
        <w:t>Сарамков</w:t>
      </w:r>
      <w:proofErr w:type="spellEnd"/>
      <w:r>
        <w:t xml:space="preserve"> О. А., Нечай Д. В. Аналіз головних показників фінансової стійкості страхової компанії з використання імітаційного моделювання. Вісник Харківського національного університету ім. В. Н. Каразіна. Серія «Економічна». 2019. Вип. 96. С. 80–94.</w:t>
      </w:r>
    </w:p>
    <w:p w:rsidR="00386E56" w:rsidRPr="00386E56" w:rsidRDefault="00386E56" w:rsidP="00265742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 w:rsidRPr="00386E56">
        <w:rPr>
          <w:szCs w:val="24"/>
          <w:lang w:eastAsia="ru-UA"/>
        </w:rPr>
        <w:t xml:space="preserve"> </w:t>
      </w:r>
      <w:proofErr w:type="spellStart"/>
      <w:r>
        <w:t>Цуркан</w:t>
      </w:r>
      <w:proofErr w:type="spellEnd"/>
      <w:r>
        <w:t xml:space="preserve"> І. М., Остапенко А. О. Фінансова стійкість страхової компанії та ключові умови її забезпечення. Ефективна економіка. 2020. № 4. URL: </w:t>
      </w:r>
      <w:hyperlink r:id="rId6" w:history="1">
        <w:r w:rsidRPr="0082149A">
          <w:rPr>
            <w:rStyle w:val="a8"/>
          </w:rPr>
          <w:t>http://www.economy.nayka.com.ua/?op=1&amp;z=7766</w:t>
        </w:r>
      </w:hyperlink>
      <w:r>
        <w:t>.</w:t>
      </w:r>
    </w:p>
    <w:p w:rsidR="00386E56" w:rsidRPr="00386E56" w:rsidRDefault="00386E56" w:rsidP="00265742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r>
        <w:t>Шаповал Л. П., Іванова А. П. Ризик-менеджмент як складник антикризового управління страховими компаніями. Інфраструктура ринку.</w:t>
      </w:r>
      <w:r>
        <w:t xml:space="preserve"> 2018. Вип. 23. С. 313–318.</w:t>
      </w:r>
    </w:p>
    <w:p w:rsidR="00386E56" w:rsidRPr="00386E56" w:rsidRDefault="00386E56" w:rsidP="00265742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szCs w:val="24"/>
          <w:lang w:eastAsia="ru-UA"/>
        </w:rPr>
      </w:pPr>
      <w:proofErr w:type="spellStart"/>
      <w:r>
        <w:t>Шірінян</w:t>
      </w:r>
      <w:proofErr w:type="spellEnd"/>
      <w:r>
        <w:t xml:space="preserve"> Л. В., </w:t>
      </w:r>
      <w:proofErr w:type="spellStart"/>
      <w:r>
        <w:t>Шашенко</w:t>
      </w:r>
      <w:proofErr w:type="spellEnd"/>
      <w:r>
        <w:t xml:space="preserve"> О. В., </w:t>
      </w:r>
      <w:proofErr w:type="spellStart"/>
      <w:r>
        <w:t>Шірінян</w:t>
      </w:r>
      <w:proofErr w:type="spellEnd"/>
      <w:r>
        <w:t xml:space="preserve"> А. А. Економіко-правовий аналіз розміщення страхових резервів страхових компаній і перестрахування у нерезидентів. Бізнес </w:t>
      </w:r>
      <w:proofErr w:type="spellStart"/>
      <w:r>
        <w:t>Інформ</w:t>
      </w:r>
      <w:proofErr w:type="spellEnd"/>
      <w:r>
        <w:t>. 2019. № 7. C. 250– 260.</w:t>
      </w:r>
    </w:p>
    <w:p w:rsidR="00ED7BA0" w:rsidRPr="00CC0058" w:rsidRDefault="00ED7BA0" w:rsidP="00D676DE">
      <w:pPr>
        <w:jc w:val="both"/>
        <w:rPr>
          <w:szCs w:val="24"/>
        </w:rPr>
      </w:pPr>
    </w:p>
    <w:p w:rsidR="00ED7BA0" w:rsidRPr="00CC0058" w:rsidRDefault="00ED7BA0" w:rsidP="00D676DE">
      <w:pPr>
        <w:jc w:val="center"/>
        <w:rPr>
          <w:b/>
          <w:szCs w:val="24"/>
        </w:rPr>
      </w:pPr>
      <w:r w:rsidRPr="00CC0058">
        <w:rPr>
          <w:b/>
          <w:szCs w:val="24"/>
        </w:rPr>
        <w:t>Методичне забезпечення</w:t>
      </w:r>
    </w:p>
    <w:p w:rsidR="005D26A0" w:rsidRPr="00CC0058" w:rsidRDefault="005D26A0" w:rsidP="00BB7D25">
      <w:pPr>
        <w:jc w:val="both"/>
      </w:pPr>
      <w:r w:rsidRPr="00CC0058">
        <w:t>1.</w:t>
      </w:r>
      <w:r w:rsidR="005848EE" w:rsidRPr="00CC0058">
        <w:t xml:space="preserve"> </w:t>
      </w:r>
      <w:r w:rsidRPr="00CC0058">
        <w:t xml:space="preserve">Опорний конспект лекцій у </w:t>
      </w:r>
      <w:r w:rsidRPr="00CC0058">
        <w:rPr>
          <w:szCs w:val="24"/>
        </w:rPr>
        <w:t xml:space="preserve">системі дистанційного навчання СНУ ім. В. Даля – </w:t>
      </w:r>
      <w:hyperlink r:id="rId7" w:history="1">
        <w:r w:rsidR="00B561D8" w:rsidRPr="00CC0058">
          <w:rPr>
            <w:rStyle w:val="a8"/>
            <w:szCs w:val="24"/>
          </w:rPr>
          <w:t>http://moodle2.snu.edu.ua/</w:t>
        </w:r>
      </w:hyperlink>
    </w:p>
    <w:p w:rsidR="00B561D8" w:rsidRPr="00CC0058" w:rsidRDefault="005848EE" w:rsidP="00B561D8">
      <w:r w:rsidRPr="00CC0058">
        <w:t>2</w:t>
      </w:r>
      <w:r w:rsidR="005D26A0" w:rsidRPr="00CC0058">
        <w:t>.</w:t>
      </w:r>
      <w:r w:rsidRPr="00CC0058">
        <w:t xml:space="preserve"> </w:t>
      </w:r>
      <w:r w:rsidR="005D26A0" w:rsidRPr="00CC0058">
        <w:t xml:space="preserve">Методичні </w:t>
      </w:r>
      <w:r w:rsidR="00B561D8" w:rsidRPr="00CC0058">
        <w:t>матеріали</w:t>
      </w:r>
      <w:r w:rsidR="005D26A0" w:rsidRPr="00CC0058">
        <w:t xml:space="preserve"> до практичних </w:t>
      </w:r>
      <w:r w:rsidR="00B561D8" w:rsidRPr="00CC0058">
        <w:t xml:space="preserve">занять та самостійної роботи у </w:t>
      </w:r>
      <w:r w:rsidR="00B561D8" w:rsidRPr="00CC0058">
        <w:rPr>
          <w:szCs w:val="24"/>
        </w:rPr>
        <w:t xml:space="preserve">системі дистанційного навчання СНУ ім. В. Даля – </w:t>
      </w:r>
      <w:hyperlink r:id="rId8" w:history="1">
        <w:r w:rsidR="00B561D8" w:rsidRPr="00CC0058">
          <w:rPr>
            <w:rStyle w:val="a8"/>
            <w:szCs w:val="24"/>
          </w:rPr>
          <w:t>http://moodle2.snu.edu.ua/</w:t>
        </w:r>
      </w:hyperlink>
    </w:p>
    <w:p w:rsidR="00D676DE" w:rsidRPr="00CC0058" w:rsidRDefault="005848EE" w:rsidP="00D676DE">
      <w:pPr>
        <w:pStyle w:val="a0"/>
        <w:ind w:firstLine="0"/>
        <w:rPr>
          <w:szCs w:val="24"/>
        </w:rPr>
      </w:pPr>
      <w:r w:rsidRPr="00CC0058">
        <w:rPr>
          <w:szCs w:val="24"/>
        </w:rPr>
        <w:t>3</w:t>
      </w:r>
      <w:r w:rsidR="004C550C" w:rsidRPr="00CC0058">
        <w:rPr>
          <w:lang w:eastAsia="ar-SA"/>
        </w:rPr>
        <w:t>. Методичні рекомендації до виконання контрольної роботи з дисциплін</w:t>
      </w:r>
      <w:r w:rsidRPr="00CC0058">
        <w:rPr>
          <w:lang w:eastAsia="ar-SA"/>
        </w:rPr>
        <w:t>и</w:t>
      </w:r>
      <w:r w:rsidR="004C550C" w:rsidRPr="00CC0058">
        <w:rPr>
          <w:lang w:eastAsia="ar-SA"/>
        </w:rPr>
        <w:t xml:space="preserve"> «</w:t>
      </w:r>
      <w:r w:rsidR="00BB7D25">
        <w:t>Фінанси страхових компаній</w:t>
      </w:r>
      <w:r w:rsidR="004C550C" w:rsidRPr="00CC0058">
        <w:rPr>
          <w:lang w:eastAsia="ar-SA"/>
        </w:rPr>
        <w:t xml:space="preserve">» для студентів заочної </w:t>
      </w:r>
      <w:r w:rsidR="00EC5526" w:rsidRPr="00CC0058">
        <w:rPr>
          <w:lang w:eastAsia="ar-SA"/>
        </w:rPr>
        <w:t xml:space="preserve">форми навчання </w:t>
      </w:r>
      <w:r w:rsidR="004C550C" w:rsidRPr="00CC0058">
        <w:rPr>
          <w:lang w:eastAsia="ar-SA"/>
        </w:rPr>
        <w:t xml:space="preserve">/ Укл. </w:t>
      </w:r>
      <w:r w:rsidR="00BB7D25">
        <w:rPr>
          <w:lang w:eastAsia="ar-SA"/>
        </w:rPr>
        <w:t>Мартинов А.А</w:t>
      </w:r>
      <w:r w:rsidRPr="00CC0058">
        <w:rPr>
          <w:lang w:eastAsia="ar-SA"/>
        </w:rPr>
        <w:t>.</w:t>
      </w:r>
      <w:r w:rsidR="004C550C" w:rsidRPr="00CC0058">
        <w:rPr>
          <w:lang w:eastAsia="ar-SA"/>
        </w:rPr>
        <w:t>– Сєвєродонец</w:t>
      </w:r>
      <w:r w:rsidR="001065E2" w:rsidRPr="00CC0058">
        <w:rPr>
          <w:lang w:eastAsia="ar-SA"/>
        </w:rPr>
        <w:t>ьк: Вид-во СНУ ім. В. Даля, 20</w:t>
      </w:r>
      <w:r w:rsidR="00B561D8" w:rsidRPr="00CC0058">
        <w:rPr>
          <w:lang w:eastAsia="ar-SA"/>
        </w:rPr>
        <w:t>22</w:t>
      </w:r>
      <w:r w:rsidR="001065E2" w:rsidRPr="00CC0058">
        <w:rPr>
          <w:lang w:eastAsia="ar-SA"/>
        </w:rPr>
        <w:t>.</w:t>
      </w:r>
    </w:p>
    <w:p w:rsidR="00D676DE" w:rsidRDefault="00D676DE" w:rsidP="00D676DE">
      <w:pPr>
        <w:jc w:val="center"/>
        <w:rPr>
          <w:b/>
          <w:szCs w:val="24"/>
        </w:rPr>
      </w:pPr>
    </w:p>
    <w:p w:rsidR="00453CA7" w:rsidRPr="00CC0058" w:rsidRDefault="00453CA7" w:rsidP="00D676DE">
      <w:pPr>
        <w:jc w:val="center"/>
        <w:rPr>
          <w:b/>
          <w:szCs w:val="24"/>
        </w:rPr>
      </w:pPr>
      <w:bookmarkStart w:id="0" w:name="_GoBack"/>
      <w:bookmarkEnd w:id="0"/>
    </w:p>
    <w:p w:rsidR="00D676DE" w:rsidRPr="00CC0058" w:rsidRDefault="00ED7BA0" w:rsidP="00A15754">
      <w:pPr>
        <w:jc w:val="center"/>
        <w:rPr>
          <w:b/>
          <w:szCs w:val="24"/>
        </w:rPr>
      </w:pPr>
      <w:r w:rsidRPr="00CC0058">
        <w:rPr>
          <w:b/>
          <w:szCs w:val="24"/>
        </w:rPr>
        <w:lastRenderedPageBreak/>
        <w:t>Оцінювання курсу</w:t>
      </w:r>
    </w:p>
    <w:p w:rsidR="004C550C" w:rsidRPr="00CC0058" w:rsidRDefault="004C550C" w:rsidP="00D676DE">
      <w:pPr>
        <w:spacing w:line="276" w:lineRule="auto"/>
        <w:jc w:val="right"/>
        <w:rPr>
          <w:b/>
          <w:szCs w:val="24"/>
        </w:rPr>
      </w:pPr>
    </w:p>
    <w:p w:rsidR="006D63C6" w:rsidRPr="00CC0058" w:rsidRDefault="006D63C6" w:rsidP="006D63C6">
      <w:pPr>
        <w:spacing w:line="276" w:lineRule="auto"/>
        <w:jc w:val="both"/>
        <w:rPr>
          <w:szCs w:val="24"/>
        </w:rPr>
      </w:pPr>
      <w:r w:rsidRPr="00CC0058">
        <w:rPr>
          <w:szCs w:val="24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Кількість балів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6D63C6" w:rsidP="00B55952">
            <w:pPr>
              <w:rPr>
                <w:szCs w:val="24"/>
              </w:rPr>
            </w:pPr>
            <w:r w:rsidRPr="00CC0058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B561D8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15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6D63C6" w:rsidP="00B55952">
            <w:pPr>
              <w:rPr>
                <w:szCs w:val="24"/>
              </w:rPr>
            </w:pPr>
            <w:r w:rsidRPr="00CC0058"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B561D8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15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B561D8" w:rsidP="00B55952">
            <w:pPr>
              <w:rPr>
                <w:szCs w:val="24"/>
              </w:rPr>
            </w:pPr>
            <w:r w:rsidRPr="00CC0058">
              <w:rPr>
                <w:szCs w:val="24"/>
              </w:rPr>
              <w:t>Практичні вправи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2</w:t>
            </w:r>
            <w:r w:rsidR="00B561D8" w:rsidRPr="00CC0058">
              <w:rPr>
                <w:szCs w:val="24"/>
              </w:rPr>
              <w:t>0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B561D8" w:rsidP="00B55952">
            <w:pPr>
              <w:spacing w:line="276" w:lineRule="auto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Екзаменаційне завдання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B561D8" w:rsidP="00B55952">
            <w:pPr>
              <w:spacing w:line="276" w:lineRule="auto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5</w:t>
            </w:r>
            <w:r w:rsidR="006D63C6" w:rsidRPr="00CC0058">
              <w:rPr>
                <w:szCs w:val="24"/>
              </w:rPr>
              <w:t>0</w:t>
            </w:r>
          </w:p>
        </w:tc>
      </w:tr>
      <w:tr w:rsidR="006D63C6" w:rsidRPr="00CC0058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b/>
                <w:szCs w:val="24"/>
              </w:rPr>
            </w:pPr>
            <w:r w:rsidRPr="00CC0058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6D63C6" w:rsidRPr="00CC0058" w:rsidRDefault="006D63C6" w:rsidP="00B55952">
            <w:pPr>
              <w:spacing w:line="276" w:lineRule="auto"/>
              <w:jc w:val="center"/>
              <w:rPr>
                <w:b/>
                <w:szCs w:val="24"/>
              </w:rPr>
            </w:pPr>
            <w:r w:rsidRPr="00CC0058">
              <w:rPr>
                <w:b/>
                <w:szCs w:val="24"/>
              </w:rPr>
              <w:t>100</w:t>
            </w:r>
          </w:p>
        </w:tc>
      </w:tr>
    </w:tbl>
    <w:p w:rsidR="004C550C" w:rsidRPr="00CC0058" w:rsidRDefault="004C550C" w:rsidP="004C550C">
      <w:pPr>
        <w:pStyle w:val="a0"/>
        <w:ind w:firstLine="708"/>
        <w:jc w:val="right"/>
        <w:rPr>
          <w:szCs w:val="24"/>
        </w:rPr>
      </w:pPr>
    </w:p>
    <w:p w:rsidR="004C550C" w:rsidRPr="00CC0058" w:rsidRDefault="004C550C" w:rsidP="004C550C">
      <w:pPr>
        <w:pStyle w:val="a0"/>
        <w:ind w:firstLine="708"/>
        <w:jc w:val="center"/>
        <w:rPr>
          <w:szCs w:val="24"/>
        </w:rPr>
      </w:pPr>
      <w:r w:rsidRPr="00CC0058">
        <w:rPr>
          <w:szCs w:val="24"/>
        </w:rPr>
        <w:t>Шкала оцінювання національна та 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077"/>
        <w:gridCol w:w="3501"/>
        <w:gridCol w:w="2794"/>
      </w:tblGrid>
      <w:tr w:rsidR="004C550C" w:rsidRPr="00CC0058" w:rsidTr="004C550C">
        <w:trPr>
          <w:trHeight w:val="450"/>
          <w:tblHeader/>
        </w:trPr>
        <w:tc>
          <w:tcPr>
            <w:tcW w:w="1172" w:type="pct"/>
            <w:vMerge w:val="restar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Оцінка</w:t>
            </w:r>
            <w:r w:rsidRPr="00CC0058">
              <w:rPr>
                <w:b/>
                <w:szCs w:val="24"/>
              </w:rPr>
              <w:t xml:space="preserve"> </w:t>
            </w:r>
            <w:r w:rsidRPr="00CC0058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Оцінка за національною шкалою</w:t>
            </w:r>
          </w:p>
        </w:tc>
      </w:tr>
      <w:tr w:rsidR="004C550C" w:rsidRPr="00CC0058" w:rsidTr="004C550C">
        <w:trPr>
          <w:trHeight w:val="450"/>
          <w:tblHeader/>
        </w:trPr>
        <w:tc>
          <w:tcPr>
            <w:tcW w:w="1172" w:type="pct"/>
            <w:vMerge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4C550C" w:rsidRPr="00CC0058" w:rsidRDefault="004C550C" w:rsidP="00935D83">
            <w:pPr>
              <w:ind w:right="-144"/>
              <w:rPr>
                <w:szCs w:val="24"/>
              </w:rPr>
            </w:pPr>
            <w:r w:rsidRPr="00CC0058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для заліку</w:t>
            </w: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b/>
                <w:szCs w:val="24"/>
              </w:rPr>
            </w:pPr>
            <w:r w:rsidRPr="00CC0058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 xml:space="preserve">відмінно </w:t>
            </w:r>
          </w:p>
        </w:tc>
        <w:tc>
          <w:tcPr>
            <w:tcW w:w="1451" w:type="pct"/>
            <w:vMerge w:val="restart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зараховано</w:t>
            </w:r>
          </w:p>
        </w:tc>
      </w:tr>
      <w:tr w:rsidR="004C550C" w:rsidRPr="00CC0058" w:rsidTr="00935D83">
        <w:trPr>
          <w:trHeight w:val="194"/>
        </w:trPr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 xml:space="preserve">добре </w:t>
            </w:r>
          </w:p>
        </w:tc>
        <w:tc>
          <w:tcPr>
            <w:tcW w:w="1451" w:type="pct"/>
            <w:vMerge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 xml:space="preserve">задовільно </w:t>
            </w:r>
          </w:p>
        </w:tc>
        <w:tc>
          <w:tcPr>
            <w:tcW w:w="1451" w:type="pct"/>
            <w:vMerge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 xml:space="preserve">Е </w:t>
            </w:r>
          </w:p>
        </w:tc>
        <w:tc>
          <w:tcPr>
            <w:tcW w:w="1818" w:type="pct"/>
            <w:vMerge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CC0058" w:rsidTr="00935D83"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4C550C" w:rsidRPr="00CC0058" w:rsidTr="00935D83">
        <w:trPr>
          <w:trHeight w:val="708"/>
        </w:trPr>
        <w:tc>
          <w:tcPr>
            <w:tcW w:w="1172" w:type="pct"/>
            <w:vAlign w:val="center"/>
          </w:tcPr>
          <w:p w:rsidR="004C550C" w:rsidRPr="00CC0058" w:rsidRDefault="004C550C" w:rsidP="00935D83">
            <w:pPr>
              <w:ind w:left="180"/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</w:tcPr>
          <w:p w:rsidR="004C550C" w:rsidRPr="00CC0058" w:rsidRDefault="004C550C" w:rsidP="00935D83">
            <w:pPr>
              <w:jc w:val="center"/>
              <w:rPr>
                <w:szCs w:val="24"/>
              </w:rPr>
            </w:pPr>
            <w:r w:rsidRPr="00CC0058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6D63C6" w:rsidRPr="00CC0058" w:rsidRDefault="006D63C6">
      <w:pPr>
        <w:spacing w:after="160" w:line="259" w:lineRule="auto"/>
        <w:ind w:firstLine="720"/>
        <w:rPr>
          <w:b/>
          <w:szCs w:val="24"/>
        </w:rPr>
      </w:pPr>
    </w:p>
    <w:p w:rsidR="00242E7B" w:rsidRPr="00CC0058" w:rsidRDefault="00242E7B" w:rsidP="00D676DE">
      <w:pPr>
        <w:spacing w:line="276" w:lineRule="auto"/>
        <w:jc w:val="center"/>
        <w:rPr>
          <w:b/>
          <w:szCs w:val="24"/>
        </w:rPr>
      </w:pPr>
      <w:r w:rsidRPr="00CC0058">
        <w:rPr>
          <w:b/>
          <w:szCs w:val="24"/>
        </w:rPr>
        <w:t>Політика курсу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9"/>
        <w:gridCol w:w="6828"/>
      </w:tblGrid>
      <w:tr w:rsidR="006D63C6" w:rsidRPr="00CC0058" w:rsidTr="006D63C6">
        <w:trPr>
          <w:trHeight w:val="1369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3C6" w:rsidRPr="00CC0058" w:rsidRDefault="006D63C6" w:rsidP="006D63C6">
            <w:pPr>
              <w:rPr>
                <w:i/>
              </w:rPr>
            </w:pPr>
            <w:r w:rsidRPr="00CC0058">
              <w:rPr>
                <w:i/>
              </w:rPr>
              <w:t>Плагіат та академічна доброчесність: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6D63C6" w:rsidRPr="00CC0058" w:rsidRDefault="006D63C6" w:rsidP="006D63C6">
            <w:pPr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Під час виконання завдань студент має дотримуватись політики академічної доброчесності. Під час виконання завдань та використання інформаційних джерел оформлювати їх відповідними посиланнями. Копіювання, запозичення та списування заборонене .</w:t>
            </w:r>
          </w:p>
        </w:tc>
      </w:tr>
      <w:tr w:rsidR="006D63C6" w:rsidRPr="00CC0058" w:rsidTr="006D63C6">
        <w:trPr>
          <w:trHeight w:val="2203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3C6" w:rsidRPr="00CC0058" w:rsidRDefault="006D63C6" w:rsidP="006D63C6">
            <w:pPr>
              <w:rPr>
                <w:i/>
              </w:rPr>
            </w:pPr>
            <w:r w:rsidRPr="00CC0058">
              <w:rPr>
                <w:i/>
              </w:rPr>
              <w:t>Завдання і заняття: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6D63C6" w:rsidRPr="00CC0058" w:rsidRDefault="006D63C6" w:rsidP="006D63C6">
            <w:pPr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Вимоги до студента: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- не пропускати заняття без поважної причини;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- активно приймати участь у навчальному процесі;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>- бути пунктуальним та обов’язковим;</w:t>
            </w:r>
          </w:p>
          <w:p w:rsidR="006D63C6" w:rsidRPr="00CC0058" w:rsidRDefault="006D63C6" w:rsidP="006D63C6">
            <w:pPr>
              <w:ind w:firstLine="720"/>
              <w:jc w:val="both"/>
              <w:rPr>
                <w:szCs w:val="24"/>
              </w:rPr>
            </w:pPr>
            <w:r w:rsidRPr="00CC0058">
              <w:rPr>
                <w:szCs w:val="24"/>
              </w:rPr>
              <w:t xml:space="preserve">- своєчасно та якісно виконувати завдання визначені викладачем. </w:t>
            </w:r>
          </w:p>
        </w:tc>
      </w:tr>
      <w:tr w:rsidR="006D63C6" w:rsidRPr="00CC0058" w:rsidTr="006D63C6">
        <w:trPr>
          <w:trHeight w:val="218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3C6" w:rsidRPr="00CC0058" w:rsidRDefault="006D63C6" w:rsidP="006D63C6">
            <w:pPr>
              <w:rPr>
                <w:i/>
              </w:rPr>
            </w:pPr>
            <w:r w:rsidRPr="00CC0058">
              <w:rPr>
                <w:i/>
              </w:rPr>
              <w:t>Поведінка в аудиторії: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6D63C6" w:rsidRPr="00CC0058" w:rsidRDefault="006D63C6" w:rsidP="006D63C6">
            <w:pPr>
              <w:jc w:val="both"/>
            </w:pPr>
            <w:r w:rsidRPr="00CC0058">
              <w:t>Курс передбачає індивідуальну та групову роботу. Середовище в аудиторії є дружнім, творчим, відкритим до конструктивної критики.</w:t>
            </w:r>
          </w:p>
          <w:p w:rsidR="006D63C6" w:rsidRPr="00CC0058" w:rsidRDefault="006D63C6" w:rsidP="006D63C6">
            <w:pPr>
              <w:jc w:val="both"/>
              <w:rPr>
                <w:szCs w:val="24"/>
              </w:rPr>
            </w:pPr>
            <w:r w:rsidRPr="00CC0058"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</w:tc>
      </w:tr>
    </w:tbl>
    <w:p w:rsidR="004A1213" w:rsidRPr="00CC0058" w:rsidRDefault="004A1213" w:rsidP="00D676DE">
      <w:pPr>
        <w:tabs>
          <w:tab w:val="left" w:pos="284"/>
        </w:tabs>
      </w:pPr>
    </w:p>
    <w:sectPr w:rsidR="004A1213" w:rsidRPr="00CC0058" w:rsidSect="004513D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D2E"/>
    <w:multiLevelType w:val="hybridMultilevel"/>
    <w:tmpl w:val="3714421C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6A10"/>
    <w:multiLevelType w:val="hybridMultilevel"/>
    <w:tmpl w:val="07BC10E8"/>
    <w:lvl w:ilvl="0" w:tplc="DF58B59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E17B7"/>
    <w:multiLevelType w:val="hybridMultilevel"/>
    <w:tmpl w:val="32D2304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E65F9A"/>
    <w:multiLevelType w:val="hybridMultilevel"/>
    <w:tmpl w:val="4F606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86BAD"/>
    <w:multiLevelType w:val="hybridMultilevel"/>
    <w:tmpl w:val="BD54E3B4"/>
    <w:lvl w:ilvl="0" w:tplc="F3FCA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E702C0E8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B0E509B"/>
    <w:multiLevelType w:val="hybridMultilevel"/>
    <w:tmpl w:val="32425742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B31F0"/>
    <w:multiLevelType w:val="hybridMultilevel"/>
    <w:tmpl w:val="F288144E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C4AC7"/>
    <w:multiLevelType w:val="hybridMultilevel"/>
    <w:tmpl w:val="A29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7ACD"/>
    <w:multiLevelType w:val="multilevel"/>
    <w:tmpl w:val="C7CA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C46B7A"/>
    <w:multiLevelType w:val="hybridMultilevel"/>
    <w:tmpl w:val="849843EE"/>
    <w:lvl w:ilvl="0" w:tplc="33662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A7B59"/>
    <w:multiLevelType w:val="hybridMultilevel"/>
    <w:tmpl w:val="866A10CE"/>
    <w:lvl w:ilvl="0" w:tplc="2B689AD4">
      <w:start w:val="1"/>
      <w:numFmt w:val="decimal"/>
      <w:lvlText w:val="%1."/>
      <w:lvlJc w:val="left"/>
      <w:pPr>
        <w:tabs>
          <w:tab w:val="num" w:pos="3453"/>
        </w:tabs>
        <w:ind w:left="3453" w:hanging="99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543"/>
        </w:tabs>
        <w:ind w:left="354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263"/>
        </w:tabs>
        <w:ind w:left="426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983"/>
        </w:tabs>
        <w:ind w:left="498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703"/>
        </w:tabs>
        <w:ind w:left="570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423"/>
        </w:tabs>
        <w:ind w:left="642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143"/>
        </w:tabs>
        <w:ind w:left="714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863"/>
        </w:tabs>
        <w:ind w:left="786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583"/>
        </w:tabs>
        <w:ind w:left="8583" w:hanging="180"/>
      </w:pPr>
    </w:lvl>
  </w:abstractNum>
  <w:abstractNum w:abstractNumId="11">
    <w:nsid w:val="19156512"/>
    <w:multiLevelType w:val="hybridMultilevel"/>
    <w:tmpl w:val="BFD4B440"/>
    <w:lvl w:ilvl="0" w:tplc="C3144E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E6CD9"/>
    <w:multiLevelType w:val="hybridMultilevel"/>
    <w:tmpl w:val="E3302CC8"/>
    <w:lvl w:ilvl="0" w:tplc="789C9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CB7CBD"/>
    <w:multiLevelType w:val="hybridMultilevel"/>
    <w:tmpl w:val="681ED666"/>
    <w:lvl w:ilvl="0" w:tplc="E7CE676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97508"/>
    <w:multiLevelType w:val="hybridMultilevel"/>
    <w:tmpl w:val="1E749F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1B1085"/>
    <w:multiLevelType w:val="hybridMultilevel"/>
    <w:tmpl w:val="D51056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77EC3"/>
    <w:multiLevelType w:val="hybridMultilevel"/>
    <w:tmpl w:val="A78E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07CFD"/>
    <w:multiLevelType w:val="hybridMultilevel"/>
    <w:tmpl w:val="9EF2114C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43FFD"/>
    <w:multiLevelType w:val="hybridMultilevel"/>
    <w:tmpl w:val="0BB8CE6A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724BD"/>
    <w:multiLevelType w:val="hybridMultilevel"/>
    <w:tmpl w:val="1C0445E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73462"/>
    <w:multiLevelType w:val="hybridMultilevel"/>
    <w:tmpl w:val="BDC845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4F24B7"/>
    <w:multiLevelType w:val="hybridMultilevel"/>
    <w:tmpl w:val="532ADD32"/>
    <w:lvl w:ilvl="0" w:tplc="B6BCD2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BD132E"/>
    <w:multiLevelType w:val="hybridMultilevel"/>
    <w:tmpl w:val="1EA2970A"/>
    <w:lvl w:ilvl="0" w:tplc="BB3C6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35B66"/>
    <w:multiLevelType w:val="hybridMultilevel"/>
    <w:tmpl w:val="53B81604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34530"/>
    <w:multiLevelType w:val="hybridMultilevel"/>
    <w:tmpl w:val="12709E5C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57B26"/>
    <w:multiLevelType w:val="hybridMultilevel"/>
    <w:tmpl w:val="32D23040"/>
    <w:lvl w:ilvl="0" w:tplc="843219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AA55259"/>
    <w:multiLevelType w:val="multilevel"/>
    <w:tmpl w:val="CE1A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FF6662"/>
    <w:multiLevelType w:val="hybridMultilevel"/>
    <w:tmpl w:val="9B1AB8B4"/>
    <w:lvl w:ilvl="0" w:tplc="94A05372">
      <w:start w:val="1"/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1">
    <w:nsid w:val="61EE2FDE"/>
    <w:multiLevelType w:val="hybridMultilevel"/>
    <w:tmpl w:val="080C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909F8"/>
    <w:multiLevelType w:val="multilevel"/>
    <w:tmpl w:val="5EB0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395E92"/>
    <w:multiLevelType w:val="hybridMultilevel"/>
    <w:tmpl w:val="48844B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C23B6"/>
    <w:multiLevelType w:val="hybridMultilevel"/>
    <w:tmpl w:val="6AF2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05315"/>
    <w:multiLevelType w:val="hybridMultilevel"/>
    <w:tmpl w:val="1BE8F002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C62AD"/>
    <w:multiLevelType w:val="hybridMultilevel"/>
    <w:tmpl w:val="A8CE799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6426"/>
    <w:multiLevelType w:val="multilevel"/>
    <w:tmpl w:val="867A7A10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6095"/>
        </w:tabs>
        <w:ind w:left="6095" w:firstLine="709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40">
    <w:nsid w:val="775D0959"/>
    <w:multiLevelType w:val="hybridMultilevel"/>
    <w:tmpl w:val="B8EE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A2D10"/>
    <w:multiLevelType w:val="hybridMultilevel"/>
    <w:tmpl w:val="F6B04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E1AD0"/>
    <w:multiLevelType w:val="hybridMultilevel"/>
    <w:tmpl w:val="9CDC4098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DE76A6"/>
    <w:multiLevelType w:val="hybridMultilevel"/>
    <w:tmpl w:val="641AA3EC"/>
    <w:lvl w:ilvl="0" w:tplc="0A744C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333333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3"/>
  </w:num>
  <w:num w:numId="2">
    <w:abstractNumId w:val="22"/>
  </w:num>
  <w:num w:numId="3">
    <w:abstractNumId w:val="25"/>
  </w:num>
  <w:num w:numId="4">
    <w:abstractNumId w:val="34"/>
  </w:num>
  <w:num w:numId="5">
    <w:abstractNumId w:val="16"/>
  </w:num>
  <w:num w:numId="6">
    <w:abstractNumId w:val="37"/>
  </w:num>
  <w:num w:numId="7">
    <w:abstractNumId w:val="13"/>
  </w:num>
  <w:num w:numId="8">
    <w:abstractNumId w:val="30"/>
  </w:num>
  <w:num w:numId="9">
    <w:abstractNumId w:val="40"/>
  </w:num>
  <w:num w:numId="10">
    <w:abstractNumId w:val="31"/>
  </w:num>
  <w:num w:numId="11">
    <w:abstractNumId w:val="26"/>
  </w:num>
  <w:num w:numId="12">
    <w:abstractNumId w:val="18"/>
  </w:num>
  <w:num w:numId="13">
    <w:abstractNumId w:val="20"/>
  </w:num>
  <w:num w:numId="14">
    <w:abstractNumId w:val="38"/>
  </w:num>
  <w:num w:numId="15">
    <w:abstractNumId w:val="42"/>
  </w:num>
  <w:num w:numId="16">
    <w:abstractNumId w:val="35"/>
  </w:num>
  <w:num w:numId="17">
    <w:abstractNumId w:val="39"/>
  </w:num>
  <w:num w:numId="18">
    <w:abstractNumId w:val="17"/>
  </w:num>
  <w:num w:numId="19">
    <w:abstractNumId w:val="7"/>
  </w:num>
  <w:num w:numId="20">
    <w:abstractNumId w:val="14"/>
  </w:num>
  <w:num w:numId="21">
    <w:abstractNumId w:val="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4"/>
  </w:num>
  <w:num w:numId="25">
    <w:abstractNumId w:val="28"/>
  </w:num>
  <w:num w:numId="26">
    <w:abstractNumId w:val="4"/>
  </w:num>
  <w:num w:numId="27">
    <w:abstractNumId w:val="44"/>
  </w:num>
  <w:num w:numId="28">
    <w:abstractNumId w:val="12"/>
  </w:num>
  <w:num w:numId="29">
    <w:abstractNumId w:val="11"/>
  </w:num>
  <w:num w:numId="30">
    <w:abstractNumId w:val="10"/>
  </w:num>
  <w:num w:numId="31">
    <w:abstractNumId w:val="8"/>
  </w:num>
  <w:num w:numId="32">
    <w:abstractNumId w:val="3"/>
  </w:num>
  <w:num w:numId="33">
    <w:abstractNumId w:val="15"/>
  </w:num>
  <w:num w:numId="34">
    <w:abstractNumId w:val="21"/>
  </w:num>
  <w:num w:numId="35">
    <w:abstractNumId w:val="6"/>
  </w:num>
  <w:num w:numId="36">
    <w:abstractNumId w:val="36"/>
  </w:num>
  <w:num w:numId="37">
    <w:abstractNumId w:val="5"/>
  </w:num>
  <w:num w:numId="38">
    <w:abstractNumId w:val="27"/>
  </w:num>
  <w:num w:numId="39">
    <w:abstractNumId w:val="23"/>
  </w:num>
  <w:num w:numId="40">
    <w:abstractNumId w:val="33"/>
  </w:num>
  <w:num w:numId="41">
    <w:abstractNumId w:val="0"/>
  </w:num>
  <w:num w:numId="42">
    <w:abstractNumId w:val="19"/>
  </w:num>
  <w:num w:numId="43">
    <w:abstractNumId w:val="29"/>
  </w:num>
  <w:num w:numId="44">
    <w:abstractNumId w:val="3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A0"/>
    <w:rsid w:val="0000318B"/>
    <w:rsid w:val="00020985"/>
    <w:rsid w:val="000261AA"/>
    <w:rsid w:val="00045057"/>
    <w:rsid w:val="00063EF8"/>
    <w:rsid w:val="0006699D"/>
    <w:rsid w:val="00073F25"/>
    <w:rsid w:val="00093658"/>
    <w:rsid w:val="000A3B60"/>
    <w:rsid w:val="000A54EE"/>
    <w:rsid w:val="000E19E9"/>
    <w:rsid w:val="000F3915"/>
    <w:rsid w:val="001065E2"/>
    <w:rsid w:val="001554D1"/>
    <w:rsid w:val="00175BE9"/>
    <w:rsid w:val="00181F53"/>
    <w:rsid w:val="001B7182"/>
    <w:rsid w:val="001C0C6F"/>
    <w:rsid w:val="001C125F"/>
    <w:rsid w:val="001C59FC"/>
    <w:rsid w:val="002409B3"/>
    <w:rsid w:val="00242837"/>
    <w:rsid w:val="00242E7B"/>
    <w:rsid w:val="00251587"/>
    <w:rsid w:val="00273DD3"/>
    <w:rsid w:val="0028750C"/>
    <w:rsid w:val="00292879"/>
    <w:rsid w:val="002A0C75"/>
    <w:rsid w:val="002A2BA3"/>
    <w:rsid w:val="002C0C2E"/>
    <w:rsid w:val="002C34B6"/>
    <w:rsid w:val="002D0B32"/>
    <w:rsid w:val="002F390A"/>
    <w:rsid w:val="00304689"/>
    <w:rsid w:val="00314D5D"/>
    <w:rsid w:val="00346111"/>
    <w:rsid w:val="00386E56"/>
    <w:rsid w:val="00396D25"/>
    <w:rsid w:val="003A00F8"/>
    <w:rsid w:val="003A19DB"/>
    <w:rsid w:val="003F70C3"/>
    <w:rsid w:val="004070F8"/>
    <w:rsid w:val="00415DC9"/>
    <w:rsid w:val="004513D7"/>
    <w:rsid w:val="00453CA7"/>
    <w:rsid w:val="004854E5"/>
    <w:rsid w:val="004A1213"/>
    <w:rsid w:val="004A6CB1"/>
    <w:rsid w:val="004C430E"/>
    <w:rsid w:val="004C550C"/>
    <w:rsid w:val="004E4C61"/>
    <w:rsid w:val="004F1182"/>
    <w:rsid w:val="004F40C5"/>
    <w:rsid w:val="004F5326"/>
    <w:rsid w:val="00516886"/>
    <w:rsid w:val="00521C32"/>
    <w:rsid w:val="00526596"/>
    <w:rsid w:val="00530038"/>
    <w:rsid w:val="0054715E"/>
    <w:rsid w:val="005659F8"/>
    <w:rsid w:val="005848EE"/>
    <w:rsid w:val="00587DC0"/>
    <w:rsid w:val="005D26A0"/>
    <w:rsid w:val="005D7F6E"/>
    <w:rsid w:val="005F00F4"/>
    <w:rsid w:val="006139CC"/>
    <w:rsid w:val="006173C6"/>
    <w:rsid w:val="00627E95"/>
    <w:rsid w:val="00644D6E"/>
    <w:rsid w:val="00670A4E"/>
    <w:rsid w:val="00676008"/>
    <w:rsid w:val="006A5829"/>
    <w:rsid w:val="006B6AD1"/>
    <w:rsid w:val="006D63C6"/>
    <w:rsid w:val="006E6407"/>
    <w:rsid w:val="00727660"/>
    <w:rsid w:val="00727A6B"/>
    <w:rsid w:val="00732533"/>
    <w:rsid w:val="007506EF"/>
    <w:rsid w:val="007534A3"/>
    <w:rsid w:val="00786C43"/>
    <w:rsid w:val="00792B83"/>
    <w:rsid w:val="007D0967"/>
    <w:rsid w:val="0082198A"/>
    <w:rsid w:val="0084216A"/>
    <w:rsid w:val="008513D6"/>
    <w:rsid w:val="008A1A51"/>
    <w:rsid w:val="008B501D"/>
    <w:rsid w:val="008C3DB4"/>
    <w:rsid w:val="008C76B8"/>
    <w:rsid w:val="008E1A8C"/>
    <w:rsid w:val="008F1322"/>
    <w:rsid w:val="00934F52"/>
    <w:rsid w:val="00935D83"/>
    <w:rsid w:val="0095133B"/>
    <w:rsid w:val="009737A9"/>
    <w:rsid w:val="00986FD6"/>
    <w:rsid w:val="009A362B"/>
    <w:rsid w:val="009B3DD7"/>
    <w:rsid w:val="009C16DC"/>
    <w:rsid w:val="009C2540"/>
    <w:rsid w:val="009D34AB"/>
    <w:rsid w:val="00A00BB6"/>
    <w:rsid w:val="00A15754"/>
    <w:rsid w:val="00A7082C"/>
    <w:rsid w:val="00A77EC6"/>
    <w:rsid w:val="00AA415E"/>
    <w:rsid w:val="00AE7F8F"/>
    <w:rsid w:val="00B15528"/>
    <w:rsid w:val="00B2014A"/>
    <w:rsid w:val="00B21711"/>
    <w:rsid w:val="00B218AE"/>
    <w:rsid w:val="00B30A6D"/>
    <w:rsid w:val="00B54FFC"/>
    <w:rsid w:val="00B561D8"/>
    <w:rsid w:val="00B80ACD"/>
    <w:rsid w:val="00B85773"/>
    <w:rsid w:val="00B94D93"/>
    <w:rsid w:val="00B96748"/>
    <w:rsid w:val="00BB7D25"/>
    <w:rsid w:val="00BC62B2"/>
    <w:rsid w:val="00BC78BD"/>
    <w:rsid w:val="00BE03E8"/>
    <w:rsid w:val="00BF0CCC"/>
    <w:rsid w:val="00C240B0"/>
    <w:rsid w:val="00C377FC"/>
    <w:rsid w:val="00C71468"/>
    <w:rsid w:val="00C878A5"/>
    <w:rsid w:val="00CC0058"/>
    <w:rsid w:val="00CC1623"/>
    <w:rsid w:val="00CD6D42"/>
    <w:rsid w:val="00D20E72"/>
    <w:rsid w:val="00D2294D"/>
    <w:rsid w:val="00D24131"/>
    <w:rsid w:val="00D676DE"/>
    <w:rsid w:val="00DA74BF"/>
    <w:rsid w:val="00DC120A"/>
    <w:rsid w:val="00DD2EE1"/>
    <w:rsid w:val="00DE72EB"/>
    <w:rsid w:val="00E14D22"/>
    <w:rsid w:val="00E274F2"/>
    <w:rsid w:val="00E34599"/>
    <w:rsid w:val="00E424C6"/>
    <w:rsid w:val="00E504F2"/>
    <w:rsid w:val="00E62FB5"/>
    <w:rsid w:val="00E70D4E"/>
    <w:rsid w:val="00E77920"/>
    <w:rsid w:val="00E853D0"/>
    <w:rsid w:val="00E9409C"/>
    <w:rsid w:val="00EC5526"/>
    <w:rsid w:val="00ED4174"/>
    <w:rsid w:val="00ED7BA0"/>
    <w:rsid w:val="00F24D02"/>
    <w:rsid w:val="00F34871"/>
    <w:rsid w:val="00F53CB4"/>
    <w:rsid w:val="00FA09E8"/>
    <w:rsid w:val="00FB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03F3-A269-438A-ABF9-34261316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A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0"/>
    <w:link w:val="10"/>
    <w:rsid w:val="00644D6E"/>
    <w:pPr>
      <w:keepNext/>
      <w:numPr>
        <w:numId w:val="17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0"/>
    <w:next w:val="a0"/>
    <w:link w:val="20"/>
    <w:qFormat/>
    <w:rsid w:val="00644D6E"/>
    <w:pPr>
      <w:keepNext/>
      <w:keepLines/>
      <w:numPr>
        <w:ilvl w:val="1"/>
        <w:numId w:val="17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"/>
    <w:next w:val="a0"/>
    <w:link w:val="30"/>
    <w:qFormat/>
    <w:rsid w:val="00644D6E"/>
    <w:pPr>
      <w:numPr>
        <w:ilvl w:val="2"/>
        <w:numId w:val="17"/>
      </w:numPr>
      <w:suppressAutoHyphens/>
      <w:spacing w:before="120"/>
      <w:outlineLvl w:val="2"/>
    </w:pPr>
    <w:rPr>
      <w:szCs w:val="1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7BA0"/>
    <w:pPr>
      <w:ind w:left="720"/>
      <w:contextualSpacing/>
    </w:pPr>
  </w:style>
  <w:style w:type="paragraph" w:styleId="a0">
    <w:name w:val="Body Text"/>
    <w:basedOn w:val="a"/>
    <w:link w:val="a5"/>
    <w:rsid w:val="006A5829"/>
    <w:pPr>
      <w:ind w:firstLine="709"/>
      <w:jc w:val="both"/>
    </w:pPr>
  </w:style>
  <w:style w:type="character" w:customStyle="1" w:styleId="a5">
    <w:name w:val="Основной текст Знак"/>
    <w:basedOn w:val="a1"/>
    <w:link w:val="a0"/>
    <w:rsid w:val="006A582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rsid w:val="00613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6139C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rsid w:val="00644D6E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644D6E"/>
    <w:rPr>
      <w:rFonts w:ascii="Times New Roman" w:eastAsia="Times New Roman" w:hAnsi="Times New Roman" w:cs="Times New Roman"/>
      <w:b/>
      <w:caps/>
      <w:sz w:val="24"/>
      <w:szCs w:val="18"/>
      <w:lang w:eastAsia="ar-SA"/>
    </w:rPr>
  </w:style>
  <w:style w:type="character" w:customStyle="1" w:styleId="20">
    <w:name w:val="Заголовок 2 Знак"/>
    <w:basedOn w:val="a1"/>
    <w:link w:val="2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character" w:customStyle="1" w:styleId="30">
    <w:name w:val="Заголовок 3 Знак"/>
    <w:basedOn w:val="a1"/>
    <w:link w:val="3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12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C125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ий текст (2)_"/>
    <w:link w:val="22"/>
    <w:rsid w:val="0028750C"/>
    <w:rPr>
      <w:rFonts w:ascii="Arial" w:hAnsi="Arial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8750C"/>
    <w:pPr>
      <w:widowControl w:val="0"/>
      <w:shd w:val="clear" w:color="auto" w:fill="FFFFFF"/>
      <w:spacing w:before="480" w:line="226" w:lineRule="exact"/>
      <w:jc w:val="both"/>
    </w:pPr>
    <w:rPr>
      <w:rFonts w:ascii="Arial" w:eastAsiaTheme="minorHAnsi" w:hAnsi="Arial" w:cstheme="minorBidi"/>
      <w:sz w:val="22"/>
      <w:szCs w:val="22"/>
    </w:rPr>
  </w:style>
  <w:style w:type="paragraph" w:customStyle="1" w:styleId="Nata1">
    <w:name w:val="Nata1"/>
    <w:basedOn w:val="a"/>
    <w:rsid w:val="0028750C"/>
    <w:pPr>
      <w:jc w:val="both"/>
    </w:pPr>
    <w:rPr>
      <w:b/>
      <w:sz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54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54FF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0261AA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grame">
    <w:name w:val="grame"/>
    <w:basedOn w:val="a1"/>
    <w:rsid w:val="000261AA"/>
  </w:style>
  <w:style w:type="paragraph" w:styleId="23">
    <w:name w:val="Body Text Indent 2"/>
    <w:basedOn w:val="a"/>
    <w:link w:val="24"/>
    <w:uiPriority w:val="99"/>
    <w:unhideWhenUsed/>
    <w:rsid w:val="00D229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D2294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848EE"/>
    <w:pPr>
      <w:autoSpaceDE w:val="0"/>
      <w:autoSpaceDN w:val="0"/>
      <w:adjustRightInd w:val="0"/>
      <w:spacing w:after="0" w:line="240" w:lineRule="auto"/>
      <w:ind w:firstLine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CD6D4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CD6D42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84">
    <w:name w:val="Font Style84"/>
    <w:rsid w:val="00ED4174"/>
    <w:rPr>
      <w:rFonts w:ascii="Times New Roman" w:hAnsi="Times New Roman" w:cs="Times New Roman"/>
      <w:sz w:val="20"/>
      <w:szCs w:val="20"/>
    </w:rPr>
  </w:style>
  <w:style w:type="paragraph" w:customStyle="1" w:styleId="Style71">
    <w:name w:val="Style71"/>
    <w:basedOn w:val="a"/>
    <w:rsid w:val="00ED4174"/>
    <w:pPr>
      <w:widowControl w:val="0"/>
      <w:autoSpaceDE w:val="0"/>
      <w:autoSpaceDN w:val="0"/>
      <w:adjustRightInd w:val="0"/>
      <w:spacing w:line="260" w:lineRule="exact"/>
      <w:ind w:hanging="446"/>
      <w:jc w:val="both"/>
    </w:pPr>
    <w:rPr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B561D8"/>
    <w:rPr>
      <w:color w:val="605E5C"/>
      <w:shd w:val="clear" w:color="auto" w:fill="E1DFDD"/>
    </w:rPr>
  </w:style>
  <w:style w:type="character" w:customStyle="1" w:styleId="50">
    <w:name w:val="Заголовок 5 Знак"/>
    <w:basedOn w:val="a1"/>
    <w:link w:val="5"/>
    <w:rsid w:val="00E70D4E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2.sn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2.sn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nayka.com.ua/?op=1&amp;z=776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Христенко</dc:creator>
  <cp:lastModifiedBy>Пользователь Windows</cp:lastModifiedBy>
  <cp:revision>8</cp:revision>
  <dcterms:created xsi:type="dcterms:W3CDTF">2022-11-08T11:18:00Z</dcterms:created>
  <dcterms:modified xsi:type="dcterms:W3CDTF">2022-11-08T16:32:00Z</dcterms:modified>
</cp:coreProperties>
</file>