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15B1" w14:textId="0AC83C30" w:rsidR="00724041" w:rsidRPr="00724041" w:rsidRDefault="00724041" w:rsidP="00724041">
      <w:pPr>
        <w:jc w:val="center"/>
        <w:rPr>
          <w:b/>
          <w:lang w:val="uk-UA"/>
        </w:rPr>
      </w:pPr>
      <w:r w:rsidRPr="00724041">
        <w:rPr>
          <w:sz w:val="28"/>
          <w:szCs w:val="28"/>
          <w:lang w:val="uk-UA"/>
        </w:rPr>
        <w:t>Опис вибіркової дисципліни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6371"/>
      </w:tblGrid>
      <w:tr w:rsidR="00724041" w:rsidRPr="00F442FA" w14:paraId="7455BC2F" w14:textId="77777777" w:rsidTr="00D77B47">
        <w:trPr>
          <w:jc w:val="center"/>
        </w:trPr>
        <w:tc>
          <w:tcPr>
            <w:tcW w:w="1691" w:type="pct"/>
          </w:tcPr>
          <w:p w14:paraId="4FB0CC7D" w14:textId="5B49516C" w:rsidR="00724041" w:rsidRPr="00F442FA" w:rsidRDefault="00FF5ECF" w:rsidP="00FF5ECF">
            <w:pPr>
              <w:rPr>
                <w:b/>
                <w:lang w:val="uk-UA"/>
              </w:rPr>
            </w:pPr>
            <w:r w:rsidRPr="00F442FA">
              <w:rPr>
                <w:b/>
                <w:lang w:val="uk-UA"/>
              </w:rPr>
              <w:t>Назва дисципліни</w:t>
            </w:r>
          </w:p>
        </w:tc>
        <w:tc>
          <w:tcPr>
            <w:tcW w:w="3309" w:type="pct"/>
            <w:vAlign w:val="center"/>
          </w:tcPr>
          <w:p w14:paraId="4CA1C029" w14:textId="2EC3C341" w:rsidR="00724041" w:rsidRPr="00F442FA" w:rsidRDefault="00FA4DA9" w:rsidP="00A378A8">
            <w:pPr>
              <w:jc w:val="both"/>
              <w:rPr>
                <w:bCs/>
                <w:lang w:val="uk-UA"/>
              </w:rPr>
            </w:pPr>
            <w:r w:rsidRPr="00F442FA">
              <w:rPr>
                <w:bCs/>
                <w:lang w:val="uk-UA"/>
              </w:rPr>
              <w:t>Устаткування для виготовлення швейних виробів</w:t>
            </w:r>
          </w:p>
        </w:tc>
      </w:tr>
      <w:tr w:rsidR="00724041" w:rsidRPr="00F442FA" w14:paraId="461B35E1" w14:textId="77777777" w:rsidTr="00D77B47">
        <w:trPr>
          <w:jc w:val="center"/>
        </w:trPr>
        <w:tc>
          <w:tcPr>
            <w:tcW w:w="1691" w:type="pct"/>
          </w:tcPr>
          <w:p w14:paraId="6A3E3EA9" w14:textId="4DDD755F" w:rsidR="00724041" w:rsidRPr="00F442FA" w:rsidRDefault="00F442FA" w:rsidP="00FF5ECF">
            <w:pPr>
              <w:rPr>
                <w:b/>
                <w:lang w:val="uk-UA"/>
              </w:rPr>
            </w:pPr>
            <w:r w:rsidRPr="00F442FA">
              <w:rPr>
                <w:b/>
                <w:lang w:val="uk-UA"/>
              </w:rPr>
              <w:t>Рівень вищої освіти</w:t>
            </w:r>
          </w:p>
        </w:tc>
        <w:tc>
          <w:tcPr>
            <w:tcW w:w="3309" w:type="pct"/>
            <w:vAlign w:val="center"/>
          </w:tcPr>
          <w:p w14:paraId="70F6C61D" w14:textId="3D8D8888" w:rsidR="00724041" w:rsidRPr="00183C4A" w:rsidRDefault="00183C4A" w:rsidP="00A378A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бакалавр</w:t>
            </w:r>
          </w:p>
        </w:tc>
      </w:tr>
      <w:tr w:rsidR="00724041" w:rsidRPr="00F442FA" w14:paraId="340E7423" w14:textId="77777777" w:rsidTr="00D77B47">
        <w:trPr>
          <w:jc w:val="center"/>
        </w:trPr>
        <w:tc>
          <w:tcPr>
            <w:tcW w:w="1691" w:type="pct"/>
          </w:tcPr>
          <w:p w14:paraId="407A1E8F" w14:textId="5D80AF1A" w:rsidR="00724041" w:rsidRPr="00F442FA" w:rsidRDefault="00F442FA" w:rsidP="00FF5ECF">
            <w:pPr>
              <w:rPr>
                <w:b/>
                <w:lang w:val="uk-UA"/>
              </w:rPr>
            </w:pPr>
            <w:r w:rsidRPr="00F442FA">
              <w:rPr>
                <w:b/>
                <w:lang w:val="uk-UA"/>
              </w:rPr>
              <w:t xml:space="preserve">Загальний обсяг в кредитах </w:t>
            </w:r>
            <w:proofErr w:type="spellStart"/>
            <w:r w:rsidRPr="00F442FA">
              <w:rPr>
                <w:b/>
                <w:lang w:val="uk-UA"/>
              </w:rPr>
              <w:t>ЄКТС</w:t>
            </w:r>
            <w:proofErr w:type="spellEnd"/>
          </w:p>
        </w:tc>
        <w:tc>
          <w:tcPr>
            <w:tcW w:w="3309" w:type="pct"/>
            <w:vAlign w:val="center"/>
          </w:tcPr>
          <w:p w14:paraId="27F318E3" w14:textId="79BB8EDD" w:rsidR="00724041" w:rsidRPr="00183C4A" w:rsidRDefault="00183C4A" w:rsidP="00A378A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724041" w:rsidRPr="00F442FA" w14:paraId="65E4A1B6" w14:textId="77777777" w:rsidTr="00D77B47">
        <w:trPr>
          <w:jc w:val="center"/>
        </w:trPr>
        <w:tc>
          <w:tcPr>
            <w:tcW w:w="1691" w:type="pct"/>
          </w:tcPr>
          <w:p w14:paraId="6E19CF8A" w14:textId="5D33C404" w:rsidR="00724041" w:rsidRPr="00F442FA" w:rsidRDefault="00183C4A" w:rsidP="00FF5ECF">
            <w:pPr>
              <w:rPr>
                <w:b/>
                <w:lang w:val="uk-UA"/>
              </w:rPr>
            </w:pPr>
            <w:r w:rsidRPr="00183C4A">
              <w:rPr>
                <w:b/>
                <w:lang w:val="uk-UA"/>
              </w:rPr>
              <w:t>Мова викладання</w:t>
            </w:r>
          </w:p>
        </w:tc>
        <w:tc>
          <w:tcPr>
            <w:tcW w:w="3309" w:type="pct"/>
            <w:vAlign w:val="center"/>
          </w:tcPr>
          <w:p w14:paraId="6F3BD844" w14:textId="2001CC98" w:rsidR="00724041" w:rsidRPr="00183C4A" w:rsidRDefault="00D303B2" w:rsidP="00A378A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українська</w:t>
            </w:r>
          </w:p>
        </w:tc>
      </w:tr>
      <w:tr w:rsidR="00724041" w:rsidRPr="00F442FA" w14:paraId="66A927BC" w14:textId="77777777" w:rsidTr="00D77B47">
        <w:trPr>
          <w:jc w:val="center"/>
        </w:trPr>
        <w:tc>
          <w:tcPr>
            <w:tcW w:w="1691" w:type="pct"/>
          </w:tcPr>
          <w:p w14:paraId="47EBD388" w14:textId="21335D20" w:rsidR="00724041" w:rsidRPr="00F442FA" w:rsidRDefault="00183C4A" w:rsidP="00FF5ECF">
            <w:pPr>
              <w:rPr>
                <w:b/>
                <w:lang w:val="uk-UA"/>
              </w:rPr>
            </w:pPr>
            <w:r w:rsidRPr="00183C4A">
              <w:rPr>
                <w:b/>
                <w:lang w:val="uk-UA"/>
              </w:rPr>
              <w:t>Кафедра</w:t>
            </w:r>
          </w:p>
        </w:tc>
        <w:tc>
          <w:tcPr>
            <w:tcW w:w="3309" w:type="pct"/>
            <w:vAlign w:val="center"/>
          </w:tcPr>
          <w:p w14:paraId="3D1EEE4F" w14:textId="10B821DF" w:rsidR="00724041" w:rsidRPr="00183C4A" w:rsidRDefault="00D303B2" w:rsidP="00A378A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технологій легкої промисловості</w:t>
            </w:r>
          </w:p>
        </w:tc>
      </w:tr>
      <w:tr w:rsidR="00724041" w:rsidRPr="00A378A8" w14:paraId="4B02B63B" w14:textId="77777777" w:rsidTr="00D77B47">
        <w:trPr>
          <w:jc w:val="center"/>
        </w:trPr>
        <w:tc>
          <w:tcPr>
            <w:tcW w:w="1691" w:type="pct"/>
          </w:tcPr>
          <w:p w14:paraId="2DAE2E61" w14:textId="5553E11D" w:rsidR="00724041" w:rsidRPr="00F442FA" w:rsidRDefault="00183C4A" w:rsidP="00FF5ECF">
            <w:pPr>
              <w:rPr>
                <w:b/>
                <w:lang w:val="uk-UA"/>
              </w:rPr>
            </w:pPr>
            <w:r w:rsidRPr="00183C4A">
              <w:rPr>
                <w:b/>
                <w:lang w:val="uk-UA"/>
              </w:rPr>
              <w:t>Викладачі, що викладають дисципліну</w:t>
            </w:r>
          </w:p>
        </w:tc>
        <w:tc>
          <w:tcPr>
            <w:tcW w:w="3309" w:type="pct"/>
            <w:vAlign w:val="center"/>
          </w:tcPr>
          <w:p w14:paraId="0E360FA4" w14:textId="2E4A5D22" w:rsidR="00724041" w:rsidRPr="00183C4A" w:rsidRDefault="00A51F1C" w:rsidP="00A378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Мазнєв</w:t>
            </w:r>
            <w:proofErr w:type="spellEnd"/>
            <w:r>
              <w:rPr>
                <w:bCs/>
                <w:lang w:val="uk-UA"/>
              </w:rPr>
              <w:t xml:space="preserve"> Є. О. </w:t>
            </w:r>
            <w:r w:rsidRPr="00724041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лекції, практичні (семінарські) заняття, консультації</w:t>
            </w:r>
          </w:p>
        </w:tc>
      </w:tr>
      <w:tr w:rsidR="00183C4A" w:rsidRPr="00F442FA" w14:paraId="7E96DA23" w14:textId="77777777" w:rsidTr="00D77B47">
        <w:trPr>
          <w:jc w:val="center"/>
        </w:trPr>
        <w:tc>
          <w:tcPr>
            <w:tcW w:w="1691" w:type="pct"/>
          </w:tcPr>
          <w:p w14:paraId="43B1B391" w14:textId="06BED6C8" w:rsidR="00183C4A" w:rsidRPr="00F442FA" w:rsidRDefault="00D77B47" w:rsidP="00FF5ECF">
            <w:pPr>
              <w:rPr>
                <w:b/>
                <w:lang w:val="uk-UA"/>
              </w:rPr>
            </w:pPr>
            <w:r w:rsidRPr="00D77B47">
              <w:rPr>
                <w:b/>
                <w:lang w:val="uk-UA"/>
              </w:rPr>
              <w:t>Максимальна кількість студенів, що можуть обрати дисципліну</w:t>
            </w:r>
          </w:p>
        </w:tc>
        <w:tc>
          <w:tcPr>
            <w:tcW w:w="3309" w:type="pct"/>
            <w:vAlign w:val="center"/>
          </w:tcPr>
          <w:p w14:paraId="1342A3E9" w14:textId="5BECA5D1" w:rsidR="00183C4A" w:rsidRPr="00183C4A" w:rsidRDefault="00D77B47" w:rsidP="00D77B4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</w:tr>
      <w:tr w:rsidR="00183C4A" w:rsidRPr="00F442FA" w14:paraId="67214699" w14:textId="77777777" w:rsidTr="00D77B47">
        <w:trPr>
          <w:jc w:val="center"/>
        </w:trPr>
        <w:tc>
          <w:tcPr>
            <w:tcW w:w="1691" w:type="pct"/>
          </w:tcPr>
          <w:p w14:paraId="4425EE58" w14:textId="5DA0F09E" w:rsidR="00183C4A" w:rsidRPr="00F442FA" w:rsidRDefault="00D77B47" w:rsidP="00FF5ECF">
            <w:pPr>
              <w:rPr>
                <w:b/>
                <w:lang w:val="uk-UA"/>
              </w:rPr>
            </w:pPr>
            <w:r w:rsidRPr="00D77B47">
              <w:rPr>
                <w:b/>
                <w:lang w:val="uk-UA"/>
              </w:rPr>
              <w:t>Рекомендований семестр для вивчення</w:t>
            </w:r>
          </w:p>
        </w:tc>
        <w:tc>
          <w:tcPr>
            <w:tcW w:w="3309" w:type="pct"/>
            <w:vAlign w:val="center"/>
          </w:tcPr>
          <w:p w14:paraId="7E358AF8" w14:textId="157019C3" w:rsidR="00183C4A" w:rsidRPr="00183C4A" w:rsidRDefault="008B506C" w:rsidP="00D77B4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</w:tr>
      <w:tr w:rsidR="00183C4A" w:rsidRPr="00F442FA" w14:paraId="69B7E42E" w14:textId="77777777" w:rsidTr="00D77B47">
        <w:trPr>
          <w:jc w:val="center"/>
        </w:trPr>
        <w:tc>
          <w:tcPr>
            <w:tcW w:w="1691" w:type="pct"/>
          </w:tcPr>
          <w:p w14:paraId="4E3E2C6B" w14:textId="01414DAC" w:rsidR="00183C4A" w:rsidRPr="00F442FA" w:rsidRDefault="00D77B47" w:rsidP="00FF5ECF">
            <w:pPr>
              <w:rPr>
                <w:b/>
                <w:lang w:val="uk-UA"/>
              </w:rPr>
            </w:pPr>
            <w:r w:rsidRPr="00D77B47">
              <w:rPr>
                <w:b/>
                <w:lang w:val="uk-UA"/>
              </w:rPr>
              <w:t>Вимоги до початку вивчення</w:t>
            </w:r>
          </w:p>
        </w:tc>
        <w:tc>
          <w:tcPr>
            <w:tcW w:w="3309" w:type="pct"/>
            <w:vAlign w:val="center"/>
          </w:tcPr>
          <w:p w14:paraId="423AED8C" w14:textId="59582D45" w:rsidR="00183C4A" w:rsidRPr="008B506C" w:rsidRDefault="008B506C" w:rsidP="00D77B4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 складі програми </w:t>
            </w:r>
            <w:r>
              <w:rPr>
                <w:bCs/>
                <w:lang w:val="en-US"/>
              </w:rPr>
              <w:t>minor</w:t>
            </w:r>
          </w:p>
        </w:tc>
      </w:tr>
      <w:tr w:rsidR="00D77B47" w:rsidRPr="00F442FA" w14:paraId="508CD334" w14:textId="77777777" w:rsidTr="00D77B47">
        <w:trPr>
          <w:jc w:val="center"/>
        </w:trPr>
        <w:tc>
          <w:tcPr>
            <w:tcW w:w="1691" w:type="pct"/>
          </w:tcPr>
          <w:p w14:paraId="29E7AA8F" w14:textId="042F94E4" w:rsidR="00D77B47" w:rsidRPr="00F442FA" w:rsidRDefault="00D77B47" w:rsidP="00FF5ECF">
            <w:pPr>
              <w:rPr>
                <w:b/>
                <w:lang w:val="uk-UA"/>
              </w:rPr>
            </w:pPr>
            <w:r w:rsidRPr="00D77B47">
              <w:rPr>
                <w:b/>
                <w:lang w:val="uk-UA"/>
              </w:rPr>
              <w:t>Зміст дисципліни</w:t>
            </w:r>
          </w:p>
        </w:tc>
        <w:tc>
          <w:tcPr>
            <w:tcW w:w="3309" w:type="pct"/>
            <w:vAlign w:val="center"/>
          </w:tcPr>
          <w:p w14:paraId="3786FC60" w14:textId="2B4E6893" w:rsidR="00D77B47" w:rsidRPr="00183C4A" w:rsidRDefault="008B506C" w:rsidP="008B506C">
            <w:pPr>
              <w:jc w:val="both"/>
              <w:rPr>
                <w:bCs/>
                <w:lang w:val="uk-UA"/>
              </w:rPr>
            </w:pPr>
            <w:r w:rsidRPr="00724041">
              <w:rPr>
                <w:lang w:val="uk-UA"/>
              </w:rPr>
              <w:t xml:space="preserve">Устрій швейних машин. Основні механізми швейних машин. Загальні відомості про машини та механізми. Класифікація швейного обладнання. Характеристики швейного обладнання. </w:t>
            </w:r>
            <w:r w:rsidR="00CF4B6F">
              <w:rPr>
                <w:lang w:val="uk-UA"/>
              </w:rPr>
              <w:t>Швейні машини човникового стібка. Швейні машини ланцюгового стібка.</w:t>
            </w:r>
            <w:r w:rsidRPr="00724041">
              <w:rPr>
                <w:lang w:val="uk-UA"/>
              </w:rPr>
              <w:t xml:space="preserve"> Типи та порівнювальна характеристика сучасних машин. Машини </w:t>
            </w:r>
            <w:proofErr w:type="spellStart"/>
            <w:r w:rsidRPr="00724041">
              <w:rPr>
                <w:lang w:val="uk-UA"/>
              </w:rPr>
              <w:t>краєобробні</w:t>
            </w:r>
            <w:proofErr w:type="spellEnd"/>
            <w:r w:rsidRPr="00724041">
              <w:rPr>
                <w:lang w:val="uk-UA"/>
              </w:rPr>
              <w:t xml:space="preserve">, </w:t>
            </w:r>
            <w:proofErr w:type="spellStart"/>
            <w:r w:rsidRPr="00724041">
              <w:rPr>
                <w:lang w:val="uk-UA"/>
              </w:rPr>
              <w:t>багатониткові</w:t>
            </w:r>
            <w:proofErr w:type="spellEnd"/>
            <w:r w:rsidRPr="00724041">
              <w:rPr>
                <w:lang w:val="uk-UA"/>
              </w:rPr>
              <w:t>. Машини-напівавтомати. Машини для вимотування, пришивання фурнітури, машини для виконання стрічок за заданим малюнком. Обладнання волого-теплової обробки виробів.</w:t>
            </w:r>
          </w:p>
        </w:tc>
      </w:tr>
      <w:tr w:rsidR="00D77B47" w:rsidRPr="00A378A8" w14:paraId="566F08B0" w14:textId="77777777" w:rsidTr="00D77B47">
        <w:trPr>
          <w:jc w:val="center"/>
        </w:trPr>
        <w:tc>
          <w:tcPr>
            <w:tcW w:w="1691" w:type="pct"/>
          </w:tcPr>
          <w:p w14:paraId="01E4EE9A" w14:textId="11CED5D9" w:rsidR="00D77B47" w:rsidRPr="00F442FA" w:rsidRDefault="00D77B47" w:rsidP="00FF5ECF">
            <w:pPr>
              <w:rPr>
                <w:b/>
                <w:lang w:val="uk-UA"/>
              </w:rPr>
            </w:pPr>
            <w:r w:rsidRPr="00D77B47">
              <w:rPr>
                <w:b/>
                <w:lang w:val="uk-UA"/>
              </w:rPr>
              <w:t>Обґрунтування необхідності дисципліни</w:t>
            </w:r>
          </w:p>
        </w:tc>
        <w:tc>
          <w:tcPr>
            <w:tcW w:w="3309" w:type="pct"/>
            <w:vAlign w:val="center"/>
          </w:tcPr>
          <w:p w14:paraId="46A22B97" w14:textId="0CCDDB0C" w:rsidR="00D77B47" w:rsidRPr="00356656" w:rsidRDefault="00356656" w:rsidP="00BA4D3E">
            <w:pPr>
              <w:jc w:val="both"/>
              <w:rPr>
                <w:bCs/>
                <w:lang w:val="uk-UA"/>
              </w:rPr>
            </w:pPr>
            <w:r w:rsidRPr="00356656">
              <w:rPr>
                <w:bCs/>
                <w:lang w:val="uk-UA"/>
              </w:rPr>
              <w:t xml:space="preserve">формування </w:t>
            </w:r>
            <w:r>
              <w:rPr>
                <w:bCs/>
                <w:lang w:val="uk-UA"/>
              </w:rPr>
              <w:t xml:space="preserve">у здобувачів вищої освіти </w:t>
            </w:r>
            <w:r w:rsidRPr="00356656">
              <w:rPr>
                <w:bCs/>
                <w:lang w:val="uk-UA"/>
              </w:rPr>
              <w:t>системи знань, вмінь та практичних навичок з основ класифікації</w:t>
            </w:r>
            <w:r w:rsidR="00BA4D3E">
              <w:rPr>
                <w:bCs/>
                <w:lang w:val="uk-UA"/>
              </w:rPr>
              <w:t xml:space="preserve"> </w:t>
            </w:r>
            <w:r w:rsidRPr="00356656">
              <w:rPr>
                <w:bCs/>
                <w:lang w:val="uk-UA"/>
              </w:rPr>
              <w:t xml:space="preserve">машин і </w:t>
            </w:r>
            <w:r w:rsidR="00BA4D3E">
              <w:rPr>
                <w:bCs/>
                <w:lang w:val="uk-UA"/>
              </w:rPr>
              <w:t>апаратів</w:t>
            </w:r>
            <w:r w:rsidRPr="00356656">
              <w:rPr>
                <w:bCs/>
                <w:lang w:val="uk-UA"/>
              </w:rPr>
              <w:t xml:space="preserve"> для виготовлення швейних виробів, вивчення принципів вибору</w:t>
            </w:r>
            <w:r w:rsidR="00BA4D3E">
              <w:rPr>
                <w:bCs/>
                <w:lang w:val="uk-UA"/>
              </w:rPr>
              <w:t xml:space="preserve"> </w:t>
            </w:r>
            <w:r w:rsidRPr="00356656">
              <w:rPr>
                <w:bCs/>
                <w:lang w:val="uk-UA"/>
              </w:rPr>
              <w:t xml:space="preserve">обладнання </w:t>
            </w:r>
            <w:r w:rsidR="00BA4D3E">
              <w:rPr>
                <w:bCs/>
                <w:lang w:val="uk-UA"/>
              </w:rPr>
              <w:t>для</w:t>
            </w:r>
            <w:r w:rsidRPr="00356656">
              <w:rPr>
                <w:bCs/>
                <w:lang w:val="uk-UA"/>
              </w:rPr>
              <w:t xml:space="preserve"> виконуваної технологічної операції, а також визначення</w:t>
            </w:r>
            <w:r w:rsidR="00BA4D3E">
              <w:rPr>
                <w:bCs/>
                <w:lang w:val="uk-UA"/>
              </w:rPr>
              <w:t xml:space="preserve"> </w:t>
            </w:r>
            <w:r w:rsidRPr="00356656">
              <w:rPr>
                <w:bCs/>
                <w:lang w:val="uk-UA"/>
              </w:rPr>
              <w:t xml:space="preserve">особливостей конструктивної будови </w:t>
            </w:r>
            <w:r w:rsidR="00BA4D3E">
              <w:rPr>
                <w:bCs/>
                <w:lang w:val="uk-UA"/>
              </w:rPr>
              <w:t>обладнання,</w:t>
            </w:r>
            <w:r w:rsidRPr="00356656">
              <w:rPr>
                <w:bCs/>
                <w:lang w:val="uk-UA"/>
              </w:rPr>
              <w:t xml:space="preserve"> його окремих механізмів залежно від технологічних функцій</w:t>
            </w:r>
          </w:p>
        </w:tc>
      </w:tr>
      <w:tr w:rsidR="00D77B47" w:rsidRPr="00A378A8" w14:paraId="139998F8" w14:textId="77777777" w:rsidTr="00D77B47">
        <w:trPr>
          <w:jc w:val="center"/>
        </w:trPr>
        <w:tc>
          <w:tcPr>
            <w:tcW w:w="1691" w:type="pct"/>
          </w:tcPr>
          <w:p w14:paraId="3380BF91" w14:textId="7CCA19B1" w:rsidR="00D77B47" w:rsidRPr="00F442FA" w:rsidRDefault="00D77B47" w:rsidP="00FF5ECF">
            <w:pPr>
              <w:rPr>
                <w:b/>
                <w:lang w:val="uk-UA"/>
              </w:rPr>
            </w:pPr>
            <w:r w:rsidRPr="00D77B47">
              <w:rPr>
                <w:b/>
                <w:lang w:val="uk-UA"/>
              </w:rPr>
              <w:t>Результати навчання</w:t>
            </w:r>
          </w:p>
        </w:tc>
        <w:tc>
          <w:tcPr>
            <w:tcW w:w="3309" w:type="pct"/>
            <w:vAlign w:val="center"/>
          </w:tcPr>
          <w:p w14:paraId="459294BB" w14:textId="1B7C940F" w:rsidR="00D411DA" w:rsidRDefault="00D411DA" w:rsidP="0037552C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здобувач вищої освіти оволодіє знаннями:</w:t>
            </w:r>
          </w:p>
          <w:p w14:paraId="1548BEF2" w14:textId="2349B757" w:rsidR="00D411DA" w:rsidRPr="00D411DA" w:rsidRDefault="00D411DA" w:rsidP="0037552C">
            <w:pPr>
              <w:pStyle w:val="a6"/>
              <w:numPr>
                <w:ilvl w:val="0"/>
                <w:numId w:val="2"/>
              </w:numPr>
              <w:ind w:left="604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з </w:t>
            </w:r>
            <w:r w:rsidRPr="00724041">
              <w:rPr>
                <w:lang w:val="uk-UA"/>
              </w:rPr>
              <w:t>принцип</w:t>
            </w:r>
            <w:r>
              <w:rPr>
                <w:lang w:val="uk-UA"/>
              </w:rPr>
              <w:t>ів</w:t>
            </w:r>
            <w:r w:rsidRPr="00724041">
              <w:rPr>
                <w:lang w:val="uk-UA"/>
              </w:rPr>
              <w:t xml:space="preserve"> побудови основних типів технологічних машин</w:t>
            </w:r>
            <w:r>
              <w:rPr>
                <w:lang w:val="uk-UA"/>
              </w:rPr>
              <w:t>;</w:t>
            </w:r>
          </w:p>
          <w:p w14:paraId="5E0B4DF5" w14:textId="1573FD59" w:rsidR="00D411DA" w:rsidRPr="008F7FA5" w:rsidRDefault="008F7FA5" w:rsidP="0037552C">
            <w:pPr>
              <w:pStyle w:val="a6"/>
              <w:numPr>
                <w:ilvl w:val="0"/>
                <w:numId w:val="2"/>
              </w:numPr>
              <w:ind w:left="604"/>
              <w:jc w:val="both"/>
              <w:rPr>
                <w:iCs/>
                <w:lang w:val="uk-UA"/>
              </w:rPr>
            </w:pPr>
            <w:r>
              <w:rPr>
                <w:lang w:val="uk-UA"/>
              </w:rPr>
              <w:t xml:space="preserve">з принципів </w:t>
            </w:r>
            <w:r w:rsidRPr="00724041">
              <w:rPr>
                <w:lang w:val="uk-UA"/>
              </w:rPr>
              <w:t>роботи і проектування технологічного обладнання</w:t>
            </w:r>
            <w:r>
              <w:rPr>
                <w:lang w:val="uk-UA"/>
              </w:rPr>
              <w:t>;</w:t>
            </w:r>
          </w:p>
          <w:p w14:paraId="1DCAEEC4" w14:textId="176FBAD5" w:rsidR="008F7FA5" w:rsidRPr="00D411DA" w:rsidRDefault="008F7FA5" w:rsidP="0037552C">
            <w:pPr>
              <w:pStyle w:val="a6"/>
              <w:numPr>
                <w:ilvl w:val="0"/>
                <w:numId w:val="2"/>
              </w:numPr>
              <w:ind w:left="604"/>
              <w:jc w:val="both"/>
              <w:rPr>
                <w:iCs/>
                <w:lang w:val="uk-UA"/>
              </w:rPr>
            </w:pPr>
            <w:r w:rsidRPr="008F7FA5">
              <w:rPr>
                <w:iCs/>
                <w:lang w:val="uk-UA"/>
              </w:rPr>
              <w:t>будову, роботу та регулювання, принцип дії основних типів технологічних машин;</w:t>
            </w:r>
          </w:p>
          <w:p w14:paraId="5653F06E" w14:textId="1EA5583D" w:rsidR="008F7FA5" w:rsidRDefault="008F7FA5" w:rsidP="0037552C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здобувач вищої освіти буде вміти:</w:t>
            </w:r>
          </w:p>
          <w:p w14:paraId="6D3B904A" w14:textId="06FAD32A" w:rsidR="008F7FA5" w:rsidRPr="0037552C" w:rsidRDefault="0037552C" w:rsidP="0037552C">
            <w:pPr>
              <w:pStyle w:val="a6"/>
              <w:numPr>
                <w:ilvl w:val="0"/>
                <w:numId w:val="2"/>
              </w:numPr>
              <w:ind w:left="604"/>
              <w:jc w:val="both"/>
              <w:rPr>
                <w:iCs/>
                <w:lang w:val="uk-UA"/>
              </w:rPr>
            </w:pPr>
            <w:r w:rsidRPr="0037552C">
              <w:rPr>
                <w:iCs/>
                <w:lang w:val="uk-UA"/>
              </w:rPr>
              <w:t>розбиратися в розмаїтті технологічного обладнання галузі</w:t>
            </w:r>
            <w:r w:rsidR="008F7FA5">
              <w:rPr>
                <w:lang w:val="uk-UA"/>
              </w:rPr>
              <w:t>;</w:t>
            </w:r>
          </w:p>
          <w:p w14:paraId="5F839F70" w14:textId="3CDB6CB9" w:rsidR="0037552C" w:rsidRPr="0037552C" w:rsidRDefault="0037552C" w:rsidP="0037552C">
            <w:pPr>
              <w:pStyle w:val="a6"/>
              <w:numPr>
                <w:ilvl w:val="0"/>
                <w:numId w:val="2"/>
              </w:numPr>
              <w:ind w:left="604"/>
              <w:jc w:val="both"/>
              <w:rPr>
                <w:iCs/>
                <w:lang w:val="uk-UA"/>
              </w:rPr>
            </w:pPr>
            <w:r w:rsidRPr="00724041">
              <w:rPr>
                <w:lang w:val="uk-UA"/>
              </w:rPr>
              <w:t>візуально визначати призначення технологічного обладнання; вільно володіти машинобудівною термінологією</w:t>
            </w:r>
            <w:r>
              <w:rPr>
                <w:lang w:val="uk-UA"/>
              </w:rPr>
              <w:t>;</w:t>
            </w:r>
          </w:p>
          <w:p w14:paraId="6D41E275" w14:textId="60C4CDF4" w:rsidR="00D77B47" w:rsidRPr="00183C4A" w:rsidRDefault="0037552C" w:rsidP="0037552C">
            <w:pPr>
              <w:pStyle w:val="a6"/>
              <w:numPr>
                <w:ilvl w:val="0"/>
                <w:numId w:val="2"/>
              </w:numPr>
              <w:ind w:left="604"/>
              <w:jc w:val="both"/>
              <w:rPr>
                <w:bCs/>
                <w:lang w:val="uk-UA"/>
              </w:rPr>
            </w:pPr>
            <w:r w:rsidRPr="0037552C">
              <w:rPr>
                <w:iCs/>
                <w:lang w:val="uk-UA"/>
              </w:rPr>
              <w:t xml:space="preserve">самостійно вивчати новітні види обладнання, використовуючи знання машинобудівної термінології, </w:t>
            </w:r>
            <w:r>
              <w:rPr>
                <w:iCs/>
                <w:lang w:val="uk-UA"/>
              </w:rPr>
              <w:t>та</w:t>
            </w:r>
            <w:r w:rsidRPr="0037552C">
              <w:rPr>
                <w:iCs/>
                <w:lang w:val="uk-UA"/>
              </w:rPr>
              <w:t xml:space="preserve"> визначати його технологічні можливості</w:t>
            </w:r>
            <w:r>
              <w:rPr>
                <w:iCs/>
                <w:lang w:val="uk-UA"/>
              </w:rPr>
              <w:t>.</w:t>
            </w:r>
          </w:p>
        </w:tc>
      </w:tr>
      <w:tr w:rsidR="00D77B47" w:rsidRPr="00F442FA" w14:paraId="2E8D670B" w14:textId="77777777" w:rsidTr="00D77B47">
        <w:trPr>
          <w:jc w:val="center"/>
        </w:trPr>
        <w:tc>
          <w:tcPr>
            <w:tcW w:w="1691" w:type="pct"/>
          </w:tcPr>
          <w:p w14:paraId="30A3F89F" w14:textId="7380F923" w:rsidR="00D77B47" w:rsidRPr="00F442FA" w:rsidRDefault="00D77B47" w:rsidP="00FF5ECF">
            <w:pPr>
              <w:rPr>
                <w:b/>
                <w:lang w:val="uk-UA"/>
              </w:rPr>
            </w:pPr>
            <w:r w:rsidRPr="00D77B47">
              <w:rPr>
                <w:b/>
                <w:lang w:val="uk-UA"/>
              </w:rPr>
              <w:t>Набуті компетентності</w:t>
            </w:r>
          </w:p>
        </w:tc>
        <w:tc>
          <w:tcPr>
            <w:tcW w:w="3309" w:type="pct"/>
            <w:vAlign w:val="center"/>
          </w:tcPr>
          <w:p w14:paraId="1B93705F" w14:textId="41545230" w:rsidR="00D77B47" w:rsidRDefault="00E6280D" w:rsidP="00A6595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здатність застосовувати професійні знання у практичних ситуаціях</w:t>
            </w:r>
            <w:r w:rsidR="00A6595F">
              <w:rPr>
                <w:bCs/>
                <w:lang w:val="uk-UA"/>
              </w:rPr>
              <w:t>.</w:t>
            </w:r>
          </w:p>
          <w:p w14:paraId="5AD682CC" w14:textId="5AE1D846" w:rsidR="00E6280D" w:rsidRDefault="00E6280D" w:rsidP="00A6595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здатність до організації та впровадження технологічних процесів виготовлення швейних виробів різного призначення</w:t>
            </w:r>
            <w:r w:rsidR="00A6595F">
              <w:rPr>
                <w:bCs/>
                <w:lang w:val="uk-UA"/>
              </w:rPr>
              <w:t>.</w:t>
            </w:r>
          </w:p>
          <w:p w14:paraId="1D85BC16" w14:textId="2532D14B" w:rsidR="00E6280D" w:rsidRPr="00183C4A" w:rsidRDefault="00E6280D" w:rsidP="00A6595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здатність усунення причин технологічних порушень</w:t>
            </w:r>
            <w:r w:rsidR="00A6595F">
              <w:rPr>
                <w:bCs/>
                <w:lang w:val="uk-UA"/>
              </w:rPr>
              <w:t>.</w:t>
            </w:r>
          </w:p>
        </w:tc>
      </w:tr>
      <w:tr w:rsidR="00D77B47" w:rsidRPr="00F442FA" w14:paraId="25D006F4" w14:textId="77777777" w:rsidTr="00D77B47">
        <w:trPr>
          <w:jc w:val="center"/>
        </w:trPr>
        <w:tc>
          <w:tcPr>
            <w:tcW w:w="1691" w:type="pct"/>
          </w:tcPr>
          <w:p w14:paraId="5B9A8B73" w14:textId="414D80D2" w:rsidR="00D77B47" w:rsidRPr="00F442FA" w:rsidRDefault="00D77B47" w:rsidP="00FF5ECF">
            <w:pPr>
              <w:rPr>
                <w:b/>
                <w:lang w:val="uk-UA"/>
              </w:rPr>
            </w:pPr>
            <w:r w:rsidRPr="00D77B47">
              <w:rPr>
                <w:b/>
                <w:lang w:val="uk-UA"/>
              </w:rPr>
              <w:lastRenderedPageBreak/>
              <w:t>Форма проведення занять</w:t>
            </w:r>
          </w:p>
        </w:tc>
        <w:tc>
          <w:tcPr>
            <w:tcW w:w="3309" w:type="pct"/>
            <w:vAlign w:val="center"/>
          </w:tcPr>
          <w:p w14:paraId="52E4925E" w14:textId="1295BC93" w:rsidR="00D77B47" w:rsidRPr="00183C4A" w:rsidRDefault="008B506C" w:rsidP="00D77B4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лекції </w:t>
            </w:r>
            <w:r>
              <w:rPr>
                <w:lang w:val="uk-UA"/>
              </w:rPr>
              <w:t>– 28 годин; практичні заняття – 14 годин.</w:t>
            </w:r>
          </w:p>
        </w:tc>
      </w:tr>
      <w:tr w:rsidR="00D77B47" w:rsidRPr="00F442FA" w14:paraId="20D0B67A" w14:textId="77777777" w:rsidTr="00D77B47">
        <w:trPr>
          <w:jc w:val="center"/>
        </w:trPr>
        <w:tc>
          <w:tcPr>
            <w:tcW w:w="1691" w:type="pct"/>
          </w:tcPr>
          <w:p w14:paraId="7191AFF4" w14:textId="2837E484" w:rsidR="00D77B47" w:rsidRPr="00F442FA" w:rsidRDefault="00D77B47" w:rsidP="00FF5ECF">
            <w:pPr>
              <w:rPr>
                <w:b/>
                <w:lang w:val="uk-UA"/>
              </w:rPr>
            </w:pPr>
            <w:r w:rsidRPr="00D77B47">
              <w:rPr>
                <w:b/>
                <w:lang w:val="uk-UA"/>
              </w:rPr>
              <w:t>Вид семестрового контролю</w:t>
            </w:r>
          </w:p>
        </w:tc>
        <w:tc>
          <w:tcPr>
            <w:tcW w:w="3309" w:type="pct"/>
            <w:vAlign w:val="center"/>
          </w:tcPr>
          <w:p w14:paraId="7D181AFF" w14:textId="194B04CF" w:rsidR="00D77B47" w:rsidRPr="00183C4A" w:rsidRDefault="00D77B47" w:rsidP="00D77B4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залік</w:t>
            </w:r>
          </w:p>
        </w:tc>
      </w:tr>
    </w:tbl>
    <w:p w14:paraId="33FC7573" w14:textId="77777777" w:rsidR="00724041" w:rsidRPr="00724041" w:rsidRDefault="00724041" w:rsidP="008C6225">
      <w:pPr>
        <w:jc w:val="center"/>
        <w:rPr>
          <w:b/>
          <w:lang w:val="uk-UA"/>
        </w:rPr>
      </w:pPr>
    </w:p>
    <w:sectPr w:rsidR="00724041" w:rsidRPr="00724041" w:rsidSect="008C62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1B06"/>
    <w:multiLevelType w:val="hybridMultilevel"/>
    <w:tmpl w:val="8C8692E6"/>
    <w:lvl w:ilvl="0" w:tplc="EFD0AC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076509"/>
    <w:multiLevelType w:val="hybridMultilevel"/>
    <w:tmpl w:val="A4444934"/>
    <w:lvl w:ilvl="0" w:tplc="D3C6E7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uk-UA" w:vendorID="6" w:dllVersion="518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5B"/>
    <w:rsid w:val="00010F8D"/>
    <w:rsid w:val="000224F3"/>
    <w:rsid w:val="000F02BC"/>
    <w:rsid w:val="00167DF9"/>
    <w:rsid w:val="00176CED"/>
    <w:rsid w:val="00183C4A"/>
    <w:rsid w:val="001C6131"/>
    <w:rsid w:val="001F60B0"/>
    <w:rsid w:val="00255817"/>
    <w:rsid w:val="00275EE8"/>
    <w:rsid w:val="002A53F9"/>
    <w:rsid w:val="00356656"/>
    <w:rsid w:val="00365F5B"/>
    <w:rsid w:val="00372F5F"/>
    <w:rsid w:val="0037552C"/>
    <w:rsid w:val="004974BC"/>
    <w:rsid w:val="004A08B5"/>
    <w:rsid w:val="004B5A2E"/>
    <w:rsid w:val="004B7E4E"/>
    <w:rsid w:val="004D4E93"/>
    <w:rsid w:val="005231D8"/>
    <w:rsid w:val="005368A2"/>
    <w:rsid w:val="005739C4"/>
    <w:rsid w:val="005864DD"/>
    <w:rsid w:val="005F0546"/>
    <w:rsid w:val="00607FC5"/>
    <w:rsid w:val="0061352B"/>
    <w:rsid w:val="00650E1A"/>
    <w:rsid w:val="006A253D"/>
    <w:rsid w:val="006D18A7"/>
    <w:rsid w:val="006D300A"/>
    <w:rsid w:val="00715DAA"/>
    <w:rsid w:val="00724041"/>
    <w:rsid w:val="007765E0"/>
    <w:rsid w:val="008008E3"/>
    <w:rsid w:val="00815AC9"/>
    <w:rsid w:val="00817AB9"/>
    <w:rsid w:val="0083645F"/>
    <w:rsid w:val="008B506C"/>
    <w:rsid w:val="008C6225"/>
    <w:rsid w:val="008F7FA5"/>
    <w:rsid w:val="009679B7"/>
    <w:rsid w:val="009770A1"/>
    <w:rsid w:val="00991F17"/>
    <w:rsid w:val="009E139B"/>
    <w:rsid w:val="00A07CAE"/>
    <w:rsid w:val="00A34239"/>
    <w:rsid w:val="00A378A8"/>
    <w:rsid w:val="00A51F1C"/>
    <w:rsid w:val="00A56DDD"/>
    <w:rsid w:val="00A6595F"/>
    <w:rsid w:val="00A670FC"/>
    <w:rsid w:val="00AA67CF"/>
    <w:rsid w:val="00AC679B"/>
    <w:rsid w:val="00B17742"/>
    <w:rsid w:val="00B52BAC"/>
    <w:rsid w:val="00BA4D3E"/>
    <w:rsid w:val="00BA6CE1"/>
    <w:rsid w:val="00BF7B51"/>
    <w:rsid w:val="00C05658"/>
    <w:rsid w:val="00CD2450"/>
    <w:rsid w:val="00CF4B6F"/>
    <w:rsid w:val="00D303B2"/>
    <w:rsid w:val="00D411DA"/>
    <w:rsid w:val="00D60381"/>
    <w:rsid w:val="00D613EF"/>
    <w:rsid w:val="00D77B47"/>
    <w:rsid w:val="00D84238"/>
    <w:rsid w:val="00D923BE"/>
    <w:rsid w:val="00E307BD"/>
    <w:rsid w:val="00E35289"/>
    <w:rsid w:val="00E6280D"/>
    <w:rsid w:val="00EE6174"/>
    <w:rsid w:val="00F10EE7"/>
    <w:rsid w:val="00F442FA"/>
    <w:rsid w:val="00F93656"/>
    <w:rsid w:val="00FA4DA9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1C1E3"/>
  <w15:chartTrackingRefBased/>
  <w15:docId w15:val="{BB5402AF-D827-4041-9F39-8FF96F92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E139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rsid w:val="009E13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4041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styleId="a6">
    <w:name w:val="List Paragraph"/>
    <w:basedOn w:val="a"/>
    <w:uiPriority w:val="34"/>
    <w:qFormat/>
    <w:rsid w:val="00D4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1489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SNU_im_VDal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Мазнєв Євген Олександрович</cp:lastModifiedBy>
  <cp:revision>26</cp:revision>
  <cp:lastPrinted>2017-03-27T09:59:00Z</cp:lastPrinted>
  <dcterms:created xsi:type="dcterms:W3CDTF">2017-04-11T06:39:00Z</dcterms:created>
  <dcterms:modified xsi:type="dcterms:W3CDTF">2021-09-04T07:53:00Z</dcterms:modified>
</cp:coreProperties>
</file>